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FEE" w:rsidRDefault="002C6C1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A3192EC-9501-4947-BB1D-AAC182008A68" style="width:450.6pt;height:348.05pt">
            <v:imagedata r:id="rId8" o:title=""/>
          </v:shape>
        </w:pict>
      </w:r>
    </w:p>
    <w:bookmarkEnd w:id="0"/>
    <w:p w:rsidR="000D7FEE" w:rsidRDefault="000D7FEE">
      <w:pPr>
        <w:rPr>
          <w:noProof/>
        </w:rPr>
        <w:sectPr w:rsidR="000D7FEE">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0D7FEE" w:rsidRDefault="002C6C12">
      <w:pPr>
        <w:autoSpaceDE w:val="0"/>
        <w:autoSpaceDN w:val="0"/>
        <w:spacing w:after="240"/>
        <w:jc w:val="both"/>
        <w:rPr>
          <w:rFonts w:ascii="Times New Roman" w:hAnsi="Times New Roman" w:cs="Times New Roman"/>
          <w:b/>
          <w:noProof/>
          <w:sz w:val="28"/>
          <w:szCs w:val="24"/>
        </w:rPr>
      </w:pPr>
      <w:r>
        <w:rPr>
          <w:rFonts w:ascii="Times New Roman" w:hAnsi="Times New Roman"/>
          <w:b/>
          <w:noProof/>
          <w:sz w:val="28"/>
        </w:rPr>
        <w:lastRenderedPageBreak/>
        <w:t xml:space="preserve">1. Renforcer l’Europe sociale </w:t>
      </w:r>
    </w:p>
    <w:p w:rsidR="000D7FEE" w:rsidRDefault="002C6C12">
      <w:pPr>
        <w:autoSpaceDE w:val="0"/>
        <w:autoSpaceDN w:val="0"/>
        <w:spacing w:after="240"/>
        <w:jc w:val="both"/>
        <w:rPr>
          <w:rFonts w:ascii="Times New Roman" w:hAnsi="Times New Roman" w:cs="Times New Roman"/>
          <w:i/>
          <w:noProof/>
          <w:sz w:val="24"/>
          <w:szCs w:val="24"/>
        </w:rPr>
      </w:pPr>
      <w:r>
        <w:rPr>
          <w:rFonts w:ascii="Times New Roman" w:hAnsi="Times New Roman"/>
          <w:b/>
          <w:i/>
          <w:noProof/>
          <w:sz w:val="24"/>
          <w:szCs w:val="24"/>
        </w:rPr>
        <w:t xml:space="preserve">«Les gens se soucient de l’avenir de leurs enfants et de notre société, ainsi que d’équité et d’égalité, dans tous </w:t>
      </w:r>
      <w:r>
        <w:rPr>
          <w:rFonts w:ascii="Times New Roman" w:hAnsi="Times New Roman"/>
          <w:b/>
          <w:i/>
          <w:noProof/>
          <w:sz w:val="24"/>
          <w:szCs w:val="24"/>
        </w:rPr>
        <w:t>les sens du terme.»</w:t>
      </w:r>
      <w:r>
        <w:rPr>
          <w:rFonts w:ascii="Times New Roman" w:hAnsi="Times New Roman"/>
          <w:i/>
          <w:noProof/>
          <w:sz w:val="24"/>
          <w:szCs w:val="24"/>
        </w:rPr>
        <w:t xml:space="preserve">  </w:t>
      </w:r>
    </w:p>
    <w:p w:rsidR="000D7FEE" w:rsidRDefault="002C6C12">
      <w:pPr>
        <w:autoSpaceDE w:val="0"/>
        <w:autoSpaceDN w:val="0"/>
        <w:spacing w:after="240"/>
        <w:ind w:left="5103"/>
        <w:rPr>
          <w:rFonts w:ascii="Times New Roman" w:hAnsi="Times New Roman" w:cs="Times New Roman"/>
          <w:noProof/>
          <w:sz w:val="24"/>
          <w:szCs w:val="24"/>
        </w:rPr>
      </w:pPr>
      <w:r>
        <w:rPr>
          <w:rFonts w:ascii="Times New Roman" w:hAnsi="Times New Roman"/>
          <w:noProof/>
          <w:sz w:val="24"/>
          <w:szCs w:val="24"/>
        </w:rPr>
        <w:t>Ursula von der Leyen, présidente de la Commission européenne</w:t>
      </w:r>
    </w:p>
    <w:p w:rsidR="000D7FEE" w:rsidRDefault="000D7FEE">
      <w:pPr>
        <w:spacing w:after="160" w:line="259" w:lineRule="auto"/>
        <w:jc w:val="both"/>
        <w:rPr>
          <w:rFonts w:ascii="Times New Roman" w:hAnsi="Times New Roman" w:cs="Times New Roman"/>
          <w:b/>
          <w:noProof/>
          <w:sz w:val="24"/>
          <w:szCs w:val="24"/>
        </w:rPr>
      </w:pPr>
    </w:p>
    <w:p w:rsidR="000D7FEE" w:rsidRDefault="002C6C12">
      <w:pPr>
        <w:spacing w:after="160" w:line="259" w:lineRule="auto"/>
        <w:jc w:val="both"/>
        <w:rPr>
          <w:rFonts w:ascii="Times New Roman" w:hAnsi="Times New Roman" w:cs="Times New Roman"/>
          <w:noProof/>
          <w:sz w:val="24"/>
          <w:szCs w:val="24"/>
        </w:rPr>
      </w:pPr>
      <w:r>
        <w:rPr>
          <w:rFonts w:ascii="Times New Roman" w:hAnsi="Times New Roman"/>
          <w:b/>
          <w:noProof/>
          <w:sz w:val="24"/>
          <w:szCs w:val="24"/>
        </w:rPr>
        <w:t>En Europe, nous disposons de niveaux de vie parmi les plus élevés au monde, de conditions de travail parmi les meilleures et d’une protection sociale qui est l’une des plus</w:t>
      </w:r>
      <w:r>
        <w:rPr>
          <w:rFonts w:ascii="Times New Roman" w:hAnsi="Times New Roman"/>
          <w:b/>
          <w:noProof/>
          <w:sz w:val="24"/>
          <w:szCs w:val="24"/>
        </w:rPr>
        <w:t xml:space="preserve"> efficaces. </w:t>
      </w:r>
      <w:r>
        <w:rPr>
          <w:rFonts w:ascii="Times New Roman" w:hAnsi="Times New Roman"/>
          <w:noProof/>
          <w:sz w:val="24"/>
          <w:szCs w:val="24"/>
        </w:rPr>
        <w:t>Être Européen aujourd’hui, cela signifie avoir la possibilité de réussir et le droit à un niveau de vie décent. La justice sociale est le fondement de l’économie sociale de marché européenne et s’inscrit au cœur de notre Union. Elle est à la ba</w:t>
      </w:r>
      <w:r>
        <w:rPr>
          <w:rFonts w:ascii="Times New Roman" w:hAnsi="Times New Roman"/>
          <w:noProof/>
          <w:sz w:val="24"/>
          <w:szCs w:val="24"/>
        </w:rPr>
        <w:t>se de l’idée selon laquelle l’équité sociale et la prospérité sont les pierres angulaires de la construction d’une société résiliente, dotée des normes les plus élevées au monde en matière de bien-être, comme en témoigne également l’ambition de l’Europe de</w:t>
      </w:r>
      <w:r>
        <w:rPr>
          <w:rFonts w:ascii="Times New Roman" w:hAnsi="Times New Roman"/>
          <w:noProof/>
          <w:sz w:val="24"/>
          <w:szCs w:val="24"/>
        </w:rPr>
        <w:t xml:space="preserve"> progresser afin de réaliser pleinement les objectifs de développement durable des Nations unies. L’Europe est aujourd’hui un lieu unique où la prospérité, l’équité et un avenir durable sont des objectifs qui revêtent une même importance. </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b/>
          <w:noProof/>
          <w:sz w:val="24"/>
          <w:szCs w:val="24"/>
        </w:rPr>
        <w:t xml:space="preserve">L’heure est au changement. </w:t>
      </w:r>
      <w:r>
        <w:rPr>
          <w:rFonts w:ascii="Times New Roman" w:hAnsi="Times New Roman"/>
          <w:noProof/>
          <w:sz w:val="24"/>
          <w:szCs w:val="24"/>
        </w:rPr>
        <w:t xml:space="preserve">Le changement climatique et la dégradation de l’environnement nous obligeront à adapter notre économie, notre industrie, notre manière de voyager et de travailler, ce que nous achetons et ce que nous mangeons. </w:t>
      </w:r>
      <w:r>
        <w:rPr>
          <w:rFonts w:ascii="Times New Roman" w:hAnsi="Times New Roman"/>
          <w:b/>
          <w:noProof/>
          <w:sz w:val="24"/>
          <w:szCs w:val="24"/>
        </w:rPr>
        <w:t xml:space="preserve">Avec le pacte vert </w:t>
      </w:r>
      <w:r>
        <w:rPr>
          <w:rFonts w:ascii="Times New Roman" w:hAnsi="Times New Roman"/>
          <w:b/>
          <w:noProof/>
          <w:sz w:val="24"/>
          <w:szCs w:val="24"/>
        </w:rPr>
        <w:t>pour l’Europe, nous avons annoncé notre ambition de devenir le premier continent neutre sur le plan climatique d’ici à 2050.</w:t>
      </w:r>
      <w:r>
        <w:rPr>
          <w:rFonts w:ascii="Times New Roman" w:hAnsi="Times New Roman"/>
          <w:noProof/>
          <w:sz w:val="24"/>
          <w:szCs w:val="24"/>
        </w:rPr>
        <w:t xml:space="preserve"> Il s’agit de notre nouvelle stratégie de croissance pour la décennie à venir, qui créera de nouvelles entreprises et de nouveaux em</w:t>
      </w:r>
      <w:r>
        <w:rPr>
          <w:rFonts w:ascii="Times New Roman" w:hAnsi="Times New Roman"/>
          <w:noProof/>
          <w:sz w:val="24"/>
          <w:szCs w:val="24"/>
        </w:rPr>
        <w:t>plois et stimulera l’investissement. Elle doit permettre à l’Europe de conserver les systèmes de protection sociale les plus avancés au monde tout en constituant un pôle vibrant d’innovation et d’entreprenariat compétitif. Elle donnera à l’Europe les moyen</w:t>
      </w:r>
      <w:r>
        <w:rPr>
          <w:rFonts w:ascii="Times New Roman" w:hAnsi="Times New Roman"/>
          <w:noProof/>
          <w:sz w:val="24"/>
          <w:szCs w:val="24"/>
        </w:rPr>
        <w:t>s d’aller plus loin en ce qui concerne la convergence vers le haut, l’équité sociale et la prospérité partagée.</w:t>
      </w:r>
    </w:p>
    <w:p w:rsidR="000D7FEE" w:rsidRDefault="002C6C12">
      <w:pPr>
        <w:autoSpaceDE w:val="0"/>
        <w:autoSpaceDN w:val="0"/>
        <w:spacing w:after="240"/>
        <w:jc w:val="both"/>
        <w:rPr>
          <w:rFonts w:ascii="Times New Roman" w:hAnsi="Times New Roman" w:cs="Times New Roman"/>
          <w:noProof/>
          <w:sz w:val="24"/>
          <w:szCs w:val="24"/>
        </w:rPr>
      </w:pPr>
      <w:r>
        <w:rPr>
          <w:rFonts w:ascii="Times New Roman" w:hAnsi="Times New Roman"/>
          <w:b/>
          <w:noProof/>
          <w:sz w:val="24"/>
          <w:szCs w:val="24"/>
        </w:rPr>
        <w:t>L’économie numérique d’aujourd’hui et de demain doit être centrée sur les personnes.</w:t>
      </w:r>
      <w:r>
        <w:rPr>
          <w:rFonts w:ascii="Times New Roman" w:hAnsi="Times New Roman"/>
          <w:noProof/>
          <w:sz w:val="24"/>
          <w:szCs w:val="24"/>
        </w:rPr>
        <w:t xml:space="preserve"> L’intelligence artificielle et la robotique devraient, à elles seules, créer près de 60 millions de nouveaux emplois dans le monde au cours des cinq prochaines années, mais de nombreux emplois existants vont changer, voire disparaître. Les nouvelles techn</w:t>
      </w:r>
      <w:r>
        <w:rPr>
          <w:rFonts w:ascii="Times New Roman" w:hAnsi="Times New Roman"/>
          <w:noProof/>
          <w:sz w:val="24"/>
          <w:szCs w:val="24"/>
        </w:rPr>
        <w:t>ologies offriront de nouvelles possibilités d’emploi et des modalités de travail plus souples, mais nous devons faire en sorte que les nouveaux emplois soient de qualité et que nos concitoyens disposent des compétences nécessaires pour les exercer. L’écono</w:t>
      </w:r>
      <w:r>
        <w:rPr>
          <w:rFonts w:ascii="Times New Roman" w:hAnsi="Times New Roman"/>
          <w:noProof/>
          <w:sz w:val="24"/>
          <w:szCs w:val="24"/>
        </w:rPr>
        <w:t>mie numérique ne peut pas s’appuyer sur les règles juridiques et sociales du 20</w:t>
      </w:r>
      <w:r>
        <w:rPr>
          <w:rFonts w:ascii="Times New Roman" w:hAnsi="Times New Roman"/>
          <w:noProof/>
          <w:sz w:val="24"/>
          <w:szCs w:val="24"/>
          <w:vertAlign w:val="superscript"/>
        </w:rPr>
        <w:t>e</w:t>
      </w:r>
      <w:r>
        <w:rPr>
          <w:rFonts w:ascii="Times New Roman" w:hAnsi="Times New Roman"/>
          <w:noProof/>
          <w:sz w:val="24"/>
          <w:szCs w:val="24"/>
        </w:rPr>
        <w:t xml:space="preserve"> siècle; le moment est venu d’ajuster et de garantir la protection sociale dans le nouveau monde du travail et d’adapter les règles fiscales de sorte que chacun apporte sa just</w:t>
      </w:r>
      <w:r>
        <w:rPr>
          <w:rFonts w:ascii="Times New Roman" w:hAnsi="Times New Roman"/>
          <w:noProof/>
          <w:sz w:val="24"/>
          <w:szCs w:val="24"/>
        </w:rPr>
        <w:t>e contribution.</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b/>
          <w:noProof/>
          <w:sz w:val="24"/>
          <w:szCs w:val="24"/>
        </w:rPr>
        <w:lastRenderedPageBreak/>
        <w:t>La démographie de l’Europe est en train de changer; aujourd’hui, nous vivons plus longtemps et en meilleure santé</w:t>
      </w:r>
      <w:r>
        <w:rPr>
          <w:rFonts w:ascii="Times New Roman" w:hAnsi="Times New Roman"/>
          <w:noProof/>
          <w:sz w:val="24"/>
          <w:szCs w:val="24"/>
        </w:rPr>
        <w:t xml:space="preserve"> grâce aux progrès de la médecine et de la santé publique. Il en résulte de nouveaux besoins et de nouvelles possibilités. L’éc</w:t>
      </w:r>
      <w:r>
        <w:rPr>
          <w:rFonts w:ascii="Times New Roman" w:hAnsi="Times New Roman"/>
          <w:noProof/>
          <w:sz w:val="24"/>
          <w:szCs w:val="24"/>
        </w:rPr>
        <w:t>onomie des seniors et l’économie des services à la personne fournissent beaucoup de nouveaux emplois, tout en permettant aux personnes âgées de rester actives ou de bénéficier des soins dont elles ont besoin. En raison du vieillissement démographique et de</w:t>
      </w:r>
      <w:r>
        <w:rPr>
          <w:rFonts w:ascii="Times New Roman" w:hAnsi="Times New Roman"/>
          <w:noProof/>
          <w:sz w:val="24"/>
          <w:szCs w:val="24"/>
        </w:rPr>
        <w:t>s départs vers les villes, de nombreuses zones rurales en Europe voient leur population diminuer. La fracture entre zones urbaines et zones rurales augmente et ne peut plus être ignorée. Si l’évolution technologique et la transition énergétique ouvrent des</w:t>
      </w:r>
      <w:r>
        <w:rPr>
          <w:rFonts w:ascii="Times New Roman" w:hAnsi="Times New Roman"/>
          <w:noProof/>
          <w:sz w:val="24"/>
          <w:szCs w:val="24"/>
        </w:rPr>
        <w:t xml:space="preserve"> perspectives, il se peut qu’elles ne soient pas suffisantes à elles seules pour combler le fossé entre riches et pauvres, à moins que nous n’aidions les régions pauvres à rattraper leur retard par rapport aux régions plus riches. </w:t>
      </w:r>
    </w:p>
    <w:p w:rsidR="000D7FEE" w:rsidRDefault="002C6C12">
      <w:pPr>
        <w:autoSpaceDE w:val="0"/>
        <w:autoSpaceDN w:val="0"/>
        <w:spacing w:after="240"/>
        <w:jc w:val="both"/>
        <w:rPr>
          <w:rFonts w:ascii="Times New Roman" w:hAnsi="Times New Roman" w:cs="Times New Roman"/>
          <w:noProof/>
          <w:sz w:val="24"/>
          <w:szCs w:val="24"/>
        </w:rPr>
      </w:pPr>
      <w:r>
        <w:rPr>
          <w:rFonts w:ascii="Times New Roman" w:hAnsi="Times New Roman"/>
          <w:b/>
          <w:noProof/>
          <w:sz w:val="24"/>
          <w:szCs w:val="24"/>
        </w:rPr>
        <w:t>Tous les Européens devra</w:t>
      </w:r>
      <w:r>
        <w:rPr>
          <w:rFonts w:ascii="Times New Roman" w:hAnsi="Times New Roman"/>
          <w:b/>
          <w:noProof/>
          <w:sz w:val="24"/>
          <w:szCs w:val="24"/>
        </w:rPr>
        <w:t>ient avoir les mêmes chances de réussite: nous devons préserver, adapter et améliorer ce que nos parents et grands-parents ont construit.</w:t>
      </w:r>
      <w:r>
        <w:rPr>
          <w:rFonts w:ascii="Times New Roman" w:hAnsi="Times New Roman"/>
          <w:noProof/>
          <w:sz w:val="24"/>
          <w:szCs w:val="24"/>
        </w:rPr>
        <w:t xml:space="preserve"> Aujourd’hui, 241 millions de personnes ont un emploi dans l’UE, ce qui est un record. Toutefois, ce chiffre ne rend co</w:t>
      </w:r>
      <w:r>
        <w:rPr>
          <w:rFonts w:ascii="Times New Roman" w:hAnsi="Times New Roman"/>
          <w:noProof/>
          <w:sz w:val="24"/>
          <w:szCs w:val="24"/>
        </w:rPr>
        <w:t>mpte que d’une partie de la réalité. Ce qu’il cache, c’est que les inégalités persistent et que tous ne bénéficient pas de ces évolutions positives. Trop nombreux sont encore ceux qui ont des fins de mois difficiles ou qui sont confrontés à des obstacles d</w:t>
      </w:r>
      <w:r>
        <w:rPr>
          <w:rFonts w:ascii="Times New Roman" w:hAnsi="Times New Roman"/>
          <w:noProof/>
          <w:sz w:val="24"/>
          <w:szCs w:val="24"/>
        </w:rPr>
        <w:t>us aux inégalités. Beaucoup d’enfants et de jeunes, trop souvent issus de milieux socio-économiques défavorisés, n’ont pas accès à un enseignement ou à des soins de santé de qualité. Il y a encore trop de personnes âgées qui n’ont pas accès aux services de</w:t>
      </w:r>
      <w:r>
        <w:rPr>
          <w:rFonts w:ascii="Times New Roman" w:hAnsi="Times New Roman"/>
          <w:noProof/>
          <w:sz w:val="24"/>
          <w:szCs w:val="24"/>
        </w:rPr>
        <w:t xml:space="preserve"> soins. L’inégalité est un frein à la croissance et une menace pour la cohésion sociale. Nous devons agir maintenant pour que nos enfants et nos petits-enfants puissent tous bénéficier d’un avenir équitable, écologique et prospère, et pour assurer l’équité</w:t>
      </w:r>
      <w:r>
        <w:rPr>
          <w:rFonts w:ascii="Times New Roman" w:hAnsi="Times New Roman"/>
          <w:noProof/>
          <w:sz w:val="24"/>
          <w:szCs w:val="24"/>
        </w:rPr>
        <w:t xml:space="preserve"> intergénérationnelle. </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noProof/>
          <w:sz w:val="24"/>
          <w:szCs w:val="24"/>
        </w:rPr>
        <w:t>Ces évolutions, ces possibilités et ces défis touchent tous les pays et tous les Européens. Il est logique d’y faire face ensemble et d’affronter résolument le changement.</w:t>
      </w:r>
    </w:p>
    <w:p w:rsidR="000D7FEE" w:rsidRDefault="002C6C12">
      <w:pPr>
        <w:jc w:val="both"/>
        <w:rPr>
          <w:rFonts w:ascii="Times New Roman" w:hAnsi="Times New Roman" w:cs="Times New Roman"/>
          <w:b/>
          <w:noProof/>
          <w:sz w:val="24"/>
          <w:szCs w:val="24"/>
        </w:rPr>
      </w:pPr>
      <w:r>
        <w:rPr>
          <w:rFonts w:ascii="Times New Roman" w:hAnsi="Times New Roman"/>
          <w:b/>
          <w:noProof/>
          <w:sz w:val="24"/>
          <w:szCs w:val="24"/>
        </w:rPr>
        <w:t>Le socle européen des droits sociaux est la réponse de l’Eur</w:t>
      </w:r>
      <w:r>
        <w:rPr>
          <w:rFonts w:ascii="Times New Roman" w:hAnsi="Times New Roman"/>
          <w:b/>
          <w:noProof/>
          <w:sz w:val="24"/>
          <w:szCs w:val="24"/>
        </w:rPr>
        <w:t>ope à ces ambitions fondamentales. Il constitue la stratégie sociale que nous avons adoptée pour faire en sorte que les transitions liées à la neutralité climatique, à la numérisation et au changement démographique soient justes et équitables sur le plan s</w:t>
      </w:r>
      <w:r>
        <w:rPr>
          <w:rFonts w:ascii="Times New Roman" w:hAnsi="Times New Roman"/>
          <w:b/>
          <w:noProof/>
          <w:sz w:val="24"/>
          <w:szCs w:val="24"/>
        </w:rPr>
        <w:t xml:space="preserve">ocial. </w:t>
      </w:r>
    </w:p>
    <w:p w:rsidR="000D7FEE" w:rsidRDefault="002C6C12">
      <w:pPr>
        <w:spacing w:after="160" w:line="259" w:lineRule="auto"/>
        <w:jc w:val="both"/>
        <w:rPr>
          <w:rFonts w:ascii="Times New Roman" w:hAnsi="Times New Roman" w:cs="Times New Roman"/>
          <w:noProof/>
          <w:sz w:val="24"/>
          <w:szCs w:val="24"/>
        </w:rPr>
      </w:pPr>
      <w:r>
        <w:rPr>
          <w:rFonts w:ascii="Times New Roman" w:hAnsi="Times New Roman"/>
          <w:noProof/>
          <w:sz w:val="24"/>
          <w:szCs w:val="24"/>
        </w:rPr>
        <w:t>Le socle européen des droits sociaux vise à assurer l’équité dans tous les aspects de la vie quotidienne de tous nos concitoyens, qu’ils soient étudiants, travailleurs, chercheurs d’emploi ou retraités, à la ville comme à la campagne, sans distinct</w:t>
      </w:r>
      <w:r>
        <w:rPr>
          <w:rFonts w:ascii="Times New Roman" w:hAnsi="Times New Roman"/>
          <w:noProof/>
          <w:sz w:val="24"/>
          <w:szCs w:val="24"/>
        </w:rPr>
        <w:t>ion de sexe, d’origine ethnique ou raciale, de religion ou de convictions, de handicap, d’âge ou d’orientation sexuelle. Proclamés par toutes les institutions de l’UE en 2017, les 20 principes du socle ont pour objectif d’améliorer l’égalité des chances et</w:t>
      </w:r>
      <w:r>
        <w:rPr>
          <w:rFonts w:ascii="Times New Roman" w:hAnsi="Times New Roman"/>
          <w:noProof/>
          <w:sz w:val="24"/>
          <w:szCs w:val="24"/>
        </w:rPr>
        <w:t xml:space="preserve"> d’assurer l’emploi pour tous, d’offrir des conditions de travail équitables et de garantir la protection sociale et l’inclusion sociale.</w:t>
      </w:r>
      <w:r>
        <w:rPr>
          <w:rFonts w:ascii="Times New Roman" w:hAnsi="Times New Roman"/>
          <w:b/>
          <w:noProof/>
          <w:sz w:val="24"/>
          <w:szCs w:val="24"/>
        </w:rPr>
        <w:t xml:space="preserve"> </w:t>
      </w:r>
      <w:r>
        <w:rPr>
          <w:rFonts w:ascii="Times New Roman" w:hAnsi="Times New Roman"/>
          <w:noProof/>
          <w:sz w:val="24"/>
          <w:szCs w:val="24"/>
        </w:rPr>
        <w:t>Leur mise en œuvre confirme l’engagement, pris au plus haut niveau, de mettre l’être humain au centre, quels que soien</w:t>
      </w:r>
      <w:r>
        <w:rPr>
          <w:rFonts w:ascii="Times New Roman" w:hAnsi="Times New Roman"/>
          <w:noProof/>
          <w:sz w:val="24"/>
          <w:szCs w:val="24"/>
        </w:rPr>
        <w:t>t les changements, et de veiller à ce que personne ne soit laissé pour compte.</w:t>
      </w:r>
      <w:r>
        <w:rPr>
          <w:rFonts w:ascii="Times New Roman" w:hAnsi="Times New Roman"/>
          <w:b/>
          <w:noProof/>
          <w:sz w:val="24"/>
          <w:szCs w:val="24"/>
        </w:rPr>
        <w:t xml:space="preserve"> </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b/>
          <w:noProof/>
          <w:sz w:val="24"/>
          <w:szCs w:val="24"/>
        </w:rPr>
        <w:t xml:space="preserve">En nous appuyant sur le travail accompli par le passé, il est temps à présent de traduire cet engagement en de nouvelles actions.  </w:t>
      </w:r>
      <w:r>
        <w:rPr>
          <w:rFonts w:ascii="Times New Roman" w:hAnsi="Times New Roman"/>
          <w:noProof/>
          <w:sz w:val="24"/>
          <w:szCs w:val="24"/>
        </w:rPr>
        <w:t>Les chefs d’État ou de gouvernement ont deman</w:t>
      </w:r>
      <w:r>
        <w:rPr>
          <w:rFonts w:ascii="Times New Roman" w:hAnsi="Times New Roman"/>
          <w:noProof/>
          <w:sz w:val="24"/>
          <w:szCs w:val="24"/>
        </w:rPr>
        <w:t>dé la mise en œuvre du socle à l’échelle de l’UE et des États membres, conformément à leurs compétences respectives</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Le Parlement européen a également souligné l’importance d’assurer la mise en œuvre des 20 principes.</w:t>
      </w:r>
      <w:r>
        <w:rPr>
          <w:rFonts w:ascii="Times New Roman" w:hAnsi="Times New Roman"/>
          <w:b/>
          <w:noProof/>
          <w:sz w:val="24"/>
          <w:szCs w:val="24"/>
        </w:rPr>
        <w:t xml:space="preserve"> </w:t>
      </w:r>
      <w:r>
        <w:rPr>
          <w:rFonts w:ascii="Times New Roman" w:hAnsi="Times New Roman"/>
          <w:noProof/>
          <w:sz w:val="24"/>
          <w:szCs w:val="24"/>
        </w:rPr>
        <w:t>La présidente von der Leyen a affirmé</w:t>
      </w:r>
      <w:r>
        <w:rPr>
          <w:rFonts w:ascii="Times New Roman" w:hAnsi="Times New Roman"/>
          <w:noProof/>
          <w:sz w:val="24"/>
          <w:szCs w:val="24"/>
        </w:rPr>
        <w:t xml:space="preserve"> qu’elle était fermement résolue à présenter un plan d’action à cet effet. La réussite dépendra de l’action de tous les acteurs à tous les échelons: européen, national, régional et local. </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b/>
          <w:noProof/>
          <w:sz w:val="24"/>
          <w:szCs w:val="24"/>
        </w:rPr>
        <w:t>La présente communication définit la voie à suivre en vue de l’élab</w:t>
      </w:r>
      <w:r>
        <w:rPr>
          <w:rFonts w:ascii="Times New Roman" w:hAnsi="Times New Roman"/>
          <w:b/>
          <w:noProof/>
          <w:sz w:val="24"/>
          <w:szCs w:val="24"/>
        </w:rPr>
        <w:t>oration d’un plan d’action pour mettre en œuvre le socle européen des droits sociaux. Elle présente des initiatives à l’échelon de l’UE qui soutiennent la mise en œuvre du socle et lance un vaste débat avec tous les pays et toutes les régions de l’UE, ains</w:t>
      </w:r>
      <w:r>
        <w:rPr>
          <w:rFonts w:ascii="Times New Roman" w:hAnsi="Times New Roman"/>
          <w:b/>
          <w:noProof/>
          <w:sz w:val="24"/>
          <w:szCs w:val="24"/>
        </w:rPr>
        <w:t>i qu’avec l’ensemble de nos partenaires:</w:t>
      </w:r>
      <w:r>
        <w:rPr>
          <w:rFonts w:ascii="Times New Roman" w:hAnsi="Times New Roman"/>
          <w:noProof/>
          <w:sz w:val="24"/>
          <w:szCs w:val="24"/>
        </w:rPr>
        <w:t xml:space="preserve"> le Parlement européen et les parlements nationaux, qui représentent les citoyens européens; le Conseil et les gouvernements nationaux, qui représentent les États européens; les partenaires sociaux, qui représentent </w:t>
      </w:r>
      <w:r>
        <w:rPr>
          <w:rFonts w:ascii="Times New Roman" w:hAnsi="Times New Roman"/>
          <w:noProof/>
          <w:sz w:val="24"/>
          <w:szCs w:val="24"/>
        </w:rPr>
        <w:t xml:space="preserve">les employeurs et les travailleurs; la société civile, qui exprime des opinions cruciales sur les questions auxquelles nos concitoyens attachent une si grande importance. </w:t>
      </w:r>
    </w:p>
    <w:p w:rsidR="000D7FEE" w:rsidRDefault="002C6C12">
      <w:pPr>
        <w:pStyle w:val="CommentText"/>
        <w:spacing w:after="240" w:line="276" w:lineRule="auto"/>
        <w:jc w:val="both"/>
        <w:rPr>
          <w:rFonts w:ascii="Times New Roman" w:hAnsi="Times New Roman" w:cs="Times New Roman"/>
          <w:b/>
          <w:noProof/>
          <w:sz w:val="24"/>
          <w:szCs w:val="24"/>
        </w:rPr>
      </w:pPr>
      <w:r>
        <w:rPr>
          <w:rFonts w:ascii="Times New Roman" w:hAnsi="Times New Roman"/>
          <w:b/>
          <w:noProof/>
          <w:sz w:val="24"/>
          <w:szCs w:val="24"/>
        </w:rPr>
        <w:t>Avec les contributions de tous, nous présenterons, au début de l’année 2021, un plan</w:t>
      </w:r>
      <w:r>
        <w:rPr>
          <w:rFonts w:ascii="Times New Roman" w:hAnsi="Times New Roman"/>
          <w:b/>
          <w:noProof/>
          <w:sz w:val="24"/>
          <w:szCs w:val="24"/>
        </w:rPr>
        <w:t xml:space="preserve"> d’action transformant les droits et principes consacrés dans le socle en réalité.</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noProof/>
          <w:sz w:val="24"/>
          <w:szCs w:val="24"/>
        </w:rPr>
        <w:t xml:space="preserve">Le </w:t>
      </w:r>
      <w:r>
        <w:rPr>
          <w:rFonts w:ascii="Times New Roman" w:hAnsi="Times New Roman"/>
          <w:b/>
          <w:noProof/>
          <w:sz w:val="24"/>
          <w:szCs w:val="24"/>
        </w:rPr>
        <w:t>Semestre européen</w:t>
      </w:r>
      <w:r>
        <w:rPr>
          <w:rFonts w:ascii="Times New Roman" w:hAnsi="Times New Roman"/>
          <w:noProof/>
          <w:sz w:val="24"/>
          <w:szCs w:val="24"/>
        </w:rPr>
        <w:t xml:space="preserve"> pour la coordination des politiques économiques continuera de suivre les progrès accomplis en ce qui concerne le socle européen des droits sociaux. À pa</w:t>
      </w:r>
      <w:r>
        <w:rPr>
          <w:rFonts w:ascii="Times New Roman" w:hAnsi="Times New Roman"/>
          <w:noProof/>
          <w:sz w:val="24"/>
          <w:szCs w:val="24"/>
        </w:rPr>
        <w:t xml:space="preserve">rtir de cette année, le Semestre intégrera les objectifs de développement durable des Nations unies afin que la durabilité et le bien-être des citoyens soient au cœur de la politique économique et de la gouvernance. À cet égard, la </w:t>
      </w:r>
      <w:r>
        <w:rPr>
          <w:rFonts w:ascii="Times New Roman" w:hAnsi="Times New Roman"/>
          <w:b/>
          <w:noProof/>
          <w:sz w:val="24"/>
          <w:szCs w:val="24"/>
        </w:rPr>
        <w:t xml:space="preserve">stratégie annuelle pour </w:t>
      </w:r>
      <w:r>
        <w:rPr>
          <w:rFonts w:ascii="Times New Roman" w:hAnsi="Times New Roman"/>
          <w:b/>
          <w:noProof/>
          <w:sz w:val="24"/>
          <w:szCs w:val="24"/>
        </w:rPr>
        <w:t>une croissance durable</w:t>
      </w:r>
      <w:r>
        <w:rPr>
          <w:rFonts w:ascii="Times New Roman" w:hAnsi="Times New Roman"/>
          <w:noProof/>
          <w:sz w:val="24"/>
          <w:szCs w:val="24"/>
        </w:rPr>
        <w:t xml:space="preserve"> définit la stratégie de l’UE en matière d’économie et d’emploi, conformément aux priorités définies dans le pacte vert pour l’Europe. Elle combine la stabilité macroéconomique, la productivité, l’équité et la durabilité environnement</w:t>
      </w:r>
      <w:r>
        <w:rPr>
          <w:rFonts w:ascii="Times New Roman" w:hAnsi="Times New Roman"/>
          <w:noProof/>
          <w:sz w:val="24"/>
          <w:szCs w:val="24"/>
        </w:rPr>
        <w:t>ale. La structure de la fiscalité devrait soutenir l’emploi et la croissance tout en étant alignée sur les objectifs climatiques, environnementaux et sociaux. Une fiscalité inéquitable, y compris à l’échelon mondial, nuit à la capacité des États de répondr</w:t>
      </w:r>
      <w:r>
        <w:rPr>
          <w:rFonts w:ascii="Times New Roman" w:hAnsi="Times New Roman"/>
          <w:noProof/>
          <w:sz w:val="24"/>
          <w:szCs w:val="24"/>
        </w:rPr>
        <w:t>e aux besoins de leurs économies et de leurs populations.</w:t>
      </w:r>
    </w:p>
    <w:p w:rsidR="000D7FEE" w:rsidRDefault="002C6C12">
      <w:pPr>
        <w:pStyle w:val="CommentText"/>
        <w:spacing w:after="240" w:line="276" w:lineRule="auto"/>
        <w:jc w:val="both"/>
        <w:rPr>
          <w:rFonts w:ascii="Times New Roman" w:hAnsi="Times New Roman" w:cs="Times New Roman"/>
          <w:b/>
          <w:noProof/>
          <w:sz w:val="24"/>
          <w:szCs w:val="24"/>
        </w:rPr>
      </w:pPr>
      <w:r>
        <w:rPr>
          <w:rFonts w:ascii="Times New Roman" w:hAnsi="Times New Roman"/>
          <w:b/>
          <w:noProof/>
          <w:sz w:val="24"/>
          <w:szCs w:val="24"/>
        </w:rPr>
        <w:t>Ensemble, nous moderniserons l’économie sociale de marché de l’Europe pour nous adapter aux possibilités et aux défis d’aujourd’hui et de demain et assurer une transition juste pour tous.</w:t>
      </w:r>
    </w:p>
    <w:p w:rsidR="000D7FEE" w:rsidRDefault="000D7FEE">
      <w:pPr>
        <w:pStyle w:val="CommentText"/>
        <w:spacing w:after="240" w:line="276" w:lineRule="auto"/>
        <w:jc w:val="both"/>
        <w:rPr>
          <w:noProof/>
          <w:sz w:val="24"/>
          <w:szCs w:val="24"/>
        </w:rPr>
      </w:pPr>
    </w:p>
    <w:p w:rsidR="000D7FEE" w:rsidRDefault="002C6C12">
      <w:pPr>
        <w:keepNext/>
        <w:autoSpaceDE w:val="0"/>
        <w:autoSpaceDN w:val="0"/>
        <w:spacing w:after="240"/>
        <w:jc w:val="both"/>
        <w:rPr>
          <w:rFonts w:ascii="Times New Roman" w:hAnsi="Times New Roman" w:cs="Times New Roman"/>
          <w:b/>
          <w:noProof/>
          <w:sz w:val="28"/>
          <w:szCs w:val="28"/>
        </w:rPr>
      </w:pPr>
      <w:r>
        <w:rPr>
          <w:rFonts w:ascii="Times New Roman" w:hAnsi="Times New Roman"/>
          <w:b/>
          <w:noProof/>
          <w:sz w:val="28"/>
          <w:szCs w:val="28"/>
        </w:rPr>
        <w:t>2. Égalit</w:t>
      </w:r>
      <w:r>
        <w:rPr>
          <w:rFonts w:ascii="Times New Roman" w:hAnsi="Times New Roman"/>
          <w:b/>
          <w:noProof/>
          <w:sz w:val="28"/>
          <w:szCs w:val="28"/>
        </w:rPr>
        <w:t>é des chances et emplois pour tous</w:t>
      </w:r>
    </w:p>
    <w:p w:rsidR="000D7FEE" w:rsidRDefault="002C6C12">
      <w:pPr>
        <w:keepNext/>
        <w:jc w:val="both"/>
        <w:rPr>
          <w:rFonts w:ascii="Times New Roman" w:hAnsi="Times New Roman" w:cs="Times New Roman"/>
          <w:b/>
          <w:noProof/>
          <w:sz w:val="24"/>
          <w:szCs w:val="24"/>
          <w:u w:val="single"/>
        </w:rPr>
      </w:pPr>
      <w:r>
        <w:rPr>
          <w:rFonts w:ascii="Times New Roman" w:hAnsi="Times New Roman"/>
          <w:b/>
          <w:noProof/>
          <w:sz w:val="24"/>
          <w:szCs w:val="24"/>
          <w:u w:val="single"/>
        </w:rPr>
        <w:t xml:space="preserve">Donner des moyens d’action aux citoyens grâce à une éducation, une formation et des compétences de qualité  </w:t>
      </w:r>
    </w:p>
    <w:p w:rsidR="000D7FEE" w:rsidRDefault="002C6C12">
      <w:pPr>
        <w:jc w:val="both"/>
        <w:rPr>
          <w:rFonts w:ascii="Times New Roman" w:hAnsi="Times New Roman" w:cs="Times New Roman"/>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28032" behindDoc="1" locked="1" layoutInCell="1" allowOverlap="1">
                <wp:simplePos x="0" y="0"/>
                <wp:positionH relativeFrom="margin">
                  <wp:posOffset>4518025</wp:posOffset>
                </wp:positionH>
                <wp:positionV relativeFrom="page">
                  <wp:posOffset>6045835</wp:posOffset>
                </wp:positionV>
                <wp:extent cx="1224000" cy="1315085"/>
                <wp:effectExtent l="0" t="0" r="14605" b="18415"/>
                <wp:wrapTight wrapText="bothSides">
                  <wp:wrapPolygon edited="0">
                    <wp:start x="0" y="0"/>
                    <wp:lineTo x="0" y="21590"/>
                    <wp:lineTo x="21522" y="21590"/>
                    <wp:lineTo x="21522" y="0"/>
                    <wp:lineTo x="0" y="0"/>
                  </wp:wrapPolygon>
                </wp:wrapTight>
                <wp:docPr id="4" name="Rectangle 4"/>
                <wp:cNvGraphicFramePr/>
                <a:graphic xmlns:a="http://schemas.openxmlformats.org/drawingml/2006/main">
                  <a:graphicData uri="http://schemas.microsoft.com/office/word/2010/wordprocessingShape">
                    <wps:wsp>
                      <wps:cNvSpPr/>
                      <wps:spPr>
                        <a:xfrm>
                          <a:off x="0" y="0"/>
                          <a:ext cx="1224000" cy="1315085"/>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spacing w:after="0"/>
                              <w:jc w:val="center"/>
                              <w:rPr>
                                <w:b/>
                                <w:color w:val="1F497D" w:themeColor="text2"/>
                                <w:sz w:val="24"/>
                                <w:szCs w:val="24"/>
                              </w:rPr>
                            </w:pPr>
                            <w:r>
                              <w:object w:dxaOrig="5663" w:dyaOrig="5660">
                                <v:shape id="_x0000_i1027" type="#_x0000_t75" style="width:87.5pt;height:95.65pt">
                                  <v:imagedata r:id="rId15" o:title=""/>
                                </v:shape>
                                <o:OLEObject Type="Embed" ProgID="PowerPoint.Slide.12" ShapeID="_x0000_i1027" DrawAspect="Content" ObjectID="_1640511298" r:id="rId16"/>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55.75pt;margin-top:476.05pt;width:96.4pt;height:103.55pt;z-index:-251688448;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" fillcolor="white [3201]" strokecolor="#f79646 [3209]" strokeweight="2pt">
                <v:textbox style="mso-fit-shape-to-text:t">
                  <w:txbxContent>
                    <w:p w:rsidR="000D7FEE" w:rsidRDefault="002C6C12">
                      <w:pPr>
                        <w:spacing w:after="0"/>
                        <w:jc w:val="center"/>
                        <w:rPr>
                          <w:b/>
                          <w:color w:val="1F497D" w:themeColor="text2"/>
                          <w:sz w:val="24"/>
                          <w:szCs w:val="24"/>
                        </w:rPr>
                      </w:pPr>
                      <w:r>
                        <w:object w:dxaOrig="5663" w:dyaOrig="5660">
                          <v:shape id="_x0000_i1027" type="#_x0000_t75" style="width:87.5pt;height:95.65pt">
                            <v:imagedata r:id="rId15" o:title=""/>
                          </v:shape>
                          <o:OLEObject Type="Embed" ProgID="PowerPoint.Slide.12" ShapeID="_x0000_i1027" DrawAspect="Content" ObjectID="_1640511298" r:id="rId17"/>
                        </w:object>
                      </w:r>
                    </w:p>
                  </w:txbxContent>
                </v:textbox>
                <w10:wrap type="tight" anchorx="margin" anchory="page"/>
                <w10:anchorlock/>
              </v:rect>
            </w:pict>
          </mc:Fallback>
        </mc:AlternateContent>
      </w:r>
      <w:r>
        <w:rPr>
          <w:rFonts w:ascii="Times New Roman" w:hAnsi="Times New Roman"/>
          <w:b/>
          <w:noProof/>
          <w:sz w:val="24"/>
          <w:szCs w:val="24"/>
        </w:rPr>
        <w:t xml:space="preserve">Les compétences sont essentielles pour l’avenir. </w:t>
      </w:r>
      <w:r>
        <w:rPr>
          <w:rFonts w:ascii="Times New Roman" w:hAnsi="Times New Roman"/>
          <w:noProof/>
          <w:sz w:val="24"/>
          <w:szCs w:val="24"/>
        </w:rPr>
        <w:t>Face à des changements d’emplois de plus en plus fréquents et à des modes de travail de plus en plus flexibles, il faut sans cesse apprendre et continuer à apprendre si l’on veut réussir. Les compétences permettent de tirer parti d’un environnement de trav</w:t>
      </w:r>
      <w:r>
        <w:rPr>
          <w:rFonts w:ascii="Times New Roman" w:hAnsi="Times New Roman"/>
          <w:noProof/>
          <w:sz w:val="24"/>
          <w:szCs w:val="24"/>
        </w:rPr>
        <w:t>ail en rapide mutation. La moitié de la main-d’œuvre actuelle devra mettre à jour ses compétences dans les cinq prochaines années. Pourtant, aujourd’hui, trop de jeunes ne disposent pas de compétences élémentaires et de compétences numériques, et rares son</w:t>
      </w:r>
      <w:r>
        <w:rPr>
          <w:rFonts w:ascii="Times New Roman" w:hAnsi="Times New Roman"/>
          <w:noProof/>
          <w:sz w:val="24"/>
          <w:szCs w:val="24"/>
        </w:rPr>
        <w:t>t ceux qui ont la possibilité de rattraper leur retard après avoir quitté le système éducatif. Seulement un adulte sur dix suit une quelconque formation au cours d’un mois donné, alors que l’existence d’un million de postes à pourvoir pour des spécialistes</w:t>
      </w:r>
      <w:r>
        <w:rPr>
          <w:rFonts w:ascii="Times New Roman" w:hAnsi="Times New Roman"/>
          <w:noProof/>
          <w:sz w:val="24"/>
          <w:szCs w:val="24"/>
        </w:rPr>
        <w:t xml:space="preserve"> des TIC freine les investissements dans la transformation numérique. Plus de 50 % des entreprises qui ont recruté ou tenté de recruter des spécialistes des TIC en 2018 ont déclaré avoir des difficultés à pourvoir les postes vacants. </w:t>
      </w:r>
    </w:p>
    <w:p w:rsidR="000D7FEE" w:rsidRDefault="002C6C12">
      <w:pPr>
        <w:jc w:val="both"/>
        <w:rPr>
          <w:rFonts w:ascii="Times New Roman" w:hAnsi="Times New Roman" w:cs="Times New Roman"/>
          <w:noProof/>
          <w:sz w:val="24"/>
          <w:szCs w:val="24"/>
        </w:rPr>
      </w:pPr>
      <w:r>
        <w:rPr>
          <w:rFonts w:ascii="Times New Roman" w:hAnsi="Times New Roman"/>
          <w:b/>
          <w:noProof/>
          <w:sz w:val="24"/>
          <w:szCs w:val="24"/>
        </w:rPr>
        <w:t>L’éducation et la for</w:t>
      </w:r>
      <w:r>
        <w:rPr>
          <w:rFonts w:ascii="Times New Roman" w:hAnsi="Times New Roman"/>
          <w:b/>
          <w:noProof/>
          <w:sz w:val="24"/>
          <w:szCs w:val="24"/>
        </w:rPr>
        <w:t xml:space="preserve">mation sont essentielles pour les compétences. </w:t>
      </w:r>
      <w:r>
        <w:rPr>
          <w:rFonts w:ascii="Times New Roman" w:hAnsi="Times New Roman"/>
          <w:noProof/>
          <w:sz w:val="24"/>
          <w:szCs w:val="24"/>
        </w:rPr>
        <w:t>Partout en Europe, les États membres doivent adapter les systèmes nationaux d’éducation et de formation afin de fournir une éducation et une formation inclusives et de qualité dès le plus jeune âge, et de sout</w:t>
      </w:r>
      <w:r>
        <w:rPr>
          <w:rFonts w:ascii="Times New Roman" w:hAnsi="Times New Roman"/>
          <w:noProof/>
          <w:sz w:val="24"/>
          <w:szCs w:val="24"/>
        </w:rPr>
        <w:t>enir les personnes qui assument la responsabilité de leur développement continu tout au long de leur carrière. Des efforts supplémentaires doivent être consentis pour valider les qualifications et les compétences acquises en dehors des systèmes formels d’é</w:t>
      </w:r>
      <w:r>
        <w:rPr>
          <w:rFonts w:ascii="Times New Roman" w:hAnsi="Times New Roman"/>
          <w:noProof/>
          <w:sz w:val="24"/>
          <w:szCs w:val="24"/>
        </w:rPr>
        <w:t>ducation et de formation. Les compétences et les expériences acquises sur le lieu de travail, grâce au bénévolat ou dans tout autre cadre informel, si elles sont reconnues et valorisées, peuvent constituer des atouts importants pour les personnes à la rech</w:t>
      </w:r>
      <w:r>
        <w:rPr>
          <w:rFonts w:ascii="Times New Roman" w:hAnsi="Times New Roman"/>
          <w:noProof/>
          <w:sz w:val="24"/>
          <w:szCs w:val="24"/>
        </w:rPr>
        <w:t xml:space="preserve">erche d’un nouvel emploi. </w:t>
      </w:r>
    </w:p>
    <w:p w:rsidR="000D7FEE" w:rsidRDefault="002C6C12">
      <w:pPr>
        <w:jc w:val="both"/>
        <w:rPr>
          <w:rFonts w:ascii="Times New Roman" w:hAnsi="Times New Roman" w:cs="Times New Roman"/>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88448" behindDoc="1" locked="1" layoutInCell="1" allowOverlap="1">
                <wp:simplePos x="0" y="0"/>
                <wp:positionH relativeFrom="margin">
                  <wp:posOffset>635</wp:posOffset>
                </wp:positionH>
                <wp:positionV relativeFrom="page">
                  <wp:posOffset>1487170</wp:posOffset>
                </wp:positionV>
                <wp:extent cx="2381250" cy="2428875"/>
                <wp:effectExtent l="0" t="0" r="19050" b="28575"/>
                <wp:wrapTight wrapText="bothSides">
                  <wp:wrapPolygon edited="0">
                    <wp:start x="0" y="0"/>
                    <wp:lineTo x="0" y="21685"/>
                    <wp:lineTo x="21600" y="21685"/>
                    <wp:lineTo x="216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381250" cy="2428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spacing w:after="0"/>
                              <w:jc w:val="center"/>
                              <w:rPr>
                                <w:b/>
                                <w:color w:val="1F497D" w:themeColor="text2"/>
                                <w:sz w:val="24"/>
                                <w:szCs w:val="24"/>
                              </w:rPr>
                            </w:pPr>
                            <w:r>
                              <w:object w:dxaOrig="5663" w:dyaOrig="5660">
                                <v:shape id="_x0000_i1029" type="#_x0000_t75" style="width:84.65pt;height:84.6pt">
                                  <v:imagedata r:id="rId18" o:title=""/>
                                </v:shape>
                                <o:OLEObject Type="Embed" ProgID="PowerPoint.Slide.12" ShapeID="_x0000_i1029" DrawAspect="Content" ObjectID="_1640511299" r:id="rId1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05pt;margin-top:117.1pt;width:187.5pt;height:191.25pt;z-index:-251628032;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" fillcolor="white [3201]" strokecolor="#f79646 [3209]" strokeweight="2pt">
                <v:textbox style="mso-fit-shape-to-text:t">
                  <w:txbxContent>
                    <w:p w:rsidR="000D7FEE" w:rsidRDefault="002C6C12">
                      <w:pPr>
                        <w:spacing w:after="0"/>
                        <w:jc w:val="center"/>
                        <w:rPr>
                          <w:b/>
                          <w:color w:val="1F497D" w:themeColor="text2"/>
                          <w:sz w:val="24"/>
                          <w:szCs w:val="24"/>
                        </w:rPr>
                      </w:pPr>
                      <w:r>
                        <w:object w:dxaOrig="5663" w:dyaOrig="5660">
                          <v:shape id="_x0000_i1029" type="#_x0000_t75" style="width:84.65pt;height:84.6pt">
                            <v:imagedata r:id="rId18" o:title=""/>
                          </v:shape>
                          <o:OLEObject Type="Embed" ProgID="PowerPoint.Slide.12" ShapeID="_x0000_i1029" DrawAspect="Content" ObjectID="_1640511299" r:id="rId20"/>
                        </w:object>
                      </w:r>
                    </w:p>
                  </w:txbxContent>
                </v:textbox>
                <w10:wrap type="tight" anchorx="margin" anchory="page"/>
                <w10:anchorlock/>
              </v:rect>
            </w:pict>
          </mc:Fallback>
        </mc:AlternateContent>
      </w:r>
      <w:r>
        <w:rPr>
          <w:rFonts w:ascii="Times New Roman" w:hAnsi="Times New Roman"/>
          <w:b/>
          <w:noProof/>
          <w:sz w:val="24"/>
          <w:szCs w:val="24"/>
        </w:rPr>
        <w:t xml:space="preserve">Pour savoir quelles sont les compétences dont nous avons besoin, les pouvoirs publics nationaux et régionaux doivent collaborer avec ceux qui en savent le plus: les employeurs, les travailleurs, les enseignants et les formateurs. </w:t>
      </w:r>
      <w:r>
        <w:rPr>
          <w:rFonts w:ascii="Times New Roman" w:hAnsi="Times New Roman"/>
          <w:noProof/>
          <w:sz w:val="24"/>
          <w:szCs w:val="24"/>
        </w:rPr>
        <w:t>Dans un marché de l’emploi</w:t>
      </w:r>
      <w:r>
        <w:rPr>
          <w:rFonts w:ascii="Times New Roman" w:hAnsi="Times New Roman"/>
          <w:noProof/>
          <w:sz w:val="24"/>
          <w:szCs w:val="24"/>
        </w:rPr>
        <w:t xml:space="preserve"> imprévisible et changeant, il est indispensable que tous disposent des compétences générales essentielles permettant d’étayer leur capacité d’adaptation. En outre, des partenariats solides entre ceux qui cherchent de nouveaux talents et ceux qui les éduqu</w:t>
      </w:r>
      <w:r>
        <w:rPr>
          <w:rFonts w:ascii="Times New Roman" w:hAnsi="Times New Roman"/>
          <w:noProof/>
          <w:sz w:val="24"/>
          <w:szCs w:val="24"/>
        </w:rPr>
        <w:t>ent et les forment, associés à des techniques modernes de prévision et à un suivi des diplômés, peuvent donner des orientations sur ce qu’il faut apprendre et comment. C’est particulièrement nécessaire dans les régions qui connaissent un déclin démographiq</w:t>
      </w:r>
      <w:r>
        <w:rPr>
          <w:rFonts w:ascii="Times New Roman" w:hAnsi="Times New Roman"/>
          <w:noProof/>
          <w:sz w:val="24"/>
          <w:szCs w:val="24"/>
        </w:rPr>
        <w:t xml:space="preserve">ue et où les employeurs ne trouvent plus de travailleurs qualifiés. C’est également nécessaire pour les petites et moyennes entreprises (PME), qui constituent le pilier de notre économie. Un quart des PME européennes fait état de difficultés majeures pour </w:t>
      </w:r>
      <w:r>
        <w:rPr>
          <w:rFonts w:ascii="Times New Roman" w:hAnsi="Times New Roman"/>
          <w:noProof/>
          <w:sz w:val="24"/>
          <w:szCs w:val="24"/>
        </w:rPr>
        <w:t>trouver du personnel et des cadres expérimentés. D’une manière plus générale, c’est nécessaire partout où les transitions verte et numérique exigeront de nouvelles compétences. L’enseignement et la formation professionnels, ainsi que l’apprentissage, peuve</w:t>
      </w:r>
      <w:r>
        <w:rPr>
          <w:rFonts w:ascii="Times New Roman" w:hAnsi="Times New Roman"/>
          <w:noProof/>
          <w:sz w:val="24"/>
          <w:szCs w:val="24"/>
        </w:rPr>
        <w:t>nt favoriser l’employabilité des jeunes comme des adultes et répondre à l’évolution des besoins des entreprises. Un tel investissement dans le relèvement du niveau de qualification et la reconversion aura un coût, qui doit être partagé par le secteur publi</w:t>
      </w:r>
      <w:r>
        <w:rPr>
          <w:rFonts w:ascii="Times New Roman" w:hAnsi="Times New Roman"/>
          <w:noProof/>
          <w:sz w:val="24"/>
          <w:szCs w:val="24"/>
        </w:rPr>
        <w:t xml:space="preserve">c, les employeurs et les personnes concernées. Afin de placer </w:t>
      </w:r>
      <w:r>
        <w:rPr>
          <w:rFonts w:ascii="Times New Roman" w:hAnsi="Times New Roman"/>
          <w:i/>
          <w:noProof/>
          <w:sz w:val="24"/>
          <w:szCs w:val="24"/>
        </w:rPr>
        <w:t xml:space="preserve">les compétences, l’employabilité et le capital humain sur le devant de la scène, la Commission mettra à jour, au premier trimestre 2020, la </w:t>
      </w:r>
      <w:r>
        <w:rPr>
          <w:rFonts w:ascii="Times New Roman" w:hAnsi="Times New Roman"/>
          <w:b/>
          <w:i/>
          <w:noProof/>
          <w:sz w:val="24"/>
          <w:szCs w:val="24"/>
        </w:rPr>
        <w:t>stratégie en matière de compétences pour l’Europe</w:t>
      </w:r>
      <w:r>
        <w:rPr>
          <w:rFonts w:ascii="Times New Roman" w:hAnsi="Times New Roman"/>
          <w:i/>
          <w:noProof/>
          <w:sz w:val="24"/>
          <w:szCs w:val="24"/>
        </w:rPr>
        <w:t xml:space="preserve">, et elle présentera notamment une proposition de recommandation concernant l’enseignement et la formation professionnels (EFP) européens. </w:t>
      </w:r>
      <w:r>
        <w:rPr>
          <w:rFonts w:ascii="Times New Roman" w:hAnsi="Times New Roman"/>
          <w:noProof/>
          <w:sz w:val="24"/>
          <w:szCs w:val="24"/>
        </w:rPr>
        <w:t>Des solutions innovantes sont également à l’étude pour permettre à chacun de maîtriser son propre apprentissage et sa</w:t>
      </w:r>
      <w:r>
        <w:rPr>
          <w:rFonts w:ascii="Times New Roman" w:hAnsi="Times New Roman"/>
          <w:noProof/>
          <w:sz w:val="24"/>
          <w:szCs w:val="24"/>
        </w:rPr>
        <w:t xml:space="preserve"> carrière, par exemple un compte d’apprentissage individuel pour les personnes en âge de travailler.</w:t>
      </w:r>
    </w:p>
    <w:p w:rsidR="000D7FEE" w:rsidRDefault="002C6C12">
      <w:pPr>
        <w:jc w:val="both"/>
        <w:rPr>
          <w:rFonts w:ascii="Times New Roman" w:hAnsi="Times New Roman" w:cs="Times New Roman"/>
          <w:i/>
          <w:noProof/>
          <w:sz w:val="24"/>
          <w:szCs w:val="24"/>
        </w:rPr>
      </w:pPr>
      <w:r>
        <w:rPr>
          <w:rFonts w:ascii="Times New Roman" w:hAnsi="Times New Roman"/>
          <w:b/>
          <w:noProof/>
          <w:sz w:val="24"/>
          <w:szCs w:val="24"/>
          <w:lang w:val="fr-BE" w:eastAsia="fr-BE"/>
        </w:rPr>
        <mc:AlternateContent>
          <mc:Choice Requires="wps">
            <w:drawing>
              <wp:anchor distT="0" distB="0" distL="114300" distR="114300" simplePos="0" relativeHeight="251630080" behindDoc="1" locked="0" layoutInCell="1" allowOverlap="1">
                <wp:simplePos x="0" y="0"/>
                <wp:positionH relativeFrom="margin">
                  <wp:posOffset>4523095</wp:posOffset>
                </wp:positionH>
                <wp:positionV relativeFrom="page">
                  <wp:posOffset>5859458</wp:posOffset>
                </wp:positionV>
                <wp:extent cx="1224000" cy="1310005"/>
                <wp:effectExtent l="0" t="0" r="14605" b="23495"/>
                <wp:wrapTight wrapText="bothSides">
                  <wp:wrapPolygon edited="0">
                    <wp:start x="0" y="0"/>
                    <wp:lineTo x="0" y="21673"/>
                    <wp:lineTo x="21522" y="21673"/>
                    <wp:lineTo x="21522" y="0"/>
                    <wp:lineTo x="0" y="0"/>
                  </wp:wrapPolygon>
                </wp:wrapTight>
                <wp:docPr id="19" name="Rectangle 19"/>
                <wp:cNvGraphicFramePr/>
                <a:graphic xmlns:a="http://schemas.openxmlformats.org/drawingml/2006/main">
                  <a:graphicData uri="http://schemas.microsoft.com/office/word/2010/wordprocessingShape">
                    <wps:wsp>
                      <wps:cNvSpPr/>
                      <wps:spPr>
                        <a:xfrm>
                          <a:off x="0" y="0"/>
                          <a:ext cx="1224000" cy="1310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jc w:val="center"/>
                              <w:rPr>
                                <w:b/>
                                <w:color w:val="1F497D" w:themeColor="text2"/>
                                <w:sz w:val="24"/>
                                <w:szCs w:val="24"/>
                              </w:rPr>
                            </w:pPr>
                            <w:r>
                              <w:object w:dxaOrig="5663" w:dyaOrig="5660">
                                <v:shape id="_x0000_i1031" type="#_x0000_t75" style="width:80.15pt;height:92.8pt">
                                  <v:imagedata r:id="rId21" o:title=""/>
                                </v:shape>
                                <o:OLEObject Type="Embed" ProgID="PowerPoint.Slide.12" ShapeID="_x0000_i1031" DrawAspect="Content" ObjectID="_1640511300" r:id="rId2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356.15pt;margin-top:461.35pt;width:96.4pt;height:103.15pt;z-index:-251686400;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" fillcolor="white [3201]" strokecolor="#f79646 [3209]" strokeweight="2pt">
                <v:textbox style="mso-fit-shape-to-text:t">
                  <w:txbxContent>
                    <w:p w:rsidR="000D7FEE" w:rsidRDefault="002C6C12">
                      <w:pPr>
                        <w:jc w:val="center"/>
                        <w:rPr>
                          <w:b/>
                          <w:color w:val="1F497D" w:themeColor="text2"/>
                          <w:sz w:val="24"/>
                          <w:szCs w:val="24"/>
                        </w:rPr>
                      </w:pPr>
                      <w:r>
                        <w:object w:dxaOrig="5663" w:dyaOrig="5660">
                          <v:shape id="_x0000_i1031" type="#_x0000_t75" style="width:80.15pt;height:92.8pt">
                            <v:imagedata r:id="rId21" o:title=""/>
                          </v:shape>
                          <o:OLEObject Type="Embed" ProgID="PowerPoint.Slide.12" ShapeID="_x0000_i1031" DrawAspect="Content" ObjectID="_1640511300" r:id="rId23"/>
                        </w:object>
                      </w:r>
                    </w:p>
                  </w:txbxContent>
                </v:textbox>
                <w10:wrap type="tight" anchorx="margin" anchory="page"/>
              </v:rect>
            </w:pict>
          </mc:Fallback>
        </mc:AlternateContent>
      </w:r>
      <w:r>
        <w:rPr>
          <w:rFonts w:ascii="Times New Roman" w:hAnsi="Times New Roman"/>
          <w:b/>
          <w:noProof/>
          <w:sz w:val="24"/>
          <w:szCs w:val="24"/>
        </w:rPr>
        <w:t>Une éducation et une formation de qualité assurent l’égalité des chances et peuvent briser le cycle des mauvais résultat</w:t>
      </w:r>
      <w:r>
        <w:rPr>
          <w:rFonts w:ascii="Times New Roman" w:hAnsi="Times New Roman"/>
          <w:b/>
          <w:noProof/>
          <w:sz w:val="24"/>
          <w:szCs w:val="24"/>
        </w:rPr>
        <w:t>s scolaires.</w:t>
      </w:r>
      <w:r>
        <w:rPr>
          <w:rFonts w:ascii="Times New Roman" w:hAnsi="Times New Roman"/>
          <w:noProof/>
          <w:sz w:val="24"/>
          <w:szCs w:val="24"/>
        </w:rPr>
        <w:t xml:space="preserve"> L’espace européen de l’éducation, qui doit devenir une réalité à l’horizon 2025, permettra aux apprenants de franchir plus facilement les frontières en Europe et améliorera l’accès à une éducation et à une formation inclusives et de qualité. </w:t>
      </w:r>
      <w:r>
        <w:rPr>
          <w:rFonts w:ascii="Times New Roman" w:hAnsi="Times New Roman"/>
          <w:i/>
          <w:noProof/>
          <w:sz w:val="24"/>
          <w:szCs w:val="24"/>
        </w:rPr>
        <w:t>A</w:t>
      </w:r>
      <w:r>
        <w:rPr>
          <w:rFonts w:ascii="Times New Roman" w:hAnsi="Times New Roman"/>
          <w:i/>
          <w:noProof/>
          <w:sz w:val="24"/>
          <w:szCs w:val="24"/>
        </w:rPr>
        <w:t>u troisième trimestre 2020, la Commission poursuivra l’élaboration des objectifs de l’</w:t>
      </w:r>
      <w:r>
        <w:rPr>
          <w:rFonts w:ascii="Times New Roman" w:hAnsi="Times New Roman"/>
          <w:b/>
          <w:i/>
          <w:noProof/>
          <w:sz w:val="24"/>
          <w:szCs w:val="24"/>
        </w:rPr>
        <w:t>espace européen de l’éducation</w:t>
      </w:r>
      <w:r>
        <w:rPr>
          <w:rFonts w:ascii="Times New Roman" w:hAnsi="Times New Roman"/>
          <w:i/>
          <w:noProof/>
          <w:sz w:val="24"/>
          <w:szCs w:val="24"/>
        </w:rPr>
        <w:t xml:space="preserve"> et établira un nouveau cadre de coopération avec les États membres en matière d’éducation et de formation</w:t>
      </w:r>
      <w:r>
        <w:rPr>
          <w:rFonts w:ascii="Times New Roman" w:hAnsi="Times New Roman"/>
          <w:noProof/>
          <w:sz w:val="24"/>
          <w:szCs w:val="24"/>
        </w:rPr>
        <w:t>, qui mettra notamment davantage l</w:t>
      </w:r>
      <w:r>
        <w:rPr>
          <w:rFonts w:ascii="Times New Roman" w:hAnsi="Times New Roman"/>
          <w:noProof/>
          <w:sz w:val="24"/>
          <w:szCs w:val="24"/>
        </w:rPr>
        <w:t xml:space="preserve">’accent sur les mesures visant à faire en sorte que les jeunes terminent au moins le deuxième cycle de l’enseignement secondaire et aient une maîtrise suffisante des compétences de base. </w:t>
      </w:r>
      <w:r>
        <w:rPr>
          <w:rFonts w:ascii="Times New Roman" w:hAnsi="Times New Roman"/>
          <w:b/>
          <w:bCs/>
          <w:noProof/>
          <w:sz w:val="24"/>
          <w:szCs w:val="24"/>
        </w:rPr>
        <w:t>Erasmus+</w:t>
      </w:r>
      <w:r>
        <w:rPr>
          <w:rFonts w:ascii="Times New Roman" w:hAnsi="Times New Roman"/>
          <w:bCs/>
          <w:noProof/>
          <w:sz w:val="24"/>
          <w:szCs w:val="24"/>
        </w:rPr>
        <w:t xml:space="preserve"> continuera à soutenir et à renforcer l’éducation, la formati</w:t>
      </w:r>
      <w:r>
        <w:rPr>
          <w:rFonts w:ascii="Times New Roman" w:hAnsi="Times New Roman"/>
          <w:bCs/>
          <w:noProof/>
          <w:sz w:val="24"/>
          <w:szCs w:val="24"/>
        </w:rPr>
        <w:t>on, la jeunesse et le sport en Europe, avec un budget fortement accru pour la période 2021-2027.</w:t>
      </w:r>
      <w:r>
        <w:rPr>
          <w:noProof/>
          <w:sz w:val="24"/>
          <w:szCs w:val="24"/>
        </w:rPr>
        <w:t xml:space="preserve"> </w:t>
      </w:r>
      <w:r>
        <w:rPr>
          <w:rFonts w:ascii="Times New Roman" w:hAnsi="Times New Roman"/>
          <w:bCs/>
          <w:noProof/>
          <w:sz w:val="24"/>
          <w:szCs w:val="24"/>
        </w:rPr>
        <w:t>Pour l’avenir, l’objectif est de rendre ce programme plus facilement accessible aux jeunes moins favorisés, de manière à ce qu’il devienne plus inclusif. Une p</w:t>
      </w:r>
      <w:r>
        <w:rPr>
          <w:rFonts w:ascii="Times New Roman" w:hAnsi="Times New Roman"/>
          <w:bCs/>
          <w:noProof/>
          <w:sz w:val="24"/>
          <w:szCs w:val="24"/>
        </w:rPr>
        <w:t>lus grande participation des enseignants, des formateurs et des universitaires rendra le programme plus à même de rapprocher nos systèmes, ce qui permettra de profiter du partage des meilleures pratiques.</w:t>
      </w:r>
      <w:r>
        <w:rPr>
          <w:rFonts w:ascii="Times New Roman" w:hAnsi="Times New Roman"/>
          <w:noProof/>
          <w:sz w:val="24"/>
          <w:szCs w:val="24"/>
        </w:rPr>
        <w:t xml:space="preserve"> </w:t>
      </w:r>
      <w:r>
        <w:rPr>
          <w:rFonts w:ascii="Times New Roman" w:hAnsi="Times New Roman"/>
          <w:bCs/>
          <w:noProof/>
          <w:sz w:val="24"/>
          <w:szCs w:val="24"/>
        </w:rPr>
        <w:t xml:space="preserve">Le </w:t>
      </w:r>
      <w:r>
        <w:rPr>
          <w:rFonts w:ascii="Times New Roman" w:hAnsi="Times New Roman"/>
          <w:b/>
          <w:bCs/>
          <w:noProof/>
          <w:sz w:val="24"/>
          <w:szCs w:val="24"/>
        </w:rPr>
        <w:t>programme pour une Europe numérique</w:t>
      </w:r>
      <w:r>
        <w:rPr>
          <w:rFonts w:ascii="Times New Roman" w:hAnsi="Times New Roman"/>
          <w:bCs/>
          <w:noProof/>
          <w:sz w:val="24"/>
          <w:szCs w:val="24"/>
        </w:rPr>
        <w:t xml:space="preserve"> soutiendra l</w:t>
      </w:r>
      <w:r>
        <w:rPr>
          <w:rFonts w:ascii="Times New Roman" w:hAnsi="Times New Roman"/>
          <w:bCs/>
          <w:noProof/>
          <w:sz w:val="24"/>
          <w:szCs w:val="24"/>
        </w:rPr>
        <w:t xml:space="preserve">e développement de compétences numériques avancées afin de permettre le déploiement de ces technologies dans l’ensemble de l’économie et de renforcer les capacités numériques des prestataires d’enseignement. </w:t>
      </w:r>
      <w:r>
        <w:rPr>
          <w:rFonts w:ascii="Times New Roman" w:hAnsi="Times New Roman"/>
          <w:noProof/>
          <w:sz w:val="24"/>
          <w:szCs w:val="24"/>
        </w:rPr>
        <w:t>Pour soutenir l’action des États membres,</w:t>
      </w:r>
      <w:r>
        <w:rPr>
          <w:rFonts w:ascii="Times New Roman" w:hAnsi="Times New Roman"/>
          <w:i/>
          <w:noProof/>
          <w:sz w:val="24"/>
          <w:szCs w:val="24"/>
        </w:rPr>
        <w:t xml:space="preserve"> la Com</w:t>
      </w:r>
      <w:r>
        <w:rPr>
          <w:rFonts w:ascii="Times New Roman" w:hAnsi="Times New Roman"/>
          <w:i/>
          <w:noProof/>
          <w:sz w:val="24"/>
          <w:szCs w:val="24"/>
        </w:rPr>
        <w:t xml:space="preserve">mission mettra également à jour, au deuxième trimestre 2020, le </w:t>
      </w:r>
      <w:r>
        <w:rPr>
          <w:rFonts w:ascii="Times New Roman" w:hAnsi="Times New Roman"/>
          <w:b/>
          <w:i/>
          <w:noProof/>
          <w:sz w:val="24"/>
          <w:szCs w:val="24"/>
        </w:rPr>
        <w:t>plan d’action en matière d’éducation numérique</w:t>
      </w:r>
      <w:r>
        <w:rPr>
          <w:rFonts w:ascii="Times New Roman" w:hAnsi="Times New Roman"/>
          <w:i/>
          <w:noProof/>
          <w:sz w:val="24"/>
          <w:szCs w:val="24"/>
        </w:rPr>
        <w:t xml:space="preserve"> afin de renforcer les compétences numériques des jeunes et des adultes, et de faire en sorte que chaque organisme éducatif soit adapté à l’ère nu</w:t>
      </w:r>
      <w:r>
        <w:rPr>
          <w:rFonts w:ascii="Times New Roman" w:hAnsi="Times New Roman"/>
          <w:i/>
          <w:noProof/>
          <w:sz w:val="24"/>
          <w:szCs w:val="24"/>
        </w:rPr>
        <w:t>mérique.</w:t>
      </w:r>
    </w:p>
    <w:p w:rsidR="000D7FEE" w:rsidRDefault="002C6C12" w:rsidP="002C6C12">
      <w:pPr>
        <w:keepLines/>
        <w:jc w:val="both"/>
        <w:rPr>
          <w:rFonts w:ascii="Times New Roman" w:hAnsi="Times New Roman" w:cs="Times New Roman"/>
          <w:noProof/>
          <w:sz w:val="24"/>
          <w:szCs w:val="24"/>
        </w:rPr>
      </w:pPr>
      <w:r>
        <w:rPr>
          <w:rFonts w:ascii="Times New Roman" w:hAnsi="Times New Roman"/>
          <w:b/>
          <w:noProof/>
          <w:sz w:val="24"/>
          <w:szCs w:val="24"/>
          <w:lang w:val="fr-BE" w:eastAsia="fr-BE"/>
        </w:rPr>
        <mc:AlternateContent>
          <mc:Choice Requires="wps">
            <w:drawing>
              <wp:anchor distT="0" distB="0" distL="114300" distR="114300" simplePos="0" relativeHeight="251632128" behindDoc="1" locked="0" layoutInCell="1" allowOverlap="1">
                <wp:simplePos x="0" y="0"/>
                <wp:positionH relativeFrom="margin">
                  <wp:posOffset>4518309</wp:posOffset>
                </wp:positionH>
                <wp:positionV relativeFrom="paragraph">
                  <wp:posOffset>8255</wp:posOffset>
                </wp:positionV>
                <wp:extent cx="1224000" cy="1296035"/>
                <wp:effectExtent l="0" t="0" r="14605" b="18415"/>
                <wp:wrapTight wrapText="bothSides">
                  <wp:wrapPolygon edited="0">
                    <wp:start x="0" y="0"/>
                    <wp:lineTo x="0" y="21589"/>
                    <wp:lineTo x="21522" y="21589"/>
                    <wp:lineTo x="21522" y="0"/>
                    <wp:lineTo x="0" y="0"/>
                  </wp:wrapPolygon>
                </wp:wrapTight>
                <wp:docPr id="21" name="Rectangle 21"/>
                <wp:cNvGraphicFramePr/>
                <a:graphic xmlns:a="http://schemas.openxmlformats.org/drawingml/2006/main">
                  <a:graphicData uri="http://schemas.microsoft.com/office/word/2010/wordprocessingShape">
                    <wps:wsp>
                      <wps:cNvSpPr/>
                      <wps:spPr>
                        <a:xfrm>
                          <a:off x="0" y="0"/>
                          <a:ext cx="1224000" cy="1296035"/>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jc w:val="center"/>
                              <w:rPr>
                                <w:b/>
                                <w:color w:val="1F497D" w:themeColor="text2"/>
                                <w:sz w:val="24"/>
                                <w:szCs w:val="24"/>
                              </w:rPr>
                            </w:pPr>
                            <w:r>
                              <w:object w:dxaOrig="5663" w:dyaOrig="5660">
                                <v:shape id="_x0000_i1033" type="#_x0000_t75" style="width:79.85pt;height:79.8pt">
                                  <v:imagedata r:id="rId24" o:title=""/>
                                </v:shape>
                                <o:OLEObject Type="Embed" ProgID="PowerPoint.Slide.12" ShapeID="_x0000_i1033" DrawAspect="Content" ObjectID="_1640511301" r:id="rId25"/>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355.75pt;margin-top:.65pt;width:96.4pt;height:102.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" fillcolor="white [3201]" strokecolor="#f79646 [3209]" strokeweight="2pt">
                <v:textbox>
                  <w:txbxContent>
                    <w:p w:rsidR="000D7FEE" w:rsidRDefault="002C6C12">
                      <w:pPr>
                        <w:jc w:val="center"/>
                        <w:rPr>
                          <w:b/>
                          <w:color w:val="1F497D" w:themeColor="text2"/>
                          <w:sz w:val="24"/>
                          <w:szCs w:val="24"/>
                        </w:rPr>
                      </w:pPr>
                      <w:r>
                        <w:object w:dxaOrig="5663" w:dyaOrig="5660">
                          <v:shape id="_x0000_i1033" type="#_x0000_t75" style="width:79.85pt;height:79.8pt">
                            <v:imagedata r:id="rId24" o:title=""/>
                          </v:shape>
                          <o:OLEObject Type="Embed" ProgID="PowerPoint.Slide.12" ShapeID="_x0000_i1033" DrawAspect="Content" ObjectID="_1640511301" r:id="rId26"/>
                        </w:object>
                      </w:r>
                    </w:p>
                  </w:txbxContent>
                </v:textbox>
                <w10:wrap type="tight" anchorx="margin"/>
              </v:rect>
            </w:pict>
          </mc:Fallback>
        </mc:AlternateContent>
      </w:r>
      <w:r>
        <w:rPr>
          <w:rFonts w:ascii="Times New Roman" w:hAnsi="Times New Roman"/>
          <w:b/>
          <w:noProof/>
          <w:sz w:val="24"/>
          <w:szCs w:val="24"/>
        </w:rPr>
        <w:t>Nos jeunes sont l’avenir de l’Europe et méritent un avenir brillant.</w:t>
      </w:r>
      <w:r>
        <w:rPr>
          <w:rFonts w:ascii="Times New Roman" w:hAnsi="Times New Roman"/>
          <w:noProof/>
          <w:sz w:val="24"/>
          <w:szCs w:val="24"/>
        </w:rPr>
        <w:t xml:space="preserve"> Les parents veulent naturellement que leurs enfants aient un bon emploi et de belles perspectives de carrière. Pourtant, trop de jeunes ne trouvent souvent que des emplois temporaires, atypiques et mal rémunérés qui ne leur permettent pas de développer le</w:t>
      </w:r>
      <w:r>
        <w:rPr>
          <w:rFonts w:ascii="Times New Roman" w:hAnsi="Times New Roman"/>
          <w:noProof/>
          <w:sz w:val="24"/>
          <w:szCs w:val="24"/>
        </w:rPr>
        <w:t xml:space="preserve">urs talents et de planifier leur avenir. Les jeunes handicapés, les jeunes issus de l’immigration et les jeunes parents courent un risque encore plus grand de rester à la traîne. </w:t>
      </w:r>
      <w:r>
        <w:rPr>
          <w:rFonts w:ascii="Times New Roman" w:hAnsi="Times New Roman"/>
          <w:i/>
          <w:noProof/>
          <w:sz w:val="24"/>
          <w:szCs w:val="24"/>
        </w:rPr>
        <w:t>Afin de renforcer la lutte contre le chômage des jeunes, la Commission présen</w:t>
      </w:r>
      <w:r>
        <w:rPr>
          <w:rFonts w:ascii="Times New Roman" w:hAnsi="Times New Roman"/>
          <w:i/>
          <w:noProof/>
          <w:sz w:val="24"/>
          <w:szCs w:val="24"/>
        </w:rPr>
        <w:t xml:space="preserve">tera, au deuxième trimestre 2020, ses propositions visant à renforcer la </w:t>
      </w:r>
      <w:r>
        <w:rPr>
          <w:rFonts w:ascii="Times New Roman" w:hAnsi="Times New Roman"/>
          <w:b/>
          <w:i/>
          <w:noProof/>
          <w:sz w:val="24"/>
          <w:szCs w:val="24"/>
        </w:rPr>
        <w:t>garantie pour la jeunesse</w:t>
      </w:r>
      <w:r>
        <w:rPr>
          <w:rFonts w:ascii="Times New Roman" w:hAnsi="Times New Roman"/>
          <w:noProof/>
          <w:sz w:val="24"/>
          <w:szCs w:val="24"/>
        </w:rPr>
        <w:t>, qui aide déjà 3,5 millions de jeunes chaque année à s’éduquer, à se former ou à travailler. La nouvelle garantie pour la jeunesse aidera les jeunes à dévelo</w:t>
      </w:r>
      <w:r>
        <w:rPr>
          <w:rFonts w:ascii="Times New Roman" w:hAnsi="Times New Roman"/>
          <w:noProof/>
          <w:sz w:val="24"/>
          <w:szCs w:val="24"/>
        </w:rPr>
        <w:t xml:space="preserve">pper leurs compétences et à acquérir une expérience professionnelle, notamment en ce qui concerne les transitions verte et numérique. </w:t>
      </w:r>
    </w:p>
    <w:p w:rsidR="000D7FEE" w:rsidRDefault="000D7FEE">
      <w:pPr>
        <w:jc w:val="both"/>
        <w:rPr>
          <w:rFonts w:ascii="Times New Roman" w:hAnsi="Times New Roman" w:cs="Times New Roman"/>
          <w:b/>
          <w:noProof/>
          <w:sz w:val="24"/>
          <w:szCs w:val="24"/>
          <w:u w:val="single"/>
        </w:rPr>
      </w:pPr>
    </w:p>
    <w:p w:rsidR="000D7FEE" w:rsidRDefault="002C6C12">
      <w:pPr>
        <w:jc w:val="both"/>
        <w:rPr>
          <w:rFonts w:ascii="Times New Roman" w:hAnsi="Times New Roman" w:cs="Times New Roman"/>
          <w:b/>
          <w:noProof/>
          <w:sz w:val="24"/>
          <w:szCs w:val="24"/>
          <w:u w:val="single"/>
        </w:rPr>
      </w:pPr>
      <w:r>
        <w:rPr>
          <w:rFonts w:ascii="Times New Roman" w:hAnsi="Times New Roman"/>
          <w:b/>
          <w:noProof/>
          <w:sz w:val="24"/>
          <w:szCs w:val="24"/>
          <w:u w:val="single"/>
        </w:rPr>
        <w:t>Soutien à la mobilité professionnelle et à la reconversion économique</w:t>
      </w:r>
    </w:p>
    <w:p w:rsidR="000D7FEE" w:rsidRDefault="002C6C12">
      <w:pPr>
        <w:jc w:val="both"/>
        <w:rPr>
          <w:rFonts w:ascii="Times New Roman" w:hAnsi="Times New Roman" w:cs="Times New Roman"/>
          <w:noProof/>
          <w:sz w:val="24"/>
          <w:szCs w:val="24"/>
        </w:rPr>
      </w:pPr>
      <w:r>
        <w:rPr>
          <w:rFonts w:ascii="Times New Roman" w:hAnsi="Times New Roman"/>
          <w:b/>
          <w:noProof/>
          <w:sz w:val="24"/>
          <w:szCs w:val="24"/>
        </w:rPr>
        <w:t xml:space="preserve">Tous les Européens, qu’ils soient jeunes ou âgés, </w:t>
      </w:r>
      <w:r>
        <w:rPr>
          <w:rFonts w:ascii="Times New Roman" w:hAnsi="Times New Roman"/>
          <w:b/>
          <w:noProof/>
          <w:sz w:val="24"/>
          <w:szCs w:val="24"/>
        </w:rPr>
        <w:t xml:space="preserve">devraient avoir accès à un soutien adapté en temps utile, y compris en matière de formation, afin d’améliorer leurs chances de décrocher un emploi de qualité ou de créer une entreprise. </w:t>
      </w:r>
      <w:r>
        <w:rPr>
          <w:rFonts w:ascii="Times New Roman" w:hAnsi="Times New Roman"/>
          <w:noProof/>
          <w:sz w:val="24"/>
          <w:szCs w:val="24"/>
        </w:rPr>
        <w:t>Chaque adulte, ou presque, a cherché un emploi à un moment donné de sa</w:t>
      </w:r>
      <w:r>
        <w:rPr>
          <w:rFonts w:ascii="Times New Roman" w:hAnsi="Times New Roman"/>
          <w:noProof/>
          <w:sz w:val="24"/>
          <w:szCs w:val="24"/>
        </w:rPr>
        <w:t xml:space="preserve"> vie. Certaines personnes en trouvent un dès la fin de leurs études et passent facilement d’un emploi à l’autre grâce à un réseau solide et à une expérience attestée. Pour d’autres, c’est beaucoup plus difficile, peut-être parce qu’elles manquent d’informa</w:t>
      </w:r>
      <w:r>
        <w:rPr>
          <w:rFonts w:ascii="Times New Roman" w:hAnsi="Times New Roman"/>
          <w:noProof/>
          <w:sz w:val="24"/>
          <w:szCs w:val="24"/>
        </w:rPr>
        <w:t>tions sur les possibilités d’emploi, qu’elles ne sont pas en mesure de trouver un emploi correspondant à leurs compétences et à leur expérience, ou qu’elles ont des situations personnelles et familiales difficiles. Les services de l’emploi publics et privé</w:t>
      </w:r>
      <w:r>
        <w:rPr>
          <w:rFonts w:ascii="Times New Roman" w:hAnsi="Times New Roman"/>
          <w:noProof/>
          <w:sz w:val="24"/>
          <w:szCs w:val="24"/>
        </w:rPr>
        <w:t xml:space="preserve">s devraient non seulement soutenir les chômeurs, mais aussi de plus en plus les personnes qui risquent de perdre leur emploi parce que leurs compétences sont obsolètes. </w:t>
      </w:r>
    </w:p>
    <w:p w:rsidR="000D7FEE" w:rsidRDefault="002C6C12">
      <w:pPr>
        <w:jc w:val="both"/>
        <w:rPr>
          <w:rFonts w:ascii="Times New Roman" w:hAnsi="Times New Roman" w:cs="Times New Roman"/>
          <w:noProof/>
          <w:sz w:val="24"/>
          <w:szCs w:val="24"/>
        </w:rPr>
      </w:pPr>
      <w:r>
        <w:rPr>
          <w:rFonts w:ascii="Times New Roman" w:hAnsi="Times New Roman"/>
          <w:b/>
          <w:i/>
          <w:noProof/>
          <w:sz w:val="24"/>
          <w:szCs w:val="24"/>
        </w:rPr>
        <w:t xml:space="preserve">Le plan d’investissement pour une Europe durable, plan d’investissement du pacte vert </w:t>
      </w:r>
      <w:r>
        <w:rPr>
          <w:rFonts w:ascii="Times New Roman" w:hAnsi="Times New Roman"/>
          <w:b/>
          <w:i/>
          <w:noProof/>
          <w:sz w:val="24"/>
          <w:szCs w:val="24"/>
        </w:rPr>
        <w:t xml:space="preserve">pour l’Europe, présenté aujourd’hui, contribuera au financement de la transition à laquelle l’Europe est confrontée. </w:t>
      </w:r>
      <w:r>
        <w:rPr>
          <w:rFonts w:ascii="Times New Roman" w:hAnsi="Times New Roman"/>
          <w:noProof/>
          <w:sz w:val="24"/>
          <w:szCs w:val="24"/>
        </w:rPr>
        <w:t>Le passage à une économie plus verte est susceptible d’avoir des répercussions plus importantes dans certaines régions et certains secteurs</w:t>
      </w:r>
      <w:r>
        <w:rPr>
          <w:rFonts w:ascii="Times New Roman" w:hAnsi="Times New Roman"/>
          <w:noProof/>
          <w:sz w:val="24"/>
          <w:szCs w:val="24"/>
        </w:rPr>
        <w:t xml:space="preserve"> que dans d’autres. </w:t>
      </w:r>
      <w:r>
        <w:rPr>
          <w:rFonts w:ascii="Times New Roman" w:hAnsi="Times New Roman"/>
          <w:i/>
          <w:noProof/>
          <w:sz w:val="24"/>
          <w:szCs w:val="24"/>
        </w:rPr>
        <w:t>Une partie intégrante du plan est un mécanisme pour une transition juste, comportant un Fonds pour une transition juste, destiné à soutenir les régions qui risquent d’être les plus touchées par la transition et à contribuer ainsi à fair</w:t>
      </w:r>
      <w:r>
        <w:rPr>
          <w:rFonts w:ascii="Times New Roman" w:hAnsi="Times New Roman"/>
          <w:i/>
          <w:noProof/>
          <w:sz w:val="24"/>
          <w:szCs w:val="24"/>
        </w:rPr>
        <w:t>e en sorte que nul ne soit laissé pour compte. Il témoigne de la volonté de l’UE de veiller à ce que la durabilité environnementale aille de pair avec la durabilité sociale.</w:t>
      </w:r>
      <w:r>
        <w:rPr>
          <w:rFonts w:ascii="Times New Roman" w:hAnsi="Times New Roman"/>
          <w:i/>
          <w:iCs/>
          <w:noProof/>
          <w:sz w:val="24"/>
          <w:szCs w:val="24"/>
        </w:rPr>
        <w:t xml:space="preserve"> </w:t>
      </w:r>
      <w:r>
        <w:rPr>
          <w:rFonts w:ascii="Times New Roman" w:hAnsi="Times New Roman"/>
          <w:noProof/>
          <w:sz w:val="24"/>
          <w:szCs w:val="24"/>
        </w:rPr>
        <w:t>Les investissements permettront de développer de nouvelles activités économiques e</w:t>
      </w:r>
      <w:r>
        <w:rPr>
          <w:rFonts w:ascii="Times New Roman" w:hAnsi="Times New Roman"/>
          <w:noProof/>
          <w:sz w:val="24"/>
          <w:szCs w:val="24"/>
        </w:rPr>
        <w:t xml:space="preserve">t de créer des emplois, de réduire notre empreinte carbone, de garantir une énergie abordable et de renforcer l’acquisition de nouvelles compétences. En outre, le </w:t>
      </w:r>
      <w:r>
        <w:rPr>
          <w:rFonts w:ascii="Times New Roman" w:hAnsi="Times New Roman"/>
          <w:b/>
          <w:noProof/>
          <w:sz w:val="24"/>
          <w:szCs w:val="24"/>
        </w:rPr>
        <w:t>Fonds pour la modernisation</w:t>
      </w:r>
      <w:r>
        <w:rPr>
          <w:rFonts w:ascii="Times New Roman" w:hAnsi="Times New Roman"/>
          <w:noProof/>
          <w:sz w:val="24"/>
          <w:szCs w:val="24"/>
        </w:rPr>
        <w:t xml:space="preserve"> permettra une transition juste dans les régions dépendant du carb</w:t>
      </w:r>
      <w:r>
        <w:rPr>
          <w:rFonts w:ascii="Times New Roman" w:hAnsi="Times New Roman"/>
          <w:noProof/>
          <w:sz w:val="24"/>
          <w:szCs w:val="24"/>
        </w:rPr>
        <w:t xml:space="preserve">one en soutenant le redéploiement et la reconversion des travailleurs ainsi que le relèvement de leur niveau de qualification, l’éducation, la recherche d’emploi et les jeunes entreprises. Enfin, le </w:t>
      </w:r>
      <w:r>
        <w:rPr>
          <w:rFonts w:ascii="Times New Roman" w:hAnsi="Times New Roman"/>
          <w:b/>
          <w:noProof/>
          <w:sz w:val="24"/>
          <w:szCs w:val="24"/>
        </w:rPr>
        <w:t>Fonds européen d’ajustement à la mondialisation</w:t>
      </w:r>
      <w:r>
        <w:rPr>
          <w:rFonts w:ascii="Times New Roman" w:hAnsi="Times New Roman"/>
          <w:noProof/>
          <w:sz w:val="24"/>
          <w:szCs w:val="24"/>
        </w:rPr>
        <w:t xml:space="preserve"> peut inte</w:t>
      </w:r>
      <w:r>
        <w:rPr>
          <w:rFonts w:ascii="Times New Roman" w:hAnsi="Times New Roman"/>
          <w:noProof/>
          <w:sz w:val="24"/>
          <w:szCs w:val="24"/>
        </w:rPr>
        <w:t xml:space="preserve">rvenir pour assurer la solidarité avec les travailleurs licenciés et les travailleurs indépendants et pour leur apporter un soutien. </w:t>
      </w:r>
    </w:p>
    <w:p w:rsidR="000D7FEE" w:rsidRDefault="002C6C12">
      <w:pPr>
        <w:keepNext/>
        <w:jc w:val="both"/>
        <w:rPr>
          <w:rFonts w:ascii="Times New Roman" w:hAnsi="Times New Roman" w:cs="Times New Roman"/>
          <w:b/>
          <w:noProof/>
          <w:sz w:val="24"/>
          <w:szCs w:val="24"/>
          <w:u w:val="single"/>
        </w:rPr>
      </w:pPr>
      <w:r>
        <w:rPr>
          <w:rFonts w:ascii="Times New Roman" w:hAnsi="Times New Roman"/>
          <w:b/>
          <w:noProof/>
          <w:sz w:val="24"/>
          <w:szCs w:val="24"/>
          <w:u w:val="single"/>
        </w:rPr>
        <w:t>Créer plus d’emplois</w:t>
      </w:r>
    </w:p>
    <w:p w:rsidR="000D7FEE" w:rsidRDefault="002C6C12">
      <w:pPr>
        <w:jc w:val="both"/>
        <w:rPr>
          <w:rFonts w:ascii="Times New Roman" w:hAnsi="Times New Roman" w:cs="Times New Roman"/>
          <w:noProof/>
          <w:sz w:val="24"/>
          <w:szCs w:val="24"/>
        </w:rPr>
      </w:pPr>
      <w:r>
        <w:rPr>
          <w:rFonts w:ascii="Times New Roman" w:hAnsi="Times New Roman"/>
          <w:noProof/>
          <w:sz w:val="24"/>
          <w:szCs w:val="24"/>
        </w:rPr>
        <w:t>L’économie européenne connaît à présent sa septième année consécutive de croissance. Elle devrait continuer à se développer en 2020 et 2021, même si les perspectives de croissance se sont détériorées. Les marchés du travail restent solides et le chômage po</w:t>
      </w:r>
      <w:r>
        <w:rPr>
          <w:rFonts w:ascii="Times New Roman" w:hAnsi="Times New Roman"/>
          <w:noProof/>
          <w:sz w:val="24"/>
          <w:szCs w:val="24"/>
        </w:rPr>
        <w:t xml:space="preserve">ursuit sa décrue, quoiqu’à un rythme plus lent. </w:t>
      </w:r>
    </w:p>
    <w:p w:rsidR="000D7FEE" w:rsidRDefault="002C6C12">
      <w:pPr>
        <w:jc w:val="both"/>
        <w:rPr>
          <w:rFonts w:ascii="Times New Roman" w:hAnsi="Times New Roman" w:cs="Times New Roman"/>
          <w:i/>
          <w:noProof/>
          <w:sz w:val="24"/>
          <w:szCs w:val="24"/>
        </w:rPr>
      </w:pPr>
      <w:r>
        <w:rPr>
          <w:rFonts w:ascii="Times New Roman" w:hAnsi="Times New Roman"/>
          <w:i/>
          <w:noProof/>
          <w:sz w:val="24"/>
          <w:szCs w:val="24"/>
          <w:lang w:val="fr-BE" w:eastAsia="fr-BE"/>
        </w:rPr>
        <mc:AlternateContent>
          <mc:Choice Requires="wps">
            <w:drawing>
              <wp:anchor distT="0" distB="0" distL="114300" distR="114300" simplePos="0" relativeHeight="251637248" behindDoc="1" locked="0" layoutInCell="1" allowOverlap="1">
                <wp:simplePos x="0" y="0"/>
                <wp:positionH relativeFrom="margin">
                  <wp:posOffset>4520565</wp:posOffset>
                </wp:positionH>
                <wp:positionV relativeFrom="page">
                  <wp:posOffset>2221230</wp:posOffset>
                </wp:positionV>
                <wp:extent cx="1224000" cy="1299210"/>
                <wp:effectExtent l="0" t="0" r="14605" b="26035"/>
                <wp:wrapTight wrapText="bothSides">
                  <wp:wrapPolygon edited="0">
                    <wp:start x="0" y="0"/>
                    <wp:lineTo x="0" y="21714"/>
                    <wp:lineTo x="21522" y="21714"/>
                    <wp:lineTo x="21522"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224000" cy="1299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spacing w:after="0"/>
                              <w:jc w:val="center"/>
                              <w:rPr>
                                <w:b/>
                                <w:color w:val="1F497D" w:themeColor="text2"/>
                                <w:sz w:val="24"/>
                                <w:szCs w:val="24"/>
                              </w:rPr>
                            </w:pPr>
                            <w:r>
                              <w:object w:dxaOrig="5663" w:dyaOrig="5660">
                                <v:shape id="_x0000_i1035" type="#_x0000_t75" style="width:79.85pt;height:79.8pt">
                                  <v:imagedata r:id="rId27" o:title=""/>
                                </v:shape>
                                <o:OLEObject Type="Embed" ProgID="PowerPoint.Slide.12" ShapeID="_x0000_i1035" DrawAspect="Content" ObjectID="_1640511302" r:id="rId2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23" o:spid="_x0000_s1030" style="position:absolute;left:0;text-align:left;margin-left:355.95pt;margin-top:174.9pt;width:96.4pt;height:102.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" fillcolor="white [3201]" strokecolor="#f79646 [3209]" strokeweight="2pt">
                <v:textbox style="mso-fit-shape-to-text:t">
                  <w:txbxContent>
                    <w:p w:rsidR="000D7FEE" w:rsidRDefault="002C6C12">
                      <w:pPr>
                        <w:spacing w:after="0"/>
                        <w:jc w:val="center"/>
                        <w:rPr>
                          <w:b/>
                          <w:color w:val="1F497D" w:themeColor="text2"/>
                          <w:sz w:val="24"/>
                          <w:szCs w:val="24"/>
                        </w:rPr>
                      </w:pPr>
                      <w:r>
                        <w:object w:dxaOrig="5663" w:dyaOrig="5660">
                          <v:shape id="_x0000_i1035" type="#_x0000_t75" style="width:79.85pt;height:79.8pt">
                            <v:imagedata r:id="rId27" o:title=""/>
                          </v:shape>
                          <o:OLEObject Type="Embed" ProgID="PowerPoint.Slide.12" ShapeID="_x0000_i1035" DrawAspect="Content" ObjectID="_1640511302" r:id="rId29"/>
                        </w:object>
                      </w:r>
                    </w:p>
                  </w:txbxContent>
                </v:textbox>
                <w10:wrap type="tight" anchorx="margin" anchory="page"/>
              </v:rect>
            </w:pict>
          </mc:Fallback>
        </mc:AlternateContent>
      </w:r>
      <w:r>
        <w:rPr>
          <w:rFonts w:ascii="Times New Roman" w:hAnsi="Times New Roman"/>
          <w:b/>
          <w:noProof/>
          <w:sz w:val="24"/>
          <w:szCs w:val="24"/>
        </w:rPr>
        <w:t>L’Europe doit s’appuyer sur cette base solide pour faire en sorte que son économie sociale de marché continue dans les années à venir à créer des emplois plus nombreux et d</w:t>
      </w:r>
      <w:r>
        <w:rPr>
          <w:rFonts w:ascii="Times New Roman" w:hAnsi="Times New Roman"/>
          <w:b/>
          <w:noProof/>
          <w:sz w:val="24"/>
          <w:szCs w:val="24"/>
        </w:rPr>
        <w:t>e meilleure qualité pour tous.</w:t>
      </w:r>
      <w:r>
        <w:rPr>
          <w:rFonts w:ascii="Times New Roman" w:hAnsi="Times New Roman"/>
          <w:noProof/>
          <w:sz w:val="24"/>
          <w:szCs w:val="24"/>
        </w:rPr>
        <w:t xml:space="preserve">  Au cœur de cette transformation, il y aura une </w:t>
      </w:r>
      <w:r>
        <w:rPr>
          <w:rFonts w:ascii="Times New Roman" w:hAnsi="Times New Roman"/>
          <w:b/>
          <w:bCs/>
          <w:i/>
          <w:iCs/>
          <w:noProof/>
          <w:sz w:val="24"/>
          <w:szCs w:val="24"/>
        </w:rPr>
        <w:t>stratégie industrielle</w:t>
      </w:r>
      <w:r>
        <w:rPr>
          <w:rFonts w:ascii="Times New Roman" w:hAnsi="Times New Roman"/>
          <w:i/>
          <w:iCs/>
          <w:noProof/>
          <w:sz w:val="24"/>
          <w:szCs w:val="24"/>
        </w:rPr>
        <w:t>, qui sera présentée au premier trimestre 2020,</w:t>
      </w:r>
      <w:r>
        <w:rPr>
          <w:rFonts w:ascii="Times New Roman" w:hAnsi="Times New Roman"/>
          <w:noProof/>
          <w:sz w:val="24"/>
          <w:szCs w:val="24"/>
        </w:rPr>
        <w:t xml:space="preserve"> fortement ancrée dans le marché unique, et qui permettra à nos entreprises d’innover et de développer de no</w:t>
      </w:r>
      <w:r>
        <w:rPr>
          <w:rFonts w:ascii="Times New Roman" w:hAnsi="Times New Roman"/>
          <w:noProof/>
          <w:sz w:val="24"/>
          <w:szCs w:val="24"/>
        </w:rPr>
        <w:t>uvelles technologies, en stimulant la circularité et en créant de nouveaux marchés. La prise en compte des aspects sociaux et des aspects liés à l’emploi fera partie intégrante de cette stratégie, ce qui permettra à l’ensemble des citoyens, des entreprises</w:t>
      </w:r>
      <w:r>
        <w:rPr>
          <w:rFonts w:ascii="Times New Roman" w:hAnsi="Times New Roman"/>
          <w:noProof/>
          <w:sz w:val="24"/>
          <w:szCs w:val="24"/>
        </w:rPr>
        <w:t xml:space="preserve">, des régions et des villes de bénéficier de la transformation industrielle. </w:t>
      </w:r>
      <w:r>
        <w:rPr>
          <w:rFonts w:ascii="Times New Roman" w:hAnsi="Times New Roman"/>
          <w:i/>
          <w:noProof/>
          <w:sz w:val="24"/>
          <w:szCs w:val="24"/>
        </w:rPr>
        <w:t xml:space="preserve">La Commission proposera également une </w:t>
      </w:r>
      <w:r>
        <w:rPr>
          <w:rFonts w:ascii="Times New Roman" w:hAnsi="Times New Roman"/>
          <w:b/>
          <w:i/>
          <w:noProof/>
          <w:sz w:val="24"/>
          <w:szCs w:val="24"/>
        </w:rPr>
        <w:t>stratégie spécifique pour les petites et moyennes entreprises (PME)</w:t>
      </w:r>
      <w:r>
        <w:rPr>
          <w:rFonts w:ascii="Times New Roman" w:hAnsi="Times New Roman"/>
          <w:i/>
          <w:noProof/>
          <w:sz w:val="24"/>
          <w:szCs w:val="24"/>
        </w:rPr>
        <w:t xml:space="preserve"> au premier trimestre 2020. </w:t>
      </w:r>
      <w:r>
        <w:rPr>
          <w:rFonts w:ascii="Times New Roman" w:hAnsi="Times New Roman"/>
          <w:noProof/>
          <w:sz w:val="24"/>
          <w:szCs w:val="24"/>
        </w:rPr>
        <w:t>Les PME représentent 85 % des nouveaux emplois créés au cours des cinq dernières années. Si l’on veut créer des emplois en Europe, il est indispensable de promouvoir l’innovation, d’assurer le financement et de réduire les formalités administratives pour l</w:t>
      </w:r>
      <w:r>
        <w:rPr>
          <w:rFonts w:ascii="Times New Roman" w:hAnsi="Times New Roman"/>
          <w:noProof/>
          <w:sz w:val="24"/>
          <w:szCs w:val="24"/>
        </w:rPr>
        <w:t xml:space="preserve">es PME.  </w:t>
      </w:r>
    </w:p>
    <w:p w:rsidR="000D7FEE" w:rsidRDefault="002C6C12">
      <w:pPr>
        <w:pStyle w:val="NormalWeb"/>
        <w:spacing w:line="276" w:lineRule="auto"/>
        <w:jc w:val="both"/>
        <w:rPr>
          <w:noProof/>
        </w:rPr>
      </w:pPr>
      <w:r>
        <w:rPr>
          <w:b/>
          <w:noProof/>
        </w:rPr>
        <w:t>Le Fonds européen de développement régional, le Fonds social européen plus et le Fonds de cohésion</w:t>
      </w:r>
      <w:r>
        <w:rPr>
          <w:noProof/>
        </w:rPr>
        <w:t xml:space="preserve"> continueront à jouer un rôle essentiel en soutenant la cohésion sociale et territoriale dans nos États membres, dans nos régions et dans nos zones </w:t>
      </w:r>
      <w:r>
        <w:rPr>
          <w:noProof/>
        </w:rPr>
        <w:t>rurales, et permettront de suivre le rythme des transformations numérique et verte du monde que nous connaissons. La proposition de la Commission relative au prochain cadre financier pluriannuel (CFP) a fixé à 373 milliards d’euros en prix courants la dota</w:t>
      </w:r>
      <w:r>
        <w:rPr>
          <w:noProof/>
        </w:rPr>
        <w:t>tion globale de la politique de cohésion au cours de la période 2021-2027. Le Fonds européen agricole pour le développement rural et le Fonds européen pour les affaires maritimes et la pêche contribueront également à la cohésion territoriale. La propositio</w:t>
      </w:r>
      <w:r>
        <w:rPr>
          <w:noProof/>
        </w:rPr>
        <w:t xml:space="preserve">n de la Commission appelle également à la mise en place d’un programme </w:t>
      </w:r>
      <w:r>
        <w:rPr>
          <w:b/>
          <w:bCs/>
          <w:noProof/>
        </w:rPr>
        <w:t>InvestEU</w:t>
      </w:r>
      <w:r>
        <w:rPr>
          <w:noProof/>
        </w:rPr>
        <w:t>, qui devrait mobiliser 650 milliards d’euros d’investissements, dont 50 milliards d’euros pour des projets d’infrastructures sociales et des investissements sociaux dans l’éduc</w:t>
      </w:r>
      <w:r>
        <w:rPr>
          <w:noProof/>
        </w:rPr>
        <w:t>ation et les compétences, l’entrepreneuriat social et le microfinancement. InvestEU permettra également d’expérimenter des modèles de partenariat, mais aussi de nouveaux modèles commerciaux et de nouveaux modèles de financement en vue d’améliorer les résul</w:t>
      </w:r>
      <w:r>
        <w:rPr>
          <w:noProof/>
        </w:rPr>
        <w:t xml:space="preserve">tats sociaux, ainsi que de libérer le potentiel des capitaux des investisseurs et des capitaux philanthropiques. </w:t>
      </w:r>
    </w:p>
    <w:p w:rsidR="000D7FEE" w:rsidRDefault="002C6C12">
      <w:pPr>
        <w:jc w:val="both"/>
        <w:rPr>
          <w:rFonts w:ascii="Times New Roman" w:hAnsi="Times New Roman" w:cs="Times New Roman"/>
          <w:i/>
          <w:noProof/>
          <w:sz w:val="24"/>
          <w:szCs w:val="24"/>
        </w:rPr>
      </w:pPr>
      <w:r>
        <w:rPr>
          <w:rFonts w:ascii="Times New Roman" w:hAnsi="Times New Roman"/>
          <w:b/>
          <w:noProof/>
          <w:sz w:val="24"/>
          <w:szCs w:val="24"/>
        </w:rPr>
        <w:t>La création d’un plus grand nombre d’emplois n’est pas qu’une question de croissance. C’est d’autant plus vrai pour l’économie sociale, qui ré</w:t>
      </w:r>
      <w:r>
        <w:rPr>
          <w:rFonts w:ascii="Times New Roman" w:hAnsi="Times New Roman"/>
          <w:b/>
          <w:noProof/>
          <w:sz w:val="24"/>
          <w:szCs w:val="24"/>
        </w:rPr>
        <w:t>pond à des besoins sociaux.</w:t>
      </w:r>
      <w:r>
        <w:rPr>
          <w:rFonts w:ascii="Times New Roman" w:hAnsi="Times New Roman"/>
          <w:noProof/>
          <w:sz w:val="24"/>
          <w:szCs w:val="24"/>
        </w:rPr>
        <w:t xml:space="preserve"> Quelque 13,6 millions de personnes travaillent dans l’économie sociale en Europe.</w:t>
      </w:r>
      <w:r>
        <w:rPr>
          <w:rFonts w:ascii="Times New Roman" w:hAnsi="Times New Roman"/>
          <w:b/>
          <w:noProof/>
          <w:sz w:val="24"/>
          <w:szCs w:val="24"/>
        </w:rPr>
        <w:t xml:space="preserve"> </w:t>
      </w:r>
      <w:r>
        <w:rPr>
          <w:rFonts w:ascii="Times New Roman" w:hAnsi="Times New Roman"/>
          <w:noProof/>
          <w:sz w:val="24"/>
          <w:szCs w:val="24"/>
        </w:rPr>
        <w:t>Les entreprises et organisations sociales peuvent générer un engagement, des initiatives et des résultats à l’échelon local, tout en rapprochant d</w:t>
      </w:r>
      <w:r>
        <w:rPr>
          <w:rFonts w:ascii="Times New Roman" w:hAnsi="Times New Roman"/>
          <w:noProof/>
          <w:sz w:val="24"/>
          <w:szCs w:val="24"/>
        </w:rPr>
        <w:t>u marché du travail toutes les personnes concernées. L’économie sociale fournit des solutions innovantes dans les domaines de l’éducation, des soins de santé, de la transition énergétique, du logement et de la prestation de services sociaux. Elle peut égal</w:t>
      </w:r>
      <w:r>
        <w:rPr>
          <w:rFonts w:ascii="Times New Roman" w:hAnsi="Times New Roman"/>
          <w:noProof/>
          <w:sz w:val="24"/>
          <w:szCs w:val="24"/>
        </w:rPr>
        <w:t xml:space="preserve">ement jouer un rôle de précurseur par des pactes verts locaux en créant des alliances dans les territoires qui associent les citoyens et les entreprises à la transition climatique. </w:t>
      </w:r>
      <w:r>
        <w:rPr>
          <w:rFonts w:ascii="Times New Roman" w:hAnsi="Times New Roman"/>
          <w:i/>
          <w:noProof/>
          <w:sz w:val="24"/>
          <w:szCs w:val="24"/>
        </w:rPr>
        <w:t xml:space="preserve">En 2021, la Commission lancera un </w:t>
      </w:r>
      <w:r>
        <w:rPr>
          <w:rFonts w:ascii="Times New Roman" w:hAnsi="Times New Roman"/>
          <w:b/>
          <w:i/>
          <w:noProof/>
          <w:sz w:val="24"/>
          <w:szCs w:val="24"/>
        </w:rPr>
        <w:t>plan d’action pour l’économie sociale</w:t>
      </w:r>
      <w:r>
        <w:rPr>
          <w:rFonts w:ascii="Times New Roman" w:hAnsi="Times New Roman"/>
          <w:i/>
          <w:noProof/>
          <w:sz w:val="24"/>
          <w:szCs w:val="24"/>
        </w:rPr>
        <w:t xml:space="preserve"> afi</w:t>
      </w:r>
      <w:r>
        <w:rPr>
          <w:rFonts w:ascii="Times New Roman" w:hAnsi="Times New Roman"/>
          <w:i/>
          <w:noProof/>
          <w:sz w:val="24"/>
          <w:szCs w:val="24"/>
        </w:rPr>
        <w:t xml:space="preserve">n de renforcer l’investissement social et l’innovation sociale et de stimuler la capacité des entreprises sociales de créer des emplois, y compris pour les personnes les plus éloignées du marché du travail. </w:t>
      </w:r>
      <w:r>
        <w:rPr>
          <w:rFonts w:ascii="Times New Roman" w:hAnsi="Times New Roman"/>
          <w:noProof/>
          <w:sz w:val="24"/>
          <w:szCs w:val="24"/>
        </w:rPr>
        <w:t>Les marchés publics socialement responsables peuv</w:t>
      </w:r>
      <w:r>
        <w:rPr>
          <w:rFonts w:ascii="Times New Roman" w:hAnsi="Times New Roman"/>
          <w:noProof/>
          <w:sz w:val="24"/>
          <w:szCs w:val="24"/>
        </w:rPr>
        <w:t>ent également faire en sorte que les fonds existants soient dépensés de manière à soutenir l’inclusion, par exemple en offrant des possibilités d’emploi aux personnes handicapées ou exposées au risque de pauvreté.</w:t>
      </w:r>
    </w:p>
    <w:p w:rsidR="000D7FEE" w:rsidRDefault="000D7FEE">
      <w:pPr>
        <w:jc w:val="both"/>
        <w:rPr>
          <w:rFonts w:ascii="Times New Roman" w:hAnsi="Times New Roman" w:cs="Times New Roman"/>
          <w:b/>
          <w:noProof/>
          <w:sz w:val="24"/>
          <w:szCs w:val="24"/>
          <w:u w:val="single"/>
        </w:rPr>
      </w:pPr>
    </w:p>
    <w:p w:rsidR="000D7FEE" w:rsidRDefault="002C6C12">
      <w:pPr>
        <w:keepNext/>
        <w:jc w:val="both"/>
        <w:rPr>
          <w:rFonts w:ascii="Times New Roman" w:hAnsi="Times New Roman" w:cs="Times New Roman"/>
          <w:b/>
          <w:noProof/>
          <w:sz w:val="24"/>
          <w:szCs w:val="24"/>
          <w:u w:val="single"/>
        </w:rPr>
      </w:pPr>
      <w:r>
        <w:rPr>
          <w:rFonts w:ascii="Times New Roman" w:hAnsi="Times New Roman"/>
          <w:b/>
          <w:noProof/>
          <w:sz w:val="24"/>
          <w:szCs w:val="24"/>
          <w:u w:val="single"/>
        </w:rPr>
        <w:t>Promouvoir l’égalité</w:t>
      </w:r>
    </w:p>
    <w:p w:rsidR="000D7FEE" w:rsidRDefault="002C6C12">
      <w:pPr>
        <w:jc w:val="both"/>
        <w:rPr>
          <w:rFonts w:ascii="Times New Roman" w:hAnsi="Times New Roman" w:cs="Times New Roman"/>
          <w:b/>
          <w:i/>
          <w:noProof/>
          <w:sz w:val="24"/>
          <w:szCs w:val="24"/>
        </w:rPr>
      </w:pPr>
      <w:r>
        <w:rPr>
          <w:rFonts w:ascii="Times New Roman" w:hAnsi="Times New Roman"/>
          <w:noProof/>
          <w:sz w:val="24"/>
          <w:szCs w:val="24"/>
        </w:rPr>
        <w:t xml:space="preserve">Notre Union tire sa </w:t>
      </w:r>
      <w:r>
        <w:rPr>
          <w:rFonts w:ascii="Times New Roman" w:hAnsi="Times New Roman"/>
          <w:noProof/>
          <w:sz w:val="24"/>
          <w:szCs w:val="24"/>
        </w:rPr>
        <w:t>force et son unité de sa diversité — la diversité de la population, de la culture ou des traditions. Mais l’Europe ne peut avancer que si elle fait appel à tous ses atouts, tous ses talents et tout son potentiel. Cela veut dire qu’il faut créer une société</w:t>
      </w:r>
      <w:r>
        <w:rPr>
          <w:rFonts w:ascii="Times New Roman" w:hAnsi="Times New Roman"/>
          <w:noProof/>
          <w:sz w:val="24"/>
          <w:szCs w:val="24"/>
        </w:rPr>
        <w:t xml:space="preserve"> plus équitable, dans laquelle ceux qui partagent les mêmes aspirations ont les mêmes chances de les réaliser. L’Union européenne comprend certaines des sociétés les plus égalitaires au monde, mais il reste du chemin à parcourir. L’Europe doit renforcer so</w:t>
      </w:r>
      <w:r>
        <w:rPr>
          <w:rFonts w:ascii="Times New Roman" w:hAnsi="Times New Roman"/>
          <w:noProof/>
          <w:sz w:val="24"/>
          <w:szCs w:val="24"/>
        </w:rPr>
        <w:t>n engagement en faveur de l’inclusion et de l’égalité dans tous les sens du terme, sans distinction de sexe, d’origine ethnique ou raciale, de religion ou de convictions, de handicap, d’âge ou d’orientation sexuelle. L’égalité figure parmi les priorités po</w:t>
      </w:r>
      <w:r>
        <w:rPr>
          <w:rFonts w:ascii="Times New Roman" w:hAnsi="Times New Roman"/>
          <w:noProof/>
          <w:sz w:val="24"/>
          <w:szCs w:val="24"/>
        </w:rPr>
        <w:t xml:space="preserve">litiques de cette Commission, qui comporte pour la première fois un portefeuille à part entière consacré à cette question et une nouvelle task-force spécifique. </w:t>
      </w:r>
    </w:p>
    <w:p w:rsidR="000D7FEE" w:rsidRDefault="002C6C12">
      <w:pPr>
        <w:jc w:val="both"/>
        <w:rPr>
          <w:rFonts w:ascii="Times New Roman" w:hAnsi="Times New Roman" w:cs="Times New Roman"/>
          <w:i/>
          <w:noProof/>
          <w:sz w:val="24"/>
          <w:szCs w:val="24"/>
        </w:rPr>
      </w:pPr>
      <w:r>
        <w:rPr>
          <w:rFonts w:ascii="Times New Roman" w:hAnsi="Times New Roman"/>
          <w:b/>
          <w:noProof/>
          <w:sz w:val="24"/>
          <w:szCs w:val="24"/>
          <w:lang w:val="fr-BE" w:eastAsia="fr-BE"/>
        </w:rPr>
        <mc:AlternateContent>
          <mc:Choice Requires="wps">
            <w:drawing>
              <wp:anchor distT="0" distB="0" distL="114300" distR="114300" simplePos="0" relativeHeight="251667968" behindDoc="1" locked="0" layoutInCell="1" allowOverlap="1">
                <wp:simplePos x="0" y="0"/>
                <wp:positionH relativeFrom="margin">
                  <wp:posOffset>-635</wp:posOffset>
                </wp:positionH>
                <wp:positionV relativeFrom="paragraph">
                  <wp:posOffset>22538</wp:posOffset>
                </wp:positionV>
                <wp:extent cx="1260000" cy="1079500"/>
                <wp:effectExtent l="0" t="0" r="16510" b="26670"/>
                <wp:wrapTight wrapText="bothSides">
                  <wp:wrapPolygon edited="0">
                    <wp:start x="0" y="0"/>
                    <wp:lineTo x="0" y="21726"/>
                    <wp:lineTo x="21556" y="21726"/>
                    <wp:lineTo x="21556" y="0"/>
                    <wp:lineTo x="0" y="0"/>
                  </wp:wrapPolygon>
                </wp:wrapTight>
                <wp:docPr id="25" name="Rectangle 25"/>
                <wp:cNvGraphicFramePr/>
                <a:graphic xmlns:a="http://schemas.openxmlformats.org/drawingml/2006/main">
                  <a:graphicData uri="http://schemas.microsoft.com/office/word/2010/wordprocessingShape">
                    <wps:wsp>
                      <wps:cNvSpPr/>
                      <wps:spPr>
                        <a:xfrm>
                          <a:off x="0" y="0"/>
                          <a:ext cx="1260000" cy="1079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spacing w:after="0"/>
                              <w:jc w:val="center"/>
                              <w:rPr>
                                <w:b/>
                                <w:color w:val="1F497D" w:themeColor="text2"/>
                                <w:sz w:val="24"/>
                                <w:szCs w:val="24"/>
                              </w:rPr>
                            </w:pPr>
                            <w:r>
                              <w:object w:dxaOrig="5663" w:dyaOrig="5660">
                                <v:shape id="_x0000_i1037" type="#_x0000_t75" style="width:82.7pt;height:82.65pt">
                                  <v:imagedata r:id="rId30" o:title=""/>
                                </v:shape>
                                <o:OLEObject Type="Embed" ProgID="PowerPoint.Slide.12" ShapeID="_x0000_i1037" DrawAspect="Content" ObjectID="_1640511303" r:id="rId3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05pt;margin-top:1.75pt;width:99.2pt;height: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" fillcolor="white [3201]" strokecolor="#f79646 [3209]" strokeweight="2pt">
                <v:textbox style="mso-fit-shape-to-text:t">
                  <w:txbxContent>
                    <w:p w:rsidR="000D7FEE" w:rsidRDefault="002C6C12">
                      <w:pPr>
                        <w:spacing w:after="0"/>
                        <w:jc w:val="center"/>
                        <w:rPr>
                          <w:b/>
                          <w:color w:val="1F497D" w:themeColor="text2"/>
                          <w:sz w:val="24"/>
                          <w:szCs w:val="24"/>
                        </w:rPr>
                      </w:pPr>
                      <w:r>
                        <w:object w:dxaOrig="5663" w:dyaOrig="5660">
                          <v:shape id="_x0000_i1037" type="#_x0000_t75" style="width:82.7pt;height:82.65pt">
                            <v:imagedata r:id="rId30" o:title=""/>
                          </v:shape>
                          <o:OLEObject Type="Embed" ProgID="PowerPoint.Slide.12" ShapeID="_x0000_i1037" DrawAspect="Content" ObjectID="_1640511303" r:id="rId32"/>
                        </w:object>
                      </w:r>
                    </w:p>
                  </w:txbxContent>
                </v:textbox>
                <w10:wrap type="tight" anchorx="margin"/>
              </v:rect>
            </w:pict>
          </mc:Fallback>
        </mc:AlternateContent>
      </w:r>
      <w:r>
        <w:rPr>
          <w:rFonts w:ascii="Times New Roman" w:hAnsi="Times New Roman"/>
          <w:b/>
          <w:noProof/>
          <w:sz w:val="24"/>
          <w:szCs w:val="24"/>
        </w:rPr>
        <w:t>La situation des femmes mérite une attention particulière.</w:t>
      </w:r>
      <w:r>
        <w:rPr>
          <w:rFonts w:ascii="Times New Roman" w:hAnsi="Times New Roman"/>
          <w:noProof/>
          <w:sz w:val="24"/>
          <w:szCs w:val="24"/>
        </w:rPr>
        <w:t xml:space="preserve"> Des faibles niveaux d’emploi sont mauvais pour l’économie et pour les femmes elles-mêmes. En dépit de niveaux d’éducation plus élevés, les femmes ont des carrières plus courtes et plus fragmentées que les hommes, souvent en raison de leurs responsabilités</w:t>
      </w:r>
      <w:r>
        <w:rPr>
          <w:rFonts w:ascii="Times New Roman" w:hAnsi="Times New Roman"/>
          <w:noProof/>
          <w:sz w:val="24"/>
          <w:szCs w:val="24"/>
        </w:rPr>
        <w:t xml:space="preserve"> familiales. Leur carrière progresse plus lentement et leurs revenus et pensions sont inférieurs, alors qu’elles vivent plus longtemps. Dans certains secteurs, les femmes sont sous-représentées. C’est le cas des professions du numérique, dans lesquelles mo</w:t>
      </w:r>
      <w:r>
        <w:rPr>
          <w:rFonts w:ascii="Times New Roman" w:hAnsi="Times New Roman"/>
          <w:noProof/>
          <w:sz w:val="24"/>
          <w:szCs w:val="24"/>
        </w:rPr>
        <w:t>ins d’un cinquième des spécialistes des TIC sont des femmes. Une fois à la retraite, les femmes ne perçoivent en moyenne que les deux tiers des pensions des hommes, ce qui représente une différence encore plus importante que l’écart salarial. Il est essent</w:t>
      </w:r>
      <w:r>
        <w:rPr>
          <w:rFonts w:ascii="Times New Roman" w:hAnsi="Times New Roman"/>
          <w:noProof/>
          <w:sz w:val="24"/>
          <w:szCs w:val="24"/>
        </w:rPr>
        <w:t>iel de lutter contre les stéréotypes dans le monde du travail afin que les femmes puissent progresser dans leur carrière et bénéficier d’une rémunération équitable. Des services améliorés de garde d’enfants et de soins de longue durée sont des éléments con</w:t>
      </w:r>
      <w:r>
        <w:rPr>
          <w:rFonts w:ascii="Times New Roman" w:hAnsi="Times New Roman"/>
          <w:noProof/>
          <w:sz w:val="24"/>
          <w:szCs w:val="24"/>
        </w:rPr>
        <w:t xml:space="preserve">tribuant à un partage plus équitable des responsabilités familiales entre les femmes et les hommes. </w:t>
      </w:r>
      <w:r>
        <w:rPr>
          <w:rFonts w:ascii="Times New Roman" w:hAnsi="Times New Roman"/>
          <w:i/>
          <w:noProof/>
          <w:sz w:val="24"/>
          <w:szCs w:val="24"/>
        </w:rPr>
        <w:t xml:space="preserve">Au premier trimestre 2020, la Commission proposera une nouvelle </w:t>
      </w:r>
      <w:r>
        <w:rPr>
          <w:rFonts w:ascii="Times New Roman" w:hAnsi="Times New Roman"/>
          <w:b/>
          <w:i/>
          <w:noProof/>
          <w:sz w:val="24"/>
          <w:szCs w:val="24"/>
        </w:rPr>
        <w:t>stratégie européenne en faveur de l’égalité entre les hommes et les femmes</w:t>
      </w:r>
      <w:r>
        <w:rPr>
          <w:rFonts w:ascii="Times New Roman" w:hAnsi="Times New Roman"/>
          <w:i/>
          <w:noProof/>
          <w:sz w:val="24"/>
          <w:szCs w:val="24"/>
        </w:rPr>
        <w:t xml:space="preserve"> pour contribuer à</w:t>
      </w:r>
      <w:r>
        <w:rPr>
          <w:rFonts w:ascii="Times New Roman" w:hAnsi="Times New Roman"/>
          <w:i/>
          <w:noProof/>
          <w:sz w:val="24"/>
          <w:szCs w:val="24"/>
        </w:rPr>
        <w:t xml:space="preserve"> combler l’écart de rémunération entre les sexes — notamment par des </w:t>
      </w:r>
      <w:r>
        <w:rPr>
          <w:rFonts w:ascii="Times New Roman" w:hAnsi="Times New Roman"/>
          <w:b/>
          <w:i/>
          <w:noProof/>
          <w:sz w:val="24"/>
          <w:szCs w:val="24"/>
        </w:rPr>
        <w:t>mesures contraignantes en matière de transparence des rémunérations</w:t>
      </w:r>
      <w:r>
        <w:rPr>
          <w:rFonts w:ascii="Times New Roman" w:hAnsi="Times New Roman"/>
          <w:i/>
          <w:noProof/>
          <w:sz w:val="24"/>
          <w:szCs w:val="24"/>
        </w:rPr>
        <w:t xml:space="preserve"> — ainsi que l’écart en matière de pensions, pour promouvoir l’accès des femmes au marché du travail et pour accroître l</w:t>
      </w:r>
      <w:r>
        <w:rPr>
          <w:rFonts w:ascii="Times New Roman" w:hAnsi="Times New Roman"/>
          <w:i/>
          <w:noProof/>
          <w:sz w:val="24"/>
          <w:szCs w:val="24"/>
        </w:rPr>
        <w:t xml:space="preserve">e nombre de femmes occupant des postes à responsabilités au sein des entreprises et des organisations. </w:t>
      </w:r>
    </w:p>
    <w:p w:rsidR="000D7FEE" w:rsidRDefault="002C6C12">
      <w:pPr>
        <w:jc w:val="both"/>
        <w:rPr>
          <w:rFonts w:ascii="Times New Roman" w:hAnsi="Times New Roman" w:cs="Times New Roman"/>
          <w:i/>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41344" behindDoc="1" locked="0" layoutInCell="1" allowOverlap="1">
                <wp:simplePos x="0" y="0"/>
                <wp:positionH relativeFrom="margin">
                  <wp:posOffset>-6350</wp:posOffset>
                </wp:positionH>
                <wp:positionV relativeFrom="paragraph">
                  <wp:posOffset>20320</wp:posOffset>
                </wp:positionV>
                <wp:extent cx="1248410" cy="1268730"/>
                <wp:effectExtent l="0" t="0" r="27940" b="26670"/>
                <wp:wrapSquare wrapText="bothSides"/>
                <wp:docPr id="27" name="Rectangle 27"/>
                <wp:cNvGraphicFramePr/>
                <a:graphic xmlns:a="http://schemas.openxmlformats.org/drawingml/2006/main">
                  <a:graphicData uri="http://schemas.microsoft.com/office/word/2010/wordprocessingShape">
                    <wps:wsp>
                      <wps:cNvSpPr/>
                      <wps:spPr>
                        <a:xfrm>
                          <a:off x="0" y="0"/>
                          <a:ext cx="1248410" cy="1268730"/>
                        </a:xfrm>
                        <a:prstGeom prst="rect">
                          <a:avLst/>
                        </a:prstGeom>
                      </wps:spPr>
                      <wps:style>
                        <a:lnRef idx="2">
                          <a:schemeClr val="accent6"/>
                        </a:lnRef>
                        <a:fillRef idx="1">
                          <a:schemeClr val="lt1"/>
                        </a:fillRef>
                        <a:effectRef idx="0">
                          <a:schemeClr val="accent6"/>
                        </a:effectRef>
                        <a:fontRef idx="minor">
                          <a:schemeClr val="dk1"/>
                        </a:fontRef>
                      </wps:style>
                      <wps:txbx>
                        <w:txbxContent>
                          <w:p w:rsidR="000D7FEE" w:rsidRDefault="002C6C12">
                            <w:pPr>
                              <w:spacing w:after="0"/>
                              <w:jc w:val="center"/>
                              <w:rPr>
                                <w:b/>
                                <w:color w:val="1F497D" w:themeColor="text2"/>
                                <w:sz w:val="24"/>
                                <w:szCs w:val="24"/>
                              </w:rPr>
                            </w:pPr>
                            <w:r>
                              <w:object w:dxaOrig="5663" w:dyaOrig="5660">
                                <v:shape id="_x0000_i1039" type="#_x0000_t75" style="width:88.65pt;height:88.6pt">
                                  <v:imagedata r:id="rId33" o:title=""/>
                                </v:shape>
                                <o:OLEObject Type="Embed" ProgID="PowerPoint.Slide.12" ShapeID="_x0000_i1039" DrawAspect="Content" ObjectID="_1640511304" r:id="rId34"/>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27" o:spid="_x0000_s1032" style="position:absolute;left:0;text-align:left;margin-left:-.5pt;margin-top:1.6pt;width:98.3pt;height:99.9pt;z-index:-251675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" fillcolor="white [3201]" strokecolor="#f79646 [3209]" strokeweight="2pt">
                <v:textbox style="mso-fit-shape-to-text:t">
                  <w:txbxContent>
                    <w:p w:rsidR="000D7FEE" w:rsidRDefault="002C6C12">
                      <w:pPr>
                        <w:spacing w:after="0"/>
                        <w:jc w:val="center"/>
                        <w:rPr>
                          <w:b/>
                          <w:color w:val="1F497D" w:themeColor="text2"/>
                          <w:sz w:val="24"/>
                          <w:szCs w:val="24"/>
                        </w:rPr>
                      </w:pPr>
                      <w:r>
                        <w:object w:dxaOrig="5663" w:dyaOrig="5660">
                          <v:shape id="_x0000_i1039" type="#_x0000_t75" style="width:88.65pt;height:88.6pt">
                            <v:imagedata r:id="rId33" o:title=""/>
                          </v:shape>
                          <o:OLEObject Type="Embed" ProgID="PowerPoint.Slide.12" ShapeID="_x0000_i1039" DrawAspect="Content" ObjectID="_1640511304" r:id="rId35"/>
                        </w:object>
                      </w:r>
                    </w:p>
                  </w:txbxContent>
                </v:textbox>
                <w10:wrap type="square" anchorx="margin"/>
              </v:rect>
            </w:pict>
          </mc:Fallback>
        </mc:AlternateContent>
      </w:r>
      <w:r>
        <w:rPr>
          <w:rFonts w:ascii="Times New Roman" w:hAnsi="Times New Roman"/>
          <w:b/>
          <w:noProof/>
          <w:sz w:val="24"/>
          <w:szCs w:val="24"/>
        </w:rPr>
        <w:t xml:space="preserve">Une économie au service des personnes est une économie qui est également au service des personnes handicapées. </w:t>
      </w:r>
      <w:r>
        <w:rPr>
          <w:rFonts w:ascii="Times New Roman" w:hAnsi="Times New Roman"/>
          <w:noProof/>
          <w:sz w:val="24"/>
          <w:szCs w:val="24"/>
        </w:rPr>
        <w:t>L’acte</w:t>
      </w:r>
      <w:r>
        <w:rPr>
          <w:rFonts w:ascii="Times New Roman" w:hAnsi="Times New Roman"/>
          <w:noProof/>
          <w:sz w:val="24"/>
          <w:szCs w:val="24"/>
        </w:rPr>
        <w:t xml:space="preserve"> législatif européen sur l’accessibilité offrira des possibilités pour développer des produits et des services accessibles. La technologie et des emplois et des postes de travail adaptés peuvent ouvrir des perspectives aux personnes handicapées ainsi qu’au</w:t>
      </w:r>
      <w:r>
        <w:rPr>
          <w:rFonts w:ascii="Times New Roman" w:hAnsi="Times New Roman"/>
          <w:noProof/>
          <w:sz w:val="24"/>
          <w:szCs w:val="24"/>
        </w:rPr>
        <w:t>x personnes et aux entreprises qui répondent à leurs besoins. Les personnes handicapées continuent toutefois d’éprouver des difficultés à accéder à l’éducation et à la formation, à l’emploi, aux systèmes de protection sociale et aux soins de santé. Souvent</w:t>
      </w:r>
      <w:r>
        <w:rPr>
          <w:rFonts w:ascii="Times New Roman" w:hAnsi="Times New Roman"/>
          <w:noProof/>
          <w:sz w:val="24"/>
          <w:szCs w:val="24"/>
        </w:rPr>
        <w:t xml:space="preserve">, elles ont aussi du mal à participer activement à la vie politique ou culturelle à l’échelon local. La Commission œuvrera à l’application de la convention des Nations unies relative aux droits des personnes handicapées. </w:t>
      </w:r>
      <w:r>
        <w:rPr>
          <w:rFonts w:ascii="Times New Roman" w:hAnsi="Times New Roman"/>
          <w:i/>
          <w:noProof/>
          <w:sz w:val="24"/>
          <w:szCs w:val="24"/>
        </w:rPr>
        <w:t>En 2021, la Commission présentera u</w:t>
      </w:r>
      <w:r>
        <w:rPr>
          <w:rFonts w:ascii="Times New Roman" w:hAnsi="Times New Roman"/>
          <w:i/>
          <w:noProof/>
          <w:sz w:val="24"/>
          <w:szCs w:val="24"/>
        </w:rPr>
        <w:t>ne stratégie renforcée en faveur des personnes handicapées, fondée sur les résultats de l’évaluation de la stratégie européenne mise en œuvre en la matière au cours de la période 2010-2020, qui est réalisée actuellement.</w:t>
      </w:r>
    </w:p>
    <w:p w:rsidR="000D7FEE" w:rsidRDefault="002C6C12">
      <w:pPr>
        <w:jc w:val="both"/>
        <w:rPr>
          <w:rFonts w:ascii="Times New Roman" w:hAnsi="Times New Roman" w:cs="Times New Roman"/>
          <w:i/>
          <w:noProof/>
          <w:sz w:val="24"/>
          <w:szCs w:val="24"/>
        </w:rPr>
      </w:pPr>
      <w:r>
        <w:rPr>
          <w:rFonts w:ascii="Times New Roman" w:hAnsi="Times New Roman"/>
          <w:b/>
          <w:noProof/>
          <w:sz w:val="24"/>
          <w:szCs w:val="24"/>
        </w:rPr>
        <w:t>Des parcours d’intégration plus rap</w:t>
      </w:r>
      <w:r>
        <w:rPr>
          <w:rFonts w:ascii="Times New Roman" w:hAnsi="Times New Roman"/>
          <w:b/>
          <w:noProof/>
          <w:sz w:val="24"/>
          <w:szCs w:val="24"/>
        </w:rPr>
        <w:t>ides et plus efficaces pour les ressortissants de pays tiers peuvent être directement bénéfiques à ceux-ci, mais ils peuvent aussi être profitables au marché du travail et à la société dans son ensemble.</w:t>
      </w:r>
      <w:r>
        <w:rPr>
          <w:rFonts w:ascii="Times New Roman" w:hAnsi="Times New Roman"/>
          <w:noProof/>
          <w:sz w:val="24"/>
          <w:szCs w:val="24"/>
        </w:rPr>
        <w:t xml:space="preserve"> De nombreux États membres pourraient faire un meille</w:t>
      </w:r>
      <w:r>
        <w:rPr>
          <w:rFonts w:ascii="Times New Roman" w:hAnsi="Times New Roman"/>
          <w:noProof/>
          <w:sz w:val="24"/>
          <w:szCs w:val="24"/>
        </w:rPr>
        <w:t>ur usage de leurs compétences et qualifications et favoriser leur accès à une éducation et une formation inclusives et de qualité. En s’appuyant sur le plan d’action de 2016 en matière d’intégration, la Commission renforcera son soutien aux mesures d’intég</w:t>
      </w:r>
      <w:r>
        <w:rPr>
          <w:rFonts w:ascii="Times New Roman" w:hAnsi="Times New Roman"/>
          <w:noProof/>
          <w:sz w:val="24"/>
          <w:szCs w:val="24"/>
        </w:rPr>
        <w:t>ration prises par les États membres et d’autres acteurs clés, tels que les autorités locales et régionales, les organisations de la société civile et les partenaires sociaux.</w:t>
      </w:r>
    </w:p>
    <w:p w:rsidR="000D7FEE" w:rsidRDefault="000D7FEE">
      <w:pPr>
        <w:jc w:val="both"/>
        <w:rPr>
          <w:rFonts w:ascii="Times New Roman" w:hAnsi="Times New Roman" w:cs="Times New Roman"/>
          <w:noProof/>
          <w:sz w:val="24"/>
          <w:szCs w:val="24"/>
        </w:rPr>
      </w:pPr>
    </w:p>
    <w:p w:rsidR="000D7FEE" w:rsidRDefault="002C6C12">
      <w:pPr>
        <w:keepNext/>
        <w:autoSpaceDE w:val="0"/>
        <w:autoSpaceDN w:val="0"/>
        <w:spacing w:after="240"/>
        <w:jc w:val="both"/>
        <w:rPr>
          <w:rFonts w:ascii="Times New Roman" w:hAnsi="Times New Roman" w:cs="Times New Roman"/>
          <w:b/>
          <w:noProof/>
          <w:sz w:val="28"/>
          <w:szCs w:val="24"/>
        </w:rPr>
      </w:pPr>
      <w:r>
        <w:rPr>
          <w:rFonts w:ascii="Times New Roman" w:hAnsi="Times New Roman"/>
          <w:b/>
          <w:noProof/>
          <w:sz w:val="28"/>
        </w:rPr>
        <w:t>3. Des conditions de travail équitables</w:t>
      </w:r>
    </w:p>
    <w:p w:rsidR="000D7FEE" w:rsidRDefault="002C6C12">
      <w:pPr>
        <w:spacing w:after="240"/>
        <w:jc w:val="both"/>
        <w:rPr>
          <w:rFonts w:ascii="Times New Roman" w:hAnsi="Times New Roman" w:cs="Times New Roman"/>
          <w:noProof/>
          <w:sz w:val="24"/>
          <w:szCs w:val="24"/>
        </w:rPr>
      </w:pPr>
      <w:r>
        <w:rPr>
          <w:rFonts w:ascii="Times New Roman" w:hAnsi="Times New Roman"/>
          <w:b/>
          <w:noProof/>
          <w:sz w:val="24"/>
          <w:szCs w:val="24"/>
        </w:rPr>
        <w:t xml:space="preserve">Les travailleurs européens devraient toucher un salaire minimum équitable qui leur permette de vivre décemment. </w:t>
      </w:r>
      <w:r>
        <w:rPr>
          <w:rFonts w:ascii="Times New Roman" w:hAnsi="Times New Roman"/>
          <w:noProof/>
          <w:sz w:val="24"/>
          <w:szCs w:val="24"/>
        </w:rPr>
        <w:t>Cela ne signifie pas que tous les travailleurs de l’UE doivent toucher le même salaire minimum. Les salaires minimums devraient être fixés confo</w:t>
      </w:r>
      <w:r>
        <w:rPr>
          <w:rFonts w:ascii="Times New Roman" w:hAnsi="Times New Roman"/>
          <w:noProof/>
          <w:sz w:val="24"/>
          <w:szCs w:val="24"/>
        </w:rPr>
        <w:t>rmément aux traditions nationales, au moyen de conventions collectives ou de dispositions légales. Le recours à un système performant de négociations collectives entre employeurs et syndicats est un bon moyen d’établir des salaires minimums adéquats et équ</w:t>
      </w:r>
      <w:r>
        <w:rPr>
          <w:rFonts w:ascii="Times New Roman" w:hAnsi="Times New Roman"/>
          <w:noProof/>
          <w:sz w:val="24"/>
          <w:szCs w:val="24"/>
        </w:rPr>
        <w:t xml:space="preserve">itables, puisque les travailleurs et les employeurs sont ceux qui connaissent le mieux leur secteur et leur région. </w:t>
      </w:r>
      <w:r>
        <w:rPr>
          <w:rFonts w:ascii="Times New Roman" w:hAnsi="Times New Roman"/>
          <w:i/>
          <w:noProof/>
          <w:sz w:val="24"/>
          <w:szCs w:val="24"/>
        </w:rPr>
        <w:t xml:space="preserve">La Commission lance aujourd’hui une </w:t>
      </w:r>
      <w:r>
        <w:rPr>
          <w:rFonts w:ascii="Times New Roman" w:hAnsi="Times New Roman"/>
          <w:b/>
          <w:bCs/>
          <w:i/>
          <w:noProof/>
          <w:sz w:val="24"/>
          <w:szCs w:val="24"/>
        </w:rPr>
        <w:t xml:space="preserve">première phase de consultation des partenaires sociaux sur la manière de garantir des salaires minimums </w:t>
      </w:r>
      <w:r>
        <w:rPr>
          <w:rFonts w:ascii="Times New Roman" w:hAnsi="Times New Roman"/>
          <w:b/>
          <w:bCs/>
          <w:i/>
          <w:noProof/>
          <w:sz w:val="24"/>
          <w:szCs w:val="24"/>
        </w:rPr>
        <w:t>équitables</w:t>
      </w:r>
      <w:r>
        <w:rPr>
          <w:rFonts w:ascii="Times New Roman" w:hAnsi="Times New Roman"/>
          <w:i/>
          <w:noProof/>
          <w:sz w:val="24"/>
          <w:szCs w:val="24"/>
        </w:rPr>
        <w:t xml:space="preserve"> aux travailleurs de l’Union.</w:t>
      </w:r>
    </w:p>
    <w:p w:rsidR="000D7FEE" w:rsidRDefault="002C6C12">
      <w:pPr>
        <w:spacing w:after="240"/>
        <w:jc w:val="both"/>
        <w:rPr>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47488" behindDoc="1" locked="0" layoutInCell="1" allowOverlap="1">
                <wp:simplePos x="0" y="0"/>
                <wp:positionH relativeFrom="margin">
                  <wp:posOffset>-12700</wp:posOffset>
                </wp:positionH>
                <wp:positionV relativeFrom="page">
                  <wp:posOffset>1555750</wp:posOffset>
                </wp:positionV>
                <wp:extent cx="1223645" cy="1208405"/>
                <wp:effectExtent l="0" t="0" r="14605" b="10795"/>
                <wp:wrapTight wrapText="bothSides">
                  <wp:wrapPolygon edited="0">
                    <wp:start x="0" y="0"/>
                    <wp:lineTo x="0" y="21452"/>
                    <wp:lineTo x="21522" y="21452"/>
                    <wp:lineTo x="21522" y="0"/>
                    <wp:lineTo x="0" y="0"/>
                  </wp:wrapPolygon>
                </wp:wrapTight>
                <wp:docPr id="31" name="Rectangle 31"/>
                <wp:cNvGraphicFramePr/>
                <a:graphic xmlns:a="http://schemas.openxmlformats.org/drawingml/2006/main">
                  <a:graphicData uri="http://schemas.microsoft.com/office/word/2010/wordprocessingShape">
                    <wps:wsp>
                      <wps:cNvSpPr/>
                      <wps:spPr>
                        <a:xfrm>
                          <a:off x="0" y="0"/>
                          <a:ext cx="1223645" cy="1208405"/>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0"/>
                              <w:jc w:val="center"/>
                              <w:rPr>
                                <w:b/>
                                <w:color w:val="1F497D" w:themeColor="text2"/>
                                <w:sz w:val="24"/>
                                <w:szCs w:val="24"/>
                              </w:rPr>
                            </w:pPr>
                            <w:r>
                              <w:rPr>
                                <w:sz w:val="24"/>
                                <w:szCs w:val="24"/>
                              </w:rPr>
                              <w:object w:dxaOrig="5605" w:dyaOrig="5595">
                                <v:shape id="_x0000_i1041" type="#_x0000_t75" style="width:78.75pt;height:78.6pt">
                                  <v:imagedata r:id="rId36" o:title=""/>
                                </v:shape>
                                <o:OLEObject Type="Embed" ProgID="PowerPoint.Slide.12" ShapeID="_x0000_i1041" DrawAspect="Content" ObjectID="_1640511305" r:id="rId3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31" o:spid="_x0000_s1033" style="position:absolute;left:0;text-align:left;margin-left:-1pt;margin-top:122.5pt;width:96.35pt;height:95.1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" fillcolor="window" strokecolor="#f79646" strokeweight="2pt">
                <v:textbox style="mso-fit-shape-to-text:t">
                  <w:txbxContent>
                    <w:p w:rsidR="000D7FEE" w:rsidRDefault="002C6C12">
                      <w:pPr>
                        <w:spacing w:after="0"/>
                        <w:jc w:val="center"/>
                        <w:rPr>
                          <w:b/>
                          <w:color w:val="1F497D" w:themeColor="text2"/>
                          <w:sz w:val="24"/>
                          <w:szCs w:val="24"/>
                        </w:rPr>
                      </w:pPr>
                      <w:r>
                        <w:rPr>
                          <w:sz w:val="24"/>
                          <w:szCs w:val="24"/>
                        </w:rPr>
                        <w:object w:dxaOrig="5605" w:dyaOrig="5595">
                          <v:shape id="_x0000_i1041" type="#_x0000_t75" style="width:78.75pt;height:78.6pt">
                            <v:imagedata r:id="rId36" o:title=""/>
                          </v:shape>
                          <o:OLEObject Type="Embed" ProgID="PowerPoint.Slide.12" ShapeID="_x0000_i1041" DrawAspect="Content" ObjectID="_1640511305" r:id="rId38"/>
                        </w:object>
                      </w:r>
                    </w:p>
                  </w:txbxContent>
                </v:textbox>
                <w10:wrap type="tight" anchorx="margin" anchory="page"/>
              </v:rect>
            </w:pict>
          </mc:Fallback>
        </mc:AlternateContent>
      </w:r>
      <w:r>
        <w:rPr>
          <w:rFonts w:ascii="Times New Roman" w:hAnsi="Times New Roman"/>
          <w:b/>
          <w:bCs/>
          <w:noProof/>
          <w:sz w:val="24"/>
          <w:szCs w:val="24"/>
        </w:rPr>
        <w:t>On ne travaille pas seulement pour gagner sa vie</w:t>
      </w:r>
      <w:r>
        <w:rPr>
          <w:rFonts w:ascii="Times New Roman" w:hAnsi="Times New Roman"/>
          <w:b/>
          <w:noProof/>
          <w:sz w:val="24"/>
          <w:szCs w:val="24"/>
        </w:rPr>
        <w:t>.</w:t>
      </w:r>
      <w:r>
        <w:rPr>
          <w:rFonts w:ascii="Times New Roman" w:hAnsi="Times New Roman"/>
          <w:noProof/>
          <w:sz w:val="24"/>
          <w:szCs w:val="24"/>
        </w:rPr>
        <w:t xml:space="preserve"> Occuper un emploi, c’est avoir des relations sociales, une place dans la société et des possibilités de développement personnel et </w:t>
      </w:r>
      <w:r>
        <w:rPr>
          <w:rFonts w:ascii="Times New Roman" w:hAnsi="Times New Roman"/>
          <w:noProof/>
          <w:sz w:val="24"/>
          <w:szCs w:val="24"/>
        </w:rPr>
        <w:t xml:space="preserve">professionnel. Mais ce n’est vraiment le cas que si l’on bénéficie de conditions de travail équitables et dignes. De nouvelles formes de travail se développent rapidement, principalement sous l’impulsion des technologies numériques. Elles contribuent à la </w:t>
      </w:r>
      <w:r>
        <w:rPr>
          <w:rFonts w:ascii="Times New Roman" w:hAnsi="Times New Roman"/>
          <w:noProof/>
          <w:sz w:val="24"/>
          <w:szCs w:val="24"/>
        </w:rPr>
        <w:t>croissance et à l’emploi et stimulent le développement de services innovants, en offrant de la flexibilité et des possibilités aux salariés, aux indépendants, aux clients et aux entreprises. Pourtant, elles peuvent aussi engendrer de nouvelles formes de pr</w:t>
      </w:r>
      <w:r>
        <w:rPr>
          <w:rFonts w:ascii="Times New Roman" w:hAnsi="Times New Roman"/>
          <w:noProof/>
          <w:sz w:val="24"/>
          <w:szCs w:val="24"/>
        </w:rPr>
        <w:t>écarité. Pour renforcer la confiance dans la transformation numérique et exploiter pleinement son potentiel, les nouveaux modèles commerciaux ont besoin de règles plus claires qui préviennent les abus, maintiennent des normes élevées en matière de santé et</w:t>
      </w:r>
      <w:r>
        <w:rPr>
          <w:rFonts w:ascii="Times New Roman" w:hAnsi="Times New Roman"/>
          <w:noProof/>
          <w:sz w:val="24"/>
          <w:szCs w:val="24"/>
        </w:rPr>
        <w:t xml:space="preserve"> de sécurité et garantissent une meilleure couverture sociale. L’innovation technologique doit aller de pair avec l’innovation sociale. Le mode de vie européen est un mode de vie humain et éthique, et nous devons continuer à façonner notre avenir à cette i</w:t>
      </w:r>
      <w:r>
        <w:rPr>
          <w:rFonts w:ascii="Times New Roman" w:hAnsi="Times New Roman"/>
          <w:noProof/>
          <w:sz w:val="24"/>
          <w:szCs w:val="24"/>
        </w:rPr>
        <w:t>mage.</w:t>
      </w:r>
      <w:r>
        <w:rPr>
          <w:noProof/>
          <w:sz w:val="24"/>
          <w:szCs w:val="24"/>
        </w:rPr>
        <w:t xml:space="preserve"> </w:t>
      </w:r>
    </w:p>
    <w:p w:rsidR="000D7FEE" w:rsidRDefault="002C6C12">
      <w:pPr>
        <w:spacing w:after="240"/>
        <w:jc w:val="both"/>
        <w:rPr>
          <w:rFonts w:ascii="Times New Roman" w:hAnsi="Times New Roman" w:cs="Times New Roman"/>
          <w:noProof/>
          <w:sz w:val="24"/>
          <w:szCs w:val="24"/>
        </w:rPr>
      </w:pPr>
      <w:r>
        <w:rPr>
          <w:rFonts w:ascii="Times New Roman" w:hAnsi="Times New Roman"/>
          <w:b/>
          <w:noProof/>
          <w:sz w:val="24"/>
          <w:szCs w:val="24"/>
        </w:rPr>
        <w:t>En particulier, assurer la croissance durable de l’économie des plateformes exige d’améliorer les conditions de travail des travailleurs de plateforme.</w:t>
      </w:r>
      <w:r>
        <w:rPr>
          <w:rFonts w:ascii="Times New Roman" w:hAnsi="Times New Roman"/>
          <w:noProof/>
          <w:sz w:val="24"/>
          <w:szCs w:val="24"/>
        </w:rPr>
        <w:t xml:space="preserve"> </w:t>
      </w:r>
      <w:r>
        <w:rPr>
          <w:rFonts w:ascii="Times New Roman" w:hAnsi="Times New Roman"/>
          <w:i/>
          <w:noProof/>
          <w:sz w:val="24"/>
          <w:szCs w:val="24"/>
        </w:rPr>
        <w:t xml:space="preserve">Une nouvelle </w:t>
      </w:r>
      <w:r>
        <w:rPr>
          <w:rFonts w:ascii="Times New Roman" w:hAnsi="Times New Roman"/>
          <w:b/>
          <w:i/>
          <w:noProof/>
          <w:sz w:val="24"/>
          <w:szCs w:val="24"/>
        </w:rPr>
        <w:t>législation sur les services numériques</w:t>
      </w:r>
      <w:r>
        <w:rPr>
          <w:rFonts w:ascii="Times New Roman" w:hAnsi="Times New Roman"/>
          <w:i/>
          <w:noProof/>
          <w:sz w:val="24"/>
          <w:szCs w:val="24"/>
        </w:rPr>
        <w:t>,</w:t>
      </w:r>
      <w:r>
        <w:rPr>
          <w:rFonts w:ascii="Times New Roman" w:hAnsi="Times New Roman"/>
          <w:noProof/>
          <w:sz w:val="24"/>
          <w:szCs w:val="24"/>
        </w:rPr>
        <w:t xml:space="preserve"> </w:t>
      </w:r>
      <w:r>
        <w:rPr>
          <w:rFonts w:ascii="Times New Roman" w:hAnsi="Times New Roman"/>
          <w:i/>
          <w:noProof/>
          <w:sz w:val="24"/>
          <w:szCs w:val="24"/>
        </w:rPr>
        <w:t xml:space="preserve">qui sera présentée au cours du second </w:t>
      </w:r>
      <w:r>
        <w:rPr>
          <w:rFonts w:ascii="Times New Roman" w:hAnsi="Times New Roman"/>
          <w:i/>
          <w:noProof/>
          <w:sz w:val="24"/>
          <w:szCs w:val="24"/>
        </w:rPr>
        <w:t>semestre 2020</w:t>
      </w:r>
      <w:r>
        <w:rPr>
          <w:rFonts w:ascii="Times New Roman" w:hAnsi="Times New Roman"/>
          <w:noProof/>
          <w:sz w:val="24"/>
          <w:szCs w:val="24"/>
        </w:rPr>
        <w:t xml:space="preserve">, renforcera nos règles en matière de responsabilité et de sécurité pour les plateformes, les services et les produits numériques et complétera notre marché unique numérique. </w:t>
      </w:r>
      <w:r>
        <w:rPr>
          <w:rFonts w:ascii="Times New Roman" w:hAnsi="Times New Roman"/>
          <w:i/>
          <w:noProof/>
          <w:sz w:val="24"/>
          <w:szCs w:val="24"/>
        </w:rPr>
        <w:t xml:space="preserve">Dans le même temps, la Commission organisera un </w:t>
      </w:r>
      <w:r>
        <w:rPr>
          <w:rFonts w:ascii="Times New Roman" w:hAnsi="Times New Roman"/>
          <w:b/>
          <w:i/>
          <w:noProof/>
          <w:sz w:val="24"/>
          <w:szCs w:val="24"/>
        </w:rPr>
        <w:t>sommet sur le travai</w:t>
      </w:r>
      <w:r>
        <w:rPr>
          <w:rFonts w:ascii="Times New Roman" w:hAnsi="Times New Roman"/>
          <w:b/>
          <w:i/>
          <w:noProof/>
          <w:sz w:val="24"/>
          <w:szCs w:val="24"/>
        </w:rPr>
        <w:t>l via une plateforme</w:t>
      </w:r>
      <w:r>
        <w:rPr>
          <w:rFonts w:ascii="Times New Roman" w:hAnsi="Times New Roman"/>
          <w:i/>
          <w:noProof/>
          <w:sz w:val="24"/>
          <w:szCs w:val="24"/>
        </w:rPr>
        <w:t xml:space="preserve"> afin d’examiner les questions prioritaires et les solutions possibles</w:t>
      </w:r>
      <w:r>
        <w:rPr>
          <w:rFonts w:ascii="Times New Roman" w:hAnsi="Times New Roman"/>
          <w:noProof/>
          <w:sz w:val="24"/>
          <w:szCs w:val="24"/>
        </w:rPr>
        <w:t>, dont le statut professionnel, les conditions de travail et l’accès à la protection sociale des travailleurs de plateforme, l’accès à la représentation et à la négoc</w:t>
      </w:r>
      <w:r>
        <w:rPr>
          <w:rFonts w:ascii="Times New Roman" w:hAnsi="Times New Roman"/>
          <w:noProof/>
          <w:sz w:val="24"/>
          <w:szCs w:val="24"/>
        </w:rPr>
        <w:t xml:space="preserve">iation collectives et les aspects transfrontières du travail via une plateforme. </w:t>
      </w:r>
    </w:p>
    <w:p w:rsidR="000D7FEE" w:rsidRDefault="002C6C12">
      <w:pPr>
        <w:autoSpaceDE w:val="0"/>
        <w:autoSpaceDN w:val="0"/>
        <w:spacing w:after="240"/>
        <w:jc w:val="both"/>
        <w:rPr>
          <w:rFonts w:ascii="Times New Roman" w:hAnsi="Times New Roman" w:cs="Times New Roman"/>
          <w:i/>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53632" behindDoc="1" locked="0" layoutInCell="1" allowOverlap="1">
                <wp:simplePos x="0" y="0"/>
                <wp:positionH relativeFrom="margin">
                  <wp:posOffset>4481366</wp:posOffset>
                </wp:positionH>
                <wp:positionV relativeFrom="page">
                  <wp:posOffset>6923746</wp:posOffset>
                </wp:positionV>
                <wp:extent cx="1224000" cy="1601470"/>
                <wp:effectExtent l="0" t="0" r="14605" b="26035"/>
                <wp:wrapTight wrapText="bothSides">
                  <wp:wrapPolygon edited="0">
                    <wp:start x="0" y="0"/>
                    <wp:lineTo x="0" y="21702"/>
                    <wp:lineTo x="21522" y="21702"/>
                    <wp:lineTo x="21522" y="0"/>
                    <wp:lineTo x="0" y="0"/>
                  </wp:wrapPolygon>
                </wp:wrapTight>
                <wp:docPr id="33" name="Rectangle 33"/>
                <wp:cNvGraphicFramePr/>
                <a:graphic xmlns:a="http://schemas.openxmlformats.org/drawingml/2006/main">
                  <a:graphicData uri="http://schemas.microsoft.com/office/word/2010/wordprocessingShape">
                    <wps:wsp>
                      <wps:cNvSpPr/>
                      <wps:spPr>
                        <a:xfrm>
                          <a:off x="0" y="0"/>
                          <a:ext cx="1224000" cy="1601470"/>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0"/>
                              <w:jc w:val="center"/>
                              <w:rPr>
                                <w:b/>
                                <w:bCs/>
                                <w:color w:val="1F497D"/>
                                <w:sz w:val="24"/>
                                <w:szCs w:val="24"/>
                              </w:rPr>
                            </w:pPr>
                            <w:r>
                              <w:object w:dxaOrig="5613" w:dyaOrig="5602">
                                <v:shape id="_x0000_i1043" type="#_x0000_t75" style="width:78.85pt;height:78.7pt">
                                  <v:imagedata r:id="rId39" o:title=""/>
                                </v:shape>
                                <o:OLEObject Type="Embed" ProgID="PowerPoint.Slide.12" ShapeID="_x0000_i1043" DrawAspect="Content" ObjectID="_1640511306" r:id="rId4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33" o:spid="_x0000_s1034" style="position:absolute;left:0;text-align:left;margin-left:352.85pt;margin-top:545.2pt;width:96.4pt;height:126.1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" fillcolor="window" strokecolor="#f79646" strokeweight="2pt">
                <v:textbox style="mso-fit-shape-to-text:t">
                  <w:txbxContent>
                    <w:p w:rsidR="000D7FEE" w:rsidRDefault="002C6C12">
                      <w:pPr>
                        <w:spacing w:after="0"/>
                        <w:jc w:val="center"/>
                        <w:rPr>
                          <w:b/>
                          <w:bCs/>
                          <w:color w:val="1F497D"/>
                          <w:sz w:val="24"/>
                          <w:szCs w:val="24"/>
                        </w:rPr>
                      </w:pPr>
                      <w:r>
                        <w:object w:dxaOrig="5613" w:dyaOrig="5602">
                          <v:shape id="_x0000_i1043" type="#_x0000_t75" style="width:78.85pt;height:78.7pt">
                            <v:imagedata r:id="rId39" o:title=""/>
                          </v:shape>
                          <o:OLEObject Type="Embed" ProgID="PowerPoint.Slide.12" ShapeID="_x0000_i1043" DrawAspect="Content" ObjectID="_1640511306" r:id="rId41"/>
                        </w:object>
                      </w:r>
                    </w:p>
                  </w:txbxContent>
                </v:textbox>
                <w10:wrap type="tight" anchorx="margin" anchory="page"/>
              </v:rect>
            </w:pict>
          </mc:Fallback>
        </mc:AlternateContent>
      </w:r>
      <w:r>
        <w:rPr>
          <w:rFonts w:ascii="Times New Roman" w:hAnsi="Times New Roman"/>
          <w:b/>
          <w:bCs/>
          <w:noProof/>
          <w:sz w:val="24"/>
          <w:szCs w:val="24"/>
        </w:rPr>
        <w:t>La numérisation et les nouvelles technologies font aussi évoluer le lieu de travail.</w:t>
      </w:r>
      <w:r>
        <w:rPr>
          <w:rFonts w:ascii="Times New Roman" w:hAnsi="Times New Roman"/>
          <w:b/>
          <w:noProof/>
          <w:sz w:val="24"/>
          <w:szCs w:val="24"/>
        </w:rPr>
        <w:t xml:space="preserve"> </w:t>
      </w:r>
      <w:r>
        <w:rPr>
          <w:rFonts w:ascii="Times New Roman" w:hAnsi="Times New Roman"/>
          <w:noProof/>
          <w:sz w:val="24"/>
          <w:szCs w:val="24"/>
        </w:rPr>
        <w:t>Les travailleurs de l’UE bénéficient de normes élevées</w:t>
      </w:r>
      <w:r>
        <w:rPr>
          <w:rFonts w:ascii="Times New Roman" w:hAnsi="Times New Roman"/>
          <w:noProof/>
          <w:sz w:val="24"/>
          <w:szCs w:val="24"/>
        </w:rPr>
        <w:t xml:space="preserve"> en matière de santé et de sécurité. Les robots et les outils numériques peuvent remplacer les humains dans des tâches dangereuses et monotones. Toutefois, le changement peut aussi donner naissance à de nouvelles préoccupations. Les nouveaux modèles de tra</w:t>
      </w:r>
      <w:r>
        <w:rPr>
          <w:rFonts w:ascii="Times New Roman" w:hAnsi="Times New Roman"/>
          <w:noProof/>
          <w:sz w:val="24"/>
          <w:szCs w:val="24"/>
        </w:rPr>
        <w:t xml:space="preserve">vail – caractérisés par une connectivité constante, davantage de travail en ligne et de travail mobile, des interfaces homme-machine, la surveillance des travailleurs ou le recrutement et la gestion par des algorithmes, pour ne citer que quelques exemples </w:t>
      </w:r>
      <w:r>
        <w:rPr>
          <w:rFonts w:ascii="Times New Roman" w:hAnsi="Times New Roman"/>
          <w:noProof/>
          <w:sz w:val="24"/>
          <w:szCs w:val="24"/>
        </w:rPr>
        <w:t xml:space="preserve">– peuvent générer une hausse de productivité, qui est essentielle à l’amélioration globale du niveau de vie, mais leur développement doit éviter de créer de nouvelles formes de discrimination ou d’exclusion ou de nouveaux risques pour la santé physique et </w:t>
      </w:r>
      <w:r>
        <w:rPr>
          <w:rFonts w:ascii="Times New Roman" w:hAnsi="Times New Roman"/>
          <w:noProof/>
          <w:sz w:val="24"/>
          <w:szCs w:val="24"/>
        </w:rPr>
        <w:t xml:space="preserve">mentale des travailleurs. </w:t>
      </w:r>
      <w:r>
        <w:rPr>
          <w:rFonts w:ascii="Times New Roman" w:hAnsi="Times New Roman"/>
          <w:i/>
          <w:noProof/>
          <w:sz w:val="24"/>
          <w:szCs w:val="24"/>
        </w:rPr>
        <w:t>Afin de préserver ses normes élevées, la Commission réexaminera la stratégie en matière de sécurité et de santé au travail et examinera ces nouveaux risques parallèlement aux risques plus classiques, tels que l’exposition à des su</w:t>
      </w:r>
      <w:r>
        <w:rPr>
          <w:rFonts w:ascii="Times New Roman" w:hAnsi="Times New Roman"/>
          <w:i/>
          <w:noProof/>
          <w:sz w:val="24"/>
          <w:szCs w:val="24"/>
        </w:rPr>
        <w:t>bstances dangereuses et le risque d’accidents du travail.</w:t>
      </w:r>
      <w:r>
        <w:rPr>
          <w:i/>
          <w:noProof/>
          <w:sz w:val="24"/>
          <w:szCs w:val="24"/>
        </w:rPr>
        <w:t xml:space="preserve"> </w:t>
      </w:r>
    </w:p>
    <w:p w:rsidR="000D7FEE" w:rsidRDefault="002C6C12">
      <w:pPr>
        <w:autoSpaceDE w:val="0"/>
        <w:autoSpaceDN w:val="0"/>
        <w:spacing w:after="240"/>
        <w:jc w:val="both"/>
        <w:rPr>
          <w:rFonts w:ascii="Times New Roman" w:hAnsi="Times New Roman" w:cs="Times New Roman"/>
          <w:noProof/>
          <w:sz w:val="24"/>
          <w:szCs w:val="24"/>
        </w:rPr>
      </w:pPr>
      <w:r>
        <w:rPr>
          <w:rFonts w:ascii="Times New Roman" w:hAnsi="Times New Roman"/>
          <w:b/>
          <w:noProof/>
          <w:sz w:val="24"/>
          <w:szCs w:val="24"/>
        </w:rPr>
        <w:t>Des conditions de travail équitables, c’est aussi un dialogue social fort: les travailleurs et les employeurs peuvent trouver des solutions communes qui répondent le mieux à leurs besoins.</w:t>
      </w:r>
      <w:r>
        <w:rPr>
          <w:rFonts w:ascii="Times New Roman" w:hAnsi="Times New Roman"/>
          <w:noProof/>
          <w:sz w:val="24"/>
          <w:szCs w:val="24"/>
        </w:rPr>
        <w:t xml:space="preserve"> La prése</w:t>
      </w:r>
      <w:r>
        <w:rPr>
          <w:rFonts w:ascii="Times New Roman" w:hAnsi="Times New Roman"/>
          <w:noProof/>
          <w:sz w:val="24"/>
          <w:szCs w:val="24"/>
        </w:rPr>
        <w:t xml:space="preserve">nce d’organisations fortes et représentatives ainsi que leur participation en temps et en heure à l’élaboration des politiques, tant au niveau national qu’au niveau européen, sont extrêmement importantes. </w:t>
      </w:r>
      <w:r>
        <w:rPr>
          <w:rFonts w:ascii="Times New Roman" w:hAnsi="Times New Roman"/>
          <w:i/>
          <w:noProof/>
          <w:sz w:val="24"/>
          <w:szCs w:val="24"/>
        </w:rPr>
        <w:t xml:space="preserve">La Commission étudiera les moyens de promouvoir le </w:t>
      </w:r>
      <w:r>
        <w:rPr>
          <w:rFonts w:ascii="Times New Roman" w:hAnsi="Times New Roman"/>
          <w:i/>
          <w:noProof/>
          <w:sz w:val="24"/>
          <w:szCs w:val="24"/>
        </w:rPr>
        <w:t>dialogue social et la négociation collective</w:t>
      </w:r>
      <w:r>
        <w:rPr>
          <w:rFonts w:ascii="Times New Roman" w:hAnsi="Times New Roman"/>
          <w:noProof/>
          <w:sz w:val="24"/>
          <w:szCs w:val="24"/>
        </w:rPr>
        <w:t xml:space="preserve"> et d’accroître les capacités des syndicats et des organisations patronales au niveau de l’UE et au niveau national. Il est également crucial d’entretenir un dialogue efficace au niveau des entreprises, surtout lorsque celles-ci sont en restructuration ou </w:t>
      </w:r>
      <w:r>
        <w:rPr>
          <w:rFonts w:ascii="Times New Roman" w:hAnsi="Times New Roman"/>
          <w:noProof/>
          <w:sz w:val="24"/>
          <w:szCs w:val="24"/>
        </w:rPr>
        <w:t>en profonde mutation. Étant donné que les entreprises travaillent de plus en plus par-delà les frontières, nous devrions faire pleinement usage des instruments existants en matière de participation des travailleurs, tels que les comités d’entreprise europé</w:t>
      </w:r>
      <w:r>
        <w:rPr>
          <w:rFonts w:ascii="Times New Roman" w:hAnsi="Times New Roman"/>
          <w:noProof/>
          <w:sz w:val="24"/>
          <w:szCs w:val="24"/>
        </w:rPr>
        <w:t xml:space="preserve">ens, pour promouvoir la culture d’information et de consultation des travailleurs. </w:t>
      </w:r>
    </w:p>
    <w:p w:rsidR="000D7FEE" w:rsidRDefault="002C6C12">
      <w:pPr>
        <w:pStyle w:val="ListParagraph"/>
        <w:ind w:left="0"/>
        <w:jc w:val="both"/>
        <w:rPr>
          <w:rFonts w:ascii="Times New Roman" w:hAnsi="Times New Roman" w:cs="Times New Roman"/>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57728" behindDoc="1" locked="0" layoutInCell="1" allowOverlap="1">
                <wp:simplePos x="0" y="0"/>
                <wp:positionH relativeFrom="margin">
                  <wp:posOffset>5715</wp:posOffset>
                </wp:positionH>
                <wp:positionV relativeFrom="paragraph">
                  <wp:posOffset>19050</wp:posOffset>
                </wp:positionV>
                <wp:extent cx="1260000" cy="1080000"/>
                <wp:effectExtent l="0" t="0" r="16510" b="26035"/>
                <wp:wrapTight wrapText="bothSides">
                  <wp:wrapPolygon edited="0">
                    <wp:start x="0" y="0"/>
                    <wp:lineTo x="0" y="21702"/>
                    <wp:lineTo x="21556" y="21702"/>
                    <wp:lineTo x="21556" y="0"/>
                    <wp:lineTo x="0" y="0"/>
                  </wp:wrapPolygon>
                </wp:wrapTight>
                <wp:docPr id="35" name="Rectangle 35"/>
                <wp:cNvGraphicFramePr/>
                <a:graphic xmlns:a="http://schemas.openxmlformats.org/drawingml/2006/main">
                  <a:graphicData uri="http://schemas.microsoft.com/office/word/2010/wordprocessingShape">
                    <wps:wsp>
                      <wps:cNvSpPr/>
                      <wps:spPr>
                        <a:xfrm>
                          <a:off x="0" y="0"/>
                          <a:ext cx="1260000" cy="1080000"/>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0"/>
                              <w:jc w:val="center"/>
                              <w:rPr>
                                <w:b/>
                                <w:color w:val="1F497D" w:themeColor="text2"/>
                                <w:sz w:val="24"/>
                                <w:szCs w:val="24"/>
                              </w:rPr>
                            </w:pPr>
                            <w:r>
                              <w:object w:dxaOrig="5670" w:dyaOrig="5660">
                                <v:shape id="_x0000_i1045" type="#_x0000_t75" style="width:82.8pt;height:82.65pt">
                                  <v:imagedata r:id="rId42" o:title=""/>
                                </v:shape>
                                <o:OLEObject Type="Embed" ProgID="PowerPoint.Slide.12" ShapeID="_x0000_i1045" DrawAspect="Content" ObjectID="_1640511307" r:id="rId43"/>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35" o:spid="_x0000_s1035" style="position:absolute;left:0;text-align:left;margin-left:.45pt;margin-top:1.5pt;width:99.2pt;height:85.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" fillcolor="window" strokecolor="#f79646" strokeweight="2pt">
                <v:textbox style="mso-fit-shape-to-text:t">
                  <w:txbxContent>
                    <w:p w:rsidR="000D7FEE" w:rsidRDefault="002C6C12">
                      <w:pPr>
                        <w:spacing w:after="0"/>
                        <w:jc w:val="center"/>
                        <w:rPr>
                          <w:b/>
                          <w:color w:val="1F497D" w:themeColor="text2"/>
                          <w:sz w:val="24"/>
                          <w:szCs w:val="24"/>
                        </w:rPr>
                      </w:pPr>
                      <w:r>
                        <w:object w:dxaOrig="5670" w:dyaOrig="5660">
                          <v:shape id="_x0000_i1045" type="#_x0000_t75" style="width:82.8pt;height:82.65pt">
                            <v:imagedata r:id="rId42" o:title=""/>
                          </v:shape>
                          <o:OLEObject Type="Embed" ProgID="PowerPoint.Slide.12" ShapeID="_x0000_i1045" DrawAspect="Content" ObjectID="_1640511307" r:id="rId44"/>
                        </w:object>
                      </w:r>
                    </w:p>
                  </w:txbxContent>
                </v:textbox>
                <w10:wrap type="tight" anchorx="margin"/>
              </v:rect>
            </w:pict>
          </mc:Fallback>
        </mc:AlternateContent>
      </w:r>
      <w:r>
        <w:rPr>
          <w:rFonts w:ascii="Times New Roman" w:hAnsi="Times New Roman"/>
          <w:b/>
          <w:bCs/>
          <w:noProof/>
          <w:sz w:val="24"/>
          <w:szCs w:val="24"/>
        </w:rPr>
        <w:t xml:space="preserve">Pour les citoyens européens qui vivent ou travaillent actuellement dans un autre pays de l’UE, les conditions de travail équitables sont </w:t>
      </w:r>
      <w:r>
        <w:rPr>
          <w:rFonts w:ascii="Times New Roman" w:hAnsi="Times New Roman"/>
          <w:b/>
          <w:bCs/>
          <w:noProof/>
          <w:sz w:val="24"/>
          <w:szCs w:val="24"/>
        </w:rPr>
        <w:t>synonyme de mobilité équitable</w:t>
      </w:r>
      <w:r>
        <w:rPr>
          <w:rFonts w:ascii="Times New Roman" w:hAnsi="Times New Roman"/>
          <w:b/>
          <w:noProof/>
          <w:sz w:val="24"/>
          <w:szCs w:val="24"/>
        </w:rPr>
        <w:t>.</w:t>
      </w:r>
      <w:r>
        <w:rPr>
          <w:rFonts w:ascii="Times New Roman" w:hAnsi="Times New Roman"/>
          <w:noProof/>
          <w:sz w:val="24"/>
          <w:szCs w:val="24"/>
        </w:rPr>
        <w:t> Les Européens sont aujourd’hui deux fois plus nombreux qu’il y a dix ans à vivre ou à travailler dans un autre pays de l’UE. Des millions d’entreprises, notamment des PME, exercent une activité transfrontière. Elles bénéfici</w:t>
      </w:r>
      <w:r>
        <w:rPr>
          <w:rFonts w:ascii="Times New Roman" w:hAnsi="Times New Roman"/>
          <w:noProof/>
          <w:sz w:val="24"/>
          <w:szCs w:val="24"/>
        </w:rPr>
        <w:t>ent du marché unique, moteur indispensable de la croissance et de l’emploi. Pour que tout se déroule dans des conditions équitables et transparentes et pour assurer une concurrence loyale entre les entreprises, protéger les droits des travailleurs et évite</w:t>
      </w:r>
      <w:r>
        <w:rPr>
          <w:rFonts w:ascii="Times New Roman" w:hAnsi="Times New Roman"/>
          <w:noProof/>
          <w:sz w:val="24"/>
          <w:szCs w:val="24"/>
        </w:rPr>
        <w:t xml:space="preserve">r les doubles contributions et le dumping social, l’UE a besoin de règles adaptées. La toute nouvelle </w:t>
      </w:r>
      <w:r>
        <w:rPr>
          <w:rFonts w:ascii="Times New Roman" w:hAnsi="Times New Roman"/>
          <w:b/>
          <w:noProof/>
          <w:sz w:val="24"/>
          <w:szCs w:val="24"/>
        </w:rPr>
        <w:t>Autorité européenne du travail</w:t>
      </w:r>
      <w:r>
        <w:rPr>
          <w:rFonts w:ascii="Times New Roman" w:hAnsi="Times New Roman"/>
          <w:noProof/>
          <w:sz w:val="24"/>
          <w:szCs w:val="24"/>
        </w:rPr>
        <w:t xml:space="preserve"> sera un outil essentiel pour faciliter l’application et le respect des règles de l’UE dans ce domaine, ce qui contribuera à</w:t>
      </w:r>
      <w:r>
        <w:rPr>
          <w:rFonts w:ascii="Times New Roman" w:hAnsi="Times New Roman"/>
          <w:noProof/>
          <w:sz w:val="24"/>
          <w:szCs w:val="24"/>
        </w:rPr>
        <w:t xml:space="preserve"> améliorer le fonctionnement du marché unique. Elle permettra aux particuliers et aux employeurs d’accéder facilement aux informations relatives au travail ou à l’exercice de leur activité dans un autre pays de l’UE, et elle soutiendra la coopération entre</w:t>
      </w:r>
      <w:r>
        <w:rPr>
          <w:rFonts w:ascii="Times New Roman" w:hAnsi="Times New Roman"/>
          <w:noProof/>
          <w:sz w:val="24"/>
          <w:szCs w:val="24"/>
        </w:rPr>
        <w:t xml:space="preserve"> les autorités nationales, notamment en ce qui concerne le renforcement des inspections, la lutte contre le travail non déclaré et la lutte contre la fraude. </w:t>
      </w:r>
    </w:p>
    <w:p w:rsidR="000D7FEE" w:rsidRDefault="002C6C12">
      <w:pPr>
        <w:keepNext/>
        <w:jc w:val="both"/>
        <w:rPr>
          <w:rFonts w:ascii="Times New Roman" w:hAnsi="Times New Roman" w:cs="Times New Roman"/>
          <w:b/>
          <w:noProof/>
          <w:sz w:val="28"/>
          <w:szCs w:val="24"/>
        </w:rPr>
      </w:pPr>
      <w:bookmarkStart w:id="1" w:name="_GoBack"/>
      <w:bookmarkEnd w:id="1"/>
      <w:r>
        <w:rPr>
          <w:rFonts w:ascii="Times New Roman" w:hAnsi="Times New Roman"/>
          <w:b/>
          <w:noProof/>
          <w:sz w:val="28"/>
        </w:rPr>
        <w:t>4. Protection sociale et inclusion sociale</w:t>
      </w:r>
    </w:p>
    <w:p w:rsidR="000D7FEE" w:rsidRDefault="002C6C12">
      <w:pPr>
        <w:keepNext/>
        <w:jc w:val="both"/>
        <w:rPr>
          <w:rFonts w:ascii="Times New Roman" w:hAnsi="Times New Roman" w:cs="Times New Roman"/>
          <w:b/>
          <w:noProof/>
          <w:sz w:val="24"/>
          <w:szCs w:val="24"/>
          <w:u w:val="single"/>
        </w:rPr>
      </w:pPr>
      <w:r>
        <w:rPr>
          <w:rFonts w:ascii="Times New Roman" w:hAnsi="Times New Roman"/>
          <w:b/>
          <w:noProof/>
          <w:sz w:val="24"/>
          <w:szCs w:val="24"/>
          <w:u w:val="single"/>
        </w:rPr>
        <w:t>Assurer un niveau élevé de protection sociale</w:t>
      </w:r>
    </w:p>
    <w:p w:rsidR="000D7FEE" w:rsidRDefault="002C6C12">
      <w:pPr>
        <w:jc w:val="both"/>
        <w:rPr>
          <w:rFonts w:ascii="Times New Roman" w:hAnsi="Times New Roman" w:cs="Times New Roman"/>
          <w:b/>
          <w:noProof/>
          <w:sz w:val="24"/>
          <w:szCs w:val="24"/>
        </w:rPr>
      </w:pPr>
      <w:r>
        <w:rPr>
          <w:rFonts w:ascii="Times New Roman" w:hAnsi="Times New Roman"/>
          <w:b/>
          <w:noProof/>
          <w:sz w:val="24"/>
          <w:szCs w:val="24"/>
        </w:rPr>
        <w:t xml:space="preserve">Pour être résilient, le contrat social doit être ancré dans une solidarité forte. </w:t>
      </w:r>
      <w:r>
        <w:rPr>
          <w:rFonts w:ascii="Times New Roman" w:hAnsi="Times New Roman"/>
          <w:noProof/>
          <w:sz w:val="24"/>
          <w:szCs w:val="24"/>
        </w:rPr>
        <w:t>Nous devons redoubler d’efforts pour soutenir ceux qui perdent leur emploi à cause d’événements extérieurs ayant une incidence sur notre économie, en favorisant leur reconver</w:t>
      </w:r>
      <w:r>
        <w:rPr>
          <w:rFonts w:ascii="Times New Roman" w:hAnsi="Times New Roman"/>
          <w:noProof/>
          <w:sz w:val="24"/>
          <w:szCs w:val="24"/>
        </w:rPr>
        <w:t xml:space="preserve">sion professionnelle et leur réinsertion dans le marché du travail. </w:t>
      </w:r>
      <w:r>
        <w:rPr>
          <w:rFonts w:ascii="Times New Roman" w:hAnsi="Times New Roman"/>
          <w:i/>
          <w:noProof/>
          <w:sz w:val="24"/>
          <w:szCs w:val="24"/>
        </w:rPr>
        <w:t xml:space="preserve">La Commission proposera de mettre en place un </w:t>
      </w:r>
      <w:r>
        <w:rPr>
          <w:rFonts w:ascii="Times New Roman" w:hAnsi="Times New Roman"/>
          <w:b/>
          <w:i/>
          <w:noProof/>
          <w:sz w:val="24"/>
          <w:szCs w:val="24"/>
        </w:rPr>
        <w:t>régime européen de réassurance des prestations de chômage</w:t>
      </w:r>
      <w:r>
        <w:rPr>
          <w:rFonts w:ascii="Times New Roman" w:hAnsi="Times New Roman"/>
          <w:noProof/>
          <w:sz w:val="24"/>
          <w:szCs w:val="24"/>
        </w:rPr>
        <w:t xml:space="preserve"> afin de protéger nos citoyens et de réduire la pression sur les finances publiques e</w:t>
      </w:r>
      <w:r>
        <w:rPr>
          <w:rFonts w:ascii="Times New Roman" w:hAnsi="Times New Roman"/>
          <w:noProof/>
          <w:sz w:val="24"/>
          <w:szCs w:val="24"/>
        </w:rPr>
        <w:t>n période de choc externe.</w:t>
      </w:r>
      <w:r>
        <w:rPr>
          <w:rFonts w:ascii="Times New Roman" w:hAnsi="Times New Roman"/>
          <w:i/>
          <w:noProof/>
          <w:sz w:val="24"/>
          <w:szCs w:val="24"/>
        </w:rPr>
        <w:t xml:space="preserve"> </w:t>
      </w:r>
      <w:r>
        <w:rPr>
          <w:rFonts w:ascii="Times New Roman" w:hAnsi="Times New Roman"/>
          <w:b/>
          <w:noProof/>
          <w:sz w:val="24"/>
          <w:szCs w:val="24"/>
        </w:rPr>
        <w:t xml:space="preserve">  </w:t>
      </w:r>
    </w:p>
    <w:p w:rsidR="000D7FEE" w:rsidRDefault="002C6C12">
      <w:pPr>
        <w:jc w:val="both"/>
        <w:rPr>
          <w:rFonts w:ascii="Times New Roman" w:hAnsi="Times New Roman" w:cs="Times New Roman"/>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72064" behindDoc="1" locked="0" layoutInCell="1" allowOverlap="1">
                <wp:simplePos x="0" y="0"/>
                <wp:positionH relativeFrom="margin">
                  <wp:posOffset>4538345</wp:posOffset>
                </wp:positionH>
                <wp:positionV relativeFrom="paragraph">
                  <wp:posOffset>3175</wp:posOffset>
                </wp:positionV>
                <wp:extent cx="1357630" cy="1528445"/>
                <wp:effectExtent l="0" t="0" r="13970" b="14605"/>
                <wp:wrapTight wrapText="bothSides">
                  <wp:wrapPolygon edited="0">
                    <wp:start x="0" y="0"/>
                    <wp:lineTo x="0" y="21537"/>
                    <wp:lineTo x="21519" y="21537"/>
                    <wp:lineTo x="21519" y="0"/>
                    <wp:lineTo x="0" y="0"/>
                  </wp:wrapPolygon>
                </wp:wrapTight>
                <wp:docPr id="37" name="Rectangle 37"/>
                <wp:cNvGraphicFramePr/>
                <a:graphic xmlns:a="http://schemas.openxmlformats.org/drawingml/2006/main">
                  <a:graphicData uri="http://schemas.microsoft.com/office/word/2010/wordprocessingShape">
                    <wps:wsp>
                      <wps:cNvSpPr/>
                      <wps:spPr>
                        <a:xfrm>
                          <a:off x="0" y="0"/>
                          <a:ext cx="1357630" cy="1528445"/>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120"/>
                              <w:jc w:val="center"/>
                            </w:pPr>
                            <w:r>
                              <w:object w:dxaOrig="5483" w:dyaOrig="5473">
                                <v:shape id="_x0000_i1047" type="#_x0000_t75" style="width:94.6pt;height:103.7pt">
                                  <v:imagedata r:id="rId45" o:title=""/>
                                </v:shape>
                                <o:OLEObject Type="Embed" ProgID="PowerPoint.Slide.12" ShapeID="_x0000_i1047" DrawAspect="Content" ObjectID="_1640511308" r:id="rId46"/>
                              </w:object>
                            </w:r>
                          </w:p>
                          <w:p w:rsidR="000D7FEE" w:rsidRDefault="000D7FEE">
                            <w:pPr>
                              <w:spacing w:after="120"/>
                              <w:jc w:val="center"/>
                              <w:rPr>
                                <w:b/>
                                <w:color w:val="1F497D" w:themeColor="text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6" style="position:absolute;left:0;text-align:left;margin-left:357.35pt;margin-top:.25pt;width:106.9pt;height:120.3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" fillcolor="window" strokecolor="#f79646" strokeweight="2pt">
                <v:textbox>
                  <w:txbxContent>
                    <w:p w:rsidR="000D7FEE" w:rsidRDefault="002C6C12">
                      <w:pPr>
                        <w:spacing w:after="120"/>
                        <w:jc w:val="center"/>
                      </w:pPr>
                      <w:r>
                        <w:object w:dxaOrig="5483" w:dyaOrig="5473">
                          <v:shape id="_x0000_i1047" type="#_x0000_t75" style="width:94.6pt;height:103.7pt">
                            <v:imagedata r:id="rId45" o:title=""/>
                          </v:shape>
                          <o:OLEObject Type="Embed" ProgID="PowerPoint.Slide.12" ShapeID="_x0000_i1047" DrawAspect="Content" ObjectID="_1640511308" r:id="rId47"/>
                        </w:object>
                      </w:r>
                    </w:p>
                    <w:p w:rsidR="000D7FEE" w:rsidRDefault="000D7FEE">
                      <w:pPr>
                        <w:spacing w:after="120"/>
                        <w:jc w:val="center"/>
                        <w:rPr>
                          <w:b/>
                          <w:color w:val="1F497D" w:themeColor="text2"/>
                          <w:sz w:val="24"/>
                          <w:szCs w:val="24"/>
                        </w:rPr>
                      </w:pPr>
                    </w:p>
                  </w:txbxContent>
                </v:textbox>
                <w10:wrap type="tight" anchorx="margin"/>
              </v:rect>
            </w:pict>
          </mc:Fallback>
        </mc:AlternateContent>
      </w:r>
      <w:r>
        <w:rPr>
          <w:rFonts w:ascii="Times New Roman" w:hAnsi="Times New Roman"/>
          <w:b/>
          <w:bCs/>
          <w:noProof/>
          <w:sz w:val="24"/>
          <w:szCs w:val="24"/>
        </w:rPr>
        <w:t>Nos normes de protection sociale doivent aussi être adaptées aux nouvelles réalités du monde du travail, aux nouvelles vulnérabilités et aux nouvelles attentes des citoyens.</w:t>
      </w:r>
      <w:r>
        <w:rPr>
          <w:rFonts w:ascii="Times New Roman" w:hAnsi="Times New Roman"/>
          <w:b/>
          <w:noProof/>
          <w:sz w:val="24"/>
          <w:szCs w:val="24"/>
        </w:rPr>
        <w:t xml:space="preserve"> </w:t>
      </w:r>
      <w:r>
        <w:rPr>
          <w:rFonts w:ascii="Times New Roman" w:hAnsi="Times New Roman"/>
          <w:noProof/>
          <w:sz w:val="24"/>
          <w:szCs w:val="24"/>
        </w:rPr>
        <w:t>Dans plusieurs É</w:t>
      </w:r>
      <w:r>
        <w:rPr>
          <w:rFonts w:ascii="Times New Roman" w:hAnsi="Times New Roman"/>
          <w:noProof/>
          <w:sz w:val="24"/>
          <w:szCs w:val="24"/>
        </w:rPr>
        <w:t xml:space="preserve">tats membres, certains travailleurs indépendants et certaines personnes occupant un emploi atypique n’ont pas accès à une protection sociale adéquate. La mise en œuvre de la recommandation concernant l’accès à la protection sociale garantira la protection </w:t>
      </w:r>
      <w:r>
        <w:rPr>
          <w:rFonts w:ascii="Times New Roman" w:hAnsi="Times New Roman"/>
          <w:noProof/>
          <w:sz w:val="24"/>
          <w:szCs w:val="24"/>
        </w:rPr>
        <w:t xml:space="preserve">de tous en cas de chômage, de maladie, de vieillesse, d’invalidité ou d’accident du travail, quel que soit leur statut professionnel. </w:t>
      </w:r>
    </w:p>
    <w:p w:rsidR="000D7FEE" w:rsidRDefault="002C6C12">
      <w:pPr>
        <w:jc w:val="both"/>
        <w:rPr>
          <w:rFonts w:ascii="Times New Roman" w:hAnsi="Times New Roman" w:cs="Times New Roman"/>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86400" behindDoc="1" locked="0" layoutInCell="1" allowOverlap="1">
                <wp:simplePos x="0" y="0"/>
                <wp:positionH relativeFrom="margin">
                  <wp:posOffset>635</wp:posOffset>
                </wp:positionH>
                <wp:positionV relativeFrom="paragraph">
                  <wp:posOffset>21903</wp:posOffset>
                </wp:positionV>
                <wp:extent cx="1224000" cy="1364615"/>
                <wp:effectExtent l="0" t="0" r="14605" b="26035"/>
                <wp:wrapTight wrapText="bothSides">
                  <wp:wrapPolygon edited="0">
                    <wp:start x="0" y="0"/>
                    <wp:lineTo x="0" y="21711"/>
                    <wp:lineTo x="21522" y="21711"/>
                    <wp:lineTo x="21522" y="0"/>
                    <wp:lineTo x="0" y="0"/>
                  </wp:wrapPolygon>
                </wp:wrapTight>
                <wp:docPr id="1" name="Rectangle 1"/>
                <wp:cNvGraphicFramePr/>
                <a:graphic xmlns:a="http://schemas.openxmlformats.org/drawingml/2006/main">
                  <a:graphicData uri="http://schemas.microsoft.com/office/word/2010/wordprocessingShape">
                    <wps:wsp>
                      <wps:cNvSpPr/>
                      <wps:spPr>
                        <a:xfrm>
                          <a:off x="0" y="0"/>
                          <a:ext cx="1224000" cy="1364615"/>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120"/>
                              <w:jc w:val="center"/>
                              <w:rPr>
                                <w:b/>
                                <w:color w:val="1F497D" w:themeColor="text2"/>
                                <w:sz w:val="24"/>
                                <w:szCs w:val="24"/>
                              </w:rPr>
                            </w:pPr>
                            <w:r>
                              <w:object w:dxaOrig="5670" w:dyaOrig="5660">
                                <v:shape id="_x0000_i1049" type="#_x0000_t75" style="width:79.65pt;height:79.5pt">
                                  <v:imagedata r:id="rId48" o:title=""/>
                                </v:shape>
                                <o:OLEObject Type="Embed" ProgID="PowerPoint.Slide.12" ShapeID="_x0000_i1049" DrawAspect="Content" ObjectID="_1640511309" r:id="rId4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7" style="position:absolute;left:0;text-align:left;margin-left:.05pt;margin-top:1.7pt;width:96.4pt;height:107.4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" fillcolor="window" strokecolor="#f79646" strokeweight="2pt">
                <v:textbox>
                  <w:txbxContent>
                    <w:p w:rsidR="000D7FEE" w:rsidRDefault="002C6C12">
                      <w:pPr>
                        <w:spacing w:after="120"/>
                        <w:jc w:val="center"/>
                        <w:rPr>
                          <w:b/>
                          <w:color w:val="1F497D" w:themeColor="text2"/>
                          <w:sz w:val="24"/>
                          <w:szCs w:val="24"/>
                        </w:rPr>
                      </w:pPr>
                      <w:r>
                        <w:object w:dxaOrig="5670" w:dyaOrig="5660">
                          <v:shape id="_x0000_i1049" type="#_x0000_t75" style="width:79.65pt;height:79.5pt">
                            <v:imagedata r:id="rId48" o:title=""/>
                          </v:shape>
                          <o:OLEObject Type="Embed" ProgID="PowerPoint.Slide.12" ShapeID="_x0000_i1049" DrawAspect="Content" ObjectID="_1640511309" r:id="rId50"/>
                        </w:object>
                      </w:r>
                    </w:p>
                  </w:txbxContent>
                </v:textbox>
                <w10:wrap type="tight" anchorx="margin"/>
              </v:rect>
            </w:pict>
          </mc:Fallback>
        </mc:AlternateContent>
      </w:r>
      <w:r>
        <w:rPr>
          <w:rFonts w:ascii="Times New Roman" w:hAnsi="Times New Roman"/>
          <w:b/>
          <w:bCs/>
          <w:noProof/>
          <w:sz w:val="24"/>
          <w:szCs w:val="24"/>
        </w:rPr>
        <w:t xml:space="preserve">Veiller à ce qu’il n’y ait pas de laissés-pour-compte, c’est aussi garantir l’accès à </w:t>
      </w:r>
      <w:r>
        <w:rPr>
          <w:rFonts w:ascii="Times New Roman" w:hAnsi="Times New Roman"/>
          <w:b/>
          <w:bCs/>
          <w:noProof/>
          <w:sz w:val="24"/>
          <w:szCs w:val="24"/>
        </w:rPr>
        <w:t>des soins de santé abordables.</w:t>
      </w:r>
      <w:r>
        <w:rPr>
          <w:rFonts w:ascii="Times New Roman" w:hAnsi="Times New Roman"/>
          <w:b/>
          <w:noProof/>
          <w:sz w:val="24"/>
          <w:szCs w:val="24"/>
        </w:rPr>
        <w:t xml:space="preserve"> </w:t>
      </w:r>
      <w:r>
        <w:rPr>
          <w:rFonts w:ascii="Times New Roman" w:hAnsi="Times New Roman"/>
          <w:noProof/>
          <w:sz w:val="24"/>
          <w:szCs w:val="24"/>
        </w:rPr>
        <w:t>Les personnes pauvres vivent généralement six ans de moins que les personnes riches. En promouvant un mode de vie sain, de meilleures mesures de prévention et des soins de santé centrés sur le patient, on peut offrir à tous d</w:t>
      </w:r>
      <w:r>
        <w:rPr>
          <w:rFonts w:ascii="Times New Roman" w:hAnsi="Times New Roman"/>
          <w:noProof/>
          <w:sz w:val="24"/>
          <w:szCs w:val="24"/>
        </w:rPr>
        <w:t xml:space="preserve">es soins de santé abordables et de qualité. Pour concevoir des systèmes de protection sociale fondés sur les valeurs et principes européens d’universalité, de solidarité et d’équité, il faudra mettre au point de nouveaux modèles intégrés de soins de santé </w:t>
      </w:r>
      <w:r>
        <w:rPr>
          <w:rFonts w:ascii="Times New Roman" w:hAnsi="Times New Roman"/>
          <w:noProof/>
          <w:sz w:val="24"/>
          <w:szCs w:val="24"/>
        </w:rPr>
        <w:t>et de services sociaux. Cela permettra aussi de tirer le meilleur parti des innovations rentables qui répondent aux besoins réels en matière de santé publique. Une approche centrée sur le patient permettrait d’atteindre de meilleurs résultats: par exemple,</w:t>
      </w:r>
      <w:r>
        <w:rPr>
          <w:rFonts w:ascii="Times New Roman" w:hAnsi="Times New Roman"/>
          <w:noProof/>
          <w:sz w:val="24"/>
          <w:szCs w:val="24"/>
        </w:rPr>
        <w:t xml:space="preserve"> les patients n’attendraient pas leurs soins trop longtemps et pourraient y accéder facilement. L’une de nos aspirations les plus importantes dans ce domaine est de faire en sorte que l’Europe lutte contre le cancer, l’une des plus grandes préoccupations s</w:t>
      </w:r>
      <w:r>
        <w:rPr>
          <w:rFonts w:ascii="Times New Roman" w:hAnsi="Times New Roman"/>
          <w:noProof/>
          <w:sz w:val="24"/>
          <w:szCs w:val="24"/>
        </w:rPr>
        <w:t xml:space="preserve">anitaires du siècle, qui menace la vie de millions d’Européens. L’Europe est déterminée à jouer un rôle de premier plan dans la lutte contre le cancer. En février 2020, la Commission ouvrira un débat à l’échelle européenne en vue de présenter, </w:t>
      </w:r>
      <w:r>
        <w:rPr>
          <w:rFonts w:ascii="Times New Roman" w:hAnsi="Times New Roman"/>
          <w:i/>
          <w:iCs/>
          <w:noProof/>
          <w:sz w:val="24"/>
          <w:szCs w:val="24"/>
        </w:rPr>
        <w:t>au quatrième</w:t>
      </w:r>
      <w:r>
        <w:rPr>
          <w:rFonts w:ascii="Times New Roman" w:hAnsi="Times New Roman"/>
          <w:i/>
          <w:iCs/>
          <w:noProof/>
          <w:sz w:val="24"/>
          <w:szCs w:val="24"/>
        </w:rPr>
        <w:t xml:space="preserve"> trimestre 2020, le </w:t>
      </w:r>
      <w:r>
        <w:rPr>
          <w:rFonts w:ascii="Times New Roman" w:hAnsi="Times New Roman"/>
          <w:b/>
          <w:bCs/>
          <w:i/>
          <w:iCs/>
          <w:noProof/>
          <w:sz w:val="24"/>
          <w:szCs w:val="24"/>
        </w:rPr>
        <w:t>plan européen de lutte contre le cancer</w:t>
      </w:r>
      <w:r>
        <w:rPr>
          <w:rFonts w:ascii="Times New Roman" w:hAnsi="Times New Roman"/>
          <w:i/>
          <w:iCs/>
          <w:noProof/>
          <w:sz w:val="24"/>
          <w:szCs w:val="24"/>
        </w:rPr>
        <w:t>, un plan ambitieux visant à réduire les souffrances dues à cette maladie</w:t>
      </w:r>
      <w:r>
        <w:rPr>
          <w:rFonts w:ascii="Times New Roman" w:hAnsi="Times New Roman"/>
          <w:noProof/>
          <w:sz w:val="24"/>
          <w:szCs w:val="24"/>
        </w:rPr>
        <w:t>.</w:t>
      </w:r>
    </w:p>
    <w:p w:rsidR="000D7FEE" w:rsidRDefault="002C6C12">
      <w:pPr>
        <w:jc w:val="both"/>
        <w:rPr>
          <w:rFonts w:ascii="&amp;quot" w:eastAsia="Times New Roman" w:hAnsi="&amp;quot" w:cs="Times New Roman"/>
          <w:noProof/>
          <w:color w:val="212121"/>
          <w:sz w:val="24"/>
          <w:szCs w:val="24"/>
        </w:rPr>
      </w:pPr>
      <w:r>
        <w:rPr>
          <w:noProof/>
          <w:sz w:val="24"/>
          <w:szCs w:val="24"/>
          <w:lang w:val="fr-BE" w:eastAsia="fr-BE"/>
        </w:rPr>
        <mc:AlternateContent>
          <mc:Choice Requires="wps">
            <w:drawing>
              <wp:anchor distT="0" distB="0" distL="114300" distR="114300" simplePos="0" relativeHeight="251664896" behindDoc="1" locked="0" layoutInCell="1" allowOverlap="1">
                <wp:simplePos x="0" y="0"/>
                <wp:positionH relativeFrom="margin">
                  <wp:posOffset>4411307</wp:posOffset>
                </wp:positionH>
                <wp:positionV relativeFrom="paragraph">
                  <wp:posOffset>112083</wp:posOffset>
                </wp:positionV>
                <wp:extent cx="1484630" cy="1610360"/>
                <wp:effectExtent l="0" t="0" r="20320" b="20320"/>
                <wp:wrapTight wrapText="bothSides">
                  <wp:wrapPolygon edited="0">
                    <wp:start x="0" y="0"/>
                    <wp:lineTo x="0" y="21618"/>
                    <wp:lineTo x="21618" y="21618"/>
                    <wp:lineTo x="21618" y="0"/>
                    <wp:lineTo x="0" y="0"/>
                  </wp:wrapPolygon>
                </wp:wrapTight>
                <wp:docPr id="39" name="Rectangle 39"/>
                <wp:cNvGraphicFramePr/>
                <a:graphic xmlns:a="http://schemas.openxmlformats.org/drawingml/2006/main">
                  <a:graphicData uri="http://schemas.microsoft.com/office/word/2010/wordprocessingShape">
                    <wps:wsp>
                      <wps:cNvSpPr/>
                      <wps:spPr>
                        <a:xfrm>
                          <a:off x="0" y="0"/>
                          <a:ext cx="1484630" cy="1610360"/>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0"/>
                              <w:jc w:val="center"/>
                              <w:rPr>
                                <w:b/>
                                <w:color w:val="1F497D" w:themeColor="text2"/>
                                <w:sz w:val="24"/>
                                <w:szCs w:val="24"/>
                              </w:rPr>
                            </w:pPr>
                            <w:r>
                              <w:object w:dxaOrig="4924" w:dyaOrig="4915">
                                <v:shape id="_x0000_i1051" type="#_x0000_t75" style="width:103.15pt;height:95.35pt">
                                  <v:imagedata r:id="rId51" o:title=""/>
                                </v:shape>
                                <o:OLEObject Type="Embed" ProgID="PowerPoint.Slide.12" ShapeID="_x0000_i1051" DrawAspect="Content" ObjectID="_1640511310" r:id="rId5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39" o:spid="_x0000_s1038" style="position:absolute;left:0;text-align:left;margin-left:347.35pt;margin-top:8.85pt;width:116.9pt;height:126.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" fillcolor="window" strokecolor="#f79646" strokeweight="2pt">
                <v:textbox style="mso-fit-shape-to-text:t">
                  <w:txbxContent>
                    <w:p w:rsidR="000D7FEE" w:rsidRDefault="002C6C12">
                      <w:pPr>
                        <w:spacing w:after="0"/>
                        <w:jc w:val="center"/>
                        <w:rPr>
                          <w:b/>
                          <w:color w:val="1F497D" w:themeColor="text2"/>
                          <w:sz w:val="24"/>
                          <w:szCs w:val="24"/>
                        </w:rPr>
                      </w:pPr>
                      <w:r>
                        <w:object w:dxaOrig="4924" w:dyaOrig="4915">
                          <v:shape id="_x0000_i1051" type="#_x0000_t75" style="width:103.15pt;height:95.35pt">
                            <v:imagedata r:id="rId51" o:title=""/>
                          </v:shape>
                          <o:OLEObject Type="Embed" ProgID="PowerPoint.Slide.12" ShapeID="_x0000_i1051" DrawAspect="Content" ObjectID="_1640511310" r:id="rId53"/>
                        </w:object>
                      </w:r>
                    </w:p>
                  </w:txbxContent>
                </v:textbox>
                <w10:wrap type="tight" anchorx="margin"/>
              </v:rect>
            </w:pict>
          </mc:Fallback>
        </mc:AlternateContent>
      </w:r>
      <w:r>
        <w:rPr>
          <w:rFonts w:ascii="Times New Roman" w:hAnsi="Times New Roman"/>
          <w:b/>
          <w:bCs/>
          <w:noProof/>
          <w:sz w:val="24"/>
          <w:szCs w:val="24"/>
        </w:rPr>
        <w:t>Le vieillissement remet en question l’adéquation de nos systèmes de protection sociale.</w:t>
      </w:r>
      <w:r>
        <w:rPr>
          <w:rFonts w:ascii="Times New Roman" w:hAnsi="Times New Roman"/>
          <w:b/>
          <w:noProof/>
          <w:sz w:val="24"/>
          <w:szCs w:val="24"/>
        </w:rPr>
        <w:t xml:space="preserve"> </w:t>
      </w:r>
      <w:r>
        <w:rPr>
          <w:rFonts w:ascii="Times New Roman" w:hAnsi="Times New Roman"/>
          <w:noProof/>
          <w:sz w:val="24"/>
          <w:szCs w:val="24"/>
        </w:rPr>
        <w:t>Les retraites pourraient devenir la principale source de revenus pour une majorité d’Européens. Alors que l’espérance de vie s’allonge, les gens devraient pouvoir travailler plus longtemps. Une amélioration de la santé et une meilleure prise en compte des</w:t>
      </w:r>
      <w:r>
        <w:rPr>
          <w:rFonts w:ascii="Times New Roman" w:hAnsi="Times New Roman"/>
          <w:noProof/>
          <w:sz w:val="24"/>
          <w:szCs w:val="24"/>
        </w:rPr>
        <w:t xml:space="preserve"> besoins des travailleurs âgés sur le lieu de travail devraient permettre d’y parvenir. Cela contribuerait aussi à préserver la viabilité des régimes de retraite et à renforcer les régimes de retraite professionnels et du troisième pilier. </w:t>
      </w:r>
      <w:r>
        <w:rPr>
          <w:rFonts w:ascii="Times New Roman" w:hAnsi="Times New Roman"/>
          <w:noProof/>
          <w:color w:val="212121"/>
          <w:sz w:val="24"/>
          <w:szCs w:val="24"/>
        </w:rPr>
        <w:t>Toutefois, au se</w:t>
      </w:r>
      <w:r>
        <w:rPr>
          <w:rFonts w:ascii="Times New Roman" w:hAnsi="Times New Roman"/>
          <w:noProof/>
          <w:color w:val="212121"/>
          <w:sz w:val="24"/>
          <w:szCs w:val="24"/>
        </w:rPr>
        <w:t>in d’une population vieillissante, certaines personnes ont besoin de soins spécifiques. Il sera crucial de garantir l’accès à des soins de longue durée abordables et de qualité pour permettre aux personnes âgées de vivre dignement, tout en saisissant les p</w:t>
      </w:r>
      <w:r>
        <w:rPr>
          <w:rFonts w:ascii="Times New Roman" w:hAnsi="Times New Roman"/>
          <w:noProof/>
          <w:color w:val="212121"/>
          <w:sz w:val="24"/>
          <w:szCs w:val="24"/>
        </w:rPr>
        <w:t xml:space="preserve">ossibilités de création d’emploi offertes par l’économie des services à la personne. </w:t>
      </w:r>
    </w:p>
    <w:p w:rsidR="000D7FEE" w:rsidRDefault="002C6C12">
      <w:pPr>
        <w:spacing w:after="0"/>
        <w:jc w:val="both"/>
        <w:rPr>
          <w:rFonts w:ascii="&amp;quot" w:eastAsia="Times New Roman" w:hAnsi="&amp;quot" w:cs="Times New Roman"/>
          <w:noProof/>
          <w:color w:val="212121"/>
          <w:sz w:val="24"/>
          <w:szCs w:val="24"/>
        </w:rPr>
      </w:pPr>
      <w:r>
        <w:rPr>
          <w:rFonts w:ascii="Times New Roman" w:hAnsi="Times New Roman"/>
          <w:b/>
          <w:bCs/>
          <w:noProof/>
          <w:color w:val="212121"/>
          <w:sz w:val="24"/>
          <w:szCs w:val="24"/>
        </w:rPr>
        <w:t>Le vieillissement n’est pas le seul défi démographique.</w:t>
      </w:r>
      <w:r>
        <w:rPr>
          <w:rFonts w:ascii="Times New Roman" w:hAnsi="Times New Roman"/>
          <w:noProof/>
          <w:color w:val="212121"/>
          <w:sz w:val="24"/>
          <w:szCs w:val="24"/>
        </w:rPr>
        <w:t xml:space="preserve"> Les nouveaux modèles de ménages – caractérisés, par exemple, par l’accroissement du nombre de ménages unipersonnel</w:t>
      </w:r>
      <w:r>
        <w:rPr>
          <w:rFonts w:ascii="Times New Roman" w:hAnsi="Times New Roman"/>
          <w:noProof/>
          <w:color w:val="212121"/>
          <w:sz w:val="24"/>
          <w:szCs w:val="24"/>
        </w:rPr>
        <w:t xml:space="preserve">s, la mobilité en direction des villes, entraînant le dépeuplement des zones rurales, la fuite des cerveaux ou même les flux migratoires – contribuent tous à transformer le paysage démographique de l’UE. Pour dresser le bilan de la situation actuelle, </w:t>
      </w:r>
      <w:r>
        <w:rPr>
          <w:rFonts w:ascii="Times New Roman" w:hAnsi="Times New Roman"/>
          <w:i/>
          <w:iCs/>
          <w:noProof/>
          <w:color w:val="212121"/>
          <w:sz w:val="24"/>
          <w:szCs w:val="24"/>
        </w:rPr>
        <w:t>la C</w:t>
      </w:r>
      <w:r>
        <w:rPr>
          <w:rFonts w:ascii="Times New Roman" w:hAnsi="Times New Roman"/>
          <w:i/>
          <w:iCs/>
          <w:noProof/>
          <w:color w:val="212121"/>
          <w:sz w:val="24"/>
          <w:szCs w:val="24"/>
        </w:rPr>
        <w:t xml:space="preserve">ommission présentera un </w:t>
      </w:r>
      <w:r>
        <w:rPr>
          <w:rFonts w:ascii="Times New Roman" w:hAnsi="Times New Roman"/>
          <w:b/>
          <w:bCs/>
          <w:i/>
          <w:iCs/>
          <w:noProof/>
          <w:color w:val="212121"/>
          <w:sz w:val="24"/>
          <w:szCs w:val="24"/>
        </w:rPr>
        <w:t>rapport sur l’incidence de l’évolution démographique</w:t>
      </w:r>
      <w:r>
        <w:rPr>
          <w:rFonts w:ascii="Times New Roman" w:hAnsi="Times New Roman"/>
          <w:i/>
          <w:iCs/>
          <w:noProof/>
          <w:color w:val="212121"/>
          <w:sz w:val="24"/>
          <w:szCs w:val="24"/>
        </w:rPr>
        <w:t xml:space="preserve"> au premier trimestre 2020</w:t>
      </w:r>
      <w:r>
        <w:rPr>
          <w:rFonts w:ascii="Times New Roman" w:hAnsi="Times New Roman"/>
          <w:noProof/>
          <w:color w:val="212121"/>
          <w:sz w:val="24"/>
          <w:szCs w:val="24"/>
        </w:rPr>
        <w:t>.</w:t>
      </w:r>
      <w:r>
        <w:rPr>
          <w:rFonts w:ascii="Times New Roman" w:hAnsi="Times New Roman"/>
          <w:iCs/>
          <w:noProof/>
          <w:color w:val="212121"/>
          <w:sz w:val="24"/>
          <w:szCs w:val="24"/>
        </w:rPr>
        <w:t xml:space="preserve"> </w:t>
      </w:r>
      <w:r>
        <w:rPr>
          <w:rFonts w:ascii="Times New Roman" w:hAnsi="Times New Roman"/>
          <w:i/>
          <w:iCs/>
          <w:noProof/>
          <w:color w:val="212121"/>
          <w:sz w:val="24"/>
          <w:szCs w:val="24"/>
        </w:rPr>
        <w:t xml:space="preserve">Ce rapport sera suivi d’un </w:t>
      </w:r>
      <w:r>
        <w:rPr>
          <w:rFonts w:ascii="Times New Roman" w:hAnsi="Times New Roman"/>
          <w:b/>
          <w:bCs/>
          <w:i/>
          <w:iCs/>
          <w:noProof/>
          <w:color w:val="212121"/>
          <w:sz w:val="24"/>
          <w:szCs w:val="24"/>
        </w:rPr>
        <w:t>livre vert sur le vieillissement</w:t>
      </w:r>
      <w:r>
        <w:rPr>
          <w:rFonts w:ascii="Times New Roman" w:hAnsi="Times New Roman"/>
          <w:i/>
          <w:iCs/>
          <w:noProof/>
          <w:color w:val="212121"/>
          <w:sz w:val="24"/>
          <w:szCs w:val="24"/>
        </w:rPr>
        <w:t xml:space="preserve"> au quatrième trimestre 2020</w:t>
      </w:r>
      <w:r>
        <w:rPr>
          <w:rFonts w:ascii="Times New Roman" w:hAnsi="Times New Roman"/>
          <w:iCs/>
          <w:noProof/>
          <w:color w:val="212121"/>
          <w:sz w:val="24"/>
          <w:szCs w:val="24"/>
        </w:rPr>
        <w:t>, afin d’ouvrir le débat sur les incidences à long terme du vieillissement de la population, notamment en matière de soins et de retraites, et sur la manière de favoriser un vieillissement actif. Étant donné que la transition verte, la transition numérique</w:t>
      </w:r>
      <w:r>
        <w:rPr>
          <w:rFonts w:ascii="Times New Roman" w:hAnsi="Times New Roman"/>
          <w:iCs/>
          <w:noProof/>
          <w:color w:val="212121"/>
          <w:sz w:val="24"/>
          <w:szCs w:val="24"/>
        </w:rPr>
        <w:t xml:space="preserve"> et la transition démographique ont des incidences différentes pour des personnes différentes, le rapport sur la démographie sera également suivi d’une </w:t>
      </w:r>
      <w:r>
        <w:rPr>
          <w:rFonts w:ascii="Times New Roman" w:hAnsi="Times New Roman"/>
          <w:b/>
          <w:bCs/>
          <w:i/>
          <w:iCs/>
          <w:noProof/>
          <w:color w:val="212121"/>
          <w:sz w:val="24"/>
          <w:szCs w:val="24"/>
        </w:rPr>
        <w:t>vision à long terme pour les régions rurales</w:t>
      </w:r>
      <w:r>
        <w:rPr>
          <w:rFonts w:ascii="Times New Roman" w:hAnsi="Times New Roman"/>
          <w:i/>
          <w:iCs/>
          <w:noProof/>
          <w:color w:val="212121"/>
          <w:sz w:val="24"/>
          <w:szCs w:val="24"/>
        </w:rPr>
        <w:t xml:space="preserve"> en 2021</w:t>
      </w:r>
      <w:r>
        <w:rPr>
          <w:rFonts w:ascii="Times New Roman" w:hAnsi="Times New Roman"/>
          <w:iCs/>
          <w:noProof/>
          <w:color w:val="212121"/>
          <w:sz w:val="24"/>
          <w:szCs w:val="24"/>
        </w:rPr>
        <w:t>.</w:t>
      </w:r>
      <w:r>
        <w:rPr>
          <w:rFonts w:ascii="Times New Roman" w:hAnsi="Times New Roman"/>
          <w:i/>
          <w:iCs/>
          <w:noProof/>
          <w:color w:val="212121"/>
          <w:sz w:val="24"/>
          <w:szCs w:val="24"/>
        </w:rPr>
        <w:t xml:space="preserve"> </w:t>
      </w:r>
      <w:r>
        <w:rPr>
          <w:rFonts w:ascii="Times New Roman" w:hAnsi="Times New Roman"/>
          <w:iCs/>
          <w:noProof/>
          <w:color w:val="212121"/>
          <w:sz w:val="24"/>
          <w:szCs w:val="24"/>
        </w:rPr>
        <w:t xml:space="preserve"> Cette vision à long terme aura pour but d’aider l</w:t>
      </w:r>
      <w:r>
        <w:rPr>
          <w:rFonts w:ascii="Times New Roman" w:hAnsi="Times New Roman"/>
          <w:iCs/>
          <w:noProof/>
          <w:color w:val="212121"/>
          <w:sz w:val="24"/>
          <w:szCs w:val="24"/>
        </w:rPr>
        <w:t>es zones rurales à résoudre les problèmes qui leur sont propres et qui vont du vieillissement et du dépeuplement à la connectivité, en passant par le risque de pauvreté et l’accès limité aux services, à la protection sociale et aux soins de santé.</w:t>
      </w:r>
    </w:p>
    <w:p w:rsidR="000D7FEE" w:rsidRDefault="000D7FEE">
      <w:pPr>
        <w:jc w:val="both"/>
        <w:rPr>
          <w:rFonts w:ascii="Times New Roman" w:hAnsi="Times New Roman" w:cs="Times New Roman"/>
          <w:noProof/>
          <w:sz w:val="24"/>
          <w:szCs w:val="24"/>
        </w:rPr>
      </w:pPr>
    </w:p>
    <w:p w:rsidR="000D7FEE" w:rsidRDefault="002C6C12">
      <w:pPr>
        <w:keepNext/>
        <w:autoSpaceDE w:val="0"/>
        <w:autoSpaceDN w:val="0"/>
        <w:adjustRightInd w:val="0"/>
        <w:spacing w:before="240" w:after="240"/>
        <w:jc w:val="both"/>
        <w:rPr>
          <w:rFonts w:ascii="Times New Roman" w:hAnsi="Times New Roman" w:cs="Times New Roman"/>
          <w:b/>
          <w:noProof/>
          <w:sz w:val="24"/>
          <w:szCs w:val="24"/>
          <w:u w:val="single"/>
        </w:rPr>
      </w:pPr>
      <w:r>
        <w:rPr>
          <w:rFonts w:ascii="Times New Roman" w:hAnsi="Times New Roman"/>
          <w:b/>
          <w:noProof/>
          <w:sz w:val="24"/>
          <w:szCs w:val="24"/>
          <w:u w:val="single"/>
        </w:rPr>
        <w:t>Lutte c</w:t>
      </w:r>
      <w:r>
        <w:rPr>
          <w:rFonts w:ascii="Times New Roman" w:hAnsi="Times New Roman"/>
          <w:b/>
          <w:noProof/>
          <w:sz w:val="24"/>
          <w:szCs w:val="24"/>
          <w:u w:val="single"/>
        </w:rPr>
        <w:t>ontre la pauvreté et l’exclusion</w:t>
      </w:r>
    </w:p>
    <w:p w:rsidR="000D7FEE" w:rsidRDefault="002C6C12">
      <w:pPr>
        <w:autoSpaceDE w:val="0"/>
        <w:autoSpaceDN w:val="0"/>
        <w:adjustRightInd w:val="0"/>
        <w:spacing w:before="240" w:after="240"/>
        <w:jc w:val="both"/>
        <w:rPr>
          <w:rFonts w:ascii="Times New Roman" w:hAnsi="Times New Roman" w:cs="Times New Roman"/>
          <w:noProof/>
          <w:sz w:val="24"/>
          <w:szCs w:val="24"/>
        </w:rPr>
      </w:pPr>
      <w:r>
        <w:rPr>
          <w:rFonts w:ascii="Times New Roman" w:hAnsi="Times New Roman"/>
          <w:b/>
          <w:noProof/>
          <w:sz w:val="24"/>
          <w:szCs w:val="24"/>
          <w:lang w:val="fr-BE" w:eastAsia="fr-BE"/>
        </w:rPr>
        <mc:AlternateContent>
          <mc:Choice Requires="wps">
            <w:drawing>
              <wp:anchor distT="0" distB="0" distL="114300" distR="114300" simplePos="0" relativeHeight="251676160" behindDoc="1" locked="0" layoutInCell="1" allowOverlap="1">
                <wp:simplePos x="0" y="0"/>
                <wp:positionH relativeFrom="margin">
                  <wp:posOffset>635</wp:posOffset>
                </wp:positionH>
                <wp:positionV relativeFrom="paragraph">
                  <wp:posOffset>6350</wp:posOffset>
                </wp:positionV>
                <wp:extent cx="1452880" cy="1303020"/>
                <wp:effectExtent l="0" t="0" r="13970" b="11430"/>
                <wp:wrapTight wrapText="bothSides">
                  <wp:wrapPolygon edited="0">
                    <wp:start x="0" y="0"/>
                    <wp:lineTo x="0" y="21474"/>
                    <wp:lineTo x="21524" y="21474"/>
                    <wp:lineTo x="21524" y="0"/>
                    <wp:lineTo x="0" y="0"/>
                  </wp:wrapPolygon>
                </wp:wrapTight>
                <wp:docPr id="41" name="Rectangle 41"/>
                <wp:cNvGraphicFramePr/>
                <a:graphic xmlns:a="http://schemas.openxmlformats.org/drawingml/2006/main">
                  <a:graphicData uri="http://schemas.microsoft.com/office/word/2010/wordprocessingShape">
                    <wps:wsp>
                      <wps:cNvSpPr/>
                      <wps:spPr>
                        <a:xfrm>
                          <a:off x="0" y="0"/>
                          <a:ext cx="1452880" cy="1303020"/>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0"/>
                              <w:jc w:val="center"/>
                              <w:rPr>
                                <w:b/>
                                <w:color w:val="1F497D" w:themeColor="text2"/>
                                <w:sz w:val="24"/>
                                <w:szCs w:val="24"/>
                              </w:rPr>
                            </w:pPr>
                            <w:r>
                              <w:object w:dxaOrig="6117" w:dyaOrig="6105">
                                <v:shape id="_x0000_i1053" type="#_x0000_t75" style="width:85.95pt;height:85.8pt">
                                  <v:imagedata r:id="rId54" o:title=""/>
                                </v:shape>
                                <o:OLEObject Type="Embed" ProgID="PowerPoint.Slide.12" ShapeID="_x0000_i1053" DrawAspect="Content" ObjectID="_1640511311" r:id="rId5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41" o:spid="_x0000_s1039" style="position:absolute;left:0;text-align:left;margin-left:.05pt;margin-top:.5pt;width:114.4pt;height:102.6pt;z-index:-251640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" fillcolor="window" strokecolor="#f79646" strokeweight="2pt">
                <v:textbox style="mso-fit-shape-to-text:t">
                  <w:txbxContent>
                    <w:p w:rsidR="000D7FEE" w:rsidRDefault="002C6C12">
                      <w:pPr>
                        <w:spacing w:after="0"/>
                        <w:jc w:val="center"/>
                        <w:rPr>
                          <w:b/>
                          <w:color w:val="1F497D" w:themeColor="text2"/>
                          <w:sz w:val="24"/>
                          <w:szCs w:val="24"/>
                        </w:rPr>
                      </w:pPr>
                      <w:r>
                        <w:object w:dxaOrig="6117" w:dyaOrig="6105">
                          <v:shape id="_x0000_i1053" type="#_x0000_t75" style="width:85.95pt;height:85.8pt">
                            <v:imagedata r:id="rId54" o:title=""/>
                          </v:shape>
                          <o:OLEObject Type="Embed" ProgID="PowerPoint.Slide.12" ShapeID="_x0000_i1053" DrawAspect="Content" ObjectID="_1640511311" r:id="rId56"/>
                        </w:object>
                      </w:r>
                    </w:p>
                  </w:txbxContent>
                </v:textbox>
                <w10:wrap type="tight" anchorx="margin"/>
              </v:rect>
            </w:pict>
          </mc:Fallback>
        </mc:AlternateContent>
      </w:r>
      <w:r>
        <w:rPr>
          <w:rFonts w:ascii="Times New Roman" w:hAnsi="Times New Roman"/>
          <w:b/>
          <w:bCs/>
          <w:noProof/>
          <w:sz w:val="24"/>
          <w:szCs w:val="24"/>
        </w:rPr>
        <w:t>Veiller à ce qu’il n’y ait aucun laissé-pour-compte à l’ère du changement implique de lutter contre la pauvreté.</w:t>
      </w:r>
      <w:r>
        <w:rPr>
          <w:rFonts w:ascii="Times New Roman" w:hAnsi="Times New Roman"/>
          <w:noProof/>
          <w:sz w:val="24"/>
          <w:szCs w:val="24"/>
        </w:rPr>
        <w:t xml:space="preserve"> Ces dix dernières années, dans toute l’UE, des millions de personnes sont sorties de la pauvreté; toutefois, malgré l’objectif collectif de l’UE consistant à sortir 20 millions de personnes de la pauvreté avant 2020, plus d’un Européen sur cinq reste mena</w:t>
      </w:r>
      <w:r>
        <w:rPr>
          <w:rFonts w:ascii="Times New Roman" w:hAnsi="Times New Roman"/>
          <w:noProof/>
          <w:sz w:val="24"/>
          <w:szCs w:val="24"/>
        </w:rPr>
        <w:t>cé. Vivre dignement, c’est bénéficier de l’aide nécessaire en matière de recherche d’emploi, avoir accès à des soins de santé abordables et de qualité, pouvoir étudier et se former dans des conditions décentes, vivre dans un logement abordable et avoir les</w:t>
      </w:r>
      <w:r>
        <w:rPr>
          <w:rFonts w:ascii="Times New Roman" w:hAnsi="Times New Roman"/>
          <w:noProof/>
          <w:sz w:val="24"/>
          <w:szCs w:val="24"/>
        </w:rPr>
        <w:t xml:space="preserve"> moyens de se payer des biens et des services essentiels, dont l’eau, l’énergie, les transports et les communications numériques. Pour les exclus du marché du travail, les systèmes de revenu minimum, assortis de services de soutien, sont une solution de de</w:t>
      </w:r>
      <w:r>
        <w:rPr>
          <w:rFonts w:ascii="Times New Roman" w:hAnsi="Times New Roman"/>
          <w:noProof/>
          <w:sz w:val="24"/>
          <w:szCs w:val="24"/>
        </w:rPr>
        <w:t>rnier recours qui devrait garantir une vie digne. Les prix de l’immobilier ont augmenté dans toute l’Union; de ce fait, la plupart des gens ont davantage de mal à assumer les coûts du logement et des charges y afférentes. Le sans-abrisme, qui est la pire c</w:t>
      </w:r>
      <w:r>
        <w:rPr>
          <w:rFonts w:ascii="Times New Roman" w:hAnsi="Times New Roman"/>
          <w:noProof/>
          <w:sz w:val="24"/>
          <w:szCs w:val="24"/>
        </w:rPr>
        <w:t>onséquence de l’augmentation des coûts du logement, est en hausse dans la plupart des États membres. La précarité énergétique et la difficulté à investir dans des solutions modernes permettant de réaliser des économies montrent qu’il faut surveiller les no</w:t>
      </w:r>
      <w:r>
        <w:rPr>
          <w:rFonts w:ascii="Times New Roman" w:hAnsi="Times New Roman"/>
          <w:noProof/>
          <w:sz w:val="24"/>
          <w:szCs w:val="24"/>
        </w:rPr>
        <w:t>uveaux problèmes de distribution résultant de la transition vers une économie neutre en carbone</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Pour toutes ces raisons, il convient de mener une large réflexion afin d’examiner les causes multiples et interconnectées de la pauvreté, de réfléchir à l’inc</w:t>
      </w:r>
      <w:r>
        <w:rPr>
          <w:rFonts w:ascii="Times New Roman" w:hAnsi="Times New Roman"/>
          <w:noProof/>
          <w:sz w:val="24"/>
          <w:szCs w:val="24"/>
        </w:rPr>
        <w:t>idence des différents instruments d’action et de repenser la marche à suivre.</w:t>
      </w:r>
    </w:p>
    <w:p w:rsidR="000D7FEE" w:rsidRDefault="002C6C12">
      <w:pPr>
        <w:jc w:val="both"/>
        <w:rPr>
          <w:rFonts w:ascii="Times New Roman" w:hAnsi="Times New Roman" w:cs="Times New Roman"/>
          <w:noProof/>
          <w:sz w:val="24"/>
          <w:szCs w:val="24"/>
        </w:rPr>
      </w:pPr>
      <w:r>
        <w:rPr>
          <w:rFonts w:ascii="Times New Roman" w:hAnsi="Times New Roman"/>
          <w:noProof/>
          <w:sz w:val="24"/>
          <w:szCs w:val="24"/>
          <w:lang w:val="fr-BE" w:eastAsia="fr-BE"/>
        </w:rPr>
        <mc:AlternateContent>
          <mc:Choice Requires="wps">
            <w:drawing>
              <wp:anchor distT="0" distB="0" distL="114300" distR="114300" simplePos="0" relativeHeight="251680256" behindDoc="1" locked="0" layoutInCell="1" allowOverlap="1">
                <wp:simplePos x="0" y="0"/>
                <wp:positionH relativeFrom="margin">
                  <wp:posOffset>0</wp:posOffset>
                </wp:positionH>
                <wp:positionV relativeFrom="paragraph">
                  <wp:posOffset>1592</wp:posOffset>
                </wp:positionV>
                <wp:extent cx="1224000" cy="1080000"/>
                <wp:effectExtent l="0" t="0" r="14605" b="13970"/>
                <wp:wrapTight wrapText="bothSides">
                  <wp:wrapPolygon edited="0">
                    <wp:start x="0" y="0"/>
                    <wp:lineTo x="0" y="21516"/>
                    <wp:lineTo x="21522" y="21516"/>
                    <wp:lineTo x="21522" y="0"/>
                    <wp:lineTo x="0" y="0"/>
                  </wp:wrapPolygon>
                </wp:wrapTight>
                <wp:docPr id="43" name="Rectangle 43"/>
                <wp:cNvGraphicFramePr/>
                <a:graphic xmlns:a="http://schemas.openxmlformats.org/drawingml/2006/main">
                  <a:graphicData uri="http://schemas.microsoft.com/office/word/2010/wordprocessingShape">
                    <wps:wsp>
                      <wps:cNvSpPr/>
                      <wps:spPr>
                        <a:xfrm>
                          <a:off x="0" y="0"/>
                          <a:ext cx="1224000" cy="1080000"/>
                        </a:xfrm>
                        <a:prstGeom prst="rect">
                          <a:avLst/>
                        </a:prstGeom>
                        <a:solidFill>
                          <a:sysClr val="window" lastClr="FFFFFF"/>
                        </a:solidFill>
                        <a:ln w="25400" cap="flat" cmpd="sng" algn="ctr">
                          <a:solidFill>
                            <a:srgbClr val="F79646"/>
                          </a:solidFill>
                          <a:prstDash val="solid"/>
                        </a:ln>
                        <a:effectLst/>
                      </wps:spPr>
                      <wps:txbx>
                        <w:txbxContent>
                          <w:p w:rsidR="000D7FEE" w:rsidRDefault="002C6C12">
                            <w:pPr>
                              <w:spacing w:after="0"/>
                              <w:jc w:val="center"/>
                              <w:rPr>
                                <w:b/>
                                <w:color w:val="1F497D" w:themeColor="text2"/>
                                <w:sz w:val="24"/>
                                <w:szCs w:val="24"/>
                              </w:rPr>
                            </w:pPr>
                            <w:r>
                              <w:object w:dxaOrig="5694" w:dyaOrig="5683">
                                <v:shape id="_x0000_i1055" type="#_x0000_t75" style="width:80pt;height:79.85pt">
                                  <v:imagedata r:id="rId57" o:title=""/>
                                </v:shape>
                                <o:OLEObject Type="Embed" ProgID="PowerPoint.Slide.12" ShapeID="_x0000_i1055" DrawAspect="Content" ObjectID="_1640511312" r:id="rId58"/>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43" o:spid="_x0000_s1040" style="position:absolute;left:0;text-align:left;margin-left:0;margin-top:.15pt;width:96.4pt;height:85.05pt;z-index:-251636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" fillcolor="window" strokecolor="#f79646" strokeweight="2pt">
                <v:textbox style="mso-fit-shape-to-text:t">
                  <w:txbxContent>
                    <w:p w:rsidR="000D7FEE" w:rsidRDefault="002C6C12">
                      <w:pPr>
                        <w:spacing w:after="0"/>
                        <w:jc w:val="center"/>
                        <w:rPr>
                          <w:b/>
                          <w:color w:val="1F497D" w:themeColor="text2"/>
                          <w:sz w:val="24"/>
                          <w:szCs w:val="24"/>
                        </w:rPr>
                      </w:pPr>
                      <w:r>
                        <w:object w:dxaOrig="5694" w:dyaOrig="5683">
                          <v:shape id="_x0000_i1055" type="#_x0000_t75" style="width:80pt;height:79.85pt">
                            <v:imagedata r:id="rId57" o:title=""/>
                          </v:shape>
                          <o:OLEObject Type="Embed" ProgID="PowerPoint.Slide.12" ShapeID="_x0000_i1055" DrawAspect="Content" ObjectID="_1640511312" r:id="rId59"/>
                        </w:object>
                      </w:r>
                    </w:p>
                  </w:txbxContent>
                </v:textbox>
                <w10:wrap type="tight" anchorx="margin"/>
              </v:rect>
            </w:pict>
          </mc:Fallback>
        </mc:AlternateContent>
      </w:r>
      <w:r>
        <w:rPr>
          <w:rFonts w:ascii="Times New Roman" w:hAnsi="Times New Roman"/>
          <w:b/>
          <w:noProof/>
          <w:sz w:val="24"/>
          <w:szCs w:val="24"/>
        </w:rPr>
        <w:t>La pauvreté frappe tous les membres d’une famille, aussi bien les parents que les enfants. Les enfants de familles pauvres démarrent dans la vi</w:t>
      </w:r>
      <w:r>
        <w:rPr>
          <w:rFonts w:ascii="Times New Roman" w:hAnsi="Times New Roman"/>
          <w:b/>
          <w:noProof/>
          <w:sz w:val="24"/>
          <w:szCs w:val="24"/>
        </w:rPr>
        <w:t xml:space="preserve">e avec un désavantage. </w:t>
      </w:r>
      <w:r>
        <w:rPr>
          <w:rFonts w:ascii="Times New Roman" w:hAnsi="Times New Roman"/>
          <w:noProof/>
          <w:sz w:val="24"/>
          <w:szCs w:val="24"/>
        </w:rPr>
        <w:t xml:space="preserve">Ils sont plus exposés au risque d’avoir des problèmes de santé et un faible niveau d’études plus tard dans leur vie, ce qui, à terme, les replonge dans la pauvreté. On peut enrayer ce cercle vicieux en investissant dans des services </w:t>
      </w:r>
      <w:r>
        <w:rPr>
          <w:rFonts w:ascii="Times New Roman" w:hAnsi="Times New Roman"/>
          <w:noProof/>
          <w:sz w:val="24"/>
          <w:szCs w:val="24"/>
        </w:rPr>
        <w:t xml:space="preserve">d’éducation et d’accueil des jeunes enfants et des établissements scolaires inclusifs et de qualité ainsi que dans l’accès aux soins de santé, à la nutrition et à un logement décent. </w:t>
      </w:r>
      <w:r>
        <w:rPr>
          <w:rFonts w:ascii="Times New Roman" w:hAnsi="Times New Roman"/>
          <w:i/>
          <w:noProof/>
          <w:sz w:val="24"/>
          <w:szCs w:val="24"/>
        </w:rPr>
        <w:t xml:space="preserve">En 2021, la Commission présentera une </w:t>
      </w:r>
      <w:r>
        <w:rPr>
          <w:rFonts w:ascii="Times New Roman" w:hAnsi="Times New Roman"/>
          <w:b/>
          <w:bCs/>
          <w:i/>
          <w:noProof/>
          <w:sz w:val="24"/>
          <w:szCs w:val="24"/>
        </w:rPr>
        <w:t>garantie pour l’enfance</w:t>
      </w:r>
      <w:r>
        <w:rPr>
          <w:rFonts w:ascii="Times New Roman" w:hAnsi="Times New Roman"/>
          <w:i/>
          <w:noProof/>
          <w:sz w:val="24"/>
          <w:szCs w:val="24"/>
        </w:rPr>
        <w:t xml:space="preserve"> visant à ce</w:t>
      </w:r>
      <w:r>
        <w:rPr>
          <w:rFonts w:ascii="Times New Roman" w:hAnsi="Times New Roman"/>
          <w:i/>
          <w:noProof/>
          <w:sz w:val="24"/>
          <w:szCs w:val="24"/>
        </w:rPr>
        <w:t xml:space="preserve"> que les enfants aient accès aux services dont ils ont besoin et soient soutenus jusqu’à l’âge adulte.</w:t>
      </w:r>
      <w:r>
        <w:rPr>
          <w:rFonts w:ascii="Times New Roman" w:hAnsi="Times New Roman"/>
          <w:noProof/>
          <w:sz w:val="24"/>
          <w:szCs w:val="24"/>
        </w:rPr>
        <w:t xml:space="preserve"> </w:t>
      </w:r>
    </w:p>
    <w:p w:rsidR="000D7FEE" w:rsidRDefault="002C6C12">
      <w:pPr>
        <w:jc w:val="both"/>
        <w:rPr>
          <w:rFonts w:ascii="Times New Roman" w:hAnsi="Times New Roman" w:cs="Times New Roman"/>
          <w:noProof/>
          <w:sz w:val="24"/>
          <w:szCs w:val="24"/>
        </w:rPr>
      </w:pPr>
      <w:r>
        <w:rPr>
          <w:rFonts w:ascii="Times New Roman" w:hAnsi="Times New Roman"/>
          <w:b/>
          <w:noProof/>
          <w:sz w:val="24"/>
          <w:szCs w:val="24"/>
        </w:rPr>
        <w:t xml:space="preserve">Dans l’UE, beaucoup de Roms sont victimes de préjugés et d’exclusion sociale, bien que les pays de l’UE aient interdit la discrimination. </w:t>
      </w:r>
      <w:r>
        <w:rPr>
          <w:rFonts w:ascii="Times New Roman" w:hAnsi="Times New Roman"/>
          <w:noProof/>
          <w:sz w:val="24"/>
          <w:szCs w:val="24"/>
        </w:rPr>
        <w:t>La lutte contr</w:t>
      </w:r>
      <w:r>
        <w:rPr>
          <w:rFonts w:ascii="Times New Roman" w:hAnsi="Times New Roman"/>
          <w:noProof/>
          <w:sz w:val="24"/>
          <w:szCs w:val="24"/>
        </w:rPr>
        <w:t xml:space="preserve">e l’exclusion des Roms exige des engagements de long terme à tous les niveaux. Le cadre de l’UE pour les stratégies nationales d’intégration des Roms pour la période allant jusqu’à 2020 a donné de bons résultats. </w:t>
      </w:r>
      <w:r>
        <w:rPr>
          <w:rFonts w:ascii="Times New Roman" w:hAnsi="Times New Roman"/>
          <w:i/>
          <w:noProof/>
          <w:sz w:val="24"/>
          <w:szCs w:val="24"/>
        </w:rPr>
        <w:t>Une initiative de suivi sur l’égalité et l’</w:t>
      </w:r>
      <w:r>
        <w:rPr>
          <w:rFonts w:ascii="Times New Roman" w:hAnsi="Times New Roman"/>
          <w:i/>
          <w:noProof/>
          <w:sz w:val="24"/>
          <w:szCs w:val="24"/>
        </w:rPr>
        <w:t>inclusion des Roms sera présentée au quatrième trimestre 2020, sur la base des conclusions de l’évaluation du cadre.</w:t>
      </w:r>
      <w:r>
        <w:rPr>
          <w:rFonts w:ascii="Times New Roman" w:hAnsi="Times New Roman"/>
          <w:b/>
          <w:i/>
          <w:noProof/>
          <w:sz w:val="24"/>
          <w:szCs w:val="24"/>
        </w:rPr>
        <w:t xml:space="preserve"> </w:t>
      </w:r>
    </w:p>
    <w:p w:rsidR="000D7FEE" w:rsidRDefault="000D7FEE">
      <w:pPr>
        <w:jc w:val="both"/>
        <w:rPr>
          <w:rFonts w:ascii="Times New Roman" w:hAnsi="Times New Roman" w:cs="Times New Roman"/>
          <w:b/>
          <w:noProof/>
          <w:sz w:val="28"/>
          <w:szCs w:val="24"/>
          <w:u w:val="single"/>
        </w:rPr>
      </w:pPr>
    </w:p>
    <w:p w:rsidR="000D7FEE" w:rsidRDefault="002C6C12">
      <w:pPr>
        <w:keepNext/>
        <w:jc w:val="both"/>
        <w:rPr>
          <w:rFonts w:ascii="Times New Roman" w:hAnsi="Times New Roman" w:cs="Times New Roman"/>
          <w:b/>
          <w:noProof/>
          <w:sz w:val="28"/>
          <w:szCs w:val="24"/>
        </w:rPr>
      </w:pPr>
      <w:r>
        <w:rPr>
          <w:rFonts w:ascii="Times New Roman" w:hAnsi="Times New Roman"/>
          <w:b/>
          <w:noProof/>
          <w:sz w:val="28"/>
        </w:rPr>
        <w:t>5. Promouvoir les valeurs européennes dans le monde</w:t>
      </w:r>
    </w:p>
    <w:p w:rsidR="000D7FEE" w:rsidRDefault="002C6C12">
      <w:pPr>
        <w:pStyle w:val="ListParagraph"/>
        <w:ind w:left="0"/>
        <w:jc w:val="both"/>
        <w:rPr>
          <w:rFonts w:ascii="Times New Roman" w:hAnsi="Times New Roman" w:cs="Times New Roman"/>
          <w:noProof/>
          <w:sz w:val="24"/>
          <w:szCs w:val="24"/>
        </w:rPr>
      </w:pPr>
      <w:r>
        <w:rPr>
          <w:rFonts w:ascii="Times New Roman" w:hAnsi="Times New Roman"/>
          <w:b/>
          <w:noProof/>
          <w:sz w:val="24"/>
          <w:szCs w:val="24"/>
        </w:rPr>
        <w:t xml:space="preserve">L’Europe devrait user de son influence politique et économique pour favoriser </w:t>
      </w:r>
      <w:r>
        <w:rPr>
          <w:rFonts w:ascii="Times New Roman" w:hAnsi="Times New Roman"/>
          <w:b/>
          <w:noProof/>
          <w:sz w:val="24"/>
          <w:szCs w:val="24"/>
        </w:rPr>
        <w:t>l’équité sociale dans le reste du monde.</w:t>
      </w:r>
      <w:r>
        <w:rPr>
          <w:rFonts w:ascii="Times New Roman" w:hAnsi="Times New Roman"/>
          <w:noProof/>
          <w:sz w:val="24"/>
          <w:szCs w:val="24"/>
        </w:rPr>
        <w:t xml:space="preserve"> Nos politiques en matière de coopération internationale, de développement et de commerce génèrent de la croissance, des emplois et de la prospérité, tant en Europe que chez nos partenaires. Le commerce ne se résume </w:t>
      </w:r>
      <w:r>
        <w:rPr>
          <w:rFonts w:ascii="Times New Roman" w:hAnsi="Times New Roman"/>
          <w:noProof/>
          <w:sz w:val="24"/>
          <w:szCs w:val="24"/>
        </w:rPr>
        <w:t>pas à un échange de biens et de services. C’est aussi un atout stratégique pour l’Europe. Il nous permet de construire des partenariats, de protéger notre marché contre les pratiques déloyales et d’assurer le respect des normes convenues au niveau internat</w:t>
      </w:r>
      <w:r>
        <w:rPr>
          <w:rFonts w:ascii="Times New Roman" w:hAnsi="Times New Roman"/>
          <w:noProof/>
          <w:sz w:val="24"/>
          <w:szCs w:val="24"/>
        </w:rPr>
        <w:t>ional. La Commission va élaborer un programme commercial solide, ouvert et équitable. Chaque nouvel accord bilatéral global contiendra un chapitre consacré au développement durable et imposera les normes les plus élevées en matière de protection du climat,</w:t>
      </w:r>
      <w:r>
        <w:rPr>
          <w:rFonts w:ascii="Times New Roman" w:hAnsi="Times New Roman"/>
          <w:noProof/>
          <w:sz w:val="24"/>
          <w:szCs w:val="24"/>
        </w:rPr>
        <w:t xml:space="preserve"> de l’environnement et des travailleurs, ainsi qu’une tolérance zéro à l’égard du travail des enfants, afin de garantir des conditions de concurrence équitables avec nos partenaires commerciaux. La Commission renforcera également le dialogue en particulier</w:t>
      </w:r>
      <w:r>
        <w:rPr>
          <w:rFonts w:ascii="Times New Roman" w:hAnsi="Times New Roman"/>
          <w:noProof/>
          <w:sz w:val="24"/>
          <w:szCs w:val="24"/>
        </w:rPr>
        <w:t xml:space="preserve"> avec les Balkans occidentaux pour favoriser la mise en œuvre du socle européen des droits sociaux dans cette région.</w:t>
      </w:r>
    </w:p>
    <w:p w:rsidR="000D7FEE" w:rsidRDefault="000D7FEE">
      <w:pPr>
        <w:pStyle w:val="ListParagraph"/>
        <w:ind w:left="0"/>
        <w:jc w:val="both"/>
        <w:rPr>
          <w:rFonts w:ascii="Times New Roman" w:hAnsi="Times New Roman" w:cs="Times New Roman"/>
          <w:noProof/>
          <w:sz w:val="24"/>
          <w:szCs w:val="24"/>
        </w:rPr>
      </w:pPr>
    </w:p>
    <w:p w:rsidR="000D7FEE" w:rsidRDefault="002C6C12">
      <w:pPr>
        <w:pStyle w:val="ListParagraph"/>
        <w:ind w:left="0"/>
        <w:jc w:val="both"/>
        <w:rPr>
          <w:rFonts w:ascii="Times New Roman" w:hAnsi="Times New Roman" w:cs="Times New Roman"/>
          <w:noProof/>
          <w:sz w:val="24"/>
          <w:szCs w:val="24"/>
        </w:rPr>
      </w:pPr>
      <w:r>
        <w:rPr>
          <w:rFonts w:ascii="Times New Roman" w:hAnsi="Times New Roman"/>
          <w:b/>
          <w:bCs/>
          <w:noProof/>
          <w:sz w:val="24"/>
          <w:szCs w:val="24"/>
        </w:rPr>
        <w:t xml:space="preserve">L’Europe devrait en outre adopter une position ferme en ce qui concerne l’application des accords ou régimes commerciaux existants, afin </w:t>
      </w:r>
      <w:r>
        <w:rPr>
          <w:rFonts w:ascii="Times New Roman" w:hAnsi="Times New Roman"/>
          <w:b/>
          <w:bCs/>
          <w:noProof/>
          <w:sz w:val="24"/>
          <w:szCs w:val="24"/>
        </w:rPr>
        <w:t>de promouvoir et protéger les normes convenues au niveau international en matière de droits des travailleurs.</w:t>
      </w:r>
      <w:r>
        <w:rPr>
          <w:rFonts w:ascii="Times New Roman" w:hAnsi="Times New Roman"/>
          <w:noProof/>
          <w:sz w:val="24"/>
          <w:szCs w:val="24"/>
        </w:rPr>
        <w:t xml:space="preserve"> La Commission nommera un chef de l’application des législations commerciales, qui sera chargé de surveiller et d’améliorer le respect de nos accor</w:t>
      </w:r>
      <w:r>
        <w:rPr>
          <w:rFonts w:ascii="Times New Roman" w:hAnsi="Times New Roman"/>
          <w:noProof/>
          <w:sz w:val="24"/>
          <w:szCs w:val="24"/>
        </w:rPr>
        <w:t>ds commerciaux et collaborera avec ses partenaires commerciaux pour que les engagements soient bien mis en œuvre. L’UE suivra de près la mise en œuvre des dispositions prévues par nos accords commerciaux en matière de protection du climat, de l’environneme</w:t>
      </w:r>
      <w:r>
        <w:rPr>
          <w:rFonts w:ascii="Times New Roman" w:hAnsi="Times New Roman"/>
          <w:noProof/>
          <w:sz w:val="24"/>
          <w:szCs w:val="24"/>
        </w:rPr>
        <w:t>nt et des travailleurs, en appliquant la tolérance zéro à l’égard du travail des enfants</w:t>
      </w:r>
      <w:r>
        <w:rPr>
          <w:rFonts w:ascii="Times New Roman" w:hAnsi="Times New Roman"/>
          <w:noProof/>
        </w:rPr>
        <w:t xml:space="preserve">. </w:t>
      </w:r>
    </w:p>
    <w:p w:rsidR="000D7FEE" w:rsidRDefault="000D7FEE">
      <w:pPr>
        <w:autoSpaceDE w:val="0"/>
        <w:autoSpaceDN w:val="0"/>
        <w:adjustRightInd w:val="0"/>
        <w:spacing w:before="120" w:after="120"/>
        <w:jc w:val="both"/>
        <w:rPr>
          <w:rFonts w:ascii="Times New Roman" w:hAnsi="Times New Roman" w:cs="Times New Roman"/>
          <w:noProof/>
          <w:sz w:val="24"/>
          <w:szCs w:val="24"/>
        </w:rPr>
      </w:pPr>
    </w:p>
    <w:p w:rsidR="000D7FEE" w:rsidRDefault="002C6C12">
      <w:pPr>
        <w:keepNext/>
        <w:autoSpaceDE w:val="0"/>
        <w:autoSpaceDN w:val="0"/>
        <w:spacing w:after="240"/>
        <w:jc w:val="both"/>
        <w:rPr>
          <w:rFonts w:ascii="Times New Roman" w:hAnsi="Times New Roman" w:cs="Times New Roman"/>
          <w:b/>
          <w:noProof/>
          <w:sz w:val="28"/>
          <w:szCs w:val="24"/>
        </w:rPr>
      </w:pPr>
      <w:r>
        <w:rPr>
          <w:rFonts w:ascii="Times New Roman" w:hAnsi="Times New Roman"/>
          <w:b/>
          <w:noProof/>
          <w:sz w:val="28"/>
        </w:rPr>
        <w:t>6. Travailler ensemble</w:t>
      </w:r>
    </w:p>
    <w:p w:rsidR="000D7FEE" w:rsidRDefault="002C6C12">
      <w:pPr>
        <w:pStyle w:val="CommentText"/>
        <w:spacing w:after="240" w:line="276" w:lineRule="auto"/>
        <w:jc w:val="both"/>
        <w:rPr>
          <w:rFonts w:ascii="Times New Roman" w:hAnsi="Times New Roman" w:cs="Times New Roman"/>
          <w:noProof/>
          <w:sz w:val="24"/>
          <w:szCs w:val="24"/>
        </w:rPr>
      </w:pPr>
      <w:r>
        <w:rPr>
          <w:rFonts w:ascii="Times New Roman" w:hAnsi="Times New Roman"/>
          <w:b/>
          <w:noProof/>
          <w:sz w:val="24"/>
          <w:szCs w:val="24"/>
        </w:rPr>
        <w:t>La présente communication jette les bases d’un vaste débat avec tous les pays et régions de l’UE, ainsi qu’avec l’ensemble de nos partenaires</w:t>
      </w:r>
      <w:r>
        <w:rPr>
          <w:rFonts w:ascii="Times New Roman" w:hAnsi="Times New Roman"/>
          <w:b/>
          <w:noProof/>
          <w:sz w:val="24"/>
          <w:szCs w:val="24"/>
        </w:rPr>
        <w:t>.</w:t>
      </w:r>
      <w:r>
        <w:rPr>
          <w:rFonts w:ascii="Times New Roman" w:hAnsi="Times New Roman"/>
          <w:noProof/>
          <w:sz w:val="24"/>
          <w:szCs w:val="24"/>
        </w:rPr>
        <w:t xml:space="preserve"> Ce faisant, elle définit certaines initiatives qui devront être prises au niveau de l’UE dans les prochains mois, en guise de contribution à la mise en œuvre du socle européen des droits sociaux. </w:t>
      </w:r>
    </w:p>
    <w:p w:rsidR="000D7FEE" w:rsidRDefault="002C6C12">
      <w:pPr>
        <w:autoSpaceDE w:val="0"/>
        <w:autoSpaceDN w:val="0"/>
        <w:spacing w:after="240"/>
        <w:jc w:val="both"/>
        <w:rPr>
          <w:rFonts w:ascii="Times New Roman" w:hAnsi="Times New Roman" w:cs="Times New Roman"/>
          <w:noProof/>
          <w:sz w:val="24"/>
          <w:szCs w:val="24"/>
        </w:rPr>
      </w:pPr>
      <w:r>
        <w:rPr>
          <w:rFonts w:ascii="Times New Roman" w:hAnsi="Times New Roman"/>
          <w:b/>
          <w:noProof/>
          <w:sz w:val="24"/>
          <w:szCs w:val="24"/>
        </w:rPr>
        <w:t xml:space="preserve">Cela dit, il ne suffit pas d’agir au niveau de l’UE. </w:t>
      </w:r>
      <w:r>
        <w:rPr>
          <w:rFonts w:ascii="Times New Roman" w:hAnsi="Times New Roman"/>
          <w:noProof/>
          <w:sz w:val="24"/>
          <w:szCs w:val="24"/>
        </w:rPr>
        <w:t xml:space="preserve"> Alo</w:t>
      </w:r>
      <w:r>
        <w:rPr>
          <w:rFonts w:ascii="Times New Roman" w:hAnsi="Times New Roman"/>
          <w:noProof/>
          <w:sz w:val="24"/>
          <w:szCs w:val="24"/>
        </w:rPr>
        <w:t xml:space="preserve">rs que les incidences des nouvelles technologies se profilent plus clairement, que les effets de l’action pour le climat se font sentir dans notre vie quotidienne et que les pressions démographiques augmentent, nous devons constamment adapter et renforcer </w:t>
      </w:r>
      <w:r>
        <w:rPr>
          <w:rFonts w:ascii="Times New Roman" w:hAnsi="Times New Roman"/>
          <w:noProof/>
          <w:sz w:val="24"/>
          <w:szCs w:val="24"/>
        </w:rPr>
        <w:t>notre réaction à tous les niveaux. La clé du succès est souvent entre les mains des autorités nationales, régionales et locales, ainsi que des partenaires sociaux et des acteurs concernés à tous les niveaux, qui œuvrent de concert avec l’UE pour faire de c</w:t>
      </w:r>
      <w:r>
        <w:rPr>
          <w:rFonts w:ascii="Times New Roman" w:hAnsi="Times New Roman"/>
          <w:noProof/>
          <w:sz w:val="24"/>
          <w:szCs w:val="24"/>
        </w:rPr>
        <w:t>es ambitions une réalité.</w:t>
      </w:r>
    </w:p>
    <w:p w:rsidR="000D7FEE" w:rsidRDefault="002C6C12">
      <w:pPr>
        <w:autoSpaceDE w:val="0"/>
        <w:autoSpaceDN w:val="0"/>
        <w:spacing w:after="240"/>
        <w:jc w:val="both"/>
        <w:rPr>
          <w:rFonts w:ascii="Times New Roman" w:hAnsi="Times New Roman" w:cs="Times New Roman"/>
          <w:noProof/>
          <w:sz w:val="24"/>
          <w:szCs w:val="24"/>
        </w:rPr>
      </w:pPr>
      <w:r>
        <w:rPr>
          <w:rFonts w:ascii="Times New Roman" w:hAnsi="Times New Roman"/>
          <w:b/>
          <w:bCs/>
          <w:noProof/>
          <w:sz w:val="24"/>
          <w:szCs w:val="24"/>
        </w:rPr>
        <w:t>La Commission invite donc tous les partenaires et autorités européens, nationaux, régionaux et locaux à donner, d’ici à novembre 2020, leur point de vue sur les prochaines mesures nécessaires et à présenter leurs propres engagemen</w:t>
      </w:r>
      <w:r>
        <w:rPr>
          <w:rFonts w:ascii="Times New Roman" w:hAnsi="Times New Roman"/>
          <w:b/>
          <w:bCs/>
          <w:noProof/>
          <w:sz w:val="24"/>
          <w:szCs w:val="24"/>
        </w:rPr>
        <w:t xml:space="preserve">ts concrets en faveur de la mise en œuvre du socle. </w:t>
      </w:r>
      <w:r>
        <w:rPr>
          <w:rFonts w:ascii="Times New Roman" w:hAnsi="Times New Roman"/>
          <w:noProof/>
          <w:sz w:val="24"/>
          <w:szCs w:val="24"/>
        </w:rPr>
        <w:t xml:space="preserve">Tout au long de 2020, la Commission comptera sur l’engagement et la participation actifs de tous ses partenaires: le </w:t>
      </w:r>
      <w:r>
        <w:rPr>
          <w:rFonts w:ascii="Times New Roman" w:hAnsi="Times New Roman"/>
          <w:bCs/>
          <w:noProof/>
          <w:sz w:val="24"/>
          <w:szCs w:val="24"/>
        </w:rPr>
        <w:t xml:space="preserve">Parlement européen, le Conseil, le Comité économique et social européen, le Comité des </w:t>
      </w:r>
      <w:r>
        <w:rPr>
          <w:rFonts w:ascii="Times New Roman" w:hAnsi="Times New Roman"/>
          <w:bCs/>
          <w:noProof/>
          <w:sz w:val="24"/>
          <w:szCs w:val="24"/>
        </w:rPr>
        <w:t>régions, les partenaires sociaux et les organisations de la société civile.</w:t>
      </w:r>
      <w:r>
        <w:rPr>
          <w:rFonts w:ascii="Times New Roman" w:hAnsi="Times New Roman"/>
          <w:noProof/>
          <w:sz w:val="24"/>
          <w:szCs w:val="24"/>
        </w:rPr>
        <w:t xml:space="preserve"> Vous pouvez présenter votre point de vue ou vos engagements sur la page web «yoursay-socialeurope»</w:t>
      </w:r>
      <w:r>
        <w:rPr>
          <w:rStyle w:val="FootnoteReference"/>
          <w:rFonts w:ascii="Times New Roman" w:hAnsi="Times New Roman" w:cs="Times New Roman"/>
          <w:bCs/>
          <w:noProof/>
          <w:sz w:val="24"/>
          <w:szCs w:val="24"/>
        </w:rPr>
        <w:footnoteReference w:id="4"/>
      </w:r>
      <w:r>
        <w:rPr>
          <w:rFonts w:ascii="Times New Roman" w:hAnsi="Times New Roman"/>
          <w:noProof/>
          <w:sz w:val="24"/>
          <w:szCs w:val="24"/>
        </w:rPr>
        <w:t>.</w:t>
      </w:r>
    </w:p>
    <w:p w:rsidR="000D7FEE" w:rsidRDefault="002C6C12">
      <w:pPr>
        <w:autoSpaceDE w:val="0"/>
        <w:autoSpaceDN w:val="0"/>
        <w:spacing w:after="240"/>
        <w:jc w:val="both"/>
        <w:rPr>
          <w:rFonts w:ascii="Times New Roman" w:hAnsi="Times New Roman" w:cs="Times New Roman"/>
          <w:b/>
          <w:noProof/>
          <w:sz w:val="24"/>
          <w:szCs w:val="24"/>
        </w:rPr>
      </w:pPr>
      <w:r>
        <w:rPr>
          <w:rFonts w:ascii="Times New Roman" w:hAnsi="Times New Roman"/>
          <w:b/>
          <w:noProof/>
          <w:sz w:val="24"/>
          <w:szCs w:val="24"/>
        </w:rPr>
        <w:t xml:space="preserve">L’objectif est d’élaborer conjointement un plan d’action qui tiendra compte de toutes les contributions et sera soumis à approbation au plus haut niveau politique. </w:t>
      </w:r>
    </w:p>
    <w:p w:rsidR="000D7FEE" w:rsidRDefault="000D7FEE">
      <w:pPr>
        <w:keepNext/>
        <w:autoSpaceDE w:val="0"/>
        <w:autoSpaceDN w:val="0"/>
        <w:spacing w:after="240"/>
        <w:jc w:val="both"/>
        <w:rPr>
          <w:rFonts w:ascii="Times New Roman" w:hAnsi="Times New Roman" w:cs="Times New Roman"/>
          <w:b/>
          <w:noProof/>
          <w:sz w:val="24"/>
          <w:szCs w:val="24"/>
        </w:rPr>
      </w:pPr>
    </w:p>
    <w:sectPr w:rsidR="000D7FEE">
      <w:headerReference w:type="even" r:id="rId60"/>
      <w:headerReference w:type="default" r:id="rId61"/>
      <w:footerReference w:type="even" r:id="rId62"/>
      <w:footerReference w:type="default" r:id="rId63"/>
      <w:headerReference w:type="first" r:id="rId64"/>
      <w:footerReference w:type="first" r:id="rId65"/>
      <w:pgSz w:w="11906" w:h="16838"/>
      <w:pgMar w:top="1417" w:right="1417" w:bottom="1417"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6381F4" w16cid:durableId="21C1F9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FEE" w:rsidRDefault="002C6C12">
      <w:pPr>
        <w:spacing w:after="0" w:line="240" w:lineRule="auto"/>
      </w:pPr>
      <w:r>
        <w:separator/>
      </w:r>
    </w:p>
  </w:endnote>
  <w:endnote w:type="continuationSeparator" w:id="0">
    <w:p w:rsidR="000D7FEE" w:rsidRDefault="002C6C12">
      <w:pPr>
        <w:spacing w:after="0" w:line="240" w:lineRule="auto"/>
      </w:pPr>
      <w:r>
        <w:continuationSeparator/>
      </w:r>
    </w:p>
  </w:endnote>
  <w:endnote w:type="continuationNotice" w:id="1">
    <w:p w:rsidR="000D7FEE" w:rsidRDefault="000D7F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2C6C12">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338135"/>
      <w:docPartObj>
        <w:docPartGallery w:val="Page Numbers (Bottom of Page)"/>
        <w:docPartUnique/>
      </w:docPartObj>
    </w:sdtPr>
    <w:sdtEndPr>
      <w:rPr>
        <w:noProof/>
      </w:rPr>
    </w:sdtEndPr>
    <w:sdtContent>
      <w:p w:rsidR="000D7FEE" w:rsidRDefault="002C6C12">
        <w:pPr>
          <w:pStyle w:val="Footer"/>
          <w:jc w:val="right"/>
        </w:pPr>
        <w:r>
          <w:fldChar w:fldCharType="begin"/>
        </w:r>
        <w:r>
          <w:instrText xml:space="preserve"> PAGE   \* MERGEFORMAT </w:instrText>
        </w:r>
        <w:r>
          <w:fldChar w:fldCharType="separate"/>
        </w:r>
        <w:r>
          <w:rPr>
            <w:noProof/>
          </w:rPr>
          <w:t>1</w:t>
        </w:r>
        <w:r>
          <w:fldChar w:fldCharType="end"/>
        </w:r>
      </w:p>
    </w:sdtContent>
  </w:sdt>
  <w:p w:rsidR="000D7FEE" w:rsidRDefault="000D7F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FEE" w:rsidRDefault="002C6C12">
      <w:pPr>
        <w:spacing w:after="0" w:line="240" w:lineRule="auto"/>
      </w:pPr>
      <w:r>
        <w:separator/>
      </w:r>
    </w:p>
  </w:footnote>
  <w:footnote w:type="continuationSeparator" w:id="0">
    <w:p w:rsidR="000D7FEE" w:rsidRDefault="002C6C12">
      <w:pPr>
        <w:spacing w:after="0" w:line="240" w:lineRule="auto"/>
      </w:pPr>
      <w:r>
        <w:continuationSeparator/>
      </w:r>
    </w:p>
  </w:footnote>
  <w:footnote w:type="continuationNotice" w:id="1">
    <w:p w:rsidR="000D7FEE" w:rsidRDefault="000D7FEE">
      <w:pPr>
        <w:spacing w:after="0" w:line="240" w:lineRule="auto"/>
      </w:pPr>
    </w:p>
  </w:footnote>
  <w:footnote w:id="2">
    <w:p w:rsidR="000D7FEE" w:rsidRDefault="002C6C12">
      <w:pPr>
        <w:pStyle w:val="FootnoteText"/>
      </w:pPr>
      <w:r>
        <w:rPr>
          <w:rStyle w:val="FootnoteReference"/>
        </w:rPr>
        <w:footnoteRef/>
      </w:r>
      <w:r>
        <w:rPr>
          <w:rFonts w:ascii="Times New Roman" w:hAnsi="Times New Roman"/>
        </w:rPr>
        <w:t xml:space="preserve"> Conclusions du Conseil européen — Nouveau programme stratégique 2019-2024 [référence], juin 2019.</w:t>
      </w:r>
    </w:p>
  </w:footnote>
  <w:footnote w:id="3">
    <w:p w:rsidR="000D7FEE" w:rsidRDefault="002C6C12">
      <w:pPr>
        <w:rPr>
          <w:rFonts w:ascii="Times New Roman" w:eastAsia="Times New Roman" w:hAnsi="Times New Roman"/>
          <w:sz w:val="20"/>
          <w:szCs w:val="20"/>
        </w:rPr>
      </w:pPr>
      <w:r>
        <w:rPr>
          <w:rStyle w:val="FootnoteReference"/>
        </w:rPr>
        <w:footnoteRef/>
      </w:r>
      <w:r>
        <w:t xml:space="preserve"> </w:t>
      </w:r>
      <w:r>
        <w:rPr>
          <w:rFonts w:ascii="Times New Roman" w:hAnsi="Times New Roman"/>
          <w:iCs/>
          <w:sz w:val="20"/>
          <w:szCs w:val="20"/>
        </w:rPr>
        <w:t>Comme annoncé dans le pacte vert pour l’Europe, la Commission présentera en 2020 des orientations sur la précarité énergétique.</w:t>
      </w:r>
      <w:r>
        <w:rPr>
          <w:rFonts w:ascii="Times New Roman" w:hAnsi="Times New Roman"/>
          <w:sz w:val="20"/>
          <w:szCs w:val="20"/>
        </w:rPr>
        <w:t xml:space="preserve"> </w:t>
      </w:r>
    </w:p>
    <w:p w:rsidR="000D7FEE" w:rsidRDefault="000D7FEE">
      <w:pPr>
        <w:pStyle w:val="FootnoteText"/>
      </w:pPr>
    </w:p>
  </w:footnote>
  <w:footnote w:id="4">
    <w:p w:rsidR="000D7FEE" w:rsidRDefault="002C6C12">
      <w:pPr>
        <w:pStyle w:val="FootnoteText"/>
        <w:tabs>
          <w:tab w:val="left" w:pos="585"/>
        </w:tabs>
        <w:ind w:left="584" w:hanging="584"/>
        <w:rPr>
          <w:rStyle w:val="Hyperlink"/>
          <w:rFonts w:ascii="Times New Roman" w:hAnsi="Times New Roman" w:cs="Times New Roman"/>
        </w:rPr>
      </w:pPr>
      <w:r>
        <w:rPr>
          <w:rStyle w:val="FootnoteReference"/>
        </w:rPr>
        <w:footnoteRef/>
      </w:r>
      <w:r>
        <w:t xml:space="preserve"> </w:t>
      </w:r>
      <w:hyperlink r:id="rId1" w:history="1">
        <w:r>
          <w:rPr>
            <w:rStyle w:val="Hyperlink"/>
            <w:rFonts w:ascii="Times New Roman" w:hAnsi="Times New Roman"/>
          </w:rPr>
          <w:t>https://ec.europa.eu/social/yoursay-socialeurope</w:t>
        </w:r>
      </w:hyperlink>
    </w:p>
    <w:p w:rsidR="000D7FEE" w:rsidRDefault="002C6C12">
      <w:pPr>
        <w:pStyle w:val="FootnoteText"/>
        <w:tabs>
          <w:tab w:val="left" w:pos="585"/>
        </w:tabs>
        <w:ind w:left="584" w:hanging="584"/>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Header"/>
      <w:jc w:val="right"/>
    </w:pPr>
  </w:p>
  <w:p w:rsidR="000D7FEE" w:rsidRDefault="000D7F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FEE" w:rsidRDefault="000D7F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3EA7"/>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A55ED"/>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CB108F"/>
    <w:multiLevelType w:val="hybridMultilevel"/>
    <w:tmpl w:val="D154127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FE205AA"/>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B1BF9"/>
    <w:multiLevelType w:val="hybridMultilevel"/>
    <w:tmpl w:val="80E69EB6"/>
    <w:lvl w:ilvl="0" w:tplc="D6FE7BBC">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71698"/>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3E3EAD"/>
    <w:multiLevelType w:val="hybridMultilevel"/>
    <w:tmpl w:val="FB581758"/>
    <w:lvl w:ilvl="0" w:tplc="C63EC27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25DA4CFD"/>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00410"/>
    <w:multiLevelType w:val="hybridMultilevel"/>
    <w:tmpl w:val="5D08891A"/>
    <w:lvl w:ilvl="0" w:tplc="08090019">
      <w:start w:val="1"/>
      <w:numFmt w:val="lowerLetter"/>
      <w:lvlText w:val="%1."/>
      <w:lvlJc w:val="left"/>
      <w:pPr>
        <w:ind w:left="1392" w:hanging="360"/>
      </w:pPr>
    </w:lvl>
    <w:lvl w:ilvl="1" w:tplc="08090019" w:tentative="1">
      <w:start w:val="1"/>
      <w:numFmt w:val="lowerLetter"/>
      <w:lvlText w:val="%2."/>
      <w:lvlJc w:val="left"/>
      <w:pPr>
        <w:ind w:left="2112" w:hanging="360"/>
      </w:pPr>
    </w:lvl>
    <w:lvl w:ilvl="2" w:tplc="0809001B" w:tentative="1">
      <w:start w:val="1"/>
      <w:numFmt w:val="lowerRoman"/>
      <w:lvlText w:val="%3."/>
      <w:lvlJc w:val="right"/>
      <w:pPr>
        <w:ind w:left="2832" w:hanging="180"/>
      </w:pPr>
    </w:lvl>
    <w:lvl w:ilvl="3" w:tplc="0809000F" w:tentative="1">
      <w:start w:val="1"/>
      <w:numFmt w:val="decimal"/>
      <w:lvlText w:val="%4."/>
      <w:lvlJc w:val="left"/>
      <w:pPr>
        <w:ind w:left="3552" w:hanging="360"/>
      </w:pPr>
    </w:lvl>
    <w:lvl w:ilvl="4" w:tplc="08090019" w:tentative="1">
      <w:start w:val="1"/>
      <w:numFmt w:val="lowerLetter"/>
      <w:lvlText w:val="%5."/>
      <w:lvlJc w:val="left"/>
      <w:pPr>
        <w:ind w:left="4272" w:hanging="360"/>
      </w:pPr>
    </w:lvl>
    <w:lvl w:ilvl="5" w:tplc="0809001B" w:tentative="1">
      <w:start w:val="1"/>
      <w:numFmt w:val="lowerRoman"/>
      <w:lvlText w:val="%6."/>
      <w:lvlJc w:val="right"/>
      <w:pPr>
        <w:ind w:left="4992" w:hanging="180"/>
      </w:pPr>
    </w:lvl>
    <w:lvl w:ilvl="6" w:tplc="0809000F" w:tentative="1">
      <w:start w:val="1"/>
      <w:numFmt w:val="decimal"/>
      <w:lvlText w:val="%7."/>
      <w:lvlJc w:val="left"/>
      <w:pPr>
        <w:ind w:left="5712" w:hanging="360"/>
      </w:pPr>
    </w:lvl>
    <w:lvl w:ilvl="7" w:tplc="08090019" w:tentative="1">
      <w:start w:val="1"/>
      <w:numFmt w:val="lowerLetter"/>
      <w:lvlText w:val="%8."/>
      <w:lvlJc w:val="left"/>
      <w:pPr>
        <w:ind w:left="6432" w:hanging="360"/>
      </w:pPr>
    </w:lvl>
    <w:lvl w:ilvl="8" w:tplc="0809001B" w:tentative="1">
      <w:start w:val="1"/>
      <w:numFmt w:val="lowerRoman"/>
      <w:lvlText w:val="%9."/>
      <w:lvlJc w:val="right"/>
      <w:pPr>
        <w:ind w:left="7152" w:hanging="180"/>
      </w:pPr>
    </w:lvl>
  </w:abstractNum>
  <w:abstractNum w:abstractNumId="10" w15:restartNumberingAfterBreak="0">
    <w:nsid w:val="30BA01A7"/>
    <w:multiLevelType w:val="hybridMultilevel"/>
    <w:tmpl w:val="2B780900"/>
    <w:lvl w:ilvl="0" w:tplc="037AD5B6">
      <w:start w:val="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6D4EE7"/>
    <w:multiLevelType w:val="hybridMultilevel"/>
    <w:tmpl w:val="E448563C"/>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52225B3"/>
    <w:multiLevelType w:val="hybridMultilevel"/>
    <w:tmpl w:val="E448563C"/>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27E0C17"/>
    <w:multiLevelType w:val="hybridMultilevel"/>
    <w:tmpl w:val="3B382936"/>
    <w:lvl w:ilvl="0" w:tplc="080C000F">
      <w:start w:val="3"/>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481C2892"/>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0F54B4"/>
    <w:multiLevelType w:val="hybridMultilevel"/>
    <w:tmpl w:val="69569CFC"/>
    <w:lvl w:ilvl="0" w:tplc="037AD5B6">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5E19A5"/>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5E1F61"/>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3E161B"/>
    <w:multiLevelType w:val="hybridMultilevel"/>
    <w:tmpl w:val="5D0889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15"/>
  </w:num>
  <w:num w:numId="4">
    <w:abstractNumId w:val="11"/>
  </w:num>
  <w:num w:numId="5">
    <w:abstractNumId w:val="7"/>
  </w:num>
  <w:num w:numId="6">
    <w:abstractNumId w:val="5"/>
  </w:num>
  <w:num w:numId="7">
    <w:abstractNumId w:val="18"/>
  </w:num>
  <w:num w:numId="8">
    <w:abstractNumId w:val="3"/>
  </w:num>
  <w:num w:numId="9">
    <w:abstractNumId w:val="9"/>
  </w:num>
  <w:num w:numId="10">
    <w:abstractNumId w:val="0"/>
  </w:num>
  <w:num w:numId="11">
    <w:abstractNumId w:val="16"/>
  </w:num>
  <w:num w:numId="12">
    <w:abstractNumId w:val="14"/>
  </w:num>
  <w:num w:numId="13">
    <w:abstractNumId w:val="17"/>
  </w:num>
  <w:num w:numId="14">
    <w:abstractNumId w:val="6"/>
  </w:num>
  <w:num w:numId="15">
    <w:abstractNumId w:val="8"/>
  </w:num>
  <w:num w:numId="16">
    <w:abstractNumId w:val="1"/>
  </w:num>
  <w:num w:numId="17">
    <w:abstractNumId w:val="10"/>
  </w:num>
  <w:num w:numId="18">
    <w:abstractNumId w:val="2"/>
  </w:num>
  <w:num w:numId="1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hideSpellingErrors/>
  <w:hideGrammaticalError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A3192EC-9501-4947-BB1D-AAC182008A68"/>
    <w:docVar w:name="LW_COVERPAGE_TYPE" w:val="1"/>
    <w:docVar w:name="LW_CROSSREFERENCE" w:val="&lt;UNUSED&gt;"/>
    <w:docVar w:name="LW_DocType" w:val="NORMAL"/>
    <w:docVar w:name="LW_EMISSION" w:val="14.1.2020"/>
    <w:docVar w:name="LW_EMISSION_ISODATE" w:val="2020-01-14"/>
    <w:docVar w:name="LW_EMISSION_LOCATION" w:val="BRX"/>
    <w:docVar w:name="LW_EMISSION_PREFIX" w:val="Bruxelles, le "/>
    <w:docVar w:name="LW_EMISSION_SUFFIX" w:val=" "/>
    <w:docVar w:name="LW_ID_DOCTYPE_NONLW" w:val="CP-014"/>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1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NE EUROPE SOCIALE FORTE POUR DES TRANSITIONS JUSTES&lt;/FMT&gt;_x000d__x000d__x000d__x000d__x000b__x000d__x000d__x000d__x000d__x000d__x000d__x000d__x000b_"/>
    <w:docVar w:name="LW_TYPE.DOC.CP" w:val="COMMUNICATION DE LA COMMISSION AU PARLEMENT EUROPÉEN, AU CONSEIL, AU COMITÉ ÉCONOMIQUE ET SOCIAL EUROPÉEN ET AU COMITÉ DES RÉGIONS"/>
    <w:docVar w:name="LW_TYPE.DOC.CP.USERTEXT" w:val="&lt;EMPTY&gt;"/>
  </w:docVars>
  <w:rsids>
    <w:rsidRoot w:val="000D7FEE"/>
    <w:rsid w:val="000D7FEE"/>
    <w:rsid w:val="002C6C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pPr>
      <w:spacing w:after="0" w:line="240" w:lineRule="auto"/>
      <w:outlineLvl w:val="1"/>
    </w:pPr>
    <w:rPr>
      <w:rFonts w:ascii="Arial" w:eastAsia="Times New Roman" w:hAnsi="Arial" w:cs="Arial"/>
      <w:b/>
      <w:bCs/>
      <w:sz w:val="36"/>
      <w:szCs w:val="36"/>
      <w:lang w:eastAsia="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styleId="FootnoteText">
    <w:name w:val="footnote text"/>
    <w:aliases w:val="Fussnote,stile 1,Fußnote,Podrozdział,Footnote Text Char Char,Footnote Text Char1 Char Char,Footnote Text Char Char Char Char,Footnote Text Char Char1,Char Char,Sprotna opomba - besedilo Znak1,Tekst przypis,o,Char,Märk,Char1,f,Carattere,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ssnote Char,stile 1 Char,Fußnote Char,Podrozdział Char,Footnote Text Char Char Char,Footnote Text Char1 Char Char Char,Footnote Text Char Char Char Char Char,Footnote Text Char Char1 Char,Char Char Char,Tekst przypis Char,o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Footnote,Footnote Reference Number,E FNZ,-E Fußnotenzeichen,Footnote#,Ref,Nota"/>
    <w:basedOn w:val="DefaultParagraphFont"/>
    <w:link w:val="FootnotesymbolCarZchn"/>
    <w:uiPriority w:val="99"/>
    <w:unhideWhenUsed/>
    <w:qFormat/>
    <w:rPr>
      <w:vertAlign w:val="superscript"/>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body"/>
    <w:basedOn w:val="Normal"/>
    <w:link w:val="ListParagraphChar"/>
    <w:qFormat/>
    <w:pPr>
      <w:ind w:left="720"/>
      <w:contextualSpacing/>
    </w:pPr>
  </w:style>
  <w:style w:type="character" w:styleId="Hyperlink">
    <w:name w:val="Hyperlink"/>
    <w:basedOn w:val="DefaultParagraphFont"/>
    <w:uiPriority w:val="99"/>
    <w:unhideWhenUsed/>
    <w:rPr>
      <w:rFonts w:ascii="Verdana" w:hAnsi="Verdana" w:hint="default"/>
      <w:strike w:val="0"/>
      <w:dstrike w:val="0"/>
      <w:color w:val="0000FF"/>
      <w:u w:val="none"/>
      <w:effect w:val="non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dnormal">
    <w:name w:val="prdnormal"/>
    <w:basedOn w:val="DefaultParagraphFont"/>
  </w:style>
  <w:style w:type="paragraph" w:customStyle="1" w:styleId="Standard">
    <w:name w:val="Standard"/>
    <w:pPr>
      <w:suppressAutoHyphens/>
      <w:autoSpaceDN w:val="0"/>
      <w:textAlignment w:val="baseline"/>
    </w:pPr>
    <w:rPr>
      <w:rFonts w:ascii="Calibri" w:eastAsia="SimSun" w:hAnsi="Calibri" w:cs="F"/>
      <w:kern w:val="3"/>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PlainText">
    <w:name w:val="Plain Text"/>
    <w:basedOn w:val="Normal"/>
    <w:link w:val="PlainTextChar"/>
    <w:uiPriority w:val="99"/>
    <w:unhideWhenUsed/>
    <w:pPr>
      <w:spacing w:after="0" w:line="240" w:lineRule="auto"/>
    </w:pPr>
    <w:rPr>
      <w:rFonts w:ascii="Calibri" w:hAnsi="Calibri"/>
      <w:sz w:val="28"/>
      <w:szCs w:val="21"/>
    </w:rPr>
  </w:style>
  <w:style w:type="character" w:customStyle="1" w:styleId="PlainTextChar">
    <w:name w:val="Plain Text Char"/>
    <w:basedOn w:val="DefaultParagraphFont"/>
    <w:link w:val="PlainText"/>
    <w:uiPriority w:val="99"/>
    <w:rPr>
      <w:rFonts w:ascii="Calibri" w:hAnsi="Calibri"/>
      <w:sz w:val="28"/>
      <w:szCs w:val="21"/>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Caractresdenotedebasdepage">
    <w:name w:val="Caractères de note de bas de page"/>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Georgia" w:hAnsi="Georgia" w:cs="Georgia"/>
      <w:color w:val="000000"/>
      <w:sz w:val="24"/>
      <w:szCs w:val="24"/>
    </w:rPr>
  </w:style>
  <w:style w:type="character" w:customStyle="1" w:styleId="st1">
    <w:name w:val="st1"/>
    <w:basedOn w:val="DefaultParagraphFont"/>
  </w:style>
  <w:style w:type="paragraph" w:customStyle="1" w:styleId="Text1">
    <w:name w:val="Text 1"/>
    <w:basedOn w:val="Normal"/>
    <w:pPr>
      <w:spacing w:after="240" w:line="240" w:lineRule="auto"/>
      <w:ind w:left="482"/>
      <w:jc w:val="both"/>
    </w:pPr>
    <w:rPr>
      <w:rFonts w:ascii="Times New Roman" w:hAnsi="Times New Roman" w:cs="Times New Roman"/>
      <w:sz w:val="24"/>
      <w:szCs w:val="24"/>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uiPriority w:val="99"/>
    <w:pPr>
      <w:spacing w:after="160" w:line="240" w:lineRule="exact"/>
    </w:pPr>
    <w:rPr>
      <w:vertAlign w:val="superscript"/>
    </w:rPr>
  </w:style>
  <w:style w:type="character" w:styleId="Strong">
    <w:name w:val="Strong"/>
    <w:basedOn w:val="DefaultParagraphFont"/>
    <w:uiPriority w:val="22"/>
    <w:qFormat/>
    <w:rPr>
      <w:b/>
      <w:bCs/>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qFormat/>
    <w:locked/>
  </w:style>
  <w:style w:type="paragraph" w:customStyle="1" w:styleId="Normal12Hanging">
    <w:name w:val="Normal12Hanging"/>
    <w:basedOn w:val="Normal"/>
    <w:pPr>
      <w:widowControl w:val="0"/>
      <w:spacing w:after="240" w:line="240" w:lineRule="auto"/>
      <w:ind w:left="567" w:hanging="567"/>
    </w:pPr>
    <w:rPr>
      <w:rFonts w:ascii="Times New Roman" w:eastAsia="Times New Roman" w:hAnsi="Times New Roman" w:cs="Times New Roman"/>
      <w:sz w:val="24"/>
      <w:szCs w:val="20"/>
      <w:lang w:eastAsia="en-GB" w:bidi="en-GB"/>
    </w:rPr>
  </w:style>
  <w:style w:type="paragraph" w:customStyle="1" w:styleId="Normal24">
    <w:name w:val="Normal24"/>
    <w:basedOn w:val="Normal"/>
    <w:pPr>
      <w:widowControl w:val="0"/>
      <w:spacing w:after="480" w:line="240" w:lineRule="auto"/>
    </w:pPr>
    <w:rPr>
      <w:rFonts w:ascii="Times New Roman" w:eastAsia="Times New Roman" w:hAnsi="Times New Roman" w:cs="Times New Roman"/>
      <w:sz w:val="24"/>
      <w:szCs w:val="20"/>
      <w:lang w:eastAsia="en-GB" w:bidi="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Arial" w:eastAsia="Times New Roman" w:hAnsi="Arial" w:cs="Arial"/>
      <w:b/>
      <w:bCs/>
      <w:sz w:val="36"/>
      <w:szCs w:val="36"/>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bold1">
    <w:name w:val="bold1"/>
    <w:basedOn w:val="DefaultParagraphFont"/>
    <w:rPr>
      <w:b/>
      <w:bCs/>
    </w:rPr>
  </w:style>
  <w:style w:type="paragraph" w:customStyle="1" w:styleId="normal2">
    <w:name w:val="normal2"/>
    <w:basedOn w:val="Normal"/>
    <w:pPr>
      <w:spacing w:before="195" w:after="0" w:line="240" w:lineRule="auto"/>
      <w:jc w:val="both"/>
    </w:pPr>
    <w:rPr>
      <w:rFonts w:ascii="Times New Roman" w:eastAsia="Times New Roman" w:hAnsi="Times New Roman" w:cs="Times New Roman"/>
      <w:sz w:val="24"/>
      <w:szCs w:val="24"/>
      <w:lang w:eastAsia="en-GB"/>
    </w:rPr>
  </w:style>
  <w:style w:type="character" w:customStyle="1" w:styleId="at21">
    <w:name w:val="a__t21"/>
    <w:basedOn w:val="DefaultParagraphFont"/>
    <w:rPr>
      <w:i/>
      <w:iCs/>
    </w:rPr>
  </w:style>
  <w:style w:type="paragraph" w:customStyle="1" w:styleId="Briefinglist1">
    <w:name w:val="Briefing list 1"/>
    <w:basedOn w:val="Briefingtext"/>
    <w:pPr>
      <w:keepLines/>
      <w:numPr>
        <w:numId w:val="1"/>
      </w:numPr>
      <w:spacing w:after="120"/>
    </w:p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spellingerror">
    <w:name w:val="spellingerro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6256">
      <w:bodyDiv w:val="1"/>
      <w:marLeft w:val="0"/>
      <w:marRight w:val="0"/>
      <w:marTop w:val="0"/>
      <w:marBottom w:val="0"/>
      <w:divBdr>
        <w:top w:val="none" w:sz="0" w:space="0" w:color="auto"/>
        <w:left w:val="none" w:sz="0" w:space="0" w:color="auto"/>
        <w:bottom w:val="none" w:sz="0" w:space="0" w:color="auto"/>
        <w:right w:val="none" w:sz="0" w:space="0" w:color="auto"/>
      </w:divBdr>
    </w:div>
    <w:div w:id="61219334">
      <w:bodyDiv w:val="1"/>
      <w:marLeft w:val="0"/>
      <w:marRight w:val="0"/>
      <w:marTop w:val="0"/>
      <w:marBottom w:val="0"/>
      <w:divBdr>
        <w:top w:val="none" w:sz="0" w:space="0" w:color="auto"/>
        <w:left w:val="none" w:sz="0" w:space="0" w:color="auto"/>
        <w:bottom w:val="none" w:sz="0" w:space="0" w:color="auto"/>
        <w:right w:val="none" w:sz="0" w:space="0" w:color="auto"/>
      </w:divBdr>
    </w:div>
    <w:div w:id="201090616">
      <w:bodyDiv w:val="1"/>
      <w:marLeft w:val="0"/>
      <w:marRight w:val="0"/>
      <w:marTop w:val="0"/>
      <w:marBottom w:val="0"/>
      <w:divBdr>
        <w:top w:val="none" w:sz="0" w:space="0" w:color="auto"/>
        <w:left w:val="none" w:sz="0" w:space="0" w:color="auto"/>
        <w:bottom w:val="none" w:sz="0" w:space="0" w:color="auto"/>
        <w:right w:val="none" w:sz="0" w:space="0" w:color="auto"/>
      </w:divBdr>
    </w:div>
    <w:div w:id="207113181">
      <w:bodyDiv w:val="1"/>
      <w:marLeft w:val="0"/>
      <w:marRight w:val="0"/>
      <w:marTop w:val="0"/>
      <w:marBottom w:val="0"/>
      <w:divBdr>
        <w:top w:val="none" w:sz="0" w:space="0" w:color="auto"/>
        <w:left w:val="none" w:sz="0" w:space="0" w:color="auto"/>
        <w:bottom w:val="none" w:sz="0" w:space="0" w:color="auto"/>
        <w:right w:val="none" w:sz="0" w:space="0" w:color="auto"/>
      </w:divBdr>
      <w:divsChild>
        <w:div w:id="1350519874">
          <w:marLeft w:val="0"/>
          <w:marRight w:val="0"/>
          <w:marTop w:val="0"/>
          <w:marBottom w:val="0"/>
          <w:divBdr>
            <w:top w:val="none" w:sz="0" w:space="0" w:color="auto"/>
            <w:left w:val="none" w:sz="0" w:space="0" w:color="auto"/>
            <w:bottom w:val="none" w:sz="0" w:space="0" w:color="auto"/>
            <w:right w:val="none" w:sz="0" w:space="0" w:color="auto"/>
          </w:divBdr>
          <w:divsChild>
            <w:div w:id="72439869">
              <w:marLeft w:val="0"/>
              <w:marRight w:val="0"/>
              <w:marTop w:val="0"/>
              <w:marBottom w:val="0"/>
              <w:divBdr>
                <w:top w:val="none" w:sz="0" w:space="0" w:color="auto"/>
                <w:left w:val="none" w:sz="0" w:space="0" w:color="auto"/>
                <w:bottom w:val="none" w:sz="0" w:space="0" w:color="auto"/>
                <w:right w:val="none" w:sz="0" w:space="0" w:color="auto"/>
              </w:divBdr>
              <w:divsChild>
                <w:div w:id="478503129">
                  <w:marLeft w:val="0"/>
                  <w:marRight w:val="0"/>
                  <w:marTop w:val="0"/>
                  <w:marBottom w:val="0"/>
                  <w:divBdr>
                    <w:top w:val="none" w:sz="0" w:space="0" w:color="auto"/>
                    <w:left w:val="none" w:sz="0" w:space="0" w:color="auto"/>
                    <w:bottom w:val="none" w:sz="0" w:space="0" w:color="auto"/>
                    <w:right w:val="none" w:sz="0" w:space="0" w:color="auto"/>
                  </w:divBdr>
                  <w:divsChild>
                    <w:div w:id="2118212395">
                      <w:marLeft w:val="0"/>
                      <w:marRight w:val="0"/>
                      <w:marTop w:val="0"/>
                      <w:marBottom w:val="0"/>
                      <w:divBdr>
                        <w:top w:val="none" w:sz="0" w:space="0" w:color="auto"/>
                        <w:left w:val="none" w:sz="0" w:space="0" w:color="auto"/>
                        <w:bottom w:val="none" w:sz="0" w:space="0" w:color="auto"/>
                        <w:right w:val="none" w:sz="0" w:space="0" w:color="auto"/>
                      </w:divBdr>
                      <w:divsChild>
                        <w:div w:id="1682928748">
                          <w:marLeft w:val="0"/>
                          <w:marRight w:val="0"/>
                          <w:marTop w:val="0"/>
                          <w:marBottom w:val="0"/>
                          <w:divBdr>
                            <w:top w:val="none" w:sz="0" w:space="0" w:color="auto"/>
                            <w:left w:val="none" w:sz="0" w:space="0" w:color="auto"/>
                            <w:bottom w:val="none" w:sz="0" w:space="0" w:color="auto"/>
                            <w:right w:val="none" w:sz="0" w:space="0" w:color="auto"/>
                          </w:divBdr>
                          <w:divsChild>
                            <w:div w:id="2110197764">
                              <w:marLeft w:val="0"/>
                              <w:marRight w:val="0"/>
                              <w:marTop w:val="0"/>
                              <w:marBottom w:val="0"/>
                              <w:divBdr>
                                <w:top w:val="none" w:sz="0" w:space="0" w:color="auto"/>
                                <w:left w:val="none" w:sz="0" w:space="0" w:color="auto"/>
                                <w:bottom w:val="none" w:sz="0" w:space="0" w:color="auto"/>
                                <w:right w:val="none" w:sz="0" w:space="0" w:color="auto"/>
                              </w:divBdr>
                              <w:divsChild>
                                <w:div w:id="602617236">
                                  <w:marLeft w:val="0"/>
                                  <w:marRight w:val="0"/>
                                  <w:marTop w:val="0"/>
                                  <w:marBottom w:val="0"/>
                                  <w:divBdr>
                                    <w:top w:val="none" w:sz="0" w:space="0" w:color="auto"/>
                                    <w:left w:val="none" w:sz="0" w:space="0" w:color="auto"/>
                                    <w:bottom w:val="none" w:sz="0" w:space="0" w:color="auto"/>
                                    <w:right w:val="none" w:sz="0" w:space="0" w:color="auto"/>
                                  </w:divBdr>
                                  <w:divsChild>
                                    <w:div w:id="1151361358">
                                      <w:marLeft w:val="0"/>
                                      <w:marRight w:val="0"/>
                                      <w:marTop w:val="0"/>
                                      <w:marBottom w:val="0"/>
                                      <w:divBdr>
                                        <w:top w:val="none" w:sz="0" w:space="0" w:color="auto"/>
                                        <w:left w:val="none" w:sz="0" w:space="0" w:color="auto"/>
                                        <w:bottom w:val="none" w:sz="0" w:space="0" w:color="auto"/>
                                        <w:right w:val="none" w:sz="0" w:space="0" w:color="auto"/>
                                      </w:divBdr>
                                      <w:divsChild>
                                        <w:div w:id="133814649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640691">
      <w:bodyDiv w:val="1"/>
      <w:marLeft w:val="0"/>
      <w:marRight w:val="0"/>
      <w:marTop w:val="0"/>
      <w:marBottom w:val="0"/>
      <w:divBdr>
        <w:top w:val="none" w:sz="0" w:space="0" w:color="auto"/>
        <w:left w:val="none" w:sz="0" w:space="0" w:color="auto"/>
        <w:bottom w:val="none" w:sz="0" w:space="0" w:color="auto"/>
        <w:right w:val="none" w:sz="0" w:space="0" w:color="auto"/>
      </w:divBdr>
    </w:div>
    <w:div w:id="385645162">
      <w:bodyDiv w:val="1"/>
      <w:marLeft w:val="0"/>
      <w:marRight w:val="0"/>
      <w:marTop w:val="0"/>
      <w:marBottom w:val="0"/>
      <w:divBdr>
        <w:top w:val="none" w:sz="0" w:space="0" w:color="auto"/>
        <w:left w:val="none" w:sz="0" w:space="0" w:color="auto"/>
        <w:bottom w:val="none" w:sz="0" w:space="0" w:color="auto"/>
        <w:right w:val="none" w:sz="0" w:space="0" w:color="auto"/>
      </w:divBdr>
    </w:div>
    <w:div w:id="413934384">
      <w:bodyDiv w:val="1"/>
      <w:marLeft w:val="0"/>
      <w:marRight w:val="0"/>
      <w:marTop w:val="0"/>
      <w:marBottom w:val="0"/>
      <w:divBdr>
        <w:top w:val="none" w:sz="0" w:space="0" w:color="auto"/>
        <w:left w:val="none" w:sz="0" w:space="0" w:color="auto"/>
        <w:bottom w:val="none" w:sz="0" w:space="0" w:color="auto"/>
        <w:right w:val="none" w:sz="0" w:space="0" w:color="auto"/>
      </w:divBdr>
    </w:div>
    <w:div w:id="424616454">
      <w:bodyDiv w:val="1"/>
      <w:marLeft w:val="0"/>
      <w:marRight w:val="0"/>
      <w:marTop w:val="0"/>
      <w:marBottom w:val="0"/>
      <w:divBdr>
        <w:top w:val="none" w:sz="0" w:space="0" w:color="auto"/>
        <w:left w:val="none" w:sz="0" w:space="0" w:color="auto"/>
        <w:bottom w:val="none" w:sz="0" w:space="0" w:color="auto"/>
        <w:right w:val="none" w:sz="0" w:space="0" w:color="auto"/>
      </w:divBdr>
    </w:div>
    <w:div w:id="425882670">
      <w:bodyDiv w:val="1"/>
      <w:marLeft w:val="0"/>
      <w:marRight w:val="0"/>
      <w:marTop w:val="0"/>
      <w:marBottom w:val="0"/>
      <w:divBdr>
        <w:top w:val="none" w:sz="0" w:space="0" w:color="auto"/>
        <w:left w:val="none" w:sz="0" w:space="0" w:color="auto"/>
        <w:bottom w:val="none" w:sz="0" w:space="0" w:color="auto"/>
        <w:right w:val="none" w:sz="0" w:space="0" w:color="auto"/>
      </w:divBdr>
      <w:divsChild>
        <w:div w:id="405106129">
          <w:marLeft w:val="0"/>
          <w:marRight w:val="0"/>
          <w:marTop w:val="0"/>
          <w:marBottom w:val="0"/>
          <w:divBdr>
            <w:top w:val="single" w:sz="6" w:space="0" w:color="FFFFFF"/>
            <w:left w:val="single" w:sz="6" w:space="0" w:color="FFFFFF"/>
            <w:bottom w:val="single" w:sz="6" w:space="0" w:color="FFFFFF"/>
            <w:right w:val="single" w:sz="6" w:space="0" w:color="FFFFFF"/>
          </w:divBdr>
          <w:divsChild>
            <w:div w:id="1843205609">
              <w:marLeft w:val="0"/>
              <w:marRight w:val="0"/>
              <w:marTop w:val="0"/>
              <w:marBottom w:val="0"/>
              <w:divBdr>
                <w:top w:val="none" w:sz="0" w:space="0" w:color="auto"/>
                <w:left w:val="none" w:sz="0" w:space="0" w:color="auto"/>
                <w:bottom w:val="none" w:sz="0" w:space="0" w:color="auto"/>
                <w:right w:val="none" w:sz="0" w:space="0" w:color="auto"/>
              </w:divBdr>
              <w:divsChild>
                <w:div w:id="592472224">
                  <w:marLeft w:val="0"/>
                  <w:marRight w:val="0"/>
                  <w:marTop w:val="0"/>
                  <w:marBottom w:val="0"/>
                  <w:divBdr>
                    <w:top w:val="none" w:sz="0" w:space="0" w:color="auto"/>
                    <w:left w:val="none" w:sz="0" w:space="0" w:color="auto"/>
                    <w:bottom w:val="none" w:sz="0" w:space="0" w:color="auto"/>
                    <w:right w:val="none" w:sz="0" w:space="0" w:color="auto"/>
                  </w:divBdr>
                  <w:divsChild>
                    <w:div w:id="2024093400">
                      <w:marLeft w:val="0"/>
                      <w:marRight w:val="0"/>
                      <w:marTop w:val="0"/>
                      <w:marBottom w:val="0"/>
                      <w:divBdr>
                        <w:top w:val="none" w:sz="0" w:space="0" w:color="auto"/>
                        <w:left w:val="none" w:sz="0" w:space="0" w:color="auto"/>
                        <w:bottom w:val="none" w:sz="0" w:space="0" w:color="auto"/>
                        <w:right w:val="none" w:sz="0" w:space="0" w:color="auto"/>
                      </w:divBdr>
                      <w:divsChild>
                        <w:div w:id="636683911">
                          <w:marLeft w:val="0"/>
                          <w:marRight w:val="0"/>
                          <w:marTop w:val="0"/>
                          <w:marBottom w:val="0"/>
                          <w:divBdr>
                            <w:top w:val="none" w:sz="0" w:space="0" w:color="auto"/>
                            <w:left w:val="none" w:sz="0" w:space="0" w:color="auto"/>
                            <w:bottom w:val="none" w:sz="0" w:space="0" w:color="auto"/>
                            <w:right w:val="none" w:sz="0" w:space="0" w:color="auto"/>
                          </w:divBdr>
                          <w:divsChild>
                            <w:div w:id="1187408140">
                              <w:marLeft w:val="0"/>
                              <w:marRight w:val="0"/>
                              <w:marTop w:val="0"/>
                              <w:marBottom w:val="0"/>
                              <w:divBdr>
                                <w:top w:val="none" w:sz="0" w:space="0" w:color="auto"/>
                                <w:left w:val="none" w:sz="0" w:space="0" w:color="auto"/>
                                <w:bottom w:val="none" w:sz="0" w:space="0" w:color="auto"/>
                                <w:right w:val="none" w:sz="0" w:space="0" w:color="auto"/>
                              </w:divBdr>
                              <w:divsChild>
                                <w:div w:id="1676616948">
                                  <w:marLeft w:val="0"/>
                                  <w:marRight w:val="0"/>
                                  <w:marTop w:val="0"/>
                                  <w:marBottom w:val="0"/>
                                  <w:divBdr>
                                    <w:top w:val="none" w:sz="0" w:space="0" w:color="auto"/>
                                    <w:left w:val="none" w:sz="0" w:space="0" w:color="auto"/>
                                    <w:bottom w:val="none" w:sz="0" w:space="0" w:color="auto"/>
                                    <w:right w:val="none" w:sz="0" w:space="0" w:color="auto"/>
                                  </w:divBdr>
                                  <w:divsChild>
                                    <w:div w:id="179587096">
                                      <w:marLeft w:val="0"/>
                                      <w:marRight w:val="0"/>
                                      <w:marTop w:val="0"/>
                                      <w:marBottom w:val="0"/>
                                      <w:divBdr>
                                        <w:top w:val="none" w:sz="0" w:space="0" w:color="auto"/>
                                        <w:left w:val="none" w:sz="0" w:space="0" w:color="auto"/>
                                        <w:bottom w:val="none" w:sz="0" w:space="0" w:color="auto"/>
                                        <w:right w:val="none" w:sz="0" w:space="0" w:color="auto"/>
                                      </w:divBdr>
                                      <w:divsChild>
                                        <w:div w:id="2218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936190">
      <w:bodyDiv w:val="1"/>
      <w:marLeft w:val="0"/>
      <w:marRight w:val="0"/>
      <w:marTop w:val="0"/>
      <w:marBottom w:val="0"/>
      <w:divBdr>
        <w:top w:val="none" w:sz="0" w:space="0" w:color="auto"/>
        <w:left w:val="none" w:sz="0" w:space="0" w:color="auto"/>
        <w:bottom w:val="none" w:sz="0" w:space="0" w:color="auto"/>
        <w:right w:val="none" w:sz="0" w:space="0" w:color="auto"/>
      </w:divBdr>
    </w:div>
    <w:div w:id="477497327">
      <w:bodyDiv w:val="1"/>
      <w:marLeft w:val="0"/>
      <w:marRight w:val="0"/>
      <w:marTop w:val="0"/>
      <w:marBottom w:val="0"/>
      <w:divBdr>
        <w:top w:val="none" w:sz="0" w:space="0" w:color="auto"/>
        <w:left w:val="none" w:sz="0" w:space="0" w:color="auto"/>
        <w:bottom w:val="none" w:sz="0" w:space="0" w:color="auto"/>
        <w:right w:val="none" w:sz="0" w:space="0" w:color="auto"/>
      </w:divBdr>
    </w:div>
    <w:div w:id="515658462">
      <w:bodyDiv w:val="1"/>
      <w:marLeft w:val="0"/>
      <w:marRight w:val="0"/>
      <w:marTop w:val="0"/>
      <w:marBottom w:val="0"/>
      <w:divBdr>
        <w:top w:val="none" w:sz="0" w:space="0" w:color="auto"/>
        <w:left w:val="none" w:sz="0" w:space="0" w:color="auto"/>
        <w:bottom w:val="none" w:sz="0" w:space="0" w:color="auto"/>
        <w:right w:val="none" w:sz="0" w:space="0" w:color="auto"/>
      </w:divBdr>
    </w:div>
    <w:div w:id="531528633">
      <w:bodyDiv w:val="1"/>
      <w:marLeft w:val="0"/>
      <w:marRight w:val="0"/>
      <w:marTop w:val="0"/>
      <w:marBottom w:val="0"/>
      <w:divBdr>
        <w:top w:val="none" w:sz="0" w:space="0" w:color="auto"/>
        <w:left w:val="none" w:sz="0" w:space="0" w:color="auto"/>
        <w:bottom w:val="none" w:sz="0" w:space="0" w:color="auto"/>
        <w:right w:val="none" w:sz="0" w:space="0" w:color="auto"/>
      </w:divBdr>
    </w:div>
    <w:div w:id="547451001">
      <w:bodyDiv w:val="1"/>
      <w:marLeft w:val="0"/>
      <w:marRight w:val="0"/>
      <w:marTop w:val="0"/>
      <w:marBottom w:val="0"/>
      <w:divBdr>
        <w:top w:val="none" w:sz="0" w:space="0" w:color="auto"/>
        <w:left w:val="none" w:sz="0" w:space="0" w:color="auto"/>
        <w:bottom w:val="none" w:sz="0" w:space="0" w:color="auto"/>
        <w:right w:val="none" w:sz="0" w:space="0" w:color="auto"/>
      </w:divBdr>
    </w:div>
    <w:div w:id="549267685">
      <w:bodyDiv w:val="1"/>
      <w:marLeft w:val="0"/>
      <w:marRight w:val="0"/>
      <w:marTop w:val="0"/>
      <w:marBottom w:val="0"/>
      <w:divBdr>
        <w:top w:val="none" w:sz="0" w:space="0" w:color="auto"/>
        <w:left w:val="none" w:sz="0" w:space="0" w:color="auto"/>
        <w:bottom w:val="none" w:sz="0" w:space="0" w:color="auto"/>
        <w:right w:val="none" w:sz="0" w:space="0" w:color="auto"/>
      </w:divBdr>
      <w:divsChild>
        <w:div w:id="1458598781">
          <w:marLeft w:val="0"/>
          <w:marRight w:val="0"/>
          <w:marTop w:val="0"/>
          <w:marBottom w:val="0"/>
          <w:divBdr>
            <w:top w:val="none" w:sz="0" w:space="0" w:color="auto"/>
            <w:left w:val="none" w:sz="0" w:space="0" w:color="auto"/>
            <w:bottom w:val="none" w:sz="0" w:space="0" w:color="auto"/>
            <w:right w:val="none" w:sz="0" w:space="0" w:color="auto"/>
          </w:divBdr>
          <w:divsChild>
            <w:div w:id="1036463953">
              <w:marLeft w:val="0"/>
              <w:marRight w:val="0"/>
              <w:marTop w:val="0"/>
              <w:marBottom w:val="0"/>
              <w:divBdr>
                <w:top w:val="none" w:sz="0" w:space="0" w:color="auto"/>
                <w:left w:val="none" w:sz="0" w:space="0" w:color="auto"/>
                <w:bottom w:val="none" w:sz="0" w:space="0" w:color="auto"/>
                <w:right w:val="none" w:sz="0" w:space="0" w:color="auto"/>
              </w:divBdr>
              <w:divsChild>
                <w:div w:id="218825550">
                  <w:marLeft w:val="0"/>
                  <w:marRight w:val="0"/>
                  <w:marTop w:val="0"/>
                  <w:marBottom w:val="0"/>
                  <w:divBdr>
                    <w:top w:val="none" w:sz="0" w:space="0" w:color="auto"/>
                    <w:left w:val="none" w:sz="0" w:space="0" w:color="auto"/>
                    <w:bottom w:val="none" w:sz="0" w:space="0" w:color="auto"/>
                    <w:right w:val="none" w:sz="0" w:space="0" w:color="auto"/>
                  </w:divBdr>
                  <w:divsChild>
                    <w:div w:id="2144303099">
                      <w:marLeft w:val="1"/>
                      <w:marRight w:val="1"/>
                      <w:marTop w:val="0"/>
                      <w:marBottom w:val="0"/>
                      <w:divBdr>
                        <w:top w:val="none" w:sz="0" w:space="0" w:color="auto"/>
                        <w:left w:val="none" w:sz="0" w:space="0" w:color="auto"/>
                        <w:bottom w:val="none" w:sz="0" w:space="0" w:color="auto"/>
                        <w:right w:val="none" w:sz="0" w:space="0" w:color="auto"/>
                      </w:divBdr>
                      <w:divsChild>
                        <w:div w:id="1258439444">
                          <w:marLeft w:val="0"/>
                          <w:marRight w:val="0"/>
                          <w:marTop w:val="0"/>
                          <w:marBottom w:val="0"/>
                          <w:divBdr>
                            <w:top w:val="none" w:sz="0" w:space="0" w:color="auto"/>
                            <w:left w:val="none" w:sz="0" w:space="0" w:color="auto"/>
                            <w:bottom w:val="none" w:sz="0" w:space="0" w:color="auto"/>
                            <w:right w:val="none" w:sz="0" w:space="0" w:color="auto"/>
                          </w:divBdr>
                          <w:divsChild>
                            <w:div w:id="1862890459">
                              <w:marLeft w:val="0"/>
                              <w:marRight w:val="0"/>
                              <w:marTop w:val="0"/>
                              <w:marBottom w:val="360"/>
                              <w:divBdr>
                                <w:top w:val="none" w:sz="0" w:space="0" w:color="auto"/>
                                <w:left w:val="none" w:sz="0" w:space="0" w:color="auto"/>
                                <w:bottom w:val="none" w:sz="0" w:space="0" w:color="auto"/>
                                <w:right w:val="none" w:sz="0" w:space="0" w:color="auto"/>
                              </w:divBdr>
                              <w:divsChild>
                                <w:div w:id="921450966">
                                  <w:marLeft w:val="0"/>
                                  <w:marRight w:val="0"/>
                                  <w:marTop w:val="0"/>
                                  <w:marBottom w:val="0"/>
                                  <w:divBdr>
                                    <w:top w:val="none" w:sz="0" w:space="0" w:color="auto"/>
                                    <w:left w:val="none" w:sz="0" w:space="0" w:color="auto"/>
                                    <w:bottom w:val="none" w:sz="0" w:space="0" w:color="auto"/>
                                    <w:right w:val="none" w:sz="0" w:space="0" w:color="auto"/>
                                  </w:divBdr>
                                  <w:divsChild>
                                    <w:div w:id="1473132706">
                                      <w:marLeft w:val="0"/>
                                      <w:marRight w:val="0"/>
                                      <w:marTop w:val="0"/>
                                      <w:marBottom w:val="0"/>
                                      <w:divBdr>
                                        <w:top w:val="none" w:sz="0" w:space="0" w:color="auto"/>
                                        <w:left w:val="none" w:sz="0" w:space="0" w:color="auto"/>
                                        <w:bottom w:val="none" w:sz="0" w:space="0" w:color="auto"/>
                                        <w:right w:val="none" w:sz="0" w:space="0" w:color="auto"/>
                                      </w:divBdr>
                                      <w:divsChild>
                                        <w:div w:id="1784493005">
                                          <w:marLeft w:val="0"/>
                                          <w:marRight w:val="0"/>
                                          <w:marTop w:val="0"/>
                                          <w:marBottom w:val="0"/>
                                          <w:divBdr>
                                            <w:top w:val="none" w:sz="0" w:space="0" w:color="auto"/>
                                            <w:left w:val="none" w:sz="0" w:space="0" w:color="auto"/>
                                            <w:bottom w:val="none" w:sz="0" w:space="0" w:color="auto"/>
                                            <w:right w:val="none" w:sz="0" w:space="0" w:color="auto"/>
                                          </w:divBdr>
                                          <w:divsChild>
                                            <w:div w:id="720712170">
                                              <w:marLeft w:val="0"/>
                                              <w:marRight w:val="0"/>
                                              <w:marTop w:val="0"/>
                                              <w:marBottom w:val="0"/>
                                              <w:divBdr>
                                                <w:top w:val="none" w:sz="0" w:space="0" w:color="auto"/>
                                                <w:left w:val="none" w:sz="0" w:space="0" w:color="auto"/>
                                                <w:bottom w:val="none" w:sz="0" w:space="0" w:color="auto"/>
                                                <w:right w:val="none" w:sz="0" w:space="0" w:color="auto"/>
                                              </w:divBdr>
                                              <w:divsChild>
                                                <w:div w:id="16812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075986">
      <w:bodyDiv w:val="1"/>
      <w:marLeft w:val="0"/>
      <w:marRight w:val="0"/>
      <w:marTop w:val="0"/>
      <w:marBottom w:val="0"/>
      <w:divBdr>
        <w:top w:val="none" w:sz="0" w:space="0" w:color="auto"/>
        <w:left w:val="none" w:sz="0" w:space="0" w:color="auto"/>
        <w:bottom w:val="none" w:sz="0" w:space="0" w:color="auto"/>
        <w:right w:val="none" w:sz="0" w:space="0" w:color="auto"/>
      </w:divBdr>
    </w:div>
    <w:div w:id="777527738">
      <w:bodyDiv w:val="1"/>
      <w:marLeft w:val="0"/>
      <w:marRight w:val="0"/>
      <w:marTop w:val="0"/>
      <w:marBottom w:val="0"/>
      <w:divBdr>
        <w:top w:val="none" w:sz="0" w:space="0" w:color="auto"/>
        <w:left w:val="none" w:sz="0" w:space="0" w:color="auto"/>
        <w:bottom w:val="none" w:sz="0" w:space="0" w:color="auto"/>
        <w:right w:val="none" w:sz="0" w:space="0" w:color="auto"/>
      </w:divBdr>
      <w:divsChild>
        <w:div w:id="110168282">
          <w:marLeft w:val="0"/>
          <w:marRight w:val="0"/>
          <w:marTop w:val="0"/>
          <w:marBottom w:val="0"/>
          <w:divBdr>
            <w:top w:val="none" w:sz="0" w:space="0" w:color="auto"/>
            <w:left w:val="none" w:sz="0" w:space="0" w:color="auto"/>
            <w:bottom w:val="none" w:sz="0" w:space="0" w:color="auto"/>
            <w:right w:val="none" w:sz="0" w:space="0" w:color="auto"/>
          </w:divBdr>
          <w:divsChild>
            <w:div w:id="397829100">
              <w:marLeft w:val="0"/>
              <w:marRight w:val="0"/>
              <w:marTop w:val="0"/>
              <w:marBottom w:val="150"/>
              <w:divBdr>
                <w:top w:val="none" w:sz="0" w:space="0" w:color="auto"/>
                <w:left w:val="none" w:sz="0" w:space="0" w:color="auto"/>
                <w:bottom w:val="none" w:sz="0" w:space="0" w:color="auto"/>
                <w:right w:val="none" w:sz="0" w:space="0" w:color="auto"/>
              </w:divBdr>
              <w:divsChild>
                <w:div w:id="972908215">
                  <w:marLeft w:val="0"/>
                  <w:marRight w:val="0"/>
                  <w:marTop w:val="0"/>
                  <w:marBottom w:val="0"/>
                  <w:divBdr>
                    <w:top w:val="none" w:sz="0" w:space="0" w:color="auto"/>
                    <w:left w:val="none" w:sz="0" w:space="0" w:color="auto"/>
                    <w:bottom w:val="none" w:sz="0" w:space="0" w:color="auto"/>
                    <w:right w:val="none" w:sz="0" w:space="0" w:color="auto"/>
                  </w:divBdr>
                  <w:divsChild>
                    <w:div w:id="1495881165">
                      <w:marLeft w:val="0"/>
                      <w:marRight w:val="0"/>
                      <w:marTop w:val="0"/>
                      <w:marBottom w:val="0"/>
                      <w:divBdr>
                        <w:top w:val="none" w:sz="0" w:space="0" w:color="auto"/>
                        <w:left w:val="none" w:sz="0" w:space="0" w:color="auto"/>
                        <w:bottom w:val="none" w:sz="0" w:space="0" w:color="auto"/>
                        <w:right w:val="none" w:sz="0" w:space="0" w:color="auto"/>
                      </w:divBdr>
                      <w:divsChild>
                        <w:div w:id="1531798804">
                          <w:marLeft w:val="0"/>
                          <w:marRight w:val="0"/>
                          <w:marTop w:val="0"/>
                          <w:marBottom w:val="0"/>
                          <w:divBdr>
                            <w:top w:val="none" w:sz="0" w:space="0" w:color="auto"/>
                            <w:left w:val="none" w:sz="0" w:space="0" w:color="auto"/>
                            <w:bottom w:val="none" w:sz="0" w:space="0" w:color="auto"/>
                            <w:right w:val="none" w:sz="0" w:space="0" w:color="auto"/>
                          </w:divBdr>
                          <w:divsChild>
                            <w:div w:id="985932524">
                              <w:marLeft w:val="0"/>
                              <w:marRight w:val="0"/>
                              <w:marTop w:val="0"/>
                              <w:marBottom w:val="0"/>
                              <w:divBdr>
                                <w:top w:val="none" w:sz="0" w:space="0" w:color="auto"/>
                                <w:left w:val="none" w:sz="0" w:space="0" w:color="auto"/>
                                <w:bottom w:val="none" w:sz="0" w:space="0" w:color="auto"/>
                                <w:right w:val="none" w:sz="0" w:space="0" w:color="auto"/>
                              </w:divBdr>
                              <w:divsChild>
                                <w:div w:id="510723127">
                                  <w:marLeft w:val="0"/>
                                  <w:marRight w:val="-3600"/>
                                  <w:marTop w:val="150"/>
                                  <w:marBottom w:val="0"/>
                                  <w:divBdr>
                                    <w:top w:val="none" w:sz="0" w:space="0" w:color="auto"/>
                                    <w:left w:val="none" w:sz="0" w:space="0" w:color="auto"/>
                                    <w:bottom w:val="none" w:sz="0" w:space="0" w:color="auto"/>
                                    <w:right w:val="none" w:sz="0" w:space="0" w:color="auto"/>
                                  </w:divBdr>
                                  <w:divsChild>
                                    <w:div w:id="1167982626">
                                      <w:marLeft w:val="0"/>
                                      <w:marRight w:val="3600"/>
                                      <w:marTop w:val="0"/>
                                      <w:marBottom w:val="0"/>
                                      <w:divBdr>
                                        <w:top w:val="none" w:sz="0" w:space="0" w:color="auto"/>
                                        <w:left w:val="none" w:sz="0" w:space="0" w:color="auto"/>
                                        <w:bottom w:val="none" w:sz="0" w:space="0" w:color="auto"/>
                                        <w:right w:val="none" w:sz="0" w:space="0" w:color="auto"/>
                                      </w:divBdr>
                                      <w:divsChild>
                                        <w:div w:id="853762020">
                                          <w:marLeft w:val="0"/>
                                          <w:marRight w:val="0"/>
                                          <w:marTop w:val="0"/>
                                          <w:marBottom w:val="0"/>
                                          <w:divBdr>
                                            <w:top w:val="none" w:sz="0" w:space="0" w:color="auto"/>
                                            <w:left w:val="none" w:sz="0" w:space="0" w:color="auto"/>
                                            <w:bottom w:val="none" w:sz="0" w:space="0" w:color="auto"/>
                                            <w:right w:val="none" w:sz="0" w:space="0" w:color="auto"/>
                                          </w:divBdr>
                                          <w:divsChild>
                                            <w:div w:id="817965500">
                                              <w:marLeft w:val="0"/>
                                              <w:marRight w:val="0"/>
                                              <w:marTop w:val="0"/>
                                              <w:marBottom w:val="0"/>
                                              <w:divBdr>
                                                <w:top w:val="none" w:sz="0" w:space="0" w:color="auto"/>
                                                <w:left w:val="none" w:sz="0" w:space="0" w:color="auto"/>
                                                <w:bottom w:val="none" w:sz="0" w:space="0" w:color="auto"/>
                                                <w:right w:val="none" w:sz="0" w:space="0" w:color="auto"/>
                                              </w:divBdr>
                                              <w:divsChild>
                                                <w:div w:id="421297535">
                                                  <w:marLeft w:val="0"/>
                                                  <w:marRight w:val="0"/>
                                                  <w:marTop w:val="0"/>
                                                  <w:marBottom w:val="0"/>
                                                  <w:divBdr>
                                                    <w:top w:val="none" w:sz="0" w:space="0" w:color="auto"/>
                                                    <w:left w:val="none" w:sz="0" w:space="0" w:color="auto"/>
                                                    <w:bottom w:val="none" w:sz="0" w:space="0" w:color="auto"/>
                                                    <w:right w:val="none" w:sz="0" w:space="0" w:color="auto"/>
                                                  </w:divBdr>
                                                  <w:divsChild>
                                                    <w:div w:id="1367372695">
                                                      <w:marLeft w:val="0"/>
                                                      <w:marRight w:val="0"/>
                                                      <w:marTop w:val="0"/>
                                                      <w:marBottom w:val="0"/>
                                                      <w:divBdr>
                                                        <w:top w:val="none" w:sz="0" w:space="0" w:color="auto"/>
                                                        <w:left w:val="none" w:sz="0" w:space="0" w:color="auto"/>
                                                        <w:bottom w:val="none" w:sz="0" w:space="0" w:color="auto"/>
                                                        <w:right w:val="none" w:sz="0" w:space="0" w:color="auto"/>
                                                      </w:divBdr>
                                                      <w:divsChild>
                                                        <w:div w:id="4366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060174">
      <w:bodyDiv w:val="1"/>
      <w:marLeft w:val="0"/>
      <w:marRight w:val="0"/>
      <w:marTop w:val="0"/>
      <w:marBottom w:val="0"/>
      <w:divBdr>
        <w:top w:val="none" w:sz="0" w:space="0" w:color="auto"/>
        <w:left w:val="none" w:sz="0" w:space="0" w:color="auto"/>
        <w:bottom w:val="none" w:sz="0" w:space="0" w:color="auto"/>
        <w:right w:val="none" w:sz="0" w:space="0" w:color="auto"/>
      </w:divBdr>
    </w:div>
    <w:div w:id="871193387">
      <w:bodyDiv w:val="1"/>
      <w:marLeft w:val="0"/>
      <w:marRight w:val="0"/>
      <w:marTop w:val="0"/>
      <w:marBottom w:val="0"/>
      <w:divBdr>
        <w:top w:val="none" w:sz="0" w:space="0" w:color="auto"/>
        <w:left w:val="none" w:sz="0" w:space="0" w:color="auto"/>
        <w:bottom w:val="none" w:sz="0" w:space="0" w:color="auto"/>
        <w:right w:val="none" w:sz="0" w:space="0" w:color="auto"/>
      </w:divBdr>
    </w:div>
    <w:div w:id="881553756">
      <w:bodyDiv w:val="1"/>
      <w:marLeft w:val="0"/>
      <w:marRight w:val="0"/>
      <w:marTop w:val="0"/>
      <w:marBottom w:val="0"/>
      <w:divBdr>
        <w:top w:val="none" w:sz="0" w:space="0" w:color="auto"/>
        <w:left w:val="none" w:sz="0" w:space="0" w:color="auto"/>
        <w:bottom w:val="none" w:sz="0" w:space="0" w:color="auto"/>
        <w:right w:val="none" w:sz="0" w:space="0" w:color="auto"/>
      </w:divBdr>
    </w:div>
    <w:div w:id="939803106">
      <w:bodyDiv w:val="1"/>
      <w:marLeft w:val="0"/>
      <w:marRight w:val="0"/>
      <w:marTop w:val="0"/>
      <w:marBottom w:val="0"/>
      <w:divBdr>
        <w:top w:val="none" w:sz="0" w:space="0" w:color="auto"/>
        <w:left w:val="none" w:sz="0" w:space="0" w:color="auto"/>
        <w:bottom w:val="none" w:sz="0" w:space="0" w:color="auto"/>
        <w:right w:val="none" w:sz="0" w:space="0" w:color="auto"/>
      </w:divBdr>
    </w:div>
    <w:div w:id="944851498">
      <w:bodyDiv w:val="1"/>
      <w:marLeft w:val="0"/>
      <w:marRight w:val="0"/>
      <w:marTop w:val="0"/>
      <w:marBottom w:val="0"/>
      <w:divBdr>
        <w:top w:val="none" w:sz="0" w:space="0" w:color="auto"/>
        <w:left w:val="none" w:sz="0" w:space="0" w:color="auto"/>
        <w:bottom w:val="none" w:sz="0" w:space="0" w:color="auto"/>
        <w:right w:val="none" w:sz="0" w:space="0" w:color="auto"/>
      </w:divBdr>
    </w:div>
    <w:div w:id="1014768200">
      <w:bodyDiv w:val="1"/>
      <w:marLeft w:val="0"/>
      <w:marRight w:val="0"/>
      <w:marTop w:val="0"/>
      <w:marBottom w:val="0"/>
      <w:divBdr>
        <w:top w:val="none" w:sz="0" w:space="0" w:color="auto"/>
        <w:left w:val="none" w:sz="0" w:space="0" w:color="auto"/>
        <w:bottom w:val="none" w:sz="0" w:space="0" w:color="auto"/>
        <w:right w:val="none" w:sz="0" w:space="0" w:color="auto"/>
      </w:divBdr>
      <w:divsChild>
        <w:div w:id="845025112">
          <w:marLeft w:val="0"/>
          <w:marRight w:val="0"/>
          <w:marTop w:val="0"/>
          <w:marBottom w:val="0"/>
          <w:divBdr>
            <w:top w:val="none" w:sz="0" w:space="0" w:color="auto"/>
            <w:left w:val="none" w:sz="0" w:space="0" w:color="auto"/>
            <w:bottom w:val="none" w:sz="0" w:space="0" w:color="auto"/>
            <w:right w:val="none" w:sz="0" w:space="0" w:color="auto"/>
          </w:divBdr>
          <w:divsChild>
            <w:div w:id="1993025647">
              <w:marLeft w:val="0"/>
              <w:marRight w:val="0"/>
              <w:marTop w:val="0"/>
              <w:marBottom w:val="0"/>
              <w:divBdr>
                <w:top w:val="none" w:sz="0" w:space="0" w:color="auto"/>
                <w:left w:val="none" w:sz="0" w:space="0" w:color="auto"/>
                <w:bottom w:val="none" w:sz="0" w:space="0" w:color="auto"/>
                <w:right w:val="none" w:sz="0" w:space="0" w:color="auto"/>
              </w:divBdr>
              <w:divsChild>
                <w:div w:id="9900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17535">
      <w:bodyDiv w:val="1"/>
      <w:marLeft w:val="0"/>
      <w:marRight w:val="0"/>
      <w:marTop w:val="0"/>
      <w:marBottom w:val="0"/>
      <w:divBdr>
        <w:top w:val="none" w:sz="0" w:space="0" w:color="auto"/>
        <w:left w:val="none" w:sz="0" w:space="0" w:color="auto"/>
        <w:bottom w:val="none" w:sz="0" w:space="0" w:color="auto"/>
        <w:right w:val="none" w:sz="0" w:space="0" w:color="auto"/>
      </w:divBdr>
    </w:div>
    <w:div w:id="1067727337">
      <w:bodyDiv w:val="1"/>
      <w:marLeft w:val="0"/>
      <w:marRight w:val="0"/>
      <w:marTop w:val="0"/>
      <w:marBottom w:val="0"/>
      <w:divBdr>
        <w:top w:val="none" w:sz="0" w:space="0" w:color="auto"/>
        <w:left w:val="none" w:sz="0" w:space="0" w:color="auto"/>
        <w:bottom w:val="none" w:sz="0" w:space="0" w:color="auto"/>
        <w:right w:val="none" w:sz="0" w:space="0" w:color="auto"/>
      </w:divBdr>
    </w:div>
    <w:div w:id="1113669401">
      <w:bodyDiv w:val="1"/>
      <w:marLeft w:val="0"/>
      <w:marRight w:val="0"/>
      <w:marTop w:val="0"/>
      <w:marBottom w:val="0"/>
      <w:divBdr>
        <w:top w:val="none" w:sz="0" w:space="0" w:color="auto"/>
        <w:left w:val="none" w:sz="0" w:space="0" w:color="auto"/>
        <w:bottom w:val="none" w:sz="0" w:space="0" w:color="auto"/>
        <w:right w:val="none" w:sz="0" w:space="0" w:color="auto"/>
      </w:divBdr>
      <w:divsChild>
        <w:div w:id="252515544">
          <w:marLeft w:val="0"/>
          <w:marRight w:val="0"/>
          <w:marTop w:val="0"/>
          <w:marBottom w:val="0"/>
          <w:divBdr>
            <w:top w:val="single" w:sz="6" w:space="0" w:color="FFFFFF"/>
            <w:left w:val="single" w:sz="6" w:space="0" w:color="FFFFFF"/>
            <w:bottom w:val="single" w:sz="6" w:space="0" w:color="FFFFFF"/>
            <w:right w:val="single" w:sz="6" w:space="0" w:color="FFFFFF"/>
          </w:divBdr>
          <w:divsChild>
            <w:div w:id="289672347">
              <w:marLeft w:val="0"/>
              <w:marRight w:val="0"/>
              <w:marTop w:val="0"/>
              <w:marBottom w:val="0"/>
              <w:divBdr>
                <w:top w:val="none" w:sz="0" w:space="0" w:color="auto"/>
                <w:left w:val="none" w:sz="0" w:space="0" w:color="auto"/>
                <w:bottom w:val="none" w:sz="0" w:space="0" w:color="auto"/>
                <w:right w:val="none" w:sz="0" w:space="0" w:color="auto"/>
              </w:divBdr>
              <w:divsChild>
                <w:div w:id="821506739">
                  <w:marLeft w:val="0"/>
                  <w:marRight w:val="0"/>
                  <w:marTop w:val="0"/>
                  <w:marBottom w:val="0"/>
                  <w:divBdr>
                    <w:top w:val="none" w:sz="0" w:space="0" w:color="auto"/>
                    <w:left w:val="none" w:sz="0" w:space="0" w:color="auto"/>
                    <w:bottom w:val="none" w:sz="0" w:space="0" w:color="auto"/>
                    <w:right w:val="none" w:sz="0" w:space="0" w:color="auto"/>
                  </w:divBdr>
                  <w:divsChild>
                    <w:div w:id="705640737">
                      <w:marLeft w:val="0"/>
                      <w:marRight w:val="0"/>
                      <w:marTop w:val="0"/>
                      <w:marBottom w:val="0"/>
                      <w:divBdr>
                        <w:top w:val="none" w:sz="0" w:space="0" w:color="auto"/>
                        <w:left w:val="none" w:sz="0" w:space="0" w:color="auto"/>
                        <w:bottom w:val="none" w:sz="0" w:space="0" w:color="auto"/>
                        <w:right w:val="none" w:sz="0" w:space="0" w:color="auto"/>
                      </w:divBdr>
                      <w:divsChild>
                        <w:div w:id="1812744935">
                          <w:marLeft w:val="0"/>
                          <w:marRight w:val="0"/>
                          <w:marTop w:val="0"/>
                          <w:marBottom w:val="0"/>
                          <w:divBdr>
                            <w:top w:val="none" w:sz="0" w:space="0" w:color="auto"/>
                            <w:left w:val="none" w:sz="0" w:space="0" w:color="auto"/>
                            <w:bottom w:val="none" w:sz="0" w:space="0" w:color="auto"/>
                            <w:right w:val="none" w:sz="0" w:space="0" w:color="auto"/>
                          </w:divBdr>
                          <w:divsChild>
                            <w:div w:id="1637102732">
                              <w:marLeft w:val="0"/>
                              <w:marRight w:val="0"/>
                              <w:marTop w:val="0"/>
                              <w:marBottom w:val="0"/>
                              <w:divBdr>
                                <w:top w:val="none" w:sz="0" w:space="0" w:color="auto"/>
                                <w:left w:val="none" w:sz="0" w:space="0" w:color="auto"/>
                                <w:bottom w:val="none" w:sz="0" w:space="0" w:color="auto"/>
                                <w:right w:val="none" w:sz="0" w:space="0" w:color="auto"/>
                              </w:divBdr>
                              <w:divsChild>
                                <w:div w:id="1122110721">
                                  <w:marLeft w:val="0"/>
                                  <w:marRight w:val="0"/>
                                  <w:marTop w:val="0"/>
                                  <w:marBottom w:val="0"/>
                                  <w:divBdr>
                                    <w:top w:val="none" w:sz="0" w:space="0" w:color="auto"/>
                                    <w:left w:val="none" w:sz="0" w:space="0" w:color="auto"/>
                                    <w:bottom w:val="none" w:sz="0" w:space="0" w:color="auto"/>
                                    <w:right w:val="none" w:sz="0" w:space="0" w:color="auto"/>
                                  </w:divBdr>
                                  <w:divsChild>
                                    <w:div w:id="854417706">
                                      <w:marLeft w:val="0"/>
                                      <w:marRight w:val="0"/>
                                      <w:marTop w:val="0"/>
                                      <w:marBottom w:val="0"/>
                                      <w:divBdr>
                                        <w:top w:val="none" w:sz="0" w:space="0" w:color="auto"/>
                                        <w:left w:val="none" w:sz="0" w:space="0" w:color="auto"/>
                                        <w:bottom w:val="none" w:sz="0" w:space="0" w:color="auto"/>
                                        <w:right w:val="none" w:sz="0" w:space="0" w:color="auto"/>
                                      </w:divBdr>
                                    </w:div>
                                    <w:div w:id="2033259002">
                                      <w:marLeft w:val="0"/>
                                      <w:marRight w:val="0"/>
                                      <w:marTop w:val="0"/>
                                      <w:marBottom w:val="0"/>
                                      <w:divBdr>
                                        <w:top w:val="none" w:sz="0" w:space="0" w:color="auto"/>
                                        <w:left w:val="none" w:sz="0" w:space="0" w:color="auto"/>
                                        <w:bottom w:val="none" w:sz="0" w:space="0" w:color="auto"/>
                                        <w:right w:val="none" w:sz="0" w:space="0" w:color="auto"/>
                                      </w:divBdr>
                                      <w:divsChild>
                                        <w:div w:id="848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024466">
      <w:bodyDiv w:val="1"/>
      <w:marLeft w:val="0"/>
      <w:marRight w:val="0"/>
      <w:marTop w:val="0"/>
      <w:marBottom w:val="0"/>
      <w:divBdr>
        <w:top w:val="none" w:sz="0" w:space="0" w:color="auto"/>
        <w:left w:val="none" w:sz="0" w:space="0" w:color="auto"/>
        <w:bottom w:val="none" w:sz="0" w:space="0" w:color="auto"/>
        <w:right w:val="none" w:sz="0" w:space="0" w:color="auto"/>
      </w:divBdr>
    </w:div>
    <w:div w:id="1318070697">
      <w:bodyDiv w:val="1"/>
      <w:marLeft w:val="0"/>
      <w:marRight w:val="0"/>
      <w:marTop w:val="0"/>
      <w:marBottom w:val="0"/>
      <w:divBdr>
        <w:top w:val="none" w:sz="0" w:space="0" w:color="auto"/>
        <w:left w:val="none" w:sz="0" w:space="0" w:color="auto"/>
        <w:bottom w:val="none" w:sz="0" w:space="0" w:color="auto"/>
        <w:right w:val="none" w:sz="0" w:space="0" w:color="auto"/>
      </w:divBdr>
    </w:div>
    <w:div w:id="1325628190">
      <w:bodyDiv w:val="1"/>
      <w:marLeft w:val="0"/>
      <w:marRight w:val="0"/>
      <w:marTop w:val="0"/>
      <w:marBottom w:val="0"/>
      <w:divBdr>
        <w:top w:val="none" w:sz="0" w:space="0" w:color="auto"/>
        <w:left w:val="none" w:sz="0" w:space="0" w:color="auto"/>
        <w:bottom w:val="none" w:sz="0" w:space="0" w:color="auto"/>
        <w:right w:val="none" w:sz="0" w:space="0" w:color="auto"/>
      </w:divBdr>
    </w:div>
    <w:div w:id="1416777950">
      <w:bodyDiv w:val="1"/>
      <w:marLeft w:val="0"/>
      <w:marRight w:val="0"/>
      <w:marTop w:val="0"/>
      <w:marBottom w:val="0"/>
      <w:divBdr>
        <w:top w:val="none" w:sz="0" w:space="0" w:color="auto"/>
        <w:left w:val="none" w:sz="0" w:space="0" w:color="auto"/>
        <w:bottom w:val="none" w:sz="0" w:space="0" w:color="auto"/>
        <w:right w:val="none" w:sz="0" w:space="0" w:color="auto"/>
      </w:divBdr>
    </w:div>
    <w:div w:id="1500390516">
      <w:bodyDiv w:val="1"/>
      <w:marLeft w:val="0"/>
      <w:marRight w:val="0"/>
      <w:marTop w:val="0"/>
      <w:marBottom w:val="0"/>
      <w:divBdr>
        <w:top w:val="none" w:sz="0" w:space="0" w:color="auto"/>
        <w:left w:val="none" w:sz="0" w:space="0" w:color="auto"/>
        <w:bottom w:val="none" w:sz="0" w:space="0" w:color="auto"/>
        <w:right w:val="none" w:sz="0" w:space="0" w:color="auto"/>
      </w:divBdr>
    </w:div>
    <w:div w:id="1511329925">
      <w:bodyDiv w:val="1"/>
      <w:marLeft w:val="0"/>
      <w:marRight w:val="0"/>
      <w:marTop w:val="0"/>
      <w:marBottom w:val="0"/>
      <w:divBdr>
        <w:top w:val="none" w:sz="0" w:space="0" w:color="auto"/>
        <w:left w:val="none" w:sz="0" w:space="0" w:color="auto"/>
        <w:bottom w:val="none" w:sz="0" w:space="0" w:color="auto"/>
        <w:right w:val="none" w:sz="0" w:space="0" w:color="auto"/>
      </w:divBdr>
    </w:div>
    <w:div w:id="1526746433">
      <w:bodyDiv w:val="1"/>
      <w:marLeft w:val="0"/>
      <w:marRight w:val="0"/>
      <w:marTop w:val="0"/>
      <w:marBottom w:val="0"/>
      <w:divBdr>
        <w:top w:val="none" w:sz="0" w:space="0" w:color="auto"/>
        <w:left w:val="none" w:sz="0" w:space="0" w:color="auto"/>
        <w:bottom w:val="none" w:sz="0" w:space="0" w:color="auto"/>
        <w:right w:val="none" w:sz="0" w:space="0" w:color="auto"/>
      </w:divBdr>
    </w:div>
    <w:div w:id="1526940931">
      <w:bodyDiv w:val="1"/>
      <w:marLeft w:val="0"/>
      <w:marRight w:val="0"/>
      <w:marTop w:val="0"/>
      <w:marBottom w:val="0"/>
      <w:divBdr>
        <w:top w:val="none" w:sz="0" w:space="0" w:color="auto"/>
        <w:left w:val="none" w:sz="0" w:space="0" w:color="auto"/>
        <w:bottom w:val="none" w:sz="0" w:space="0" w:color="auto"/>
        <w:right w:val="none" w:sz="0" w:space="0" w:color="auto"/>
      </w:divBdr>
    </w:div>
    <w:div w:id="1565487870">
      <w:bodyDiv w:val="1"/>
      <w:marLeft w:val="0"/>
      <w:marRight w:val="0"/>
      <w:marTop w:val="0"/>
      <w:marBottom w:val="0"/>
      <w:divBdr>
        <w:top w:val="none" w:sz="0" w:space="0" w:color="auto"/>
        <w:left w:val="none" w:sz="0" w:space="0" w:color="auto"/>
        <w:bottom w:val="none" w:sz="0" w:space="0" w:color="auto"/>
        <w:right w:val="none" w:sz="0" w:space="0" w:color="auto"/>
      </w:divBdr>
    </w:div>
    <w:div w:id="1580291164">
      <w:bodyDiv w:val="1"/>
      <w:marLeft w:val="0"/>
      <w:marRight w:val="0"/>
      <w:marTop w:val="0"/>
      <w:marBottom w:val="0"/>
      <w:divBdr>
        <w:top w:val="none" w:sz="0" w:space="0" w:color="auto"/>
        <w:left w:val="none" w:sz="0" w:space="0" w:color="auto"/>
        <w:bottom w:val="none" w:sz="0" w:space="0" w:color="auto"/>
        <w:right w:val="none" w:sz="0" w:space="0" w:color="auto"/>
      </w:divBdr>
    </w:div>
    <w:div w:id="1611475889">
      <w:bodyDiv w:val="1"/>
      <w:marLeft w:val="0"/>
      <w:marRight w:val="0"/>
      <w:marTop w:val="0"/>
      <w:marBottom w:val="0"/>
      <w:divBdr>
        <w:top w:val="none" w:sz="0" w:space="0" w:color="auto"/>
        <w:left w:val="none" w:sz="0" w:space="0" w:color="auto"/>
        <w:bottom w:val="none" w:sz="0" w:space="0" w:color="auto"/>
        <w:right w:val="none" w:sz="0" w:space="0" w:color="auto"/>
      </w:divBdr>
    </w:div>
    <w:div w:id="1626109914">
      <w:bodyDiv w:val="1"/>
      <w:marLeft w:val="0"/>
      <w:marRight w:val="0"/>
      <w:marTop w:val="0"/>
      <w:marBottom w:val="0"/>
      <w:divBdr>
        <w:top w:val="none" w:sz="0" w:space="0" w:color="auto"/>
        <w:left w:val="none" w:sz="0" w:space="0" w:color="auto"/>
        <w:bottom w:val="none" w:sz="0" w:space="0" w:color="auto"/>
        <w:right w:val="none" w:sz="0" w:space="0" w:color="auto"/>
      </w:divBdr>
      <w:divsChild>
        <w:div w:id="773980172">
          <w:marLeft w:val="0"/>
          <w:marRight w:val="0"/>
          <w:marTop w:val="0"/>
          <w:marBottom w:val="0"/>
          <w:divBdr>
            <w:top w:val="none" w:sz="0" w:space="0" w:color="auto"/>
            <w:left w:val="none" w:sz="0" w:space="0" w:color="auto"/>
            <w:bottom w:val="none" w:sz="0" w:space="0" w:color="auto"/>
            <w:right w:val="none" w:sz="0" w:space="0" w:color="auto"/>
          </w:divBdr>
          <w:divsChild>
            <w:div w:id="822505317">
              <w:marLeft w:val="0"/>
              <w:marRight w:val="0"/>
              <w:marTop w:val="0"/>
              <w:marBottom w:val="0"/>
              <w:divBdr>
                <w:top w:val="none" w:sz="0" w:space="0" w:color="auto"/>
                <w:left w:val="none" w:sz="0" w:space="0" w:color="auto"/>
                <w:bottom w:val="none" w:sz="0" w:space="0" w:color="auto"/>
                <w:right w:val="none" w:sz="0" w:space="0" w:color="auto"/>
              </w:divBdr>
              <w:divsChild>
                <w:div w:id="540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26980">
      <w:bodyDiv w:val="1"/>
      <w:marLeft w:val="0"/>
      <w:marRight w:val="0"/>
      <w:marTop w:val="0"/>
      <w:marBottom w:val="0"/>
      <w:divBdr>
        <w:top w:val="none" w:sz="0" w:space="0" w:color="auto"/>
        <w:left w:val="none" w:sz="0" w:space="0" w:color="auto"/>
        <w:bottom w:val="none" w:sz="0" w:space="0" w:color="auto"/>
        <w:right w:val="none" w:sz="0" w:space="0" w:color="auto"/>
      </w:divBdr>
    </w:div>
    <w:div w:id="1691490843">
      <w:bodyDiv w:val="1"/>
      <w:marLeft w:val="0"/>
      <w:marRight w:val="0"/>
      <w:marTop w:val="0"/>
      <w:marBottom w:val="0"/>
      <w:divBdr>
        <w:top w:val="none" w:sz="0" w:space="0" w:color="auto"/>
        <w:left w:val="none" w:sz="0" w:space="0" w:color="auto"/>
        <w:bottom w:val="none" w:sz="0" w:space="0" w:color="auto"/>
        <w:right w:val="none" w:sz="0" w:space="0" w:color="auto"/>
      </w:divBdr>
    </w:div>
    <w:div w:id="1718891231">
      <w:bodyDiv w:val="1"/>
      <w:marLeft w:val="0"/>
      <w:marRight w:val="0"/>
      <w:marTop w:val="0"/>
      <w:marBottom w:val="0"/>
      <w:divBdr>
        <w:top w:val="none" w:sz="0" w:space="0" w:color="auto"/>
        <w:left w:val="none" w:sz="0" w:space="0" w:color="auto"/>
        <w:bottom w:val="none" w:sz="0" w:space="0" w:color="auto"/>
        <w:right w:val="none" w:sz="0" w:space="0" w:color="auto"/>
      </w:divBdr>
    </w:div>
    <w:div w:id="1756197919">
      <w:bodyDiv w:val="1"/>
      <w:marLeft w:val="0"/>
      <w:marRight w:val="0"/>
      <w:marTop w:val="0"/>
      <w:marBottom w:val="0"/>
      <w:divBdr>
        <w:top w:val="none" w:sz="0" w:space="0" w:color="auto"/>
        <w:left w:val="none" w:sz="0" w:space="0" w:color="auto"/>
        <w:bottom w:val="none" w:sz="0" w:space="0" w:color="auto"/>
        <w:right w:val="none" w:sz="0" w:space="0" w:color="auto"/>
      </w:divBdr>
    </w:div>
    <w:div w:id="1789859110">
      <w:bodyDiv w:val="1"/>
      <w:marLeft w:val="0"/>
      <w:marRight w:val="0"/>
      <w:marTop w:val="0"/>
      <w:marBottom w:val="0"/>
      <w:divBdr>
        <w:top w:val="none" w:sz="0" w:space="0" w:color="auto"/>
        <w:left w:val="none" w:sz="0" w:space="0" w:color="auto"/>
        <w:bottom w:val="none" w:sz="0" w:space="0" w:color="auto"/>
        <w:right w:val="none" w:sz="0" w:space="0" w:color="auto"/>
      </w:divBdr>
    </w:div>
    <w:div w:id="1854371435">
      <w:bodyDiv w:val="1"/>
      <w:marLeft w:val="0"/>
      <w:marRight w:val="0"/>
      <w:marTop w:val="0"/>
      <w:marBottom w:val="0"/>
      <w:divBdr>
        <w:top w:val="none" w:sz="0" w:space="0" w:color="auto"/>
        <w:left w:val="none" w:sz="0" w:space="0" w:color="auto"/>
        <w:bottom w:val="none" w:sz="0" w:space="0" w:color="auto"/>
        <w:right w:val="none" w:sz="0" w:space="0" w:color="auto"/>
      </w:divBdr>
    </w:div>
    <w:div w:id="1856378345">
      <w:bodyDiv w:val="1"/>
      <w:marLeft w:val="0"/>
      <w:marRight w:val="0"/>
      <w:marTop w:val="0"/>
      <w:marBottom w:val="0"/>
      <w:divBdr>
        <w:top w:val="none" w:sz="0" w:space="0" w:color="auto"/>
        <w:left w:val="none" w:sz="0" w:space="0" w:color="auto"/>
        <w:bottom w:val="none" w:sz="0" w:space="0" w:color="auto"/>
        <w:right w:val="none" w:sz="0" w:space="0" w:color="auto"/>
      </w:divBdr>
    </w:div>
    <w:div w:id="1906843010">
      <w:bodyDiv w:val="1"/>
      <w:marLeft w:val="0"/>
      <w:marRight w:val="0"/>
      <w:marTop w:val="0"/>
      <w:marBottom w:val="0"/>
      <w:divBdr>
        <w:top w:val="none" w:sz="0" w:space="0" w:color="auto"/>
        <w:left w:val="none" w:sz="0" w:space="0" w:color="auto"/>
        <w:bottom w:val="none" w:sz="0" w:space="0" w:color="auto"/>
        <w:right w:val="none" w:sz="0" w:space="0" w:color="auto"/>
      </w:divBdr>
    </w:div>
    <w:div w:id="1916475915">
      <w:bodyDiv w:val="1"/>
      <w:marLeft w:val="0"/>
      <w:marRight w:val="0"/>
      <w:marTop w:val="0"/>
      <w:marBottom w:val="0"/>
      <w:divBdr>
        <w:top w:val="none" w:sz="0" w:space="0" w:color="auto"/>
        <w:left w:val="none" w:sz="0" w:space="0" w:color="auto"/>
        <w:bottom w:val="none" w:sz="0" w:space="0" w:color="auto"/>
        <w:right w:val="none" w:sz="0" w:space="0" w:color="auto"/>
      </w:divBdr>
    </w:div>
    <w:div w:id="1939175676">
      <w:bodyDiv w:val="1"/>
      <w:marLeft w:val="0"/>
      <w:marRight w:val="0"/>
      <w:marTop w:val="0"/>
      <w:marBottom w:val="0"/>
      <w:divBdr>
        <w:top w:val="none" w:sz="0" w:space="0" w:color="auto"/>
        <w:left w:val="none" w:sz="0" w:space="0" w:color="auto"/>
        <w:bottom w:val="none" w:sz="0" w:space="0" w:color="auto"/>
        <w:right w:val="none" w:sz="0" w:space="0" w:color="auto"/>
      </w:divBdr>
    </w:div>
    <w:div w:id="1960643030">
      <w:bodyDiv w:val="1"/>
      <w:marLeft w:val="0"/>
      <w:marRight w:val="0"/>
      <w:marTop w:val="0"/>
      <w:marBottom w:val="0"/>
      <w:divBdr>
        <w:top w:val="none" w:sz="0" w:space="0" w:color="auto"/>
        <w:left w:val="none" w:sz="0" w:space="0" w:color="auto"/>
        <w:bottom w:val="none" w:sz="0" w:space="0" w:color="auto"/>
        <w:right w:val="none" w:sz="0" w:space="0" w:color="auto"/>
      </w:divBdr>
    </w:div>
    <w:div w:id="1995596024">
      <w:bodyDiv w:val="1"/>
      <w:marLeft w:val="0"/>
      <w:marRight w:val="0"/>
      <w:marTop w:val="0"/>
      <w:marBottom w:val="0"/>
      <w:divBdr>
        <w:top w:val="none" w:sz="0" w:space="0" w:color="auto"/>
        <w:left w:val="none" w:sz="0" w:space="0" w:color="auto"/>
        <w:bottom w:val="none" w:sz="0" w:space="0" w:color="auto"/>
        <w:right w:val="none" w:sz="0" w:space="0" w:color="auto"/>
      </w:divBdr>
    </w:div>
    <w:div w:id="2000693173">
      <w:bodyDiv w:val="1"/>
      <w:marLeft w:val="0"/>
      <w:marRight w:val="0"/>
      <w:marTop w:val="0"/>
      <w:marBottom w:val="0"/>
      <w:divBdr>
        <w:top w:val="none" w:sz="0" w:space="0" w:color="auto"/>
        <w:left w:val="none" w:sz="0" w:space="0" w:color="auto"/>
        <w:bottom w:val="none" w:sz="0" w:space="0" w:color="auto"/>
        <w:right w:val="none" w:sz="0" w:space="0" w:color="auto"/>
      </w:divBdr>
    </w:div>
    <w:div w:id="2022245091">
      <w:bodyDiv w:val="1"/>
      <w:marLeft w:val="0"/>
      <w:marRight w:val="0"/>
      <w:marTop w:val="0"/>
      <w:marBottom w:val="0"/>
      <w:divBdr>
        <w:top w:val="none" w:sz="0" w:space="0" w:color="auto"/>
        <w:left w:val="none" w:sz="0" w:space="0" w:color="auto"/>
        <w:bottom w:val="none" w:sz="0" w:space="0" w:color="auto"/>
        <w:right w:val="none" w:sz="0" w:space="0" w:color="auto"/>
      </w:divBdr>
    </w:div>
    <w:div w:id="2033340948">
      <w:bodyDiv w:val="1"/>
      <w:marLeft w:val="0"/>
      <w:marRight w:val="0"/>
      <w:marTop w:val="0"/>
      <w:marBottom w:val="0"/>
      <w:divBdr>
        <w:top w:val="none" w:sz="0" w:space="0" w:color="auto"/>
        <w:left w:val="none" w:sz="0" w:space="0" w:color="auto"/>
        <w:bottom w:val="none" w:sz="0" w:space="0" w:color="auto"/>
        <w:right w:val="none" w:sz="0" w:space="0" w:color="auto"/>
      </w:divBdr>
    </w:div>
    <w:div w:id="2077430151">
      <w:bodyDiv w:val="1"/>
      <w:marLeft w:val="0"/>
      <w:marRight w:val="0"/>
      <w:marTop w:val="0"/>
      <w:marBottom w:val="0"/>
      <w:divBdr>
        <w:top w:val="none" w:sz="0" w:space="0" w:color="auto"/>
        <w:left w:val="none" w:sz="0" w:space="0" w:color="auto"/>
        <w:bottom w:val="none" w:sz="0" w:space="0" w:color="auto"/>
        <w:right w:val="none" w:sz="0" w:space="0" w:color="auto"/>
      </w:divBdr>
    </w:div>
    <w:div w:id="208877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package" Target="embeddings/Microsoft_PowerPoint_Slide7.sldx"/><Relationship Id="rId39" Type="http://schemas.openxmlformats.org/officeDocument/2006/relationships/image" Target="media/image10.emf"/><Relationship Id="rId21" Type="http://schemas.openxmlformats.org/officeDocument/2006/relationships/image" Target="media/image4.emf"/><Relationship Id="rId34" Type="http://schemas.openxmlformats.org/officeDocument/2006/relationships/package" Target="embeddings/Microsoft_PowerPoint_Slide12.sldx"/><Relationship Id="rId42" Type="http://schemas.openxmlformats.org/officeDocument/2006/relationships/image" Target="media/image11.emf"/><Relationship Id="rId47" Type="http://schemas.openxmlformats.org/officeDocument/2006/relationships/package" Target="embeddings/Microsoft_PowerPoint_Slide21.sldx"/><Relationship Id="rId50" Type="http://schemas.openxmlformats.org/officeDocument/2006/relationships/package" Target="embeddings/Microsoft_PowerPoint_Slide23.sldx"/><Relationship Id="rId55" Type="http://schemas.openxmlformats.org/officeDocument/2006/relationships/package" Target="embeddings/Microsoft_PowerPoint_Slide26.sldx"/><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PowerPoint_Slide.sldx"/><Relationship Id="rId29" Type="http://schemas.openxmlformats.org/officeDocument/2006/relationships/package" Target="embeddings/Microsoft_PowerPoint_Slide9.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package" Target="embeddings/Microsoft_PowerPoint_Slide11.sldx"/><Relationship Id="rId37" Type="http://schemas.openxmlformats.org/officeDocument/2006/relationships/package" Target="embeddings/Microsoft_PowerPoint_Slide14.sldx"/><Relationship Id="rId40" Type="http://schemas.openxmlformats.org/officeDocument/2006/relationships/package" Target="embeddings/Microsoft_PowerPoint_Slide16.sldx"/><Relationship Id="rId45" Type="http://schemas.openxmlformats.org/officeDocument/2006/relationships/image" Target="media/image12.emf"/><Relationship Id="rId53" Type="http://schemas.openxmlformats.org/officeDocument/2006/relationships/package" Target="embeddings/Microsoft_PowerPoint_Slide25.sldx"/><Relationship Id="rId58" Type="http://schemas.openxmlformats.org/officeDocument/2006/relationships/package" Target="embeddings/Microsoft_PowerPoint_Slide28.sldx"/><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package" Target="embeddings/Microsoft_PowerPoint_Slide5.sldx"/><Relationship Id="rId28" Type="http://schemas.openxmlformats.org/officeDocument/2006/relationships/package" Target="embeddings/Microsoft_PowerPoint_Slide8.sldx"/><Relationship Id="rId36" Type="http://schemas.openxmlformats.org/officeDocument/2006/relationships/image" Target="media/image9.emf"/><Relationship Id="rId49" Type="http://schemas.openxmlformats.org/officeDocument/2006/relationships/package" Target="embeddings/Microsoft_PowerPoint_Slide22.sldx"/><Relationship Id="rId57" Type="http://schemas.openxmlformats.org/officeDocument/2006/relationships/image" Target="media/image16.emf"/><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package" Target="embeddings/Microsoft_PowerPoint_Slide2.sldx"/><Relationship Id="rId31" Type="http://schemas.openxmlformats.org/officeDocument/2006/relationships/package" Target="embeddings/Microsoft_PowerPoint_Slide10.sldx"/><Relationship Id="rId44" Type="http://schemas.openxmlformats.org/officeDocument/2006/relationships/package" Target="embeddings/Microsoft_PowerPoint_Slide19.sldx"/><Relationship Id="rId52" Type="http://schemas.openxmlformats.org/officeDocument/2006/relationships/package" Target="embeddings/Microsoft_PowerPoint_Slide24.sldx"/><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PowerPoint_Slide4.sldx"/><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package" Target="embeddings/Microsoft_PowerPoint_Slide13.sldx"/><Relationship Id="rId43" Type="http://schemas.openxmlformats.org/officeDocument/2006/relationships/package" Target="embeddings/Microsoft_PowerPoint_Slide18.sldx"/><Relationship Id="rId48" Type="http://schemas.openxmlformats.org/officeDocument/2006/relationships/image" Target="media/image13.emf"/><Relationship Id="rId56" Type="http://schemas.openxmlformats.org/officeDocument/2006/relationships/package" Target="embeddings/Microsoft_PowerPoint_Slide27.sldx"/><Relationship Id="rId64" Type="http://schemas.openxmlformats.org/officeDocument/2006/relationships/header" Target="header6.xml"/><Relationship Id="rId69" Type="http://schemas.microsoft.com/office/2016/09/relationships/commentsIds" Target="commentsIds.xml"/><Relationship Id="rId8" Type="http://schemas.openxmlformats.org/officeDocument/2006/relationships/image" Target="media/image1.emf"/><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package" Target="embeddings/Microsoft_PowerPoint_Slide1.sldx"/><Relationship Id="rId25" Type="http://schemas.openxmlformats.org/officeDocument/2006/relationships/package" Target="embeddings/Microsoft_PowerPoint_Slide6.sldx"/><Relationship Id="rId33" Type="http://schemas.openxmlformats.org/officeDocument/2006/relationships/image" Target="media/image8.emf"/><Relationship Id="rId38" Type="http://schemas.openxmlformats.org/officeDocument/2006/relationships/package" Target="embeddings/Microsoft_PowerPoint_Slide15.sldx"/><Relationship Id="rId46" Type="http://schemas.openxmlformats.org/officeDocument/2006/relationships/package" Target="embeddings/Microsoft_PowerPoint_Slide20.sldx"/><Relationship Id="rId59" Type="http://schemas.openxmlformats.org/officeDocument/2006/relationships/package" Target="embeddings/Microsoft_PowerPoint_Slide29.sldx"/><Relationship Id="rId67" Type="http://schemas.openxmlformats.org/officeDocument/2006/relationships/theme" Target="theme/theme1.xml"/><Relationship Id="rId20" Type="http://schemas.openxmlformats.org/officeDocument/2006/relationships/package" Target="embeddings/Microsoft_PowerPoint_Slide3.sldx"/><Relationship Id="rId41" Type="http://schemas.openxmlformats.org/officeDocument/2006/relationships/package" Target="embeddings/Microsoft_PowerPoint_Slide17.sldx"/><Relationship Id="rId54" Type="http://schemas.openxmlformats.org/officeDocument/2006/relationships/image" Target="media/image15.emf"/><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social/yoursay-social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ACFAE-4BD7-4E37-88C7-8ECFBA11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7006</Words>
  <Characters>38815</Characters>
  <Application>Microsoft Office Word</Application>
  <DocSecurity>0</DocSecurity>
  <Lines>546</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2020-01-14T09:01:00Z</dcterms:created>
  <dcterms:modified xsi:type="dcterms:W3CDTF">2020-01-14T11:48:00Z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CP-014</vt:lpwstr>
  </property>
</Properties>
</file>