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4BAF3" w14:textId="50AB41D2" w:rsidR="0017587A" w:rsidRDefault="000039C4" w:rsidP="000039C4">
      <w:pPr>
        <w:pStyle w:val="Pagedecouverture"/>
      </w:pPr>
      <w:bookmarkStart w:id="0" w:name="LW_BM_COVERPAGE"/>
      <w:bookmarkStart w:id="1" w:name="_GoBack"/>
      <w:bookmarkEnd w:id="1"/>
      <w:r>
        <w:pict w14:anchorId="02629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522CC958-E173-4AA5-9156-607627E648CB" style="width:450.75pt;height:510pt">
            <v:imagedata r:id="rId8" o:title=""/>
          </v:shape>
        </w:pict>
      </w:r>
    </w:p>
    <w:bookmarkEnd w:id="0"/>
    <w:p w14:paraId="5484EB9F" w14:textId="77777777" w:rsidR="0017587A" w:rsidRDefault="0017587A">
      <w:pPr>
        <w:sectPr w:rsidR="0017587A" w:rsidSect="000039C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1"/>
          <w:cols w:space="720"/>
          <w:docGrid w:linePitch="360"/>
        </w:sectPr>
      </w:pPr>
    </w:p>
    <w:sdt>
      <w:sdtPr>
        <w:rPr>
          <w:rFonts w:ascii="Calibri" w:eastAsia="Calibri" w:hAnsi="Calibri"/>
          <w:b w:val="0"/>
          <w:bCs w:val="0"/>
          <w:color w:val="auto"/>
          <w:sz w:val="22"/>
          <w:szCs w:val="22"/>
          <w:lang w:eastAsia="en-US"/>
        </w:rPr>
        <w:id w:val="-1133089857"/>
        <w:docPartObj>
          <w:docPartGallery w:val="Table of Contents"/>
          <w:docPartUnique/>
        </w:docPartObj>
      </w:sdtPr>
      <w:sdtEndPr>
        <w:rPr>
          <w:rFonts w:ascii="Times New Roman" w:hAnsi="Times New Roman"/>
        </w:rPr>
      </w:sdtEndPr>
      <w:sdtContent>
        <w:p w14:paraId="0A500975" w14:textId="77777777" w:rsidR="0017587A" w:rsidRDefault="003A348D">
          <w:pPr>
            <w:pStyle w:val="TOCHeading"/>
            <w:rPr>
              <w:rFonts w:ascii="Times New Roman" w:hAnsi="Times New Roman"/>
              <w:color w:val="auto"/>
              <w:sz w:val="24"/>
              <w:szCs w:val="24"/>
            </w:rPr>
          </w:pPr>
          <w:r>
            <w:rPr>
              <w:rFonts w:ascii="Times New Roman" w:hAnsi="Times New Roman"/>
            </w:rPr>
            <w:t>Innehåll</w:t>
          </w:r>
        </w:p>
        <w:p w14:paraId="464D2CB0" w14:textId="334A2FE0" w:rsidR="009438AB" w:rsidRPr="009438AB" w:rsidRDefault="000A23BB">
          <w:pPr>
            <w:pStyle w:val="TOC1"/>
            <w:rPr>
              <w:rFonts w:ascii="Times New Roman" w:eastAsiaTheme="minorEastAsia" w:hAnsi="Times New Roman" w:cstheme="minorBidi"/>
              <w:noProof/>
              <w:lang w:val="en-US"/>
            </w:rPr>
          </w:pPr>
          <w:r w:rsidRPr="009438AB">
            <w:rPr>
              <w:rFonts w:ascii="Times New Roman" w:hAnsi="Times New Roman"/>
              <w:bCs/>
            </w:rPr>
            <w:fldChar w:fldCharType="begin"/>
          </w:r>
          <w:r w:rsidRPr="009438AB">
            <w:rPr>
              <w:rFonts w:ascii="Times New Roman" w:hAnsi="Times New Roman"/>
              <w:bCs/>
            </w:rPr>
            <w:instrText xml:space="preserve"> TOC \o "1-5" \h \z \u </w:instrText>
          </w:r>
          <w:r w:rsidRPr="009438AB">
            <w:rPr>
              <w:rFonts w:ascii="Times New Roman" w:hAnsi="Times New Roman"/>
              <w:bCs/>
            </w:rPr>
            <w:fldChar w:fldCharType="separate"/>
          </w:r>
          <w:hyperlink w:anchor="_Toc23755259" w:history="1">
            <w:r w:rsidR="009438AB" w:rsidRPr="009438AB">
              <w:rPr>
                <w:rStyle w:val="Hyperlink"/>
                <w:rFonts w:ascii="Times New Roman" w:hAnsi="Times New Roman"/>
                <w:noProof/>
              </w:rPr>
              <w:t>Förteckning över akronymer och förkortningar</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_Toc23755259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2</w:t>
            </w:r>
            <w:r w:rsidR="009438AB" w:rsidRPr="009438AB">
              <w:rPr>
                <w:rFonts w:ascii="Times New Roman" w:hAnsi="Times New Roman"/>
                <w:noProof/>
                <w:webHidden/>
              </w:rPr>
              <w:fldChar w:fldCharType="end"/>
            </w:r>
          </w:hyperlink>
        </w:p>
        <w:p w14:paraId="19B82C90" w14:textId="28803D49" w:rsidR="009438AB" w:rsidRPr="009438AB" w:rsidRDefault="000039C4">
          <w:pPr>
            <w:pStyle w:val="TOC1"/>
            <w:rPr>
              <w:rFonts w:ascii="Times New Roman" w:eastAsiaTheme="minorEastAsia" w:hAnsi="Times New Roman" w:cstheme="minorBidi"/>
              <w:noProof/>
              <w:lang w:val="en-US"/>
            </w:rPr>
          </w:pPr>
          <w:hyperlink w:anchor="_Toc23755260" w:history="1">
            <w:r w:rsidR="009438AB" w:rsidRPr="009438AB">
              <w:rPr>
                <w:rStyle w:val="Hyperlink"/>
                <w:rFonts w:ascii="Times New Roman" w:hAnsi="Times New Roman"/>
                <w:noProof/>
              </w:rPr>
              <w:t>SAMMANFATTNING</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_Toc23755260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3</w:t>
            </w:r>
            <w:r w:rsidR="009438AB" w:rsidRPr="009438AB">
              <w:rPr>
                <w:rFonts w:ascii="Times New Roman" w:hAnsi="Times New Roman"/>
                <w:noProof/>
                <w:webHidden/>
              </w:rPr>
              <w:fldChar w:fldCharType="end"/>
            </w:r>
          </w:hyperlink>
        </w:p>
        <w:p w14:paraId="499254DF" w14:textId="2983E3EE" w:rsidR="009438AB" w:rsidRPr="009438AB" w:rsidRDefault="000039C4">
          <w:pPr>
            <w:pStyle w:val="TOC1"/>
            <w:rPr>
              <w:rFonts w:ascii="Times New Roman" w:eastAsiaTheme="minorEastAsia" w:hAnsi="Times New Roman" w:cstheme="minorBidi"/>
              <w:noProof/>
              <w:lang w:val="en-US"/>
            </w:rPr>
          </w:pPr>
          <w:hyperlink w:anchor="_Toc23755261" w:history="1">
            <w:r w:rsidR="009438AB" w:rsidRPr="009438AB">
              <w:rPr>
                <w:rStyle w:val="Hyperlink"/>
                <w:rFonts w:ascii="Times New Roman" w:hAnsi="Times New Roman"/>
                <w:noProof/>
              </w:rPr>
              <w:t>1. INLEDNING</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_Toc23755261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4</w:t>
            </w:r>
            <w:r w:rsidR="009438AB" w:rsidRPr="009438AB">
              <w:rPr>
                <w:rFonts w:ascii="Times New Roman" w:hAnsi="Times New Roman"/>
                <w:noProof/>
                <w:webHidden/>
              </w:rPr>
              <w:fldChar w:fldCharType="end"/>
            </w:r>
          </w:hyperlink>
        </w:p>
        <w:p w14:paraId="0DCED092" w14:textId="62D845BC" w:rsidR="009438AB" w:rsidRPr="009438AB" w:rsidRDefault="000039C4">
          <w:pPr>
            <w:pStyle w:val="TOC1"/>
            <w:rPr>
              <w:rFonts w:ascii="Times New Roman" w:eastAsiaTheme="minorEastAsia" w:hAnsi="Times New Roman" w:cstheme="minorBidi"/>
              <w:noProof/>
              <w:lang w:val="en-US"/>
            </w:rPr>
          </w:pPr>
          <w:hyperlink w:anchor="_Toc23755262" w:history="1">
            <w:r w:rsidR="009438AB" w:rsidRPr="009438AB">
              <w:rPr>
                <w:rStyle w:val="Hyperlink"/>
                <w:rFonts w:ascii="Times New Roman" w:hAnsi="Times New Roman"/>
                <w:noProof/>
              </w:rPr>
              <w:t>2.1 Verksamheter, anläggningar och luftfartygsoperatörer som omfattas</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_Toc23755262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6</w:t>
            </w:r>
            <w:r w:rsidR="009438AB" w:rsidRPr="009438AB">
              <w:rPr>
                <w:rFonts w:ascii="Times New Roman" w:hAnsi="Times New Roman"/>
                <w:noProof/>
                <w:webHidden/>
              </w:rPr>
              <w:fldChar w:fldCharType="end"/>
            </w:r>
          </w:hyperlink>
        </w:p>
        <w:p w14:paraId="5224378C" w14:textId="025ECAE0" w:rsidR="009438AB" w:rsidRPr="009438AB" w:rsidRDefault="000039C4">
          <w:pPr>
            <w:pStyle w:val="TOC1"/>
            <w:rPr>
              <w:rFonts w:ascii="Times New Roman" w:eastAsiaTheme="minorEastAsia" w:hAnsi="Times New Roman" w:cstheme="minorBidi"/>
              <w:noProof/>
              <w:lang w:val="en-US"/>
            </w:rPr>
          </w:pPr>
          <w:hyperlink w:anchor="_Toc23755263" w:history="1">
            <w:r w:rsidR="009438AB" w:rsidRPr="009438AB">
              <w:rPr>
                <w:rStyle w:val="Hyperlink"/>
                <w:rFonts w:ascii="Times New Roman" w:hAnsi="Times New Roman"/>
                <w:noProof/>
              </w:rPr>
              <w:t>2.2 Unionsregistret och Europeiska unionens transaktionsförteckning (EUTL)</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_Toc23755263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8</w:t>
            </w:r>
            <w:r w:rsidR="009438AB" w:rsidRPr="009438AB">
              <w:rPr>
                <w:rFonts w:ascii="Times New Roman" w:hAnsi="Times New Roman"/>
                <w:noProof/>
                <w:webHidden/>
              </w:rPr>
              <w:fldChar w:fldCharType="end"/>
            </w:r>
          </w:hyperlink>
        </w:p>
        <w:p w14:paraId="5273CCC7" w14:textId="79D6022C" w:rsidR="009438AB" w:rsidRPr="009438AB" w:rsidRDefault="000039C4">
          <w:pPr>
            <w:pStyle w:val="TOC1"/>
            <w:rPr>
              <w:rFonts w:ascii="Times New Roman" w:eastAsiaTheme="minorEastAsia" w:hAnsi="Times New Roman" w:cstheme="minorBidi"/>
              <w:noProof/>
              <w:lang w:val="en-US"/>
            </w:rPr>
          </w:pPr>
          <w:hyperlink w:anchor="_Toc23755264" w:history="1">
            <w:r w:rsidR="009438AB" w:rsidRPr="009438AB">
              <w:rPr>
                <w:rStyle w:val="Hyperlink"/>
                <w:rFonts w:ascii="Times New Roman" w:hAnsi="Times New Roman"/>
                <w:noProof/>
              </w:rPr>
              <w:t>3. KOLDIOXIDMARKNADENS FUNKTION 2018</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_Toc23755264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9</w:t>
            </w:r>
            <w:r w:rsidR="009438AB" w:rsidRPr="009438AB">
              <w:rPr>
                <w:rFonts w:ascii="Times New Roman" w:hAnsi="Times New Roman"/>
                <w:noProof/>
                <w:webHidden/>
              </w:rPr>
              <w:fldChar w:fldCharType="end"/>
            </w:r>
          </w:hyperlink>
        </w:p>
        <w:p w14:paraId="3F83BCBE" w14:textId="631D287E" w:rsidR="009438AB" w:rsidRPr="009438AB" w:rsidRDefault="000039C4">
          <w:pPr>
            <w:pStyle w:val="TOC2"/>
            <w:tabs>
              <w:tab w:val="right" w:leader="dot" w:pos="9016"/>
            </w:tabs>
            <w:rPr>
              <w:rFonts w:ascii="Times New Roman" w:eastAsiaTheme="minorEastAsia" w:hAnsi="Times New Roman" w:cstheme="minorBidi"/>
              <w:noProof/>
              <w:lang w:val="en-US"/>
            </w:rPr>
          </w:pPr>
          <w:hyperlink w:anchor="_Toc23755265" w:history="1">
            <w:r w:rsidR="009438AB" w:rsidRPr="009438AB">
              <w:rPr>
                <w:rStyle w:val="Hyperlink"/>
                <w:rFonts w:ascii="Times New Roman" w:hAnsi="Times New Roman"/>
                <w:noProof/>
              </w:rPr>
              <w:t>3.1 Tillgång: utsläppsrätter i omlopp</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_Toc23755265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10</w:t>
            </w:r>
            <w:r w:rsidR="009438AB" w:rsidRPr="009438AB">
              <w:rPr>
                <w:rFonts w:ascii="Times New Roman" w:hAnsi="Times New Roman"/>
                <w:noProof/>
                <w:webHidden/>
              </w:rPr>
              <w:fldChar w:fldCharType="end"/>
            </w:r>
          </w:hyperlink>
        </w:p>
        <w:p w14:paraId="3BECA5AE" w14:textId="27D3178D" w:rsidR="009438AB" w:rsidRPr="009438AB" w:rsidRDefault="000039C4">
          <w:pPr>
            <w:pStyle w:val="TOC3"/>
            <w:tabs>
              <w:tab w:val="right" w:leader="dot" w:pos="9016"/>
            </w:tabs>
            <w:rPr>
              <w:rFonts w:ascii="Times New Roman" w:eastAsiaTheme="minorEastAsia" w:hAnsi="Times New Roman" w:cstheme="minorBidi"/>
              <w:noProof/>
              <w:lang w:val="en-US"/>
            </w:rPr>
          </w:pPr>
          <w:hyperlink w:anchor="_Toc23755266" w:history="1">
            <w:r w:rsidR="009438AB" w:rsidRPr="009438AB">
              <w:rPr>
                <w:rStyle w:val="Hyperlink"/>
                <w:rFonts w:ascii="Times New Roman" w:hAnsi="Times New Roman"/>
                <w:noProof/>
              </w:rPr>
              <w:t>3.1.1 Tak</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_Toc23755266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10</w:t>
            </w:r>
            <w:r w:rsidR="009438AB" w:rsidRPr="009438AB">
              <w:rPr>
                <w:rFonts w:ascii="Times New Roman" w:hAnsi="Times New Roman"/>
                <w:noProof/>
                <w:webHidden/>
              </w:rPr>
              <w:fldChar w:fldCharType="end"/>
            </w:r>
          </w:hyperlink>
        </w:p>
        <w:p w14:paraId="009CEA31" w14:textId="4561D4F8" w:rsidR="009438AB" w:rsidRPr="009438AB" w:rsidRDefault="000039C4">
          <w:pPr>
            <w:pStyle w:val="TOC3"/>
            <w:tabs>
              <w:tab w:val="right" w:leader="dot" w:pos="9016"/>
            </w:tabs>
            <w:rPr>
              <w:rFonts w:ascii="Times New Roman" w:eastAsiaTheme="minorEastAsia" w:hAnsi="Times New Roman" w:cstheme="minorBidi"/>
              <w:noProof/>
              <w:lang w:val="en-US"/>
            </w:rPr>
          </w:pPr>
          <w:hyperlink w:anchor="_Toc23755267" w:history="1">
            <w:r w:rsidR="009438AB" w:rsidRPr="009438AB">
              <w:rPr>
                <w:rStyle w:val="Hyperlink"/>
                <w:rFonts w:ascii="Times New Roman" w:hAnsi="Times New Roman"/>
                <w:noProof/>
              </w:rPr>
              <w:t>3.1.2 Utfärdade utsläppsrätter</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_Toc23755267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12</w:t>
            </w:r>
            <w:r w:rsidR="009438AB" w:rsidRPr="009438AB">
              <w:rPr>
                <w:rFonts w:ascii="Times New Roman" w:hAnsi="Times New Roman"/>
                <w:noProof/>
                <w:webHidden/>
              </w:rPr>
              <w:fldChar w:fldCharType="end"/>
            </w:r>
          </w:hyperlink>
        </w:p>
        <w:p w14:paraId="1ED11572" w14:textId="5F5BC4F3" w:rsidR="009438AB" w:rsidRPr="009438AB" w:rsidRDefault="000039C4">
          <w:pPr>
            <w:pStyle w:val="TOC4"/>
            <w:tabs>
              <w:tab w:val="right" w:leader="dot" w:pos="9016"/>
            </w:tabs>
            <w:rPr>
              <w:rFonts w:ascii="Times New Roman" w:eastAsiaTheme="minorEastAsia" w:hAnsi="Times New Roman" w:cstheme="minorBidi"/>
              <w:noProof/>
              <w:lang w:val="en-US"/>
            </w:rPr>
          </w:pPr>
          <w:hyperlink w:anchor="_Toc23755268" w:history="1">
            <w:r w:rsidR="009438AB" w:rsidRPr="009438AB">
              <w:rPr>
                <w:rStyle w:val="Hyperlink"/>
                <w:rFonts w:ascii="Times New Roman" w:hAnsi="Times New Roman"/>
                <w:noProof/>
              </w:rPr>
              <w:t>3.1.2.1. Gratis tilldelning</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_Toc23755268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12</w:t>
            </w:r>
            <w:r w:rsidR="009438AB" w:rsidRPr="009438AB">
              <w:rPr>
                <w:rFonts w:ascii="Times New Roman" w:hAnsi="Times New Roman"/>
                <w:noProof/>
                <w:webHidden/>
              </w:rPr>
              <w:fldChar w:fldCharType="end"/>
            </w:r>
          </w:hyperlink>
        </w:p>
        <w:p w14:paraId="5630805E" w14:textId="28D5C3EF" w:rsidR="009438AB" w:rsidRPr="009438AB" w:rsidRDefault="000039C4">
          <w:pPr>
            <w:pStyle w:val="TOC4"/>
            <w:tabs>
              <w:tab w:val="right" w:leader="dot" w:pos="9016"/>
            </w:tabs>
            <w:rPr>
              <w:rFonts w:ascii="Times New Roman" w:eastAsiaTheme="minorEastAsia" w:hAnsi="Times New Roman" w:cstheme="minorBidi"/>
              <w:noProof/>
              <w:lang w:val="en-US"/>
            </w:rPr>
          </w:pPr>
          <w:hyperlink w:anchor="_Toc23755269" w:history="1">
            <w:r w:rsidR="009438AB" w:rsidRPr="009438AB">
              <w:rPr>
                <w:rStyle w:val="Hyperlink"/>
                <w:rFonts w:ascii="Times New Roman" w:hAnsi="Times New Roman"/>
                <w:noProof/>
              </w:rPr>
              <w:t>3.1.2.2 NER300-programmet och innovationsfonden</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_Toc23755269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15</w:t>
            </w:r>
            <w:r w:rsidR="009438AB" w:rsidRPr="009438AB">
              <w:rPr>
                <w:rFonts w:ascii="Times New Roman" w:hAnsi="Times New Roman"/>
                <w:noProof/>
                <w:webHidden/>
              </w:rPr>
              <w:fldChar w:fldCharType="end"/>
            </w:r>
          </w:hyperlink>
        </w:p>
        <w:p w14:paraId="1DB98635" w14:textId="29EC1E28" w:rsidR="009438AB" w:rsidRPr="009438AB" w:rsidRDefault="000039C4">
          <w:pPr>
            <w:pStyle w:val="TOC4"/>
            <w:tabs>
              <w:tab w:val="right" w:leader="dot" w:pos="9016"/>
            </w:tabs>
            <w:rPr>
              <w:rFonts w:ascii="Times New Roman" w:eastAsiaTheme="minorEastAsia" w:hAnsi="Times New Roman" w:cstheme="minorBidi"/>
              <w:noProof/>
              <w:lang w:val="en-US"/>
            </w:rPr>
          </w:pPr>
          <w:hyperlink w:anchor="_Toc23755270" w:history="1">
            <w:r w:rsidR="009438AB" w:rsidRPr="009438AB">
              <w:rPr>
                <w:rStyle w:val="Hyperlink"/>
                <w:rFonts w:ascii="Times New Roman" w:hAnsi="Times New Roman"/>
                <w:noProof/>
              </w:rPr>
              <w:t>3.1.2.3 Kompensation för indirekta koldioxidkostnader</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_Toc23755270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16</w:t>
            </w:r>
            <w:r w:rsidR="009438AB" w:rsidRPr="009438AB">
              <w:rPr>
                <w:rFonts w:ascii="Times New Roman" w:hAnsi="Times New Roman"/>
                <w:noProof/>
                <w:webHidden/>
              </w:rPr>
              <w:fldChar w:fldCharType="end"/>
            </w:r>
          </w:hyperlink>
        </w:p>
        <w:p w14:paraId="715E5832" w14:textId="33F53F0D" w:rsidR="009438AB" w:rsidRPr="009438AB" w:rsidRDefault="000039C4">
          <w:pPr>
            <w:pStyle w:val="TOC4"/>
            <w:tabs>
              <w:tab w:val="right" w:leader="dot" w:pos="9016"/>
            </w:tabs>
            <w:rPr>
              <w:rFonts w:ascii="Times New Roman" w:eastAsiaTheme="minorEastAsia" w:hAnsi="Times New Roman" w:cstheme="minorBidi"/>
              <w:noProof/>
              <w:lang w:val="en-US"/>
            </w:rPr>
          </w:pPr>
          <w:hyperlink w:anchor="_Toc23755271" w:history="1">
            <w:r w:rsidR="009438AB" w:rsidRPr="009438AB">
              <w:rPr>
                <w:rStyle w:val="Hyperlink"/>
                <w:rFonts w:ascii="Times New Roman" w:hAnsi="Times New Roman"/>
                <w:bCs/>
                <w:noProof/>
              </w:rPr>
              <w:t>3.1.2.4 Auktionering av utsläppsrätter</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_Toc23755271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19</w:t>
            </w:r>
            <w:r w:rsidR="009438AB" w:rsidRPr="009438AB">
              <w:rPr>
                <w:rFonts w:ascii="Times New Roman" w:hAnsi="Times New Roman"/>
                <w:noProof/>
                <w:webHidden/>
              </w:rPr>
              <w:fldChar w:fldCharType="end"/>
            </w:r>
          </w:hyperlink>
        </w:p>
        <w:p w14:paraId="4B6A782A" w14:textId="62813962" w:rsidR="009438AB" w:rsidRPr="009438AB" w:rsidRDefault="000039C4">
          <w:pPr>
            <w:pStyle w:val="TOC4"/>
            <w:tabs>
              <w:tab w:val="right" w:leader="dot" w:pos="9016"/>
            </w:tabs>
            <w:rPr>
              <w:rFonts w:ascii="Times New Roman" w:eastAsiaTheme="minorEastAsia" w:hAnsi="Times New Roman" w:cstheme="minorBidi"/>
              <w:noProof/>
              <w:lang w:val="en-US"/>
            </w:rPr>
          </w:pPr>
          <w:hyperlink w:anchor="_Toc23755272" w:history="1">
            <w:r w:rsidR="009438AB" w:rsidRPr="009438AB">
              <w:rPr>
                <w:rStyle w:val="Hyperlink"/>
                <w:rFonts w:ascii="Times New Roman" w:hAnsi="Times New Roman"/>
                <w:noProof/>
              </w:rPr>
              <w:t>3.1.2.5 Undantag från fullständig auktionering för el- och värmeproduktion</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_Toc23755272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22</w:t>
            </w:r>
            <w:r w:rsidR="009438AB" w:rsidRPr="009438AB">
              <w:rPr>
                <w:rFonts w:ascii="Times New Roman" w:hAnsi="Times New Roman"/>
                <w:noProof/>
                <w:webHidden/>
              </w:rPr>
              <w:fldChar w:fldCharType="end"/>
            </w:r>
          </w:hyperlink>
        </w:p>
        <w:p w14:paraId="4E90C2CA" w14:textId="638477E6" w:rsidR="009438AB" w:rsidRPr="009438AB" w:rsidRDefault="000039C4">
          <w:pPr>
            <w:pStyle w:val="TOC3"/>
            <w:tabs>
              <w:tab w:val="right" w:leader="dot" w:pos="9016"/>
            </w:tabs>
            <w:rPr>
              <w:rFonts w:ascii="Times New Roman" w:eastAsiaTheme="minorEastAsia" w:hAnsi="Times New Roman" w:cstheme="minorBidi"/>
              <w:noProof/>
              <w:lang w:val="en-US"/>
            </w:rPr>
          </w:pPr>
          <w:hyperlink w:anchor="_Toc23755273" w:history="1">
            <w:r w:rsidR="009438AB" w:rsidRPr="009438AB">
              <w:rPr>
                <w:rStyle w:val="Hyperlink"/>
                <w:rFonts w:ascii="Times New Roman" w:hAnsi="Times New Roman"/>
                <w:noProof/>
              </w:rPr>
              <w:t>3.1.3 Internationella reduktionsenheter</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_Toc23755273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25</w:t>
            </w:r>
            <w:r w:rsidR="009438AB" w:rsidRPr="009438AB">
              <w:rPr>
                <w:rFonts w:ascii="Times New Roman" w:hAnsi="Times New Roman"/>
                <w:noProof/>
                <w:webHidden/>
              </w:rPr>
              <w:fldChar w:fldCharType="end"/>
            </w:r>
          </w:hyperlink>
        </w:p>
        <w:p w14:paraId="228DAFED" w14:textId="666DC2A4" w:rsidR="009438AB" w:rsidRPr="009438AB" w:rsidRDefault="000039C4">
          <w:pPr>
            <w:pStyle w:val="TOC2"/>
            <w:tabs>
              <w:tab w:val="right" w:leader="dot" w:pos="9016"/>
            </w:tabs>
            <w:rPr>
              <w:rFonts w:ascii="Times New Roman" w:eastAsiaTheme="minorEastAsia" w:hAnsi="Times New Roman" w:cstheme="minorBidi"/>
              <w:noProof/>
              <w:lang w:val="en-US"/>
            </w:rPr>
          </w:pPr>
          <w:hyperlink w:anchor="_Toc23755274" w:history="1">
            <w:r w:rsidR="009438AB" w:rsidRPr="009438AB">
              <w:rPr>
                <w:rStyle w:val="Hyperlink"/>
                <w:rFonts w:ascii="Times New Roman" w:hAnsi="Times New Roman"/>
                <w:noProof/>
              </w:rPr>
              <w:t>3.2. Efterfrågan: utsläppsrätter som har tagits ur omlopp</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_Toc23755274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25</w:t>
            </w:r>
            <w:r w:rsidR="009438AB" w:rsidRPr="009438AB">
              <w:rPr>
                <w:rFonts w:ascii="Times New Roman" w:hAnsi="Times New Roman"/>
                <w:noProof/>
                <w:webHidden/>
              </w:rPr>
              <w:fldChar w:fldCharType="end"/>
            </w:r>
          </w:hyperlink>
        </w:p>
        <w:p w14:paraId="30A2EA32" w14:textId="2AE176EC" w:rsidR="009438AB" w:rsidRPr="009438AB" w:rsidRDefault="000039C4">
          <w:pPr>
            <w:pStyle w:val="TOC2"/>
            <w:tabs>
              <w:tab w:val="right" w:leader="dot" w:pos="9016"/>
            </w:tabs>
            <w:rPr>
              <w:rFonts w:ascii="Times New Roman" w:eastAsiaTheme="minorEastAsia" w:hAnsi="Times New Roman" w:cstheme="minorBidi"/>
              <w:noProof/>
              <w:lang w:val="en-US"/>
            </w:rPr>
          </w:pPr>
          <w:hyperlink w:anchor="_Toc23755275" w:history="1">
            <w:r w:rsidR="009438AB" w:rsidRPr="009438AB">
              <w:rPr>
                <w:rStyle w:val="Hyperlink"/>
                <w:rFonts w:ascii="Times New Roman" w:hAnsi="Times New Roman"/>
                <w:noProof/>
              </w:rPr>
              <w:t>3.3. Balansera tillgång och efterfrågan</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_Toc23755275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26</w:t>
            </w:r>
            <w:r w:rsidR="009438AB" w:rsidRPr="009438AB">
              <w:rPr>
                <w:rFonts w:ascii="Times New Roman" w:hAnsi="Times New Roman"/>
                <w:noProof/>
                <w:webHidden/>
              </w:rPr>
              <w:fldChar w:fldCharType="end"/>
            </w:r>
          </w:hyperlink>
        </w:p>
        <w:p w14:paraId="74FF447F" w14:textId="274B345E" w:rsidR="009438AB" w:rsidRPr="009438AB" w:rsidRDefault="000039C4">
          <w:pPr>
            <w:pStyle w:val="TOC1"/>
            <w:rPr>
              <w:rFonts w:ascii="Times New Roman" w:eastAsiaTheme="minorEastAsia" w:hAnsi="Times New Roman" w:cstheme="minorBidi"/>
              <w:noProof/>
              <w:lang w:val="en-US"/>
            </w:rPr>
          </w:pPr>
          <w:hyperlink w:anchor="_Toc23755276" w:history="1">
            <w:r w:rsidR="009438AB" w:rsidRPr="009438AB">
              <w:rPr>
                <w:rStyle w:val="Hyperlink"/>
                <w:rFonts w:ascii="Times New Roman" w:hAnsi="Times New Roman"/>
                <w:noProof/>
              </w:rPr>
              <w:t>4. LUFTFART</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_Toc23755276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30</w:t>
            </w:r>
            <w:r w:rsidR="009438AB" w:rsidRPr="009438AB">
              <w:rPr>
                <w:rFonts w:ascii="Times New Roman" w:hAnsi="Times New Roman"/>
                <w:noProof/>
                <w:webHidden/>
              </w:rPr>
              <w:fldChar w:fldCharType="end"/>
            </w:r>
          </w:hyperlink>
        </w:p>
        <w:p w14:paraId="7FF3AF26" w14:textId="44CC3E35" w:rsidR="009438AB" w:rsidRPr="009438AB" w:rsidRDefault="000039C4">
          <w:pPr>
            <w:pStyle w:val="TOC1"/>
            <w:rPr>
              <w:rFonts w:ascii="Times New Roman" w:eastAsiaTheme="minorEastAsia" w:hAnsi="Times New Roman" w:cstheme="minorBidi"/>
              <w:noProof/>
              <w:lang w:val="en-US"/>
            </w:rPr>
          </w:pPr>
          <w:hyperlink w:anchor="_Toc23755277" w:history="1">
            <w:r w:rsidR="009438AB" w:rsidRPr="009438AB">
              <w:rPr>
                <w:rStyle w:val="Hyperlink"/>
                <w:rFonts w:ascii="Times New Roman" w:hAnsi="Times New Roman"/>
                <w:noProof/>
              </w:rPr>
              <w:t>5. MARKNADSÖVERSIKT</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_Toc23755277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32</w:t>
            </w:r>
            <w:r w:rsidR="009438AB" w:rsidRPr="009438AB">
              <w:rPr>
                <w:rFonts w:ascii="Times New Roman" w:hAnsi="Times New Roman"/>
                <w:noProof/>
                <w:webHidden/>
              </w:rPr>
              <w:fldChar w:fldCharType="end"/>
            </w:r>
          </w:hyperlink>
        </w:p>
        <w:p w14:paraId="42933E1D" w14:textId="50A8E63E" w:rsidR="009438AB" w:rsidRPr="009438AB" w:rsidRDefault="000039C4">
          <w:pPr>
            <w:pStyle w:val="TOC2"/>
            <w:tabs>
              <w:tab w:val="right" w:leader="dot" w:pos="9016"/>
            </w:tabs>
            <w:rPr>
              <w:rFonts w:ascii="Times New Roman" w:eastAsiaTheme="minorEastAsia" w:hAnsi="Times New Roman" w:cstheme="minorBidi"/>
              <w:noProof/>
              <w:lang w:val="en-US"/>
            </w:rPr>
          </w:pPr>
          <w:hyperlink w:anchor="_Toc23755278" w:history="1">
            <w:r w:rsidR="009438AB" w:rsidRPr="009438AB">
              <w:rPr>
                <w:rStyle w:val="Hyperlink"/>
                <w:rFonts w:ascii="Times New Roman" w:hAnsi="Times New Roman"/>
                <w:noProof/>
              </w:rPr>
              <w:t>5.1. Utsläppsrätternas rättsliga egenskaper och skattebehandling</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_Toc23755278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33</w:t>
            </w:r>
            <w:r w:rsidR="009438AB" w:rsidRPr="009438AB">
              <w:rPr>
                <w:rFonts w:ascii="Times New Roman" w:hAnsi="Times New Roman"/>
                <w:noProof/>
                <w:webHidden/>
              </w:rPr>
              <w:fldChar w:fldCharType="end"/>
            </w:r>
          </w:hyperlink>
        </w:p>
        <w:p w14:paraId="25C2BB60" w14:textId="17A7FB17" w:rsidR="009438AB" w:rsidRPr="009438AB" w:rsidRDefault="000039C4">
          <w:pPr>
            <w:pStyle w:val="TOC1"/>
            <w:rPr>
              <w:rFonts w:ascii="Times New Roman" w:eastAsiaTheme="minorEastAsia" w:hAnsi="Times New Roman" w:cstheme="minorBidi"/>
              <w:noProof/>
              <w:lang w:val="en-US"/>
            </w:rPr>
          </w:pPr>
          <w:hyperlink w:anchor="_Toc23755279" w:history="1">
            <w:r w:rsidR="009438AB" w:rsidRPr="009438AB">
              <w:rPr>
                <w:rStyle w:val="Hyperlink"/>
                <w:rFonts w:ascii="Times New Roman" w:hAnsi="Times New Roman"/>
                <w:noProof/>
              </w:rPr>
              <w:t>6. ÖVERVAKNING, RAPPORTERING OCH VERIFIERING AV UTSLÄPP</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_Toc23755279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35</w:t>
            </w:r>
            <w:r w:rsidR="009438AB" w:rsidRPr="009438AB">
              <w:rPr>
                <w:rFonts w:ascii="Times New Roman" w:hAnsi="Times New Roman"/>
                <w:noProof/>
                <w:webHidden/>
              </w:rPr>
              <w:fldChar w:fldCharType="end"/>
            </w:r>
          </w:hyperlink>
        </w:p>
        <w:p w14:paraId="3A9B0760" w14:textId="5E2D1834" w:rsidR="009438AB" w:rsidRPr="009438AB" w:rsidRDefault="000039C4">
          <w:pPr>
            <w:pStyle w:val="TOC1"/>
            <w:rPr>
              <w:rFonts w:ascii="Times New Roman" w:eastAsiaTheme="minorEastAsia" w:hAnsi="Times New Roman" w:cstheme="minorBidi"/>
              <w:noProof/>
              <w:lang w:val="en-US"/>
            </w:rPr>
          </w:pPr>
          <w:hyperlink w:anchor="_Toc23755280" w:history="1">
            <w:r w:rsidR="009438AB" w:rsidRPr="009438AB">
              <w:rPr>
                <w:rStyle w:val="Hyperlink"/>
                <w:rFonts w:ascii="Times New Roman" w:hAnsi="Times New Roman"/>
                <w:noProof/>
              </w:rPr>
              <w:t>7. ÖVERSIKT ÖVER ADMINISTRATIVA ORDNINGAR</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_Toc23755280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37</w:t>
            </w:r>
            <w:r w:rsidR="009438AB" w:rsidRPr="009438AB">
              <w:rPr>
                <w:rFonts w:ascii="Times New Roman" w:hAnsi="Times New Roman"/>
                <w:noProof/>
                <w:webHidden/>
              </w:rPr>
              <w:fldChar w:fldCharType="end"/>
            </w:r>
          </w:hyperlink>
        </w:p>
        <w:p w14:paraId="6876BBE0" w14:textId="0798443E" w:rsidR="009438AB" w:rsidRPr="009438AB" w:rsidRDefault="000039C4">
          <w:pPr>
            <w:pStyle w:val="TOC1"/>
            <w:rPr>
              <w:rFonts w:ascii="Times New Roman" w:eastAsiaTheme="minorEastAsia" w:hAnsi="Times New Roman" w:cstheme="minorBidi"/>
              <w:noProof/>
              <w:lang w:val="en-US"/>
            </w:rPr>
          </w:pPr>
          <w:hyperlink w:anchor="_Toc23755281" w:history="1">
            <w:r w:rsidR="009438AB" w:rsidRPr="009438AB">
              <w:rPr>
                <w:rStyle w:val="Hyperlink"/>
                <w:rFonts w:ascii="Times New Roman" w:hAnsi="Times New Roman"/>
                <w:noProof/>
              </w:rPr>
              <w:t>8. EFTERLEVNAD OCH VERKSTÄLLANDE</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_Toc23755281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38</w:t>
            </w:r>
            <w:r w:rsidR="009438AB" w:rsidRPr="009438AB">
              <w:rPr>
                <w:rFonts w:ascii="Times New Roman" w:hAnsi="Times New Roman"/>
                <w:noProof/>
                <w:webHidden/>
              </w:rPr>
              <w:fldChar w:fldCharType="end"/>
            </w:r>
          </w:hyperlink>
        </w:p>
        <w:p w14:paraId="2E125D96" w14:textId="45D00B6F" w:rsidR="009438AB" w:rsidRPr="009438AB" w:rsidRDefault="000039C4">
          <w:pPr>
            <w:pStyle w:val="TOC1"/>
            <w:rPr>
              <w:rFonts w:ascii="Times New Roman" w:eastAsiaTheme="minorEastAsia" w:hAnsi="Times New Roman" w:cstheme="minorBidi"/>
              <w:noProof/>
              <w:lang w:val="en-US"/>
            </w:rPr>
          </w:pPr>
          <w:hyperlink w:anchor="_Toc23755282" w:history="1">
            <w:r w:rsidR="009438AB" w:rsidRPr="009438AB">
              <w:rPr>
                <w:rStyle w:val="Hyperlink"/>
                <w:rFonts w:ascii="Times New Roman" w:hAnsi="Times New Roman"/>
                <w:noProof/>
              </w:rPr>
              <w:t>9. SLUTSATSER OCH UTSIKTER</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_Toc23755282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39</w:t>
            </w:r>
            <w:r w:rsidR="009438AB" w:rsidRPr="009438AB">
              <w:rPr>
                <w:rFonts w:ascii="Times New Roman" w:hAnsi="Times New Roman"/>
                <w:noProof/>
                <w:webHidden/>
              </w:rPr>
              <w:fldChar w:fldCharType="end"/>
            </w:r>
          </w:hyperlink>
        </w:p>
        <w:p w14:paraId="119D1BD6" w14:textId="4D2FC57B" w:rsidR="009438AB" w:rsidRPr="009438AB" w:rsidRDefault="000039C4">
          <w:pPr>
            <w:pStyle w:val="TOC1"/>
            <w:rPr>
              <w:rFonts w:ascii="Times New Roman" w:eastAsiaTheme="minorEastAsia" w:hAnsi="Times New Roman" w:cstheme="minorBidi"/>
              <w:noProof/>
              <w:lang w:val="en-US"/>
            </w:rPr>
          </w:pPr>
          <w:hyperlink w:anchor="_Toc23755283" w:history="1">
            <w:r w:rsidR="009438AB" w:rsidRPr="009438AB">
              <w:rPr>
                <w:rStyle w:val="Hyperlink"/>
                <w:rFonts w:ascii="Times New Roman" w:hAnsi="Times New Roman"/>
                <w:noProof/>
              </w:rPr>
              <w:t>BILAGA</w:t>
            </w:r>
            <w:r w:rsidR="009438AB" w:rsidRPr="009438AB">
              <w:rPr>
                <w:rFonts w:ascii="Times New Roman" w:hAnsi="Times New Roman"/>
                <w:noProof/>
                <w:webHidden/>
              </w:rPr>
              <w:tab/>
            </w:r>
            <w:r w:rsidR="009438AB" w:rsidRPr="009438AB">
              <w:rPr>
                <w:rFonts w:ascii="Times New Roman" w:hAnsi="Times New Roman"/>
                <w:noProof/>
                <w:webHidden/>
              </w:rPr>
              <w:fldChar w:fldCharType="begin"/>
            </w:r>
            <w:r w:rsidR="009438AB" w:rsidRPr="009438AB">
              <w:rPr>
                <w:rFonts w:ascii="Times New Roman" w:hAnsi="Times New Roman"/>
                <w:noProof/>
                <w:webHidden/>
              </w:rPr>
              <w:instrText xml:space="preserve"> PAGEREF _Toc23755283 \h </w:instrText>
            </w:r>
            <w:r w:rsidR="009438AB" w:rsidRPr="009438AB">
              <w:rPr>
                <w:rFonts w:ascii="Times New Roman" w:hAnsi="Times New Roman"/>
                <w:noProof/>
                <w:webHidden/>
              </w:rPr>
            </w:r>
            <w:r w:rsidR="009438AB" w:rsidRPr="009438AB">
              <w:rPr>
                <w:rFonts w:ascii="Times New Roman" w:hAnsi="Times New Roman"/>
                <w:noProof/>
                <w:webHidden/>
              </w:rPr>
              <w:fldChar w:fldCharType="separate"/>
            </w:r>
            <w:r w:rsidR="009438AB" w:rsidRPr="009438AB">
              <w:rPr>
                <w:rFonts w:ascii="Times New Roman" w:hAnsi="Times New Roman"/>
                <w:noProof/>
                <w:webHidden/>
              </w:rPr>
              <w:t>40</w:t>
            </w:r>
            <w:r w:rsidR="009438AB" w:rsidRPr="009438AB">
              <w:rPr>
                <w:rFonts w:ascii="Times New Roman" w:hAnsi="Times New Roman"/>
                <w:noProof/>
                <w:webHidden/>
              </w:rPr>
              <w:fldChar w:fldCharType="end"/>
            </w:r>
          </w:hyperlink>
        </w:p>
        <w:p w14:paraId="69D168AE" w14:textId="2B82719C" w:rsidR="0017587A" w:rsidRPr="009438AB" w:rsidRDefault="000A23BB">
          <w:pPr>
            <w:rPr>
              <w:rFonts w:ascii="Times New Roman" w:hAnsi="Times New Roman"/>
            </w:rPr>
          </w:pPr>
          <w:r w:rsidRPr="009438AB">
            <w:rPr>
              <w:rFonts w:ascii="Times New Roman" w:hAnsi="Times New Roman"/>
              <w:bCs/>
            </w:rPr>
            <w:fldChar w:fldCharType="end"/>
          </w:r>
        </w:p>
      </w:sdtContent>
    </w:sdt>
    <w:p w14:paraId="499BA2E9" w14:textId="77777777" w:rsidR="009438AB" w:rsidRDefault="009438AB">
      <w:pPr>
        <w:pStyle w:val="Heading1"/>
        <w:spacing w:before="0" w:after="120"/>
      </w:pPr>
      <w:bookmarkStart w:id="2" w:name="_Toc23755259"/>
    </w:p>
    <w:p w14:paraId="21A9BB45" w14:textId="79018015" w:rsidR="0017587A" w:rsidRDefault="003A348D">
      <w:pPr>
        <w:pStyle w:val="Heading1"/>
        <w:spacing w:before="0" w:after="120"/>
        <w:rPr>
          <w:szCs w:val="24"/>
        </w:rPr>
      </w:pPr>
      <w:r>
        <w:t>Förteckning över akronymer och förkortningar</w:t>
      </w:r>
      <w:bookmarkEnd w:id="2"/>
    </w:p>
    <w:p w14:paraId="07821AAA" w14:textId="77777777" w:rsidR="0017587A" w:rsidRDefault="003A348D">
      <w:pPr>
        <w:spacing w:after="120"/>
        <w:rPr>
          <w:rFonts w:ascii="Times New Roman" w:hAnsi="Times New Roman"/>
          <w:sz w:val="24"/>
          <w:szCs w:val="24"/>
        </w:rPr>
      </w:pPr>
      <w:r>
        <w:rPr>
          <w:rFonts w:ascii="Times New Roman" w:hAnsi="Times New Roman"/>
        </w:rPr>
        <w:t>AVR</w:t>
      </w:r>
      <w:r>
        <w:rPr>
          <w:rFonts w:ascii="Times New Roman" w:hAnsi="Times New Roman"/>
        </w:rPr>
        <w:tab/>
      </w:r>
      <w:r>
        <w:rPr>
          <w:rFonts w:ascii="Times New Roman" w:hAnsi="Times New Roman"/>
        </w:rPr>
        <w:tab/>
        <w:t>Förordningen om ackreditering och verifiering</w:t>
      </w:r>
    </w:p>
    <w:p w14:paraId="2545A202" w14:textId="77777777" w:rsidR="0017587A" w:rsidRDefault="003A348D">
      <w:pPr>
        <w:spacing w:after="120"/>
        <w:rPr>
          <w:rFonts w:ascii="Times New Roman" w:hAnsi="Times New Roman"/>
          <w:sz w:val="24"/>
          <w:szCs w:val="24"/>
        </w:rPr>
      </w:pPr>
      <w:r>
        <w:rPr>
          <w:rFonts w:ascii="Times New Roman" w:hAnsi="Times New Roman"/>
        </w:rPr>
        <w:t>CA</w:t>
      </w:r>
      <w:r>
        <w:rPr>
          <w:rFonts w:ascii="Times New Roman" w:hAnsi="Times New Roman"/>
        </w:rPr>
        <w:tab/>
      </w:r>
      <w:r>
        <w:rPr>
          <w:rFonts w:ascii="Times New Roman" w:hAnsi="Times New Roman"/>
        </w:rPr>
        <w:tab/>
        <w:t>Behörig myndighet</w:t>
      </w:r>
    </w:p>
    <w:p w14:paraId="7B64EDAE" w14:textId="77777777" w:rsidR="0017587A" w:rsidRDefault="003A348D">
      <w:pPr>
        <w:spacing w:after="120"/>
        <w:rPr>
          <w:rFonts w:ascii="Times New Roman" w:hAnsi="Times New Roman"/>
          <w:sz w:val="24"/>
          <w:szCs w:val="24"/>
        </w:rPr>
      </w:pPr>
      <w:r>
        <w:rPr>
          <w:rFonts w:ascii="Times New Roman" w:hAnsi="Times New Roman"/>
        </w:rPr>
        <w:t>CCS</w:t>
      </w:r>
      <w:r>
        <w:rPr>
          <w:rFonts w:ascii="Times New Roman" w:hAnsi="Times New Roman"/>
        </w:rPr>
        <w:tab/>
      </w:r>
      <w:r>
        <w:rPr>
          <w:rFonts w:ascii="Times New Roman" w:hAnsi="Times New Roman"/>
        </w:rPr>
        <w:tab/>
        <w:t>Avskiljning och lagring av koldioxid</w:t>
      </w:r>
    </w:p>
    <w:p w14:paraId="69FF2CEF" w14:textId="77777777" w:rsidR="0017587A" w:rsidRDefault="003A348D">
      <w:pPr>
        <w:spacing w:after="120"/>
        <w:rPr>
          <w:rFonts w:ascii="Times New Roman" w:hAnsi="Times New Roman"/>
          <w:sz w:val="24"/>
          <w:szCs w:val="24"/>
        </w:rPr>
      </w:pPr>
      <w:r>
        <w:rPr>
          <w:rFonts w:ascii="Times New Roman" w:hAnsi="Times New Roman"/>
        </w:rPr>
        <w:t>CCU</w:t>
      </w:r>
      <w:r>
        <w:rPr>
          <w:rFonts w:ascii="Times New Roman" w:hAnsi="Times New Roman"/>
        </w:rPr>
        <w:tab/>
      </w:r>
      <w:r>
        <w:rPr>
          <w:rFonts w:ascii="Times New Roman" w:hAnsi="Times New Roman"/>
        </w:rPr>
        <w:tab/>
        <w:t>Avskiljning och användning av koldioxid</w:t>
      </w:r>
    </w:p>
    <w:p w14:paraId="7D6BCF6C" w14:textId="77777777" w:rsidR="0017587A" w:rsidRDefault="003A348D">
      <w:pPr>
        <w:spacing w:after="120"/>
        <w:rPr>
          <w:rFonts w:ascii="Times New Roman" w:hAnsi="Times New Roman"/>
          <w:sz w:val="24"/>
          <w:szCs w:val="24"/>
        </w:rPr>
      </w:pPr>
      <w:r>
        <w:rPr>
          <w:rFonts w:ascii="Times New Roman" w:hAnsi="Times New Roman"/>
        </w:rPr>
        <w:t>CDM</w:t>
      </w:r>
      <w:r>
        <w:rPr>
          <w:rFonts w:ascii="Times New Roman" w:hAnsi="Times New Roman"/>
        </w:rPr>
        <w:tab/>
      </w:r>
      <w:r>
        <w:rPr>
          <w:rFonts w:ascii="Times New Roman" w:hAnsi="Times New Roman"/>
        </w:rPr>
        <w:tab/>
        <w:t>Mekanismen för ren utveckling</w:t>
      </w:r>
    </w:p>
    <w:p w14:paraId="2C015314" w14:textId="77777777" w:rsidR="0017587A" w:rsidRDefault="003A348D">
      <w:pPr>
        <w:spacing w:after="120"/>
        <w:rPr>
          <w:rFonts w:ascii="Times New Roman" w:hAnsi="Times New Roman"/>
          <w:sz w:val="24"/>
          <w:szCs w:val="24"/>
        </w:rPr>
      </w:pPr>
      <w:r>
        <w:rPr>
          <w:rFonts w:ascii="Times New Roman" w:hAnsi="Times New Roman"/>
        </w:rPr>
        <w:t>CER</w:t>
      </w:r>
      <w:r>
        <w:rPr>
          <w:rFonts w:ascii="Times New Roman" w:hAnsi="Times New Roman"/>
        </w:rPr>
        <w:tab/>
      </w:r>
      <w:r>
        <w:rPr>
          <w:rFonts w:ascii="Times New Roman" w:hAnsi="Times New Roman"/>
        </w:rPr>
        <w:tab/>
        <w:t>Certifierad utsläppsminskning</w:t>
      </w:r>
    </w:p>
    <w:p w14:paraId="49DCEF05" w14:textId="05705320" w:rsidR="0017587A" w:rsidRDefault="009438AB" w:rsidP="009438AB">
      <w:pPr>
        <w:spacing w:after="120"/>
        <w:ind w:left="1440" w:hanging="1440"/>
        <w:rPr>
          <w:rFonts w:ascii="Times New Roman" w:hAnsi="Times New Roman"/>
          <w:sz w:val="24"/>
          <w:szCs w:val="24"/>
        </w:rPr>
      </w:pPr>
      <w:r>
        <w:rPr>
          <w:rFonts w:ascii="Times New Roman" w:hAnsi="Times New Roman"/>
        </w:rPr>
        <w:t>Corsia</w:t>
      </w:r>
      <w:r>
        <w:rPr>
          <w:rFonts w:ascii="Times New Roman" w:hAnsi="Times New Roman"/>
        </w:rPr>
        <w:tab/>
      </w:r>
      <w:r w:rsidR="000A23BB">
        <w:rPr>
          <w:rFonts w:ascii="Times New Roman" w:hAnsi="Times New Roman"/>
        </w:rPr>
        <w:t>Systemet för kompensation för och minskning av koldioxidutsläpp inom internationell luftfart</w:t>
      </w:r>
    </w:p>
    <w:p w14:paraId="3BCA7AF8" w14:textId="77777777" w:rsidR="0017587A" w:rsidRDefault="003A348D">
      <w:pPr>
        <w:spacing w:after="120"/>
        <w:rPr>
          <w:rFonts w:ascii="Times New Roman" w:hAnsi="Times New Roman"/>
          <w:sz w:val="24"/>
          <w:szCs w:val="24"/>
        </w:rPr>
      </w:pPr>
      <w:r>
        <w:rPr>
          <w:rFonts w:ascii="Times New Roman" w:hAnsi="Times New Roman"/>
        </w:rPr>
        <w:t>CSCF</w:t>
      </w:r>
      <w:r>
        <w:rPr>
          <w:rFonts w:ascii="Times New Roman" w:hAnsi="Times New Roman"/>
        </w:rPr>
        <w:tab/>
      </w:r>
      <w:r>
        <w:rPr>
          <w:rFonts w:ascii="Times New Roman" w:hAnsi="Times New Roman"/>
        </w:rPr>
        <w:tab/>
        <w:t>Sektorsövergripande korrigeringsfaktor</w:t>
      </w:r>
    </w:p>
    <w:p w14:paraId="61DC4200" w14:textId="77777777" w:rsidR="0017587A" w:rsidRDefault="003A348D">
      <w:pPr>
        <w:spacing w:after="120"/>
        <w:rPr>
          <w:rFonts w:ascii="Times New Roman" w:hAnsi="Times New Roman"/>
          <w:sz w:val="24"/>
          <w:szCs w:val="24"/>
        </w:rPr>
      </w:pPr>
      <w:r>
        <w:rPr>
          <w:rFonts w:ascii="Times New Roman" w:hAnsi="Times New Roman"/>
        </w:rPr>
        <w:t>EA</w:t>
      </w:r>
      <w:r>
        <w:rPr>
          <w:rFonts w:ascii="Times New Roman" w:hAnsi="Times New Roman"/>
        </w:rPr>
        <w:tab/>
      </w:r>
      <w:r>
        <w:rPr>
          <w:rFonts w:ascii="Times New Roman" w:hAnsi="Times New Roman"/>
        </w:rPr>
        <w:tab/>
        <w:t>Det europeiska ackrediteringssamarbetet</w:t>
      </w:r>
    </w:p>
    <w:p w14:paraId="59DCE5E5" w14:textId="77777777" w:rsidR="0017587A" w:rsidRDefault="003A348D">
      <w:pPr>
        <w:spacing w:after="120"/>
        <w:rPr>
          <w:rFonts w:ascii="Times New Roman" w:hAnsi="Times New Roman"/>
          <w:sz w:val="24"/>
          <w:szCs w:val="24"/>
        </w:rPr>
      </w:pPr>
      <w:r>
        <w:rPr>
          <w:rFonts w:ascii="Times New Roman" w:hAnsi="Times New Roman"/>
        </w:rPr>
        <w:t>EES</w:t>
      </w:r>
      <w:r>
        <w:rPr>
          <w:rFonts w:ascii="Times New Roman" w:hAnsi="Times New Roman"/>
        </w:rPr>
        <w:tab/>
      </w:r>
      <w:r>
        <w:rPr>
          <w:rFonts w:ascii="Times New Roman" w:hAnsi="Times New Roman"/>
        </w:rPr>
        <w:tab/>
        <w:t>Europeiska ekonomiska samarbetsområdet</w:t>
      </w:r>
    </w:p>
    <w:p w14:paraId="0A6C719D" w14:textId="77777777" w:rsidR="0017587A" w:rsidRDefault="00B36364">
      <w:pPr>
        <w:spacing w:after="120"/>
        <w:rPr>
          <w:rFonts w:ascii="Times New Roman" w:hAnsi="Times New Roman"/>
          <w:sz w:val="24"/>
          <w:szCs w:val="24"/>
        </w:rPr>
      </w:pPr>
      <w:r>
        <w:rPr>
          <w:rFonts w:ascii="Times New Roman" w:hAnsi="Times New Roman"/>
        </w:rPr>
        <w:t>EES</w:t>
      </w:r>
      <w:r>
        <w:rPr>
          <w:rFonts w:ascii="Times New Roman" w:hAnsi="Times New Roman"/>
        </w:rPr>
        <w:tab/>
      </w:r>
      <w:r>
        <w:rPr>
          <w:rFonts w:ascii="Times New Roman" w:hAnsi="Times New Roman"/>
        </w:rPr>
        <w:tab/>
        <w:t>Europeiska miljöbyrån</w:t>
      </w:r>
    </w:p>
    <w:p w14:paraId="7D4F4B54" w14:textId="77777777" w:rsidR="0017587A" w:rsidRDefault="003A348D">
      <w:pPr>
        <w:spacing w:after="120"/>
        <w:rPr>
          <w:rFonts w:ascii="Times New Roman" w:hAnsi="Times New Roman"/>
          <w:sz w:val="24"/>
          <w:szCs w:val="24"/>
        </w:rPr>
      </w:pPr>
      <w:r>
        <w:rPr>
          <w:rFonts w:ascii="Times New Roman" w:hAnsi="Times New Roman"/>
        </w:rPr>
        <w:t>EEX</w:t>
      </w:r>
      <w:r>
        <w:rPr>
          <w:rFonts w:ascii="Times New Roman" w:hAnsi="Times New Roman"/>
        </w:rPr>
        <w:tab/>
      </w:r>
      <w:r>
        <w:rPr>
          <w:rFonts w:ascii="Times New Roman" w:hAnsi="Times New Roman"/>
        </w:rPr>
        <w:tab/>
        <w:t>European Energy Exchange</w:t>
      </w:r>
    </w:p>
    <w:p w14:paraId="6609D7AA" w14:textId="77777777" w:rsidR="0017587A" w:rsidRDefault="003A348D">
      <w:pPr>
        <w:spacing w:after="120"/>
        <w:rPr>
          <w:rFonts w:ascii="Times New Roman" w:hAnsi="Times New Roman"/>
          <w:sz w:val="24"/>
          <w:szCs w:val="24"/>
        </w:rPr>
      </w:pPr>
      <w:r>
        <w:rPr>
          <w:rFonts w:ascii="Times New Roman" w:hAnsi="Times New Roman"/>
        </w:rPr>
        <w:t>EIB</w:t>
      </w:r>
      <w:r>
        <w:rPr>
          <w:rFonts w:ascii="Times New Roman" w:hAnsi="Times New Roman"/>
        </w:rPr>
        <w:tab/>
      </w:r>
      <w:r>
        <w:rPr>
          <w:rFonts w:ascii="Times New Roman" w:hAnsi="Times New Roman"/>
        </w:rPr>
        <w:tab/>
        <w:t>Europeiska investeringsbanken</w:t>
      </w:r>
    </w:p>
    <w:p w14:paraId="22A3823B" w14:textId="77777777" w:rsidR="0017587A" w:rsidRDefault="003A348D">
      <w:pPr>
        <w:spacing w:after="120"/>
        <w:rPr>
          <w:rFonts w:ascii="Times New Roman" w:hAnsi="Times New Roman"/>
          <w:sz w:val="24"/>
          <w:szCs w:val="24"/>
        </w:rPr>
      </w:pPr>
      <w:r>
        <w:rPr>
          <w:rFonts w:ascii="Times New Roman" w:hAnsi="Times New Roman"/>
        </w:rPr>
        <w:t>ERU</w:t>
      </w:r>
      <w:r>
        <w:rPr>
          <w:rFonts w:ascii="Times New Roman" w:hAnsi="Times New Roman"/>
        </w:rPr>
        <w:tab/>
      </w:r>
      <w:r>
        <w:rPr>
          <w:rFonts w:ascii="Times New Roman" w:hAnsi="Times New Roman"/>
        </w:rPr>
        <w:tab/>
        <w:t>Utsläppsminskningsenheter</w:t>
      </w:r>
    </w:p>
    <w:p w14:paraId="75C7D35E" w14:textId="77777777" w:rsidR="0017587A" w:rsidRDefault="000A23BB">
      <w:pPr>
        <w:spacing w:after="120"/>
        <w:rPr>
          <w:rFonts w:ascii="Times New Roman" w:hAnsi="Times New Roman"/>
          <w:sz w:val="24"/>
          <w:szCs w:val="24"/>
        </w:rPr>
      </w:pPr>
      <w:r>
        <w:rPr>
          <w:rFonts w:ascii="Times New Roman" w:hAnsi="Times New Roman"/>
        </w:rPr>
        <w:t>Esma</w:t>
      </w:r>
      <w:r>
        <w:rPr>
          <w:rFonts w:ascii="Times New Roman" w:hAnsi="Times New Roman"/>
        </w:rPr>
        <w:tab/>
      </w:r>
      <w:r>
        <w:rPr>
          <w:rFonts w:ascii="Times New Roman" w:hAnsi="Times New Roman"/>
        </w:rPr>
        <w:tab/>
        <w:t>Europeiska värdepappers- och marknadsmyndigheten</w:t>
      </w:r>
    </w:p>
    <w:p w14:paraId="0E04B75C" w14:textId="77777777" w:rsidR="0017587A" w:rsidRDefault="003A348D">
      <w:pPr>
        <w:spacing w:after="120"/>
        <w:rPr>
          <w:rFonts w:ascii="Times New Roman" w:hAnsi="Times New Roman"/>
          <w:sz w:val="24"/>
          <w:szCs w:val="24"/>
        </w:rPr>
      </w:pPr>
      <w:r>
        <w:rPr>
          <w:rFonts w:ascii="Times New Roman" w:hAnsi="Times New Roman"/>
        </w:rPr>
        <w:t>EU ETS</w:t>
      </w:r>
      <w:r>
        <w:rPr>
          <w:rFonts w:ascii="Times New Roman" w:hAnsi="Times New Roman"/>
        </w:rPr>
        <w:tab/>
        <w:t>EU:s utsläppshandelssystem</w:t>
      </w:r>
    </w:p>
    <w:p w14:paraId="65FB01C9" w14:textId="77777777" w:rsidR="0017587A" w:rsidRDefault="003A348D">
      <w:pPr>
        <w:spacing w:after="120"/>
        <w:rPr>
          <w:rFonts w:ascii="Times New Roman" w:hAnsi="Times New Roman"/>
          <w:sz w:val="24"/>
          <w:szCs w:val="24"/>
        </w:rPr>
      </w:pPr>
      <w:r>
        <w:rPr>
          <w:rFonts w:ascii="Times New Roman" w:hAnsi="Times New Roman"/>
        </w:rPr>
        <w:t>EUTL</w:t>
      </w:r>
      <w:r>
        <w:rPr>
          <w:rFonts w:ascii="Times New Roman" w:hAnsi="Times New Roman"/>
        </w:rPr>
        <w:tab/>
      </w:r>
      <w:r>
        <w:rPr>
          <w:rFonts w:ascii="Times New Roman" w:hAnsi="Times New Roman"/>
        </w:rPr>
        <w:tab/>
        <w:t>Europeiska unionens transaktionsförteckning</w:t>
      </w:r>
    </w:p>
    <w:p w14:paraId="69807327" w14:textId="77777777" w:rsidR="0017587A" w:rsidRDefault="003A348D">
      <w:pPr>
        <w:spacing w:after="120"/>
        <w:rPr>
          <w:rFonts w:ascii="Times New Roman" w:hAnsi="Times New Roman"/>
          <w:sz w:val="24"/>
          <w:szCs w:val="24"/>
        </w:rPr>
      </w:pPr>
      <w:r>
        <w:rPr>
          <w:rFonts w:ascii="Times New Roman" w:hAnsi="Times New Roman"/>
        </w:rPr>
        <w:t xml:space="preserve">GHG  </w:t>
      </w:r>
      <w:r>
        <w:rPr>
          <w:rFonts w:ascii="Times New Roman" w:hAnsi="Times New Roman"/>
        </w:rPr>
        <w:tab/>
      </w:r>
      <w:r>
        <w:rPr>
          <w:rFonts w:ascii="Times New Roman" w:hAnsi="Times New Roman"/>
        </w:rPr>
        <w:tab/>
        <w:t>Växthusgas</w:t>
      </w:r>
    </w:p>
    <w:p w14:paraId="7FCE9806" w14:textId="77777777" w:rsidR="0017587A" w:rsidRDefault="003A348D">
      <w:pPr>
        <w:spacing w:after="120"/>
        <w:rPr>
          <w:rFonts w:ascii="Times New Roman" w:hAnsi="Times New Roman"/>
          <w:sz w:val="24"/>
          <w:szCs w:val="24"/>
        </w:rPr>
      </w:pPr>
      <w:r>
        <w:rPr>
          <w:rFonts w:ascii="Times New Roman" w:hAnsi="Times New Roman"/>
        </w:rPr>
        <w:t>Icao</w:t>
      </w:r>
      <w:r>
        <w:rPr>
          <w:rFonts w:ascii="Times New Roman" w:hAnsi="Times New Roman"/>
        </w:rPr>
        <w:tab/>
      </w:r>
      <w:r>
        <w:rPr>
          <w:rFonts w:ascii="Times New Roman" w:hAnsi="Times New Roman"/>
        </w:rPr>
        <w:tab/>
        <w:t>Internationella civila luftfartsorganisationen</w:t>
      </w:r>
    </w:p>
    <w:p w14:paraId="33AB1DDC" w14:textId="77777777" w:rsidR="0017587A" w:rsidRDefault="003A348D">
      <w:pPr>
        <w:spacing w:after="120"/>
        <w:rPr>
          <w:rFonts w:ascii="Times New Roman" w:hAnsi="Times New Roman"/>
          <w:sz w:val="24"/>
          <w:szCs w:val="24"/>
        </w:rPr>
      </w:pPr>
      <w:r>
        <w:rPr>
          <w:rFonts w:ascii="Times New Roman" w:hAnsi="Times New Roman"/>
        </w:rPr>
        <w:t>ICE</w:t>
      </w:r>
      <w:r>
        <w:rPr>
          <w:rFonts w:ascii="Times New Roman" w:hAnsi="Times New Roman"/>
        </w:rPr>
        <w:tab/>
      </w:r>
      <w:r>
        <w:rPr>
          <w:rFonts w:ascii="Times New Roman" w:hAnsi="Times New Roman"/>
        </w:rPr>
        <w:tab/>
        <w:t xml:space="preserve">InterContinental Exchange Futures Europe </w:t>
      </w:r>
    </w:p>
    <w:p w14:paraId="46A5482E" w14:textId="77777777" w:rsidR="0017587A" w:rsidRDefault="006434B2">
      <w:pPr>
        <w:spacing w:after="120"/>
        <w:rPr>
          <w:rFonts w:ascii="Times New Roman" w:hAnsi="Times New Roman"/>
          <w:sz w:val="24"/>
          <w:szCs w:val="24"/>
        </w:rPr>
      </w:pPr>
      <w:r>
        <w:rPr>
          <w:rFonts w:ascii="Times New Roman" w:hAnsi="Times New Roman"/>
        </w:rPr>
        <w:t xml:space="preserve">InnovFin EDP Energidemonstrationsprojekten InnovFin </w:t>
      </w:r>
    </w:p>
    <w:p w14:paraId="4DCEDC95" w14:textId="77777777" w:rsidR="0017587A" w:rsidRDefault="003A348D">
      <w:pPr>
        <w:spacing w:after="120"/>
        <w:rPr>
          <w:rFonts w:ascii="Times New Roman" w:hAnsi="Times New Roman"/>
          <w:sz w:val="24"/>
          <w:szCs w:val="24"/>
        </w:rPr>
      </w:pPr>
      <w:r>
        <w:rPr>
          <w:rFonts w:ascii="Times New Roman" w:hAnsi="Times New Roman"/>
        </w:rPr>
        <w:t>JI</w:t>
      </w:r>
      <w:r>
        <w:rPr>
          <w:rFonts w:ascii="Times New Roman" w:hAnsi="Times New Roman"/>
        </w:rPr>
        <w:tab/>
      </w:r>
      <w:r>
        <w:rPr>
          <w:rFonts w:ascii="Times New Roman" w:hAnsi="Times New Roman"/>
        </w:rPr>
        <w:tab/>
        <w:t>Mekanismen för gemensamt genomförande</w:t>
      </w:r>
    </w:p>
    <w:p w14:paraId="13F13219" w14:textId="77777777" w:rsidR="0017587A" w:rsidRDefault="003A348D">
      <w:pPr>
        <w:spacing w:after="120"/>
        <w:rPr>
          <w:rFonts w:ascii="Times New Roman" w:hAnsi="Times New Roman"/>
          <w:sz w:val="24"/>
          <w:szCs w:val="24"/>
        </w:rPr>
      </w:pPr>
      <w:r>
        <w:rPr>
          <w:rFonts w:ascii="Times New Roman" w:hAnsi="Times New Roman"/>
        </w:rPr>
        <w:t>MAR</w:t>
      </w:r>
      <w:r>
        <w:rPr>
          <w:rFonts w:ascii="Times New Roman" w:hAnsi="Times New Roman"/>
        </w:rPr>
        <w:tab/>
      </w:r>
      <w:r>
        <w:rPr>
          <w:rFonts w:ascii="Times New Roman" w:hAnsi="Times New Roman"/>
        </w:rPr>
        <w:tab/>
        <w:t>Förordningen om marknadsmissbruk</w:t>
      </w:r>
    </w:p>
    <w:p w14:paraId="271BA720" w14:textId="383A0D5D" w:rsidR="0017587A" w:rsidRDefault="003A348D">
      <w:pPr>
        <w:spacing w:after="120"/>
        <w:rPr>
          <w:rFonts w:ascii="Times New Roman" w:hAnsi="Times New Roman"/>
          <w:sz w:val="24"/>
          <w:szCs w:val="24"/>
        </w:rPr>
      </w:pPr>
      <w:r>
        <w:rPr>
          <w:rFonts w:ascii="Times New Roman" w:hAnsi="Times New Roman"/>
        </w:rPr>
        <w:t>Mifid II</w:t>
      </w:r>
      <w:r>
        <w:rPr>
          <w:rFonts w:ascii="Times New Roman" w:hAnsi="Times New Roman"/>
        </w:rPr>
        <w:tab/>
      </w:r>
      <w:r w:rsidR="009438AB">
        <w:rPr>
          <w:rFonts w:ascii="Times New Roman" w:hAnsi="Times New Roman"/>
        </w:rPr>
        <w:tab/>
      </w:r>
      <w:r>
        <w:rPr>
          <w:rFonts w:ascii="Times New Roman" w:hAnsi="Times New Roman"/>
        </w:rPr>
        <w:t>Direktivet om marknader för finansiella instrument</w:t>
      </w:r>
    </w:p>
    <w:p w14:paraId="6AE73962" w14:textId="77777777" w:rsidR="0017587A" w:rsidRDefault="000A23BB">
      <w:pPr>
        <w:spacing w:after="120"/>
        <w:rPr>
          <w:rFonts w:ascii="Times New Roman" w:hAnsi="Times New Roman"/>
          <w:sz w:val="24"/>
          <w:szCs w:val="24"/>
        </w:rPr>
      </w:pPr>
      <w:r>
        <w:rPr>
          <w:rFonts w:ascii="Times New Roman" w:hAnsi="Times New Roman"/>
        </w:rPr>
        <w:t>Mifir</w:t>
      </w:r>
      <w:r>
        <w:rPr>
          <w:rFonts w:ascii="Times New Roman" w:hAnsi="Times New Roman"/>
        </w:rPr>
        <w:tab/>
      </w:r>
      <w:r>
        <w:rPr>
          <w:rFonts w:ascii="Times New Roman" w:hAnsi="Times New Roman"/>
        </w:rPr>
        <w:tab/>
        <w:t>Förordningen om marknader för finansiella instrument</w:t>
      </w:r>
    </w:p>
    <w:p w14:paraId="43915EBC" w14:textId="77777777" w:rsidR="0017587A" w:rsidRDefault="003A348D">
      <w:pPr>
        <w:spacing w:after="120"/>
        <w:rPr>
          <w:rFonts w:ascii="Times New Roman" w:hAnsi="Times New Roman"/>
          <w:sz w:val="24"/>
          <w:szCs w:val="24"/>
        </w:rPr>
      </w:pPr>
      <w:r>
        <w:rPr>
          <w:rFonts w:ascii="Times New Roman" w:hAnsi="Times New Roman"/>
        </w:rPr>
        <w:t>MRR</w:t>
      </w:r>
      <w:r>
        <w:rPr>
          <w:rFonts w:ascii="Times New Roman" w:hAnsi="Times New Roman"/>
        </w:rPr>
        <w:tab/>
      </w:r>
      <w:r>
        <w:rPr>
          <w:rFonts w:ascii="Times New Roman" w:hAnsi="Times New Roman"/>
        </w:rPr>
        <w:tab/>
        <w:t>Förordningen om övervakning och rapportering</w:t>
      </w:r>
    </w:p>
    <w:p w14:paraId="3AEC2F22" w14:textId="518BA545" w:rsidR="0017587A" w:rsidRDefault="003A348D">
      <w:pPr>
        <w:spacing w:after="120"/>
        <w:rPr>
          <w:rFonts w:ascii="Times New Roman" w:hAnsi="Times New Roman"/>
          <w:sz w:val="24"/>
          <w:szCs w:val="24"/>
        </w:rPr>
      </w:pPr>
      <w:r>
        <w:rPr>
          <w:rFonts w:ascii="Times New Roman" w:hAnsi="Times New Roman"/>
        </w:rPr>
        <w:t>MRVA</w:t>
      </w:r>
      <w:r>
        <w:rPr>
          <w:rFonts w:ascii="Times New Roman" w:hAnsi="Times New Roman"/>
        </w:rPr>
        <w:tab/>
      </w:r>
      <w:r w:rsidR="009438AB">
        <w:rPr>
          <w:rFonts w:ascii="Times New Roman" w:hAnsi="Times New Roman"/>
        </w:rPr>
        <w:tab/>
      </w:r>
      <w:r>
        <w:rPr>
          <w:rFonts w:ascii="Times New Roman" w:hAnsi="Times New Roman"/>
        </w:rPr>
        <w:t>Övervakning, rapportering, verifiering och ackreditering</w:t>
      </w:r>
    </w:p>
    <w:p w14:paraId="11D90737" w14:textId="77777777" w:rsidR="0017587A" w:rsidRDefault="003A348D">
      <w:pPr>
        <w:spacing w:after="120"/>
        <w:rPr>
          <w:rFonts w:ascii="Times New Roman" w:hAnsi="Times New Roman"/>
          <w:sz w:val="24"/>
          <w:szCs w:val="24"/>
        </w:rPr>
      </w:pPr>
      <w:r>
        <w:rPr>
          <w:rFonts w:ascii="Times New Roman" w:hAnsi="Times New Roman"/>
        </w:rPr>
        <w:t xml:space="preserve">MSR  </w:t>
      </w:r>
      <w:r>
        <w:rPr>
          <w:rFonts w:ascii="Times New Roman" w:hAnsi="Times New Roman"/>
        </w:rPr>
        <w:tab/>
      </w:r>
      <w:r>
        <w:rPr>
          <w:rFonts w:ascii="Times New Roman" w:hAnsi="Times New Roman"/>
        </w:rPr>
        <w:tab/>
        <w:t>Reserv för marknadsstabilitet</w:t>
      </w:r>
    </w:p>
    <w:p w14:paraId="4DF696FB" w14:textId="77777777" w:rsidR="0017587A" w:rsidRDefault="003A348D">
      <w:pPr>
        <w:spacing w:after="120"/>
        <w:rPr>
          <w:rFonts w:ascii="Times New Roman" w:hAnsi="Times New Roman"/>
          <w:sz w:val="24"/>
          <w:szCs w:val="24"/>
        </w:rPr>
      </w:pPr>
      <w:r>
        <w:rPr>
          <w:rFonts w:ascii="Times New Roman" w:hAnsi="Times New Roman"/>
        </w:rPr>
        <w:lastRenderedPageBreak/>
        <w:t>NAB</w:t>
      </w:r>
      <w:r>
        <w:rPr>
          <w:rFonts w:ascii="Times New Roman" w:hAnsi="Times New Roman"/>
        </w:rPr>
        <w:tab/>
      </w:r>
      <w:r>
        <w:rPr>
          <w:rFonts w:ascii="Times New Roman" w:hAnsi="Times New Roman"/>
        </w:rPr>
        <w:tab/>
        <w:t>Nationellt ackrediteringsorgan</w:t>
      </w:r>
    </w:p>
    <w:p w14:paraId="080AF866" w14:textId="77777777" w:rsidR="0017587A" w:rsidRDefault="003A348D">
      <w:pPr>
        <w:spacing w:after="120"/>
        <w:rPr>
          <w:rFonts w:ascii="Times New Roman" w:hAnsi="Times New Roman"/>
          <w:sz w:val="24"/>
          <w:szCs w:val="24"/>
        </w:rPr>
      </w:pPr>
      <w:r>
        <w:rPr>
          <w:rFonts w:ascii="Times New Roman" w:hAnsi="Times New Roman"/>
        </w:rPr>
        <w:t>NER</w:t>
      </w:r>
      <w:r>
        <w:rPr>
          <w:rFonts w:ascii="Times New Roman" w:hAnsi="Times New Roman"/>
        </w:rPr>
        <w:tab/>
      </w:r>
      <w:r>
        <w:rPr>
          <w:rFonts w:ascii="Times New Roman" w:hAnsi="Times New Roman"/>
        </w:rPr>
        <w:tab/>
        <w:t>Reserven för nya deltagare</w:t>
      </w:r>
    </w:p>
    <w:p w14:paraId="27E81309" w14:textId="77777777" w:rsidR="0017587A" w:rsidRDefault="00B36364">
      <w:pPr>
        <w:spacing w:after="120"/>
        <w:rPr>
          <w:rFonts w:ascii="Times New Roman" w:hAnsi="Times New Roman"/>
          <w:sz w:val="24"/>
          <w:szCs w:val="24"/>
        </w:rPr>
      </w:pPr>
      <w:r>
        <w:rPr>
          <w:rFonts w:ascii="Times New Roman" w:hAnsi="Times New Roman"/>
        </w:rPr>
        <w:t>OTC</w:t>
      </w:r>
      <w:r>
        <w:rPr>
          <w:rFonts w:ascii="Times New Roman" w:hAnsi="Times New Roman"/>
        </w:rPr>
        <w:tab/>
      </w:r>
      <w:r>
        <w:rPr>
          <w:rFonts w:ascii="Times New Roman" w:hAnsi="Times New Roman"/>
        </w:rPr>
        <w:tab/>
        <w:t>Over-the-counter</w:t>
      </w:r>
    </w:p>
    <w:p w14:paraId="0D2EF9AB" w14:textId="77777777" w:rsidR="0017587A" w:rsidRDefault="003A348D">
      <w:pPr>
        <w:spacing w:after="120"/>
        <w:rPr>
          <w:rFonts w:ascii="Times New Roman" w:hAnsi="Times New Roman"/>
          <w:sz w:val="24"/>
          <w:szCs w:val="24"/>
        </w:rPr>
      </w:pPr>
      <w:r>
        <w:rPr>
          <w:rFonts w:ascii="Times New Roman" w:hAnsi="Times New Roman"/>
        </w:rPr>
        <w:t>PFC</w:t>
      </w:r>
      <w:r>
        <w:rPr>
          <w:rFonts w:ascii="Times New Roman" w:hAnsi="Times New Roman"/>
        </w:rPr>
        <w:tab/>
      </w:r>
      <w:r>
        <w:rPr>
          <w:rFonts w:ascii="Times New Roman" w:hAnsi="Times New Roman"/>
        </w:rPr>
        <w:tab/>
        <w:t>Perfluorkarboner</w:t>
      </w:r>
    </w:p>
    <w:p w14:paraId="5E2CCDD7" w14:textId="77777777" w:rsidR="0017587A" w:rsidRDefault="003A348D">
      <w:pPr>
        <w:spacing w:after="120"/>
        <w:rPr>
          <w:rFonts w:ascii="Times New Roman" w:hAnsi="Times New Roman"/>
          <w:sz w:val="24"/>
          <w:szCs w:val="24"/>
        </w:rPr>
      </w:pPr>
      <w:r>
        <w:rPr>
          <w:rFonts w:ascii="Times New Roman" w:hAnsi="Times New Roman"/>
        </w:rPr>
        <w:t>RES</w:t>
      </w:r>
      <w:r>
        <w:rPr>
          <w:rFonts w:ascii="Times New Roman" w:hAnsi="Times New Roman"/>
        </w:rPr>
        <w:tab/>
      </w:r>
      <w:r>
        <w:rPr>
          <w:rFonts w:ascii="Times New Roman" w:hAnsi="Times New Roman"/>
        </w:rPr>
        <w:tab/>
        <w:t>Förnybara energikällor</w:t>
      </w:r>
    </w:p>
    <w:p w14:paraId="77E19E33" w14:textId="77777777" w:rsidR="0017587A" w:rsidRDefault="000A23BB">
      <w:pPr>
        <w:spacing w:after="120"/>
        <w:rPr>
          <w:rFonts w:ascii="Times New Roman" w:hAnsi="Times New Roman"/>
          <w:sz w:val="24"/>
          <w:szCs w:val="24"/>
        </w:rPr>
      </w:pPr>
      <w:r>
        <w:rPr>
          <w:rFonts w:ascii="Times New Roman" w:hAnsi="Times New Roman"/>
        </w:rPr>
        <w:t>SARPs</w:t>
      </w:r>
      <w:r>
        <w:rPr>
          <w:rFonts w:ascii="Times New Roman" w:hAnsi="Times New Roman"/>
        </w:rPr>
        <w:tab/>
      </w:r>
      <w:r>
        <w:rPr>
          <w:rFonts w:ascii="Times New Roman" w:hAnsi="Times New Roman"/>
        </w:rPr>
        <w:tab/>
        <w:t>Corsiabaserade standardbestämmelser och rekommendationer</w:t>
      </w:r>
    </w:p>
    <w:p w14:paraId="257EF65A" w14:textId="77777777" w:rsidR="0017587A" w:rsidRDefault="003A348D">
      <w:pPr>
        <w:rPr>
          <w:rFonts w:ascii="Times New Roman" w:hAnsi="Times New Roman"/>
          <w:sz w:val="24"/>
          <w:szCs w:val="24"/>
        </w:rPr>
      </w:pPr>
      <w:r>
        <w:rPr>
          <w:rFonts w:ascii="Times New Roman" w:hAnsi="Times New Roman"/>
        </w:rPr>
        <w:t>TNAC</w:t>
      </w:r>
      <w:r>
        <w:rPr>
          <w:rFonts w:ascii="Times New Roman" w:hAnsi="Times New Roman"/>
        </w:rPr>
        <w:tab/>
      </w:r>
      <w:r>
        <w:rPr>
          <w:rFonts w:ascii="Times New Roman" w:hAnsi="Times New Roman"/>
        </w:rPr>
        <w:tab/>
        <w:t>Totala antalet utsläppsrätter i omlopp</w:t>
      </w:r>
    </w:p>
    <w:p w14:paraId="12BD9CDC" w14:textId="77777777" w:rsidR="0017587A" w:rsidRDefault="0017587A">
      <w:pPr>
        <w:rPr>
          <w:rFonts w:ascii="Times New Roman" w:hAnsi="Times New Roman"/>
          <w:szCs w:val="24"/>
        </w:rPr>
      </w:pPr>
    </w:p>
    <w:p w14:paraId="0F376650" w14:textId="77777777" w:rsidR="0017587A" w:rsidRDefault="0017587A">
      <w:pPr>
        <w:rPr>
          <w:rFonts w:ascii="Times New Roman" w:hAnsi="Times New Roman"/>
          <w:szCs w:val="24"/>
        </w:rPr>
      </w:pPr>
    </w:p>
    <w:p w14:paraId="5B5CBBFD" w14:textId="77777777" w:rsidR="0017587A" w:rsidRDefault="0017587A">
      <w:pPr>
        <w:rPr>
          <w:rFonts w:ascii="Times New Roman" w:hAnsi="Times New Roman"/>
          <w:szCs w:val="24"/>
        </w:rPr>
      </w:pPr>
    </w:p>
    <w:p w14:paraId="0FA4CA34" w14:textId="77777777" w:rsidR="0017587A" w:rsidRDefault="0017587A">
      <w:pPr>
        <w:rPr>
          <w:rFonts w:ascii="Times New Roman" w:hAnsi="Times New Roman"/>
          <w:szCs w:val="24"/>
        </w:rPr>
      </w:pPr>
    </w:p>
    <w:p w14:paraId="3FEDF8F1" w14:textId="77777777" w:rsidR="0017587A" w:rsidRDefault="0017587A">
      <w:pPr>
        <w:rPr>
          <w:rFonts w:ascii="Times New Roman" w:hAnsi="Times New Roman"/>
          <w:szCs w:val="24"/>
        </w:rPr>
      </w:pPr>
    </w:p>
    <w:p w14:paraId="27741D67" w14:textId="77777777" w:rsidR="0017587A" w:rsidRDefault="0017587A">
      <w:pPr>
        <w:rPr>
          <w:rFonts w:ascii="Times New Roman" w:hAnsi="Times New Roman"/>
          <w:szCs w:val="24"/>
        </w:rPr>
      </w:pPr>
    </w:p>
    <w:p w14:paraId="2C98C8D1" w14:textId="77777777" w:rsidR="0017587A" w:rsidRDefault="0017587A">
      <w:pPr>
        <w:rPr>
          <w:rFonts w:ascii="Times New Roman" w:hAnsi="Times New Roman"/>
          <w:szCs w:val="24"/>
        </w:rPr>
      </w:pPr>
    </w:p>
    <w:p w14:paraId="7C5CCFF1" w14:textId="77777777" w:rsidR="0017587A" w:rsidRDefault="0017587A">
      <w:pPr>
        <w:rPr>
          <w:rFonts w:ascii="Times New Roman" w:hAnsi="Times New Roman"/>
          <w:szCs w:val="24"/>
        </w:rPr>
      </w:pPr>
    </w:p>
    <w:p w14:paraId="0FA23E79" w14:textId="77777777" w:rsidR="0017587A" w:rsidRDefault="0017587A">
      <w:pPr>
        <w:rPr>
          <w:rFonts w:ascii="Times New Roman" w:hAnsi="Times New Roman"/>
          <w:szCs w:val="24"/>
        </w:rPr>
      </w:pPr>
    </w:p>
    <w:p w14:paraId="5E436D6A" w14:textId="77777777" w:rsidR="0017587A" w:rsidRDefault="0017587A">
      <w:pPr>
        <w:rPr>
          <w:rFonts w:ascii="Times New Roman" w:hAnsi="Times New Roman"/>
          <w:szCs w:val="24"/>
        </w:rPr>
      </w:pPr>
    </w:p>
    <w:p w14:paraId="5BC963F5" w14:textId="77777777" w:rsidR="0017587A" w:rsidRDefault="003A348D">
      <w:pPr>
        <w:pStyle w:val="Heading1"/>
      </w:pPr>
      <w:bookmarkStart w:id="3" w:name="_Toc23755260"/>
      <w:r>
        <w:lastRenderedPageBreak/>
        <w:t>SAMMANFATTNING</w:t>
      </w:r>
      <w:bookmarkEnd w:id="3"/>
    </w:p>
    <w:p w14:paraId="580C8FC9" w14:textId="77777777" w:rsidR="0017587A" w:rsidRDefault="003A348D">
      <w:pPr>
        <w:rPr>
          <w:rFonts w:ascii="Times New Roman" w:hAnsi="Times New Roman"/>
          <w:sz w:val="24"/>
          <w:szCs w:val="24"/>
        </w:rPr>
      </w:pPr>
      <w:r>
        <w:rPr>
          <w:noProof/>
          <w:lang w:val="en-GB" w:eastAsia="en-GB"/>
        </w:rPr>
        <mc:AlternateContent>
          <mc:Choice Requires="wps">
            <w:drawing>
              <wp:inline distT="0" distB="0" distL="0" distR="0" wp14:anchorId="40E3650B" wp14:editId="4494243A">
                <wp:extent cx="5691226" cy="4381500"/>
                <wp:effectExtent l="0" t="0" r="24130"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4381500"/>
                        </a:xfrm>
                        <a:prstGeom prst="rect">
                          <a:avLst/>
                        </a:prstGeom>
                        <a:solidFill>
                          <a:sysClr val="window" lastClr="FFFFFF">
                            <a:lumMod val="85000"/>
                          </a:sysClr>
                        </a:solidFill>
                        <a:ln w="12700">
                          <a:solidFill>
                            <a:srgbClr val="000000"/>
                          </a:solidFill>
                          <a:miter lim="800000"/>
                          <a:headEnd/>
                          <a:tailEnd/>
                        </a:ln>
                      </wps:spPr>
                      <wps:txbx>
                        <w:txbxContent>
                          <w:p w14:paraId="1656593D" w14:textId="77777777" w:rsidR="0017587A" w:rsidRDefault="00516F65">
                            <w:pPr>
                              <w:jc w:val="both"/>
                              <w:rPr>
                                <w:rFonts w:ascii="Times New Roman" w:hAnsi="Times New Roman"/>
                              </w:rPr>
                            </w:pPr>
                            <w:r>
                              <w:rPr>
                                <w:rFonts w:ascii="Times New Roman" w:hAnsi="Times New Roman"/>
                              </w:rPr>
                              <w:t>Under 2018 minskade utsläppen från anläggningar som omfattas av EU:s utsläppshandelssystem med 4,1 % jämfört med 2017. Minskningen skedde framför allt inom el- och värmeproduktion, medan utsläppen från industrin minskade enbart något (se tabell 7 i avsnitt 3.2). De verifierade utsläppen från luftfarten fortsatte att öka, och ökningen uppgick till 3,9 % jämfört med 2017 (se tabell 8 i avsnitt 4).</w:t>
                            </w:r>
                          </w:p>
                          <w:p w14:paraId="09AA47EA" w14:textId="77777777" w:rsidR="0017587A" w:rsidRDefault="00516F65">
                            <w:pPr>
                              <w:jc w:val="both"/>
                              <w:rPr>
                                <w:rFonts w:ascii="Times New Roman" w:hAnsi="Times New Roman"/>
                                <w:sz w:val="24"/>
                                <w:szCs w:val="24"/>
                              </w:rPr>
                            </w:pPr>
                            <w:r>
                              <w:rPr>
                                <w:rFonts w:ascii="Times New Roman" w:hAnsi="Times New Roman"/>
                              </w:rPr>
                              <w:t xml:space="preserve">Efter antagandet av det reviderade direktivet om EU:s utsläppshandelssystem ligger nu fokus på att genomföra de nya bestämmelserna innan fas 4 inleds. Genomförandet pågår för fullt, och de senaste åren har ny genomförandelagstiftning antagits beträffande koldioxidläckageförteckningen, regler för gratis tilldelning, innovationsfonden, auktionering, övervakning, rapportering, verifiering och ackreditering samt unionsregistret (se kapitlen 2.2, 3.1.2 och 6.1). </w:t>
                            </w:r>
                          </w:p>
                          <w:p w14:paraId="64958BCF" w14:textId="58E91DF9" w:rsidR="0017587A" w:rsidRDefault="00516F65">
                            <w:pPr>
                              <w:jc w:val="both"/>
                              <w:rPr>
                                <w:rFonts w:ascii="Times New Roman" w:hAnsi="Times New Roman"/>
                                <w:sz w:val="24"/>
                                <w:szCs w:val="24"/>
                              </w:rPr>
                            </w:pPr>
                            <w:r>
                              <w:rPr>
                                <w:rFonts w:ascii="Times New Roman" w:hAnsi="Times New Roman"/>
                              </w:rPr>
                              <w:t>Överskottsindikatorn för reserven för marknadsstabilitet offentliggjordes för tredje gången och uppgick till 1 654 909 824 utsläppsrätter. I och med offentliggörandet kommer utsläppsrätter att fortsätta att placeras i reserven, vilket innebär att auktioneringsvolymen kommer att minska med nära 40 % eller nästan 397 miljoner utsläppsrätter 2019 (se kapitel 3.3).</w:t>
                            </w:r>
                          </w:p>
                          <w:p w14:paraId="5821800E" w14:textId="77777777" w:rsidR="0017587A" w:rsidRDefault="00D52704">
                            <w:pPr>
                              <w:jc w:val="both"/>
                              <w:rPr>
                                <w:rFonts w:ascii="Times New Roman" w:hAnsi="Times New Roman"/>
                                <w:sz w:val="24"/>
                                <w:szCs w:val="24"/>
                              </w:rPr>
                            </w:pPr>
                            <w:r>
                              <w:rPr>
                                <w:rFonts w:ascii="Times New Roman" w:hAnsi="Times New Roman"/>
                              </w:rPr>
                              <w:t xml:space="preserve">En förstärkt prissignal för koldioxid på den europeiska koldioxidmarknaden ledde till att auktioneringen av utsläppsrätter gav medlemsstaterna rekordintäkter på ungefär 14 miljarder euro under 2018. Medlemsstaterna använde eller planerade att använda nästan 70 % av dessa intäkter för angivna klimat- och energirelaterade ändamål under årets lopp (se kapitel 3.1.2.4). </w:t>
                            </w:r>
                          </w:p>
                          <w:p w14:paraId="183A7C98" w14:textId="77777777" w:rsidR="0017587A" w:rsidRDefault="0017587A">
                            <w:pPr>
                              <w:jc w:val="both"/>
                            </w:pPr>
                          </w:p>
                        </w:txbxContent>
                      </wps:txbx>
                      <wps:bodyPr rot="0" vert="horz" wrap="square" lIns="91440" tIns="45720" rIns="91440" bIns="45720" anchor="t" anchorCtr="0">
                        <a:noAutofit/>
                      </wps:bodyPr>
                    </wps:wsp>
                  </a:graphicData>
                </a:graphic>
              </wp:inline>
            </w:drawing>
          </mc:Choice>
          <mc:Fallback>
            <w:pict>
              <v:shapetype w14:anchorId="40E3650B" id="_x0000_t202" coordsize="21600,21600" o:spt="202" path="m,l,21600r21600,l21600,xe">
                <v:stroke joinstyle="miter"/>
                <v:path gradientshapeok="t" o:connecttype="rect"/>
              </v:shapetype>
              <v:shape id="Text Box 2" o:spid="_x0000_s1026" type="#_x0000_t202" style="width:448.1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" fillcolor="#d9d9d9" strokeweight="1pt">
                <v:textbox>
                  <w:txbxContent>
                    <w:p w14:paraId="1656593D" w14:textId="77777777" w:rsidR="0017587A" w:rsidRDefault="00516F65">
                      <w:pPr>
                        <w:jc w:val="both"/>
                        <w:rPr>
                          <w:rFonts w:ascii="Times New Roman" w:hAnsi="Times New Roman"/>
                        </w:rPr>
                      </w:pPr>
                      <w:r>
                        <w:rPr>
                          <w:rFonts w:ascii="Times New Roman" w:hAnsi="Times New Roman"/>
                        </w:rPr>
                        <w:t>Under 2018 minskade utsläppen från anläggningar som omfattas av EU:s utsläppshandelssystem med 4,1 % jämfört med 2017. Minskningen skedde framför allt inom el- och värmeproduktion, medan utsläppen från industrin minskade enbart något (se tabell 7 i avsnitt 3.2). De verifierade utsläppen från luftfarten fortsatte att öka, och ökningen uppgick till 3,9 % jämfört med 2017 (se tabell 8 i avsnitt 4).</w:t>
                      </w:r>
                    </w:p>
                    <w:p w14:paraId="09AA47EA" w14:textId="77777777" w:rsidR="0017587A" w:rsidRDefault="00516F65">
                      <w:pPr>
                        <w:jc w:val="both"/>
                        <w:rPr>
                          <w:rFonts w:ascii="Times New Roman" w:hAnsi="Times New Roman"/>
                          <w:sz w:val="24"/>
                          <w:szCs w:val="24"/>
                        </w:rPr>
                      </w:pPr>
                      <w:r>
                        <w:rPr>
                          <w:rFonts w:ascii="Times New Roman" w:hAnsi="Times New Roman"/>
                        </w:rPr>
                        <w:t xml:space="preserve">Efter antagandet av det reviderade direktivet om EU:s utsläppshandelssystem ligger nu fokus på att genomföra de nya bestämmelserna innan fas 4 inleds. Genomförandet pågår för fullt, och de senaste åren har ny genomförandelagstiftning antagits beträffande koldioxidläckageförteckningen, regler för gratis tilldelning, innovationsfonden, auktionering, övervakning, rapportering, verifiering och ackreditering samt unionsregistret (se kapitlen 2.2, 3.1.2 och 6.1). </w:t>
                      </w:r>
                    </w:p>
                    <w:p w14:paraId="64958BCF" w14:textId="58E91DF9" w:rsidR="0017587A" w:rsidRDefault="00516F65">
                      <w:pPr>
                        <w:jc w:val="both"/>
                        <w:rPr>
                          <w:rFonts w:ascii="Times New Roman" w:hAnsi="Times New Roman"/>
                          <w:sz w:val="24"/>
                          <w:szCs w:val="24"/>
                        </w:rPr>
                      </w:pPr>
                      <w:r>
                        <w:rPr>
                          <w:rFonts w:ascii="Times New Roman" w:hAnsi="Times New Roman"/>
                        </w:rPr>
                        <w:t>Överskottsindikatorn för reserven för marknadsstabilitet offentliggjordes för tredje gången och uppgick till 1 654 909 824 utsläppsrätter. I och med offentliggörandet kommer utsläppsrätter att fortsätta att placeras i reserven, vilket innebär att auktioneringsvolymen kommer att minska med nära 40 % eller nästan 397 miljoner utsläppsrätter 2019 (se kapitel 3.3).</w:t>
                      </w:r>
                    </w:p>
                    <w:p w14:paraId="5821800E" w14:textId="77777777" w:rsidR="0017587A" w:rsidRDefault="00D52704">
                      <w:pPr>
                        <w:jc w:val="both"/>
                        <w:rPr>
                          <w:rFonts w:ascii="Times New Roman" w:hAnsi="Times New Roman"/>
                          <w:sz w:val="24"/>
                          <w:szCs w:val="24"/>
                        </w:rPr>
                      </w:pPr>
                      <w:r>
                        <w:rPr>
                          <w:rFonts w:ascii="Times New Roman" w:hAnsi="Times New Roman"/>
                        </w:rPr>
                        <w:t xml:space="preserve">En förstärkt prissignal för koldioxid på den europeiska koldioxidmarknaden ledde till att auktioneringen av utsläppsrätter gav medlemsstaterna rekordintäkter på ungefär 14 miljarder euro under 2018. Medlemsstaterna använde eller planerade att använda nästan 70 % av dessa intäkter för angivna klimat- och energirelaterade ändamål under årets lopp (se kapitel 3.1.2.4). </w:t>
                      </w:r>
                    </w:p>
                    <w:p w14:paraId="183A7C98" w14:textId="77777777" w:rsidR="0017587A" w:rsidRDefault="0017587A">
                      <w:pPr>
                        <w:jc w:val="both"/>
                      </w:pPr>
                    </w:p>
                  </w:txbxContent>
                </v:textbox>
                <w10:anchorlock/>
              </v:shape>
            </w:pict>
          </mc:Fallback>
        </mc:AlternateContent>
      </w:r>
    </w:p>
    <w:p w14:paraId="74F4ED6E" w14:textId="77777777" w:rsidR="0017587A" w:rsidRDefault="0017587A">
      <w:pPr>
        <w:jc w:val="both"/>
        <w:rPr>
          <w:rFonts w:ascii="Times New Roman" w:hAnsi="Times New Roman"/>
          <w:sz w:val="24"/>
          <w:szCs w:val="24"/>
        </w:rPr>
      </w:pPr>
    </w:p>
    <w:p w14:paraId="734585E0" w14:textId="77777777" w:rsidR="0017587A" w:rsidRDefault="0017587A">
      <w:pPr>
        <w:jc w:val="both"/>
        <w:rPr>
          <w:rFonts w:ascii="Times New Roman" w:hAnsi="Times New Roman"/>
          <w:sz w:val="24"/>
          <w:szCs w:val="24"/>
        </w:rPr>
      </w:pPr>
    </w:p>
    <w:p w14:paraId="4D2DD863" w14:textId="77777777" w:rsidR="0017587A" w:rsidRDefault="0017587A">
      <w:pPr>
        <w:jc w:val="both"/>
        <w:rPr>
          <w:rFonts w:ascii="Times New Roman" w:hAnsi="Times New Roman"/>
          <w:sz w:val="24"/>
          <w:szCs w:val="24"/>
        </w:rPr>
      </w:pPr>
    </w:p>
    <w:p w14:paraId="10433702" w14:textId="4CE66604" w:rsidR="0017587A" w:rsidRDefault="0017587A"/>
    <w:p w14:paraId="7DA200E5" w14:textId="77777777" w:rsidR="0017587A" w:rsidRDefault="0017587A"/>
    <w:p w14:paraId="4B0941BC" w14:textId="77777777" w:rsidR="0017587A" w:rsidRDefault="003A348D">
      <w:pPr>
        <w:pStyle w:val="Heading1"/>
      </w:pPr>
      <w:bookmarkStart w:id="4" w:name="_Toc23755261"/>
      <w:r>
        <w:t>1. INLEDNING</w:t>
      </w:r>
      <w:bookmarkEnd w:id="4"/>
    </w:p>
    <w:p w14:paraId="3D2B9C8B" w14:textId="77777777" w:rsidR="0017587A" w:rsidRDefault="003A348D">
      <w:pPr>
        <w:jc w:val="both"/>
        <w:rPr>
          <w:rFonts w:ascii="Times New Roman" w:hAnsi="Times New Roman"/>
          <w:b/>
          <w:sz w:val="24"/>
          <w:szCs w:val="24"/>
        </w:rPr>
      </w:pPr>
      <w:r>
        <w:rPr>
          <w:rFonts w:ascii="Times New Roman" w:hAnsi="Times New Roman"/>
        </w:rPr>
        <w:t>EU:s utsläppshandelssystem har sedan 2005 varit hörnstenen i EU:s strategi för att minska utsläppen av växthusgaser från industrin och från el- och värmeproduktionssektorn. Systemet bidrar i betydande grad till EU:s mål att minska unionens totala växthusgasutsläpp med 20 % jämfört med 1990 års nivåer till 2020. EU är visserligen på god väg att klara och till och med överträffa detta mål, men för att nå målet om en minskning av utsläppen med minst 40 % (enligt EU:s nuvarande klimat- och energipolitiska ram inför 2030) och med minst 50 %, med sikte på 55 % på ett ansvarsfullt sätt (mot bakgrund av de politiska riktlinjerna</w:t>
      </w:r>
      <w:r>
        <w:rPr>
          <w:rStyle w:val="FootnoteReference"/>
          <w:rFonts w:ascii="Times New Roman" w:hAnsi="Times New Roman"/>
        </w:rPr>
        <w:footnoteReference w:id="1"/>
      </w:r>
      <w:r>
        <w:rPr>
          <w:rFonts w:ascii="Times New Roman" w:hAnsi="Times New Roman"/>
        </w:rPr>
        <w:t xml:space="preserve"> för den tillträdande kommissionen), krävs det fortsatta framsteg.</w:t>
      </w:r>
    </w:p>
    <w:p w14:paraId="4D2152C4" w14:textId="0AB8B81F" w:rsidR="0017587A" w:rsidRDefault="0085272D">
      <w:pPr>
        <w:jc w:val="both"/>
        <w:rPr>
          <w:rFonts w:ascii="Times New Roman" w:hAnsi="Times New Roman"/>
          <w:sz w:val="24"/>
          <w:szCs w:val="24"/>
        </w:rPr>
      </w:pPr>
      <w:r>
        <w:rPr>
          <w:rFonts w:ascii="Times New Roman" w:hAnsi="Times New Roman"/>
        </w:rPr>
        <w:t>Den reviderade lagstiftningen om EU:s utsläppshandelssystem</w:t>
      </w:r>
      <w:r>
        <w:rPr>
          <w:rStyle w:val="FootnoteReference"/>
          <w:rFonts w:ascii="Times New Roman" w:hAnsi="Times New Roman"/>
        </w:rPr>
        <w:footnoteReference w:id="2"/>
      </w:r>
      <w:r>
        <w:rPr>
          <w:rFonts w:ascii="Times New Roman" w:hAnsi="Times New Roman"/>
        </w:rPr>
        <w:t xml:space="preserve"> för fas 4 trädde i kraft i april 2018 och antagandet av genomförandelagstiftningen för den fjärde handelsperioden går nu snabbt framåt. Under det senaste året har det antagits genomförandelagstiftning om den nya koldioxidläckageförteckningen och regler för gratis tilldelning, och den rättsliga ramen för unionsregistersystemet har reviderats för att göra de anpassningar som krävs för fas 4. Driftsbestämmelser har fastställts för innovationsfonden – utsläppshandelssystemets huvudinstrument för finansiering av koldioxidsnål innovativ teknik och banbrytande innovation inom fas 4. Samtidigt har auktioneringsförordningen reviderats för att möjliggöra auktionering av de första 50 miljoner utsläppsrätterna för innovationsfonden under 2020. I augusti 2019 antog kommissionen en andra revidering för att inrätta den institutionella ramen för auktionering av utsläppsrätter för innovations- och moderniseringsfonderna under fas 4. Sist men inte minst har ramen för övervakning, rapportering, verifiering och ackreditering inom EU:s utsläppshandelssystem uppdaterats för att förbättra och förtydliga befintliga bestämmelser utifrån erfarenheten från genomförandet av fas 3. Kommissionen arbetar skyndsamt med att färdigställa de kvarstående genomförandebestämmelserna, och målet är att de ska antas före januari 2021 då den nya handelsperioden inleds. </w:t>
      </w:r>
    </w:p>
    <w:p w14:paraId="127113FB" w14:textId="77777777" w:rsidR="0017587A" w:rsidRDefault="00FD386D">
      <w:pPr>
        <w:jc w:val="both"/>
        <w:rPr>
          <w:rFonts w:ascii="Times New Roman" w:hAnsi="Times New Roman"/>
          <w:sz w:val="24"/>
          <w:szCs w:val="24"/>
        </w:rPr>
      </w:pPr>
      <w:r>
        <w:rPr>
          <w:rFonts w:ascii="Times New Roman" w:hAnsi="Times New Roman"/>
        </w:rPr>
        <w:t xml:space="preserve">De lagstiftningsändringar som beslutats under senare år för att ta itu med överskottet av utsläppsrätter på koldioxidmarknaden har börjat ge resultat. Överskottsindikatorn för reserven för marknadsstabilitet har publicerats för tredje gången sedan offentliggörandet av den senaste rapporten om koldioxidmarknaden. Baserat på indikatorn och den reviderade lagstiftningen om EU:s utsläppshandelssystem kommer auktionsvolymerna att minska med nästan 400 miljoner utsläppsrätter under 2019, vilket motsvarar 24 % av överskottet. </w:t>
      </w:r>
    </w:p>
    <w:p w14:paraId="17183171" w14:textId="77777777" w:rsidR="0017587A" w:rsidRDefault="00FD386D">
      <w:pPr>
        <w:jc w:val="both"/>
        <w:rPr>
          <w:rFonts w:ascii="Times New Roman" w:hAnsi="Times New Roman"/>
          <w:sz w:val="24"/>
          <w:szCs w:val="24"/>
        </w:rPr>
      </w:pPr>
      <w:r>
        <w:rPr>
          <w:rFonts w:ascii="Times New Roman" w:hAnsi="Times New Roman"/>
        </w:rPr>
        <w:t>Förra året präglades också av ett ökat förtroende från marknadsaktörernas sida, vilket visade sig i en förstärkt prissignal för koldioxid. Det högre priset på utsläppsrätter medförde en betydande ökning av medlemsstaternas totala auktionsintäkter – under 2018 var de totala intäkterna på 14 miljarder euro, vilket är mer än det dubbla jämfört med 2017. Nästan 70 % av dessa intäkter användes (eller planerades att användas) för angivna klimat- och energirelaterade ändamål under 2018, utifrån de uppgifter som medlemsstaterna lämnat.</w:t>
      </w:r>
    </w:p>
    <w:p w14:paraId="162D8ACE" w14:textId="77777777" w:rsidR="0017587A" w:rsidRDefault="003A348D">
      <w:pPr>
        <w:jc w:val="both"/>
        <w:rPr>
          <w:rFonts w:ascii="Times New Roman" w:hAnsi="Times New Roman"/>
          <w:sz w:val="24"/>
          <w:szCs w:val="24"/>
        </w:rPr>
      </w:pPr>
      <w:r>
        <w:rPr>
          <w:rFonts w:ascii="Times New Roman" w:hAnsi="Times New Roman"/>
        </w:rPr>
        <w:t>Denna rapport om den europeiska koldioxidmarknadens funktion läggs fram i enlighet med kraven i artiklarna 10.5 och 21.2 i direktiv 2003/87/EG</w:t>
      </w:r>
      <w:r>
        <w:rPr>
          <w:rStyle w:val="FootnoteReference"/>
          <w:rFonts w:ascii="Times New Roman" w:hAnsi="Times New Roman"/>
        </w:rPr>
        <w:footnoteReference w:id="3"/>
      </w:r>
      <w:r>
        <w:rPr>
          <w:rFonts w:ascii="Times New Roman" w:hAnsi="Times New Roman"/>
        </w:rPr>
        <w:t xml:space="preserve"> (direktivet om EU:s utsläppshandelssystem). Såsom fastställs i direktivet är syftet med denna rapport att ge en regelbunden ögonblicksbild av utvecklingen på den europeiska koldioxidmarknaden under året. </w:t>
      </w:r>
    </w:p>
    <w:p w14:paraId="6C32B0A3" w14:textId="77777777" w:rsidR="0017587A" w:rsidRDefault="003A348D">
      <w:pPr>
        <w:jc w:val="both"/>
        <w:rPr>
          <w:rFonts w:ascii="Times New Roman" w:hAnsi="Times New Roman"/>
          <w:sz w:val="24"/>
          <w:szCs w:val="24"/>
        </w:rPr>
      </w:pPr>
      <w:r>
        <w:rPr>
          <w:rFonts w:ascii="Times New Roman" w:hAnsi="Times New Roman"/>
        </w:rPr>
        <w:t xml:space="preserve">Denna rapport omfattar år 2018, men en del initiativ som har lagts fram eller beslutats under första halvåret 2019 presenteras också. </w:t>
      </w:r>
    </w:p>
    <w:p w14:paraId="6FAF5912" w14:textId="77777777" w:rsidR="0017587A" w:rsidRDefault="003A348D">
      <w:pPr>
        <w:jc w:val="both"/>
        <w:rPr>
          <w:rFonts w:ascii="Times New Roman" w:hAnsi="Times New Roman"/>
          <w:sz w:val="24"/>
          <w:szCs w:val="24"/>
        </w:rPr>
      </w:pPr>
      <w:r>
        <w:rPr>
          <w:rFonts w:ascii="Times New Roman" w:hAnsi="Times New Roman"/>
        </w:rPr>
        <w:t>De uppgifter som används i denna rapport är de som fanns offentligt tillgängliga och som kommissionen hade tillgång till vid utgången av juni 2019, om inte annat anges</w:t>
      </w:r>
      <w:r>
        <w:footnoteReference w:id="4"/>
      </w:r>
      <w:r>
        <w:rPr>
          <w:rFonts w:ascii="Times New Roman" w:hAnsi="Times New Roman"/>
        </w:rPr>
        <w:t>. Allmän information om och beskrivningar av EU:s utsläppshandelssystem visas i textrutor i rapporten.</w:t>
      </w:r>
    </w:p>
    <w:p w14:paraId="34F8EB1F" w14:textId="77777777" w:rsidR="0017587A" w:rsidRDefault="00143C3B">
      <w:r>
        <w:br w:type="page"/>
      </w:r>
    </w:p>
    <w:p w14:paraId="4C60C72C" w14:textId="77777777" w:rsidR="0017587A" w:rsidRDefault="00A52F4C">
      <w:pPr>
        <w:jc w:val="both"/>
        <w:rPr>
          <w:rFonts w:ascii="Times New Roman" w:hAnsi="Times New Roman"/>
          <w:b/>
          <w:sz w:val="24"/>
          <w:szCs w:val="24"/>
        </w:rPr>
      </w:pPr>
      <w:r>
        <w:rPr>
          <w:rFonts w:ascii="Times New Roman" w:hAnsi="Times New Roman"/>
          <w:b/>
        </w:rPr>
        <w:t>2. INFRASTRUKTUREN FÖR EU:S UTSLÄPPSHANDELSSYSTEM</w:t>
      </w:r>
    </w:p>
    <w:p w14:paraId="37C5C4B1" w14:textId="77777777" w:rsidR="0017587A" w:rsidRDefault="00A52F4C">
      <w:pPr>
        <w:pStyle w:val="Heading1"/>
        <w:spacing w:before="0" w:after="200"/>
      </w:pPr>
      <w:bookmarkStart w:id="5" w:name="_Toc23755262"/>
      <w:r>
        <w:t>2.1 Verksamheter, anläggningar och luftfartygsoperatörer som omfattas</w:t>
      </w:r>
      <w:bookmarkEnd w:id="5"/>
      <w:r>
        <w:tab/>
      </w:r>
    </w:p>
    <w:p w14:paraId="39178EBF" w14:textId="77777777" w:rsidR="0017587A" w:rsidRDefault="00743ED3">
      <w:pPr>
        <w:rPr>
          <w:highlight w:val="yellow"/>
        </w:rPr>
      </w:pPr>
      <w:r>
        <w:rPr>
          <w:noProof/>
          <w:lang w:val="en-GB" w:eastAsia="en-GB"/>
        </w:rPr>
        <mc:AlternateContent>
          <mc:Choice Requires="wps">
            <w:drawing>
              <wp:inline distT="0" distB="0" distL="0" distR="0" wp14:anchorId="44B41B6F" wp14:editId="4C8D3DAD">
                <wp:extent cx="5691226" cy="6313336"/>
                <wp:effectExtent l="0" t="0" r="24130" b="1143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6313336"/>
                        </a:xfrm>
                        <a:prstGeom prst="rect">
                          <a:avLst/>
                        </a:prstGeom>
                        <a:solidFill>
                          <a:sysClr val="window" lastClr="FFFFFF">
                            <a:lumMod val="85000"/>
                          </a:sysClr>
                        </a:solidFill>
                        <a:ln w="12700">
                          <a:solidFill>
                            <a:srgbClr val="000000"/>
                          </a:solidFill>
                          <a:miter lim="800000"/>
                          <a:headEnd/>
                          <a:tailEnd/>
                        </a:ln>
                      </wps:spPr>
                      <wps:txbx>
                        <w:txbxContent>
                          <w:p w14:paraId="73E01DD9" w14:textId="77777777" w:rsidR="0017587A" w:rsidRDefault="00516F65">
                            <w:pPr>
                              <w:suppressAutoHyphens/>
                              <w:jc w:val="both"/>
                              <w:rPr>
                                <w:rFonts w:ascii="Times New Roman" w:hAnsi="Times New Roman"/>
                              </w:rPr>
                            </w:pPr>
                            <w:r>
                              <w:rPr>
                                <w:rFonts w:ascii="Times New Roman" w:hAnsi="Times New Roman"/>
                              </w:rPr>
                              <w:t>EU:s utsläppshandelssystem tillämpas i de 31 länder som ingår i Europeiska ekonomiska samarbetsområdet (EES). Genom systemet begränsas utsläppen från nästan 11 000 kraftverk och produktionsanläggningar samt från mer än 500 flygbolag med trafik mellan flygplatser inom EES. Systemet omfattar omkring 39 % av EU:s växthusgasutsläpp.</w:t>
                            </w:r>
                          </w:p>
                          <w:p w14:paraId="77E60C62" w14:textId="77777777" w:rsidR="0017587A" w:rsidRDefault="00516F65">
                            <w:pPr>
                              <w:jc w:val="both"/>
                              <w:rPr>
                                <w:rFonts w:ascii="Times New Roman" w:hAnsi="Times New Roman"/>
                                <w:sz w:val="24"/>
                                <w:szCs w:val="24"/>
                              </w:rPr>
                            </w:pPr>
                            <w:r>
                              <w:rPr>
                                <w:rFonts w:ascii="Times New Roman" w:hAnsi="Times New Roman"/>
                              </w:rPr>
                              <w:t xml:space="preserve">De sektorer med fasta anläggningar som under fas 3 (2013–2020)* ska regleras av EU:s utsläppshandelssystem är energiintensiva industrier, däribland kraftverk och andra förbränningsanläggningar med en tillförd effekt på &gt; 20 MW (utom anläggningar för farligt avfall eller kommunalt avfall), oljeraffinaderier, koksverk och anläggningar för produktion av järn och stål, klinker, glas, kalk, tegel, keramiska produkter, massa, papper och kartong, aluminium, petrokemiska produkter, ammoniak, salpetersyra, adipinsyra, glyoxal och glyoxalsyra samt anläggningar för avskiljning, transport i rörledningar och geologisk lagring av koldioxid. </w:t>
                            </w:r>
                          </w:p>
                          <w:p w14:paraId="4F7603DC" w14:textId="4A91D654" w:rsidR="0017587A" w:rsidRDefault="00516F65">
                            <w:pPr>
                              <w:jc w:val="both"/>
                              <w:rPr>
                                <w:rFonts w:ascii="Times New Roman" w:hAnsi="Times New Roman"/>
                                <w:sz w:val="24"/>
                                <w:szCs w:val="24"/>
                              </w:rPr>
                            </w:pPr>
                            <w:r>
                              <w:rPr>
                                <w:rFonts w:ascii="Times New Roman" w:hAnsi="Times New Roman"/>
                              </w:rPr>
                              <w:t xml:space="preserve">När det gäller luftfarten var EU:s utsläppshandelssystem begränsat till flygningar inom EES-området under perioden 2013–2016, i avvaktan på att Internationella civila luftfartsorganisationen (Icao) skulle fatta beslut om en global strategi. För att främja utvecklingen av systemet för kompensation för och minskning av koldioxidutsläpp inom internationell luftfart (Corsia) förlängdes den EES-interna räckvidden för luftfarten fram till 2023 under 2017 (se kapitel 4). </w:t>
                            </w:r>
                          </w:p>
                          <w:p w14:paraId="7D7EFD4A" w14:textId="0971C6F6" w:rsidR="0017587A" w:rsidRDefault="00516F65">
                            <w:pPr>
                              <w:jc w:val="both"/>
                              <w:rPr>
                                <w:rFonts w:ascii="Times New Roman" w:hAnsi="Times New Roman"/>
                                <w:sz w:val="24"/>
                                <w:szCs w:val="24"/>
                              </w:rPr>
                            </w:pPr>
                            <w:r>
                              <w:rPr>
                                <w:rFonts w:ascii="Times New Roman" w:hAnsi="Times New Roman"/>
                              </w:rPr>
                              <w:t xml:space="preserve">EU:s utsläppshandelssystem omfattar koldioxidutsläpp (CO₂) men även dikväveoxidutsläpp (N₂O) från all produktion av salpetersyra, adipinsyra, glyoxal och glyoxalsyra och utsläpp av perfluorkolväten (PFC) från aluminiumproduktion. Deltagandet i EU:s utsläppshandelssystem är obligatoriskt, men i vissa sektorer omfattas bara anläggningar över en viss storlek. Dessutom kan de deltagande länderna utesluta små anläggningar (som släpper ut mindre än 25 000 ton koldioxidekvivalenter) från systemet om alternativa och likvärdiga åtgärder har vidtagits. Mycket små utsläppskällor (med rapporterade utsläpp på mindre än 2 500 ton koldioxidekvivalenter under de senaste tre åren) får undantas från EU:s utsläppshandelssystem under fas 4, förutsatt att det finns förenklade övervakningssystem för att bedöma storleken på deras utsläpp. De deltagande länderna kan också lägga till fler sektorer och växthusgaser till utsläppshandelssystemet (så kallat </w:t>
                            </w:r>
                            <w:r>
                              <w:rPr>
                                <w:rFonts w:ascii="Times New Roman" w:hAnsi="Times New Roman"/>
                                <w:i/>
                              </w:rPr>
                              <w:t>opt-in</w:t>
                            </w:r>
                            <w:r>
                              <w:rPr>
                                <w:rFonts w:ascii="Times New Roman" w:hAnsi="Times New Roman"/>
                              </w:rPr>
                              <w:t>).</w:t>
                            </w:r>
                          </w:p>
                          <w:p w14:paraId="0BC7EF14" w14:textId="77777777" w:rsidR="0017587A" w:rsidRDefault="00516F65">
                            <w:pPr>
                              <w:jc w:val="both"/>
                              <w:rPr>
                                <w:rFonts w:ascii="Times New Roman" w:hAnsi="Times New Roman"/>
                                <w:sz w:val="18"/>
                                <w:szCs w:val="18"/>
                              </w:rPr>
                            </w:pPr>
                            <w:r>
                              <w:rPr>
                                <w:rFonts w:ascii="Times New Roman" w:hAnsi="Times New Roman"/>
                                <w:sz w:val="18"/>
                                <w:szCs w:val="18"/>
                              </w:rPr>
                              <w:t>* Information om faserna 1 och 2 i EU:s utsläppshandelssystem finns här:</w:t>
                            </w:r>
                            <w:r>
                              <w:rPr>
                                <w:rFonts w:ascii="Times New Roman" w:hAnsi="Times New Roman"/>
                              </w:rPr>
                              <w:t xml:space="preserve"> </w:t>
                            </w:r>
                            <w:r>
                              <w:rPr>
                                <w:rFonts w:ascii="Times New Roman" w:hAnsi="Times New Roman"/>
                                <w:sz w:val="18"/>
                                <w:szCs w:val="18"/>
                              </w:rPr>
                              <w:t>https://ec.europa.eu/clima/policies/ets/pre2013_en</w:t>
                            </w:r>
                          </w:p>
                          <w:p w14:paraId="102B9B06" w14:textId="77777777" w:rsidR="0017587A" w:rsidRDefault="0017587A">
                            <w:pPr>
                              <w:jc w:val="both"/>
                            </w:pPr>
                          </w:p>
                        </w:txbxContent>
                      </wps:txbx>
                      <wps:bodyPr rot="0" vert="horz" wrap="square" lIns="91440" tIns="45720" rIns="91440" bIns="45720" anchor="t" anchorCtr="0">
                        <a:noAutofit/>
                      </wps:bodyPr>
                    </wps:wsp>
                  </a:graphicData>
                </a:graphic>
              </wp:inline>
            </w:drawing>
          </mc:Choice>
          <mc:Fallback>
            <w:pict>
              <v:shape w14:anchorId="44B41B6F" id="_x0000_s1027" type="#_x0000_t202" style="width:448.15pt;height:4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" fillcolor="#d9d9d9" strokeweight="1pt">
                <v:textbox>
                  <w:txbxContent>
                    <w:p w14:paraId="73E01DD9" w14:textId="77777777" w:rsidR="0017587A" w:rsidRDefault="00516F65">
                      <w:pPr>
                        <w:suppressAutoHyphens/>
                        <w:jc w:val="both"/>
                        <w:rPr>
                          <w:rFonts w:ascii="Times New Roman" w:hAnsi="Times New Roman"/>
                        </w:rPr>
                      </w:pPr>
                      <w:r>
                        <w:rPr>
                          <w:rFonts w:ascii="Times New Roman" w:hAnsi="Times New Roman"/>
                        </w:rPr>
                        <w:t>EU:s utsläppshandelssystem tillämpas i de 31 länder som ingår i Europeiska ekonomiska samarbetsområdet (EES). Genom systemet begränsas utsläppen från nästan 11 000 kraftverk och produktionsanläggningar samt från mer än 500 flygbolag med trafik mellan flygplatser inom EES. Systemet omfattar omkring 39 % av EU:s växthusgasutsläpp.</w:t>
                      </w:r>
                    </w:p>
                    <w:p w14:paraId="77E60C62" w14:textId="77777777" w:rsidR="0017587A" w:rsidRDefault="00516F65">
                      <w:pPr>
                        <w:jc w:val="both"/>
                        <w:rPr>
                          <w:rFonts w:ascii="Times New Roman" w:hAnsi="Times New Roman"/>
                          <w:sz w:val="24"/>
                          <w:szCs w:val="24"/>
                        </w:rPr>
                      </w:pPr>
                      <w:r>
                        <w:rPr>
                          <w:rFonts w:ascii="Times New Roman" w:hAnsi="Times New Roman"/>
                        </w:rPr>
                        <w:t xml:space="preserve">De sektorer med fasta anläggningar som under fas 3 (2013–2020)* ska regleras av EU:s utsläppshandelssystem är energiintensiva industrier, däribland kraftverk och andra förbränningsanläggningar med en tillförd effekt på &gt; 20 MW (utom anläggningar för farligt avfall eller kommunalt avfall), oljeraffinaderier, koksverk och anläggningar för produktion av järn och stål, klinker, glas, kalk, tegel, keramiska produkter, massa, papper och kartong, aluminium, petrokemiska produkter, ammoniak, salpetersyra, adipinsyra, glyoxal och glyoxalsyra samt anläggningar för avskiljning, transport i rörledningar och geologisk lagring av koldioxid. </w:t>
                      </w:r>
                    </w:p>
                    <w:p w14:paraId="4F7603DC" w14:textId="4A91D654" w:rsidR="0017587A" w:rsidRDefault="00516F65">
                      <w:pPr>
                        <w:jc w:val="both"/>
                        <w:rPr>
                          <w:rFonts w:ascii="Times New Roman" w:hAnsi="Times New Roman"/>
                          <w:sz w:val="24"/>
                          <w:szCs w:val="24"/>
                        </w:rPr>
                      </w:pPr>
                      <w:r>
                        <w:rPr>
                          <w:rFonts w:ascii="Times New Roman" w:hAnsi="Times New Roman"/>
                        </w:rPr>
                        <w:t xml:space="preserve">När det gäller luftfarten var EU:s utsläppshandelssystem begränsat till flygningar inom EES-området under perioden 2013–2016, i avvaktan på att Internationella civila luftfartsorganisationen (Icao) skulle fatta beslut om en global strategi. För att främja utvecklingen av systemet för kompensation för och minskning av koldioxidutsläpp inom internationell luftfart (Corsia) förlängdes den EES-interna räckvidden för luftfarten fram till 2023 under 2017 (se kapitel 4). </w:t>
                      </w:r>
                    </w:p>
                    <w:p w14:paraId="7D7EFD4A" w14:textId="0971C6F6" w:rsidR="0017587A" w:rsidRDefault="00516F65">
                      <w:pPr>
                        <w:jc w:val="both"/>
                        <w:rPr>
                          <w:rFonts w:ascii="Times New Roman" w:hAnsi="Times New Roman"/>
                          <w:sz w:val="24"/>
                          <w:szCs w:val="24"/>
                        </w:rPr>
                      </w:pPr>
                      <w:r>
                        <w:rPr>
                          <w:rFonts w:ascii="Times New Roman" w:hAnsi="Times New Roman"/>
                        </w:rPr>
                        <w:t xml:space="preserve">EU:s utsläppshandelssystem omfattar koldioxidutsläpp (CO₂) men även dikväveoxidutsläpp (N₂O) från all produktion av salpetersyra, adipinsyra, glyoxal och glyoxalsyra och utsläpp av perfluorkolväten (PFC) från aluminiumproduktion. Deltagandet i EU:s utsläppshandelssystem är obligatoriskt, men i vissa sektorer omfattas bara anläggningar över en viss storlek. Dessutom kan de deltagande länderna utesluta små anläggningar (som släpper ut mindre än 25 000 ton koldioxidekvivalenter) från systemet om alternativa och likvärdiga åtgärder har vidtagits. Mycket små utsläppskällor (med rapporterade utsläpp på mindre än 2 500 ton koldioxidekvivalenter under de senaste tre åren) får undantas från EU:s utsläppshandelssystem under fas 4, förutsatt att det finns förenklade övervakningssystem för att bedöma storleken på deras utsläpp. De deltagande länderna kan också lägga till fler sektorer och växthusgaser till utsläppshandelssystemet (så kallat </w:t>
                      </w:r>
                      <w:r>
                        <w:rPr>
                          <w:rFonts w:ascii="Times New Roman" w:hAnsi="Times New Roman"/>
                          <w:i/>
                        </w:rPr>
                        <w:t>opt-in</w:t>
                      </w:r>
                      <w:r>
                        <w:rPr>
                          <w:rFonts w:ascii="Times New Roman" w:hAnsi="Times New Roman"/>
                        </w:rPr>
                        <w:t>).</w:t>
                      </w:r>
                    </w:p>
                    <w:p w14:paraId="0BC7EF14" w14:textId="77777777" w:rsidR="0017587A" w:rsidRDefault="00516F65">
                      <w:pPr>
                        <w:jc w:val="both"/>
                        <w:rPr>
                          <w:rFonts w:ascii="Times New Roman" w:hAnsi="Times New Roman"/>
                          <w:sz w:val="18"/>
                          <w:szCs w:val="18"/>
                        </w:rPr>
                      </w:pPr>
                      <w:r>
                        <w:rPr>
                          <w:rFonts w:ascii="Times New Roman" w:hAnsi="Times New Roman"/>
                          <w:sz w:val="18"/>
                          <w:szCs w:val="18"/>
                        </w:rPr>
                        <w:t>* Information om faserna 1 och 2 i EU:s utsläppshandelssystem finns här:</w:t>
                      </w:r>
                      <w:r>
                        <w:rPr>
                          <w:rFonts w:ascii="Times New Roman" w:hAnsi="Times New Roman"/>
                        </w:rPr>
                        <w:t xml:space="preserve"> </w:t>
                      </w:r>
                      <w:r>
                        <w:rPr>
                          <w:rFonts w:ascii="Times New Roman" w:hAnsi="Times New Roman"/>
                          <w:sz w:val="18"/>
                          <w:szCs w:val="18"/>
                        </w:rPr>
                        <w:t>https://ec.europa.eu/clima/policies/ets/pre2013_en</w:t>
                      </w:r>
                    </w:p>
                    <w:p w14:paraId="102B9B06" w14:textId="77777777" w:rsidR="0017587A" w:rsidRDefault="0017587A">
                      <w:pPr>
                        <w:jc w:val="both"/>
                      </w:pPr>
                    </w:p>
                  </w:txbxContent>
                </v:textbox>
                <w10:anchorlock/>
              </v:shape>
            </w:pict>
          </mc:Fallback>
        </mc:AlternateContent>
      </w:r>
    </w:p>
    <w:p w14:paraId="57CC040F" w14:textId="77777777" w:rsidR="0017587A" w:rsidRDefault="00743ED3">
      <w:pPr>
        <w:jc w:val="both"/>
        <w:rPr>
          <w:rFonts w:ascii="Times New Roman" w:hAnsi="Times New Roman"/>
          <w:sz w:val="24"/>
          <w:szCs w:val="24"/>
        </w:rPr>
      </w:pPr>
      <w:r>
        <w:rPr>
          <w:rFonts w:ascii="Times New Roman" w:hAnsi="Times New Roman"/>
        </w:rPr>
        <w:t>Enligt de artikel 21-rapporter som de deltagande länderna</w:t>
      </w:r>
      <w:r>
        <w:rPr>
          <w:rStyle w:val="FootnoteReference"/>
          <w:rFonts w:ascii="Times New Roman" w:hAnsi="Times New Roman"/>
        </w:rPr>
        <w:footnoteReference w:id="5"/>
      </w:r>
      <w:r>
        <w:rPr>
          <w:rFonts w:ascii="Times New Roman" w:hAnsi="Times New Roman"/>
        </w:rPr>
        <w:t xml:space="preserve"> lämnade in 2019 fanns det under 2018 totalt 10 744 anläggningar med utsläppsrätter.</w:t>
      </w:r>
    </w:p>
    <w:p w14:paraId="48C4A903" w14:textId="77777777" w:rsidR="0017587A" w:rsidRDefault="00743ED3">
      <w:pPr>
        <w:jc w:val="both"/>
        <w:rPr>
          <w:rFonts w:ascii="Times New Roman" w:hAnsi="Times New Roman"/>
          <w:sz w:val="24"/>
          <w:szCs w:val="24"/>
        </w:rPr>
      </w:pPr>
      <w:r>
        <w:rPr>
          <w:rFonts w:ascii="Times New Roman" w:hAnsi="Times New Roman"/>
        </w:rPr>
        <w:t>Liksom under tidigare år var de bränslen som förbrändes inom EU:s utsläppshandelssystem till största delen fossila 2018. 29 länder rapporterade emellertid också att biomassa användes i samband med 2 181 anläggningar (20,3 % av samtliga anläggningar). Två länder (Liechtenstein och Malta) rapporterade inte någon användning av biomassa. De totala koldioxidutsläppen från biomassa uppgick till cirka 151 miljoner ton 2018 (9 % av de rapporterade utsläppen inom EU:s utsläppshandelssystem), vilket är en liten ökning jämfört med omkring 145 miljoner ton 2017 (8 % av de rapporterade utsläppen inom EU:s utsläppshandelssystem). Av dessa hade 99,2 % en emissionsfaktor på noll</w:t>
      </w:r>
      <w:r>
        <w:rPr>
          <w:rStyle w:val="FootnoteReference"/>
          <w:rFonts w:ascii="Times New Roman" w:hAnsi="Times New Roman"/>
        </w:rPr>
        <w:footnoteReference w:id="6"/>
      </w:r>
      <w:r>
        <w:rPr>
          <w:rFonts w:ascii="Times New Roman" w:hAnsi="Times New Roman"/>
        </w:rPr>
        <w:t>. Inget land rapporterade användning av biobränslen hos luftfartygsoperatörer för 2018, medan Sverige var det enda som rapporterade detta för två luftfartygsoperatörer 2017.</w:t>
      </w:r>
    </w:p>
    <w:p w14:paraId="3B94B1B4" w14:textId="77777777" w:rsidR="0017587A" w:rsidRDefault="00743ED3">
      <w:pPr>
        <w:jc w:val="both"/>
        <w:rPr>
          <w:rFonts w:ascii="Times New Roman" w:hAnsi="Times New Roman"/>
          <w:sz w:val="24"/>
          <w:szCs w:val="24"/>
        </w:rPr>
      </w:pPr>
      <w:r>
        <w:rPr>
          <w:rFonts w:ascii="Times New Roman" w:hAnsi="Times New Roman"/>
        </w:rPr>
        <w:t>Sett till indelningen i anläggningskategorier på basis av årliga utsläpp</w:t>
      </w:r>
      <w:r>
        <w:rPr>
          <w:rFonts w:ascii="Times New Roman" w:hAnsi="Times New Roman"/>
          <w:vertAlign w:val="superscript"/>
        </w:rPr>
        <w:footnoteReference w:id="7"/>
      </w:r>
      <w:r>
        <w:rPr>
          <w:rFonts w:ascii="Times New Roman" w:hAnsi="Times New Roman"/>
        </w:rPr>
        <w:t xml:space="preserve"> visar uppgifterna från 2018 att 72 % av anläggningarna tillhörde kategori A, 21 % kategori B och 7 % kategori C, liksom tidigare år. 6 113 anläggningar rapporterades som ”anläggningar med låga utsläpp”</w:t>
      </w:r>
      <w:r>
        <w:rPr>
          <w:rStyle w:val="FootnoteReference"/>
          <w:rFonts w:ascii="Times New Roman" w:hAnsi="Times New Roman"/>
        </w:rPr>
        <w:footnoteReference w:id="8"/>
      </w:r>
      <w:r>
        <w:rPr>
          <w:rFonts w:ascii="Times New Roman" w:hAnsi="Times New Roman"/>
        </w:rPr>
        <w:t xml:space="preserve"> (57 % av det totala antalet).  </w:t>
      </w:r>
    </w:p>
    <w:p w14:paraId="52722985" w14:textId="0F4D173B" w:rsidR="0017587A" w:rsidRDefault="00743ED3">
      <w:pPr>
        <w:jc w:val="both"/>
        <w:rPr>
          <w:rFonts w:ascii="Times New Roman" w:hAnsi="Times New Roman"/>
          <w:sz w:val="24"/>
          <w:szCs w:val="24"/>
        </w:rPr>
      </w:pPr>
      <w:r>
        <w:rPr>
          <w:rFonts w:ascii="Times New Roman" w:hAnsi="Times New Roman"/>
        </w:rPr>
        <w:t>När det gäller anläggningar som ingår i EU:s utsläppshandelssystem och som dessutom återfinns i förteckningen över anläggningar som släpper ut andra gaser än koldioxid rapporteras att tillstånd har utfärdats för primäraluminium och perfluorkarboner (PFC) i t</w:t>
      </w:r>
      <w:r w:rsidR="005E4DAD">
        <w:rPr>
          <w:rFonts w:ascii="Times New Roman" w:hAnsi="Times New Roman"/>
        </w:rPr>
        <w:t>retton</w:t>
      </w:r>
      <w:r>
        <w:rPr>
          <w:rFonts w:ascii="Times New Roman" w:hAnsi="Times New Roman"/>
        </w:rPr>
        <w:t xml:space="preserve"> länder (Frankrike, Grekland, Island, Italien, Nederländerna, Norge, Rumänien, Slovakien, Slovenien, </w:t>
      </w:r>
      <w:r w:rsidR="005E4DAD">
        <w:rPr>
          <w:rFonts w:ascii="Times New Roman" w:hAnsi="Times New Roman"/>
        </w:rPr>
        <w:t xml:space="preserve">Spanien, </w:t>
      </w:r>
      <w:r>
        <w:rPr>
          <w:rFonts w:ascii="Times New Roman" w:hAnsi="Times New Roman"/>
        </w:rPr>
        <w:t>Storbritannien, Sverige och Tyskland), samt för produktion av salpetersyra och dikväveoxidutsläpp i 2</w:t>
      </w:r>
      <w:r w:rsidR="005E4DAD">
        <w:rPr>
          <w:rFonts w:ascii="Times New Roman" w:hAnsi="Times New Roman"/>
        </w:rPr>
        <w:t>1</w:t>
      </w:r>
      <w:r>
        <w:rPr>
          <w:rFonts w:ascii="Times New Roman" w:hAnsi="Times New Roman"/>
        </w:rPr>
        <w:t> länder (undantagen är Cypern, Danmark, Estland, Irland, Island, Lettland, Liechtenstein, Luxemburg, Malta och</w:t>
      </w:r>
      <w:r w:rsidR="005E4DAD" w:rsidRPr="005E4DAD">
        <w:rPr>
          <w:rFonts w:ascii="Times New Roman" w:hAnsi="Times New Roman"/>
        </w:rPr>
        <w:t xml:space="preserve"> </w:t>
      </w:r>
      <w:r w:rsidR="005E4DAD">
        <w:rPr>
          <w:rFonts w:ascii="Times New Roman" w:hAnsi="Times New Roman"/>
        </w:rPr>
        <w:t>Slovenien</w:t>
      </w:r>
      <w:r>
        <w:rPr>
          <w:rFonts w:ascii="Times New Roman" w:hAnsi="Times New Roman"/>
        </w:rPr>
        <w:t>). När det gäller de återstående dikväveoxidsektorerna – adipinsyra samt glyoxal och glyoxalsyra – rapporteras framställning i tre (Tyskland, Frankrike och Italien) respektive två länder (Tyskland och Frankrike). Endast Norge och Österrike rapporterade koldioxidavskiljnings- och lagringsverksamhet.</w:t>
      </w:r>
    </w:p>
    <w:p w14:paraId="00AFB913" w14:textId="77777777" w:rsidR="0017587A" w:rsidRDefault="00743ED3">
      <w:pPr>
        <w:jc w:val="both"/>
        <w:rPr>
          <w:rFonts w:ascii="Times New Roman" w:hAnsi="Times New Roman"/>
          <w:sz w:val="24"/>
          <w:szCs w:val="24"/>
        </w:rPr>
      </w:pPr>
      <w:r>
        <w:rPr>
          <w:rFonts w:ascii="Times New Roman" w:hAnsi="Times New Roman"/>
        </w:rPr>
        <w:t>Precis som förra året har sju länder (Frankrike, Island, Italien, Kroatien, Slovenien, Spanien och Storbritannien) utnyttjat möjligheten att utesluta små utsläppskällor från EU:s utsläppshandelssystem i enlighet med artikel 27 i direktivet om EU:s utsläppshandelssystem. Den totala mängd utsläpp som uteslöts 2018 uppgick till ungefär 2,92 miljoner ton koldioxid (cirka 0,17 % av de totala verifierade utsläppen, jämfört med 0,16 % året dessförinnan).</w:t>
      </w:r>
    </w:p>
    <w:p w14:paraId="705BB4A3" w14:textId="77777777" w:rsidR="0017587A" w:rsidRDefault="00743ED3">
      <w:pPr>
        <w:jc w:val="both"/>
        <w:rPr>
          <w:rFonts w:ascii="Times New Roman" w:hAnsi="Times New Roman"/>
          <w:sz w:val="24"/>
          <w:szCs w:val="24"/>
        </w:rPr>
      </w:pPr>
      <w:r>
        <w:rPr>
          <w:rFonts w:ascii="Times New Roman" w:hAnsi="Times New Roman"/>
        </w:rPr>
        <w:t>Enligt artikel 21-rapporterna 2019 har hittills åtta länder (Belgien, Danmark, Frankrike, Kroatien, Liechtenstein, Litauen, Nederländerna och Ungern) utnyttjat bestämmelsen i artikel 13 i förordningen om övervakning och rapportering</w:t>
      </w:r>
      <w:r>
        <w:rPr>
          <w:rStyle w:val="FootnoteReference"/>
          <w:rFonts w:ascii="Times New Roman" w:hAnsi="Times New Roman"/>
        </w:rPr>
        <w:footnoteReference w:id="9"/>
      </w:r>
      <w:r>
        <w:rPr>
          <w:rFonts w:ascii="Times New Roman" w:hAnsi="Times New Roman"/>
        </w:rPr>
        <w:t xml:space="preserve"> om att tillåta förenklade övervakningsplaner när riskerna är låga. När det gäller luftfartygsoperatörer med låga utsläpp har tre länder (Belgien, Island och Polen) rapporterat att de utnyttjade denna bestämmelse under 2018.</w:t>
      </w:r>
    </w:p>
    <w:p w14:paraId="092DCDE6" w14:textId="77777777" w:rsidR="0017587A" w:rsidRDefault="00743ED3">
      <w:pPr>
        <w:jc w:val="both"/>
      </w:pPr>
      <w:r>
        <w:rPr>
          <w:rFonts w:ascii="Times New Roman" w:hAnsi="Times New Roman"/>
        </w:rPr>
        <w:t>Under 2018 rapporterades att 655 luftfartygsoperatörer hade en övervakningsplan (jämfört med 541 under 2017 och 503 under 2016). Av de rapporterade operatörerna var 50 % (328) kommersiella, medan återstående 50 % (327) var icke-kommersiella.</w:t>
      </w:r>
      <w:r>
        <w:rPr>
          <w:rStyle w:val="FootnoteReference"/>
          <w:rFonts w:ascii="Times New Roman" w:hAnsi="Times New Roman"/>
        </w:rPr>
        <w:footnoteReference w:id="10"/>
      </w:r>
      <w:r>
        <w:rPr>
          <w:rFonts w:ascii="Times New Roman" w:hAnsi="Times New Roman"/>
        </w:rPr>
        <w:t xml:space="preserve"> Totalt 287 stycken (44 %) räknades som små utsläppskällor (jämfört med 280 (52 %) 2017 och 249 (50 %) 2016). </w:t>
      </w:r>
    </w:p>
    <w:p w14:paraId="3D40B929" w14:textId="77777777" w:rsidR="0017587A" w:rsidRDefault="00A52F4C">
      <w:pPr>
        <w:pStyle w:val="Heading1"/>
        <w:spacing w:before="0" w:after="200"/>
      </w:pPr>
      <w:bookmarkStart w:id="6" w:name="_Toc23755263"/>
      <w:r>
        <w:t>2.2 Unionsregistret och Europeiska unionens transaktionsförteckning (EUTL)</w:t>
      </w:r>
      <w:bookmarkEnd w:id="6"/>
    </w:p>
    <w:p w14:paraId="770C341B" w14:textId="77777777" w:rsidR="0017587A" w:rsidRDefault="003A348D">
      <w:pPr>
        <w:jc w:val="both"/>
        <w:rPr>
          <w:rFonts w:ascii="Times New Roman" w:hAnsi="Times New Roman"/>
          <w:sz w:val="24"/>
          <w:szCs w:val="24"/>
        </w:rPr>
      </w:pPr>
      <w:r>
        <w:rPr>
          <w:rFonts w:ascii="Times New Roman" w:hAnsi="Times New Roman"/>
          <w:noProof/>
          <w:lang w:val="en-GB" w:eastAsia="en-GB"/>
        </w:rPr>
        <mc:AlternateContent>
          <mc:Choice Requires="wps">
            <w:drawing>
              <wp:inline distT="0" distB="0" distL="0" distR="0" wp14:anchorId="6183F335" wp14:editId="1E161E89">
                <wp:extent cx="5727802" cy="3384550"/>
                <wp:effectExtent l="0" t="0" r="25400" b="2540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384550"/>
                        </a:xfrm>
                        <a:prstGeom prst="rect">
                          <a:avLst/>
                        </a:prstGeom>
                        <a:solidFill>
                          <a:schemeClr val="bg1">
                            <a:lumMod val="85000"/>
                          </a:schemeClr>
                        </a:solidFill>
                        <a:ln w="12700" cmpd="sng">
                          <a:solidFill>
                            <a:srgbClr val="000000">
                              <a:alpha val="70000"/>
                            </a:srgbClr>
                          </a:solidFill>
                          <a:miter lim="800000"/>
                          <a:headEnd/>
                          <a:tailEnd/>
                        </a:ln>
                      </wps:spPr>
                      <wps:txbx>
                        <w:txbxContent>
                          <w:p w14:paraId="7E9D4E00" w14:textId="77777777" w:rsidR="0017587A" w:rsidRDefault="00516F65">
                            <w:pPr>
                              <w:jc w:val="both"/>
                              <w:rPr>
                                <w:rFonts w:ascii="Times New Roman" w:hAnsi="Times New Roman"/>
                                <w:sz w:val="24"/>
                                <w:szCs w:val="24"/>
                              </w:rPr>
                            </w:pPr>
                            <w:r>
                              <w:rPr>
                                <w:rFonts w:ascii="Times New Roman" w:hAnsi="Times New Roman"/>
                              </w:rPr>
                              <w:t xml:space="preserve">I unionsregistret och Europeiska unionens transaktionsförteckning registreras kontoinnehavarnas allmänna utsläppsrätter och utsläppsrätter för luftfart samt transaktioner med dessa mellan kontona. De drivs och underhålls av kommissionen, medan de nationella registeradministratörerna i de deltagande länderna fortsätter att fungera som kontaktpersoner för företrädarna för kontona (företag eller fysiska personer). Unionsregistret innehåller konton för fasta anläggningar och luftfartygsoperatörer, medan EUTL automatiskt kontrollerar, registrerar och godkänner alla transaktioner mellan kontona och på så sätt säkerställer att alla transfereringar överensstämmer med reglerna för EU:s utsläppshandelssystem. </w:t>
                            </w:r>
                          </w:p>
                          <w:p w14:paraId="73C641F8" w14:textId="77777777" w:rsidR="0017587A" w:rsidRDefault="00516F65">
                            <w:pPr>
                              <w:shd w:val="clear" w:color="auto" w:fill="D9D9D9" w:themeFill="background1" w:themeFillShade="D9"/>
                              <w:jc w:val="both"/>
                              <w:rPr>
                                <w:rFonts w:ascii="Times New Roman" w:hAnsi="Times New Roman"/>
                                <w:sz w:val="24"/>
                                <w:szCs w:val="24"/>
                              </w:rPr>
                            </w:pPr>
                            <w:r>
                              <w:rPr>
                                <w:rFonts w:ascii="Times New Roman" w:hAnsi="Times New Roman"/>
                              </w:rPr>
                              <w:t>Uppgifterna i unionsregistret och EUTL är en viktig källa till information för olika typer av rapportering inom ramen för utsläppshandelssystemet, till exempel för beräkningen av överskottsindikatorn för reserven för marknadsstabilitet (se kapitel 3.3) och Europeiska miljöbyråns (EEA) rapportering. EUTL ger också insyn i EU:s utsläppshandelssystem genom att offentliggöra* uppgifter om hur fasta anläggningar och luftfartygsoperatörer uppfyller bestämmelserna för utsläppshandelssystemet.</w:t>
                            </w:r>
                          </w:p>
                          <w:p w14:paraId="17DDBD8F" w14:textId="77777777" w:rsidR="0017587A" w:rsidRDefault="00516F65">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Den information som EUTL offentliggör finns på https://ec.europa.eu/clima/ets/</w:t>
                            </w:r>
                          </w:p>
                          <w:p w14:paraId="30BDD12B" w14:textId="77777777" w:rsidR="0017587A" w:rsidRDefault="0017587A">
                            <w:pPr>
                              <w:shd w:val="clear" w:color="auto" w:fill="D9D9D9" w:themeFill="background1" w:themeFillShade="D9"/>
                              <w:jc w:val="both"/>
                              <w:rPr>
                                <w:rFonts w:ascii="Times New Roman" w:hAnsi="Times New Roman"/>
                                <w:sz w:val="24"/>
                                <w:szCs w:val="24"/>
                              </w:rPr>
                            </w:pPr>
                          </w:p>
                          <w:p w14:paraId="7D0E3DA0" w14:textId="77777777" w:rsidR="0017587A" w:rsidRDefault="0017587A"/>
                        </w:txbxContent>
                      </wps:txbx>
                      <wps:bodyPr rot="0" vert="horz" wrap="square" lIns="91440" tIns="45720" rIns="91440" bIns="45720" anchor="t" anchorCtr="0">
                        <a:noAutofit/>
                      </wps:bodyPr>
                    </wps:wsp>
                  </a:graphicData>
                </a:graphic>
              </wp:inline>
            </w:drawing>
          </mc:Choice>
          <mc:Fallback>
            <w:pict>
              <v:shape w14:anchorId="6183F335" id="_x0000_s1028" type="#_x0000_t202" style="width:451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" fillcolor="#d8d8d8 [2732]" strokeweight="1pt">
                <v:stroke opacity="46003f"/>
                <v:textbox>
                  <w:txbxContent>
                    <w:p w14:paraId="7E9D4E00" w14:textId="77777777" w:rsidR="0017587A" w:rsidRDefault="00516F65">
                      <w:pPr>
                        <w:jc w:val="both"/>
                        <w:rPr>
                          <w:rFonts w:ascii="Times New Roman" w:hAnsi="Times New Roman"/>
                          <w:sz w:val="24"/>
                          <w:szCs w:val="24"/>
                        </w:rPr>
                      </w:pPr>
                      <w:r>
                        <w:rPr>
                          <w:rFonts w:ascii="Times New Roman" w:hAnsi="Times New Roman"/>
                        </w:rPr>
                        <w:t xml:space="preserve">I unionsregistret och Europeiska unionens transaktionsförteckning registreras kontoinnehavarnas allmänna utsläppsrätter och utsläppsrätter för luftfart samt transaktioner med dessa mellan kontona. De drivs och underhålls av kommissionen, medan de nationella registeradministratörerna i de deltagande länderna fortsätter att fungera som kontaktpersoner för företrädarna för kontona (företag eller fysiska personer). Unionsregistret innehåller konton för fasta anläggningar och luftfartygsoperatörer, medan EUTL automatiskt kontrollerar, registrerar och godkänner alla transaktioner mellan kontona och på så sätt säkerställer att alla transfereringar överensstämmer med reglerna för EU:s utsläppshandelssystem. </w:t>
                      </w:r>
                    </w:p>
                    <w:p w14:paraId="73C641F8" w14:textId="77777777" w:rsidR="0017587A" w:rsidRDefault="00516F65">
                      <w:pPr>
                        <w:shd w:val="clear" w:color="auto" w:fill="D9D9D9" w:themeFill="background1" w:themeFillShade="D9"/>
                        <w:jc w:val="both"/>
                        <w:rPr>
                          <w:rFonts w:ascii="Times New Roman" w:hAnsi="Times New Roman"/>
                          <w:sz w:val="24"/>
                          <w:szCs w:val="24"/>
                        </w:rPr>
                      </w:pPr>
                      <w:r>
                        <w:rPr>
                          <w:rFonts w:ascii="Times New Roman" w:hAnsi="Times New Roman"/>
                        </w:rPr>
                        <w:t>Uppgifterna i unionsregistret och EUTL är en viktig källa till information för olika typer av rapportering inom ramen för utsläppshandelssystemet, till exempel för beräkningen av överskottsindikatorn för reserven för marknadsstabilitet (se kapitel 3.3) och Europeiska miljöbyråns (EEA) rapportering. EUTL ger också insyn i EU:s utsläppshandelssystem genom att offentliggöra* uppgifter om hur fasta anläggningar och luftfartygsoperatörer uppfyller bestämmelserna för utsläppshandelssystemet.</w:t>
                      </w:r>
                    </w:p>
                    <w:p w14:paraId="17DDBD8F" w14:textId="77777777" w:rsidR="0017587A" w:rsidRDefault="00516F65">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Den information som EUTL offentliggör finns på https://ec.europa.eu/clima/ets/</w:t>
                      </w:r>
                    </w:p>
                    <w:p w14:paraId="30BDD12B" w14:textId="77777777" w:rsidR="0017587A" w:rsidRDefault="0017587A">
                      <w:pPr>
                        <w:shd w:val="clear" w:color="auto" w:fill="D9D9D9" w:themeFill="background1" w:themeFillShade="D9"/>
                        <w:jc w:val="both"/>
                        <w:rPr>
                          <w:rFonts w:ascii="Times New Roman" w:hAnsi="Times New Roman"/>
                          <w:sz w:val="24"/>
                          <w:szCs w:val="24"/>
                        </w:rPr>
                      </w:pPr>
                    </w:p>
                    <w:p w14:paraId="7D0E3DA0" w14:textId="77777777" w:rsidR="0017587A" w:rsidRDefault="0017587A"/>
                  </w:txbxContent>
                </v:textbox>
                <w10:anchorlock/>
              </v:shape>
            </w:pict>
          </mc:Fallback>
        </mc:AlternateContent>
      </w:r>
    </w:p>
    <w:p w14:paraId="2A37E453" w14:textId="77777777" w:rsidR="0017587A" w:rsidRDefault="003A348D">
      <w:pPr>
        <w:jc w:val="both"/>
        <w:rPr>
          <w:rFonts w:ascii="Times New Roman" w:hAnsi="Times New Roman"/>
          <w:sz w:val="24"/>
          <w:szCs w:val="24"/>
        </w:rPr>
      </w:pPr>
      <w:r>
        <w:rPr>
          <w:rFonts w:ascii="Times New Roman" w:hAnsi="Times New Roman"/>
        </w:rPr>
        <w:t>Unionsregistret och EUTL var i full drift dygnet runt årets alla dagar under hela 2018, med endast kortare avbrott på sammanlagt cirka 26 timmar på grund av tekniska uppgraderingar.</w:t>
      </w:r>
    </w:p>
    <w:p w14:paraId="3D3F0903" w14:textId="77777777" w:rsidR="0017587A" w:rsidRDefault="006530AB">
      <w:pPr>
        <w:jc w:val="both"/>
        <w:rPr>
          <w:rFonts w:ascii="Times New Roman" w:hAnsi="Times New Roman"/>
          <w:sz w:val="24"/>
          <w:szCs w:val="24"/>
        </w:rPr>
      </w:pPr>
      <w:r>
        <w:rPr>
          <w:rFonts w:ascii="Times New Roman" w:hAnsi="Times New Roman"/>
          <w:sz w:val="24"/>
          <w:szCs w:val="24"/>
        </w:rPr>
        <w:t>Från och med den 1 januari 2019 avbröt kommissionen</w:t>
      </w:r>
      <w:r>
        <w:rPr>
          <w:rFonts w:ascii="Times New Roman" w:hAnsi="Times New Roman"/>
          <w:vertAlign w:val="superscript"/>
        </w:rPr>
        <w:footnoteReference w:id="11"/>
      </w:r>
      <w:r>
        <w:rPr>
          <w:rFonts w:ascii="Times New Roman" w:hAnsi="Times New Roman"/>
          <w:sz w:val="24"/>
          <w:szCs w:val="24"/>
          <w:vertAlign w:val="superscript"/>
        </w:rPr>
        <w:t xml:space="preserve"> </w:t>
      </w:r>
      <w:r>
        <w:rPr>
          <w:rFonts w:ascii="Times New Roman" w:hAnsi="Times New Roman"/>
          <w:sz w:val="24"/>
          <w:szCs w:val="24"/>
        </w:rPr>
        <w:t>alla förfaranden beträffande Storbritannien i fråga om gratis tilldelning, auktionering och utbyte av internationella reduktionsenheter, i enlighet med skyddsåtgärderna</w:t>
      </w:r>
      <w:r>
        <w:rPr>
          <w:rFonts w:ascii="Times New Roman" w:hAnsi="Times New Roman"/>
          <w:vertAlign w:val="superscript"/>
        </w:rPr>
        <w:footnoteReference w:id="12"/>
      </w:r>
      <w:r>
        <w:rPr>
          <w:rFonts w:ascii="Times New Roman" w:hAnsi="Times New Roman"/>
          <w:sz w:val="24"/>
          <w:szCs w:val="24"/>
        </w:rPr>
        <w:t xml:space="preserve"> för att skydda miljönyttan av EU:s utsläppshandelssystem i de fall där EU-lagstiftningen upphör att gälla för en medlemsstat som lämnar EU.</w:t>
      </w:r>
      <w:r>
        <w:rPr>
          <w:rFonts w:ascii="Times New Roman" w:hAnsi="Times New Roman"/>
        </w:rPr>
        <w:t xml:space="preserve"> </w:t>
      </w:r>
    </w:p>
    <w:p w14:paraId="36498F28" w14:textId="77777777" w:rsidR="0017587A" w:rsidRDefault="006530AB">
      <w:pPr>
        <w:jc w:val="both"/>
        <w:rPr>
          <w:rFonts w:ascii="Times New Roman" w:hAnsi="Times New Roman"/>
          <w:sz w:val="24"/>
          <w:szCs w:val="24"/>
        </w:rPr>
      </w:pPr>
      <w:r>
        <w:rPr>
          <w:rFonts w:ascii="Times New Roman" w:hAnsi="Times New Roman"/>
        </w:rPr>
        <w:t>I mars 2019 antogs kommissionens delegerade förordning (EU) 2019/1122</w:t>
      </w:r>
      <w:r>
        <w:rPr>
          <w:rStyle w:val="FootnoteReference"/>
          <w:rFonts w:ascii="Times New Roman" w:hAnsi="Times New Roman"/>
        </w:rPr>
        <w:footnoteReference w:id="13"/>
      </w:r>
      <w:r>
        <w:rPr>
          <w:rFonts w:ascii="Times New Roman" w:hAnsi="Times New Roman"/>
        </w:rPr>
        <w:t xml:space="preserve"> där regler fastställdes för unionsregistrets funktion under nästa handelsperiod för EU:s utsläppshandelssystem (2021–2030). Förordningen innebär att unionsregistret blir förenligt med de krav för fas 4 som fastställts i det reviderade direktivet om EU:s utsläppshandelssystem, till exempel genom att anpassa funktionerna så att utsläppsrätterna blir giltiga under obegränsad tid och endast får användas för att täcka utsläpp från och med det första året under den tioårsperiod då de utfärdades samt säkerställa att internationella reduktionsenheter inte får användas för att täcka utsläpp från och med 2021. I den nya förordningen anpassas vidare reglerna för unionsregistret så att de överensstämmer med kraven i finansmarknadslagstiftningen eftersom utsläppsrätter klassificeras som ”finansiella instrument” enligt direktiv 2014/65/EU</w:t>
      </w:r>
      <w:r>
        <w:rPr>
          <w:rStyle w:val="FootnoteReference"/>
          <w:rFonts w:ascii="Times New Roman" w:hAnsi="Times New Roman"/>
        </w:rPr>
        <w:footnoteReference w:id="14"/>
      </w:r>
      <w:r>
        <w:rPr>
          <w:rFonts w:ascii="Times New Roman" w:hAnsi="Times New Roman"/>
        </w:rPr>
        <w:t xml:space="preserve"> från och med den 3 januari 2018 och med kraven i de reviderade dataskyddsreglerna. </w:t>
      </w:r>
    </w:p>
    <w:p w14:paraId="3F05CDEB" w14:textId="77777777" w:rsidR="0017587A" w:rsidRDefault="00A52F4C">
      <w:pPr>
        <w:pStyle w:val="Heading1"/>
        <w:spacing w:before="0" w:after="200"/>
      </w:pPr>
      <w:bookmarkStart w:id="7" w:name="_Toc23755264"/>
      <w:r>
        <w:t>3. KOLDIOXIDMARKNADENS FUNKTION 2018</w:t>
      </w:r>
      <w:bookmarkEnd w:id="7"/>
      <w:r>
        <w:t xml:space="preserve"> </w:t>
      </w:r>
    </w:p>
    <w:p w14:paraId="5CB988C9" w14:textId="77777777" w:rsidR="0017587A" w:rsidRDefault="003A348D">
      <w:pPr>
        <w:jc w:val="both"/>
        <w:rPr>
          <w:rFonts w:ascii="Times New Roman" w:hAnsi="Times New Roman"/>
          <w:sz w:val="24"/>
          <w:szCs w:val="24"/>
        </w:rPr>
      </w:pPr>
      <w:r>
        <w:rPr>
          <w:rFonts w:ascii="Times New Roman" w:hAnsi="Times New Roman"/>
        </w:rPr>
        <w:t>I det här kapitlet behandlas information som rör aspekter av tillgång och efterfrågan på utsläppsrätter i EU:s utsläppshandelssystem. I avsnittet om tillgång finns information om tak, gratis tilldelning, NER300-programmet (inbegripet förberedelser inför nästa innovationsfond), auktionering, undantagen från full auktionering för energisektorn (artikel 10c), användningen av internationella reduktionsenheter samt ett kapitel om system för kompensation för indirekta koldioxidkostnader.</w:t>
      </w:r>
    </w:p>
    <w:p w14:paraId="54C16DBF" w14:textId="77777777" w:rsidR="0017587A" w:rsidRDefault="003A348D">
      <w:pPr>
        <w:jc w:val="both"/>
        <w:rPr>
          <w:rFonts w:ascii="Times New Roman" w:hAnsi="Times New Roman"/>
          <w:sz w:val="24"/>
          <w:szCs w:val="24"/>
        </w:rPr>
      </w:pPr>
      <w:r>
        <w:rPr>
          <w:rFonts w:ascii="Times New Roman" w:hAnsi="Times New Roman"/>
        </w:rPr>
        <w:t>På efterfrågesidan innehåller kapitlet information om de verifierade utsläppen samt om metoder för att balansera tillgång och efterfrågan på utsläppsrätter på koldioxidmarknaden via reserven för marknadsstabilitet.</w:t>
      </w:r>
    </w:p>
    <w:p w14:paraId="1B9C135A" w14:textId="77777777" w:rsidR="0017587A" w:rsidRDefault="00A52F4C">
      <w:pPr>
        <w:pStyle w:val="Heading2"/>
        <w:spacing w:before="0" w:after="200"/>
        <w:rPr>
          <w:i w:val="0"/>
        </w:rPr>
      </w:pPr>
      <w:bookmarkStart w:id="8" w:name="_Toc23755265"/>
      <w:r>
        <w:rPr>
          <w:i w:val="0"/>
        </w:rPr>
        <w:t>3.1 Tillgång: utsläppsrätter i omlopp</w:t>
      </w:r>
      <w:bookmarkEnd w:id="8"/>
      <w:r>
        <w:rPr>
          <w:i w:val="0"/>
        </w:rPr>
        <w:t xml:space="preserve"> </w:t>
      </w:r>
    </w:p>
    <w:p w14:paraId="4D9F2ACD" w14:textId="77777777" w:rsidR="0017587A" w:rsidRDefault="00A52F4C">
      <w:pPr>
        <w:pStyle w:val="Heading3"/>
        <w:spacing w:before="0" w:after="200"/>
        <w:ind w:left="720"/>
      </w:pPr>
      <w:bookmarkStart w:id="9" w:name="_Toc23755266"/>
      <w:r>
        <w:t>3.1.1 Tak</w:t>
      </w:r>
      <w:bookmarkEnd w:id="9"/>
    </w:p>
    <w:p w14:paraId="6E39E2C5" w14:textId="77777777" w:rsidR="0017587A" w:rsidRDefault="003A348D">
      <w:pPr>
        <w:jc w:val="both"/>
        <w:rPr>
          <w:rFonts w:ascii="Times New Roman" w:hAnsi="Times New Roman"/>
          <w:sz w:val="24"/>
          <w:szCs w:val="24"/>
        </w:rPr>
      </w:pPr>
      <w:r>
        <w:rPr>
          <w:noProof/>
          <w:lang w:val="en-GB" w:eastAsia="en-GB"/>
        </w:rPr>
        <mc:AlternateContent>
          <mc:Choice Requires="wps">
            <w:drawing>
              <wp:inline distT="0" distB="0" distL="0" distR="0" wp14:anchorId="519E1EEC" wp14:editId="3A152391">
                <wp:extent cx="5771693" cy="4994564"/>
                <wp:effectExtent l="0" t="0" r="19685" b="158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93" cy="4994564"/>
                        </a:xfrm>
                        <a:prstGeom prst="rect">
                          <a:avLst/>
                        </a:prstGeom>
                        <a:solidFill>
                          <a:schemeClr val="bg1">
                            <a:lumMod val="85000"/>
                          </a:schemeClr>
                        </a:solidFill>
                        <a:ln w="12700">
                          <a:solidFill>
                            <a:srgbClr val="000000"/>
                          </a:solidFill>
                          <a:miter lim="800000"/>
                          <a:headEnd/>
                          <a:tailEnd/>
                        </a:ln>
                      </wps:spPr>
                      <wps:txbx>
                        <w:txbxContent>
                          <w:p w14:paraId="2CB28A0E" w14:textId="1BD0D46A" w:rsidR="0017587A" w:rsidRDefault="00516F65">
                            <w:pPr>
                              <w:jc w:val="both"/>
                              <w:rPr>
                                <w:rFonts w:ascii="Times New Roman" w:hAnsi="Times New Roman"/>
                                <w:szCs w:val="24"/>
                              </w:rPr>
                            </w:pPr>
                            <w:r>
                              <w:rPr>
                                <w:rFonts w:ascii="Times New Roman" w:hAnsi="Times New Roman"/>
                              </w:rPr>
                              <w:t>Taket är den absoluta mängd växthusgaser som får släppas ut av de enheter som omfattas för att garantera att målet för utsläppsminskningen uppfylls och motsvarar antalet utsläppsrätter som har satts i omlopp under en handelsperiod. Under fas 3 tillämpas ett EU-omfattande tak som ersätter det tidigare systemet med nationella tak.</w:t>
                            </w:r>
                          </w:p>
                          <w:p w14:paraId="586703C4" w14:textId="77777777" w:rsidR="0017587A" w:rsidRDefault="00516F65">
                            <w:pPr>
                              <w:jc w:val="both"/>
                              <w:rPr>
                                <w:rFonts w:ascii="Times New Roman" w:hAnsi="Times New Roman"/>
                                <w:sz w:val="24"/>
                                <w:szCs w:val="24"/>
                              </w:rPr>
                            </w:pPr>
                            <w:r>
                              <w:rPr>
                                <w:rFonts w:ascii="Times New Roman" w:hAnsi="Times New Roman"/>
                              </w:rPr>
                              <w:t>Taket för utsläpp från fasta anläggningar 2013 sattes till 2 084 301 856 utsläppsrätter. Detta tak sänks varje år med en linjär minskningsfaktor på 1,74 % jämfört med den genomsnittliga totala årliga kvantitet utsläppsrätter som utfärdats för perioden 2008–2012, vilket innebär att det antal utsläppsrätter som kan utnyttjas av fasta anläggningar kommer att vara 21 % lägre 2020 än vad det var 2005.</w:t>
                            </w:r>
                          </w:p>
                          <w:p w14:paraId="03085764" w14:textId="7279C260" w:rsidR="0017587A" w:rsidRDefault="00516F65">
                            <w:pPr>
                              <w:jc w:val="both"/>
                              <w:rPr>
                                <w:rFonts w:ascii="Times New Roman" w:hAnsi="Times New Roman"/>
                                <w:sz w:val="24"/>
                                <w:szCs w:val="24"/>
                              </w:rPr>
                            </w:pPr>
                            <w:r>
                              <w:rPr>
                                <w:rFonts w:ascii="Times New Roman" w:hAnsi="Times New Roman"/>
                              </w:rPr>
                              <w:t>Taket för luftfartssektorn sattes ursprungligen till 210 349 264 utsläppsrätter per år, vilket motsvarar en minskning på 5 % i förhållande till de genomsnittliga årliga utsläppen från luftfarten under perioden 2004–2006. Den 1 januari 2014 höjdes taket med 116 524 utsläppsrätter i samband med att Kroatien gick med i EU:s utsläppshandelssystem. Tanken var att detta tak skulle återspegla 2008 års lagstiftning*, där det fastställdes att alla flygningar från, till och inom EES skulle inkluderas i EU:s utsläppshandelssystem. Räckvidden för EU:s utsläppshandelssystem begränsades emellertid tillfälligt till flygningar inom EES mellan 2013 och 2016 för att stödja Icaos utveckling av en global åtgärd i syfte att stabilisera utsläppen från den internationella luftfarten på 2020 års nivåer. Antalet utsläppsrätter för luftfart som har satts i omlopp under perioden 2013–2016 är därför betydligt färre än det ursprungliga taket. År 2017 förlängdes den EES-interna räckvidden för luftfarten fram till 2023, för att främja utvecklingen av Icaos globala åtgärd (se kapitel 4).</w:t>
                            </w:r>
                          </w:p>
                          <w:p w14:paraId="720D3AFE" w14:textId="77777777" w:rsidR="0017587A" w:rsidRDefault="00516F65">
                            <w:pPr>
                              <w:jc w:val="both"/>
                              <w:rPr>
                                <w:rFonts w:ascii="Times New Roman" w:hAnsi="Times New Roman"/>
                                <w:sz w:val="18"/>
                                <w:szCs w:val="18"/>
                              </w:rPr>
                            </w:pPr>
                            <w:r>
                              <w:rPr>
                                <w:rFonts w:ascii="Times New Roman" w:hAnsi="Times New Roman"/>
                                <w:sz w:val="18"/>
                                <w:szCs w:val="18"/>
                              </w:rPr>
                              <w:t>* Europaparlamentets och rådets direktiv 2008/101/EG av den 19 november 2008 om ändring av direktiv 2003/87/EG så att luftfartsverksamhet införs i systemet för handel med utsläppsrätter för växthusgaser inom gemenskapen.</w:t>
                            </w:r>
                          </w:p>
                          <w:p w14:paraId="009D0DCD" w14:textId="77777777" w:rsidR="0017587A" w:rsidRDefault="0017587A">
                            <w:pPr>
                              <w:jc w:val="both"/>
                              <w:rPr>
                                <w:rFonts w:ascii="Times New Roman" w:hAnsi="Times New Roman"/>
                                <w:sz w:val="24"/>
                                <w:szCs w:val="24"/>
                              </w:rPr>
                            </w:pPr>
                          </w:p>
                          <w:p w14:paraId="24272EB1" w14:textId="77777777" w:rsidR="0017587A" w:rsidRDefault="0017587A">
                            <w:pPr>
                              <w:jc w:val="both"/>
                              <w:rPr>
                                <w:rFonts w:ascii="Times New Roman" w:hAnsi="Times New Roman"/>
                                <w:sz w:val="24"/>
                                <w:szCs w:val="24"/>
                              </w:rPr>
                            </w:pPr>
                          </w:p>
                          <w:p w14:paraId="0E36FF24" w14:textId="77777777" w:rsidR="0017587A" w:rsidRDefault="0017587A">
                            <w:pPr>
                              <w:jc w:val="both"/>
                              <w:rPr>
                                <w:rFonts w:ascii="Times New Roman" w:hAnsi="Times New Roman"/>
                                <w:sz w:val="24"/>
                                <w:szCs w:val="24"/>
                              </w:rPr>
                            </w:pPr>
                          </w:p>
                          <w:p w14:paraId="6EE6C7F4" w14:textId="77777777" w:rsidR="0017587A" w:rsidRDefault="0017587A">
                            <w:pPr>
                              <w:jc w:val="both"/>
                            </w:pPr>
                          </w:p>
                          <w:p w14:paraId="2691C2DB" w14:textId="77777777" w:rsidR="0017587A" w:rsidRDefault="0017587A">
                            <w:pPr>
                              <w:jc w:val="both"/>
                              <w:rPr>
                                <w:rFonts w:ascii="Times New Roman" w:hAnsi="Times New Roman"/>
                                <w:sz w:val="24"/>
                                <w:szCs w:val="24"/>
                              </w:rPr>
                            </w:pPr>
                          </w:p>
                          <w:p w14:paraId="40ED1A4F" w14:textId="77777777" w:rsidR="0017587A" w:rsidRDefault="0017587A"/>
                        </w:txbxContent>
                      </wps:txbx>
                      <wps:bodyPr rot="0" vert="horz" wrap="square" lIns="91440" tIns="45720" rIns="91440" bIns="45720" anchor="t" anchorCtr="0">
                        <a:noAutofit/>
                      </wps:bodyPr>
                    </wps:wsp>
                  </a:graphicData>
                </a:graphic>
              </wp:inline>
            </w:drawing>
          </mc:Choice>
          <mc:Fallback>
            <w:pict>
              <v:shape w14:anchorId="519E1EEC" id="_x0000_s1029" type="#_x0000_t202" style="width:454.45pt;height:39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" fillcolor="#d8d8d8 [2732]" strokeweight="1pt">
                <v:textbox>
                  <w:txbxContent>
                    <w:p w14:paraId="2CB28A0E" w14:textId="1BD0D46A" w:rsidR="0017587A" w:rsidRDefault="00516F65">
                      <w:pPr>
                        <w:jc w:val="both"/>
                        <w:rPr>
                          <w:rFonts w:ascii="Times New Roman" w:hAnsi="Times New Roman"/>
                          <w:szCs w:val="24"/>
                        </w:rPr>
                      </w:pPr>
                      <w:r>
                        <w:rPr>
                          <w:rFonts w:ascii="Times New Roman" w:hAnsi="Times New Roman"/>
                        </w:rPr>
                        <w:t>Taket är den absoluta mängd växthusgaser som får släppas ut av de enheter som omfattas för att garantera att målet för utsläppsminskningen uppfylls och motsvarar antalet utsläppsrätter som har satts i omlopp under en handelsperiod. Under fas 3 tillämpas ett EU-omfattande tak som ersätter det tidigare systemet med nationella tak.</w:t>
                      </w:r>
                    </w:p>
                    <w:p w14:paraId="586703C4" w14:textId="77777777" w:rsidR="0017587A" w:rsidRDefault="00516F65">
                      <w:pPr>
                        <w:jc w:val="both"/>
                        <w:rPr>
                          <w:rFonts w:ascii="Times New Roman" w:hAnsi="Times New Roman"/>
                          <w:sz w:val="24"/>
                          <w:szCs w:val="24"/>
                        </w:rPr>
                      </w:pPr>
                      <w:r>
                        <w:rPr>
                          <w:rFonts w:ascii="Times New Roman" w:hAnsi="Times New Roman"/>
                        </w:rPr>
                        <w:t>Taket för utsläpp från fasta anläggningar 2013 sattes till 2 084 301 856 utsläppsrätter. Detta tak sänks varje år med en linjär minskningsfaktor på 1,74 % jämfört med den genomsnittliga totala årliga kvantitet utsläppsrätter som utfärdats för perioden 2008–2012, vilket innebär att det antal utsläppsrätter som kan utnyttjas av fasta anläggningar kommer att vara 21 % lägre 2020 än vad det var 2005.</w:t>
                      </w:r>
                    </w:p>
                    <w:p w14:paraId="03085764" w14:textId="7279C260" w:rsidR="0017587A" w:rsidRDefault="00516F65">
                      <w:pPr>
                        <w:jc w:val="both"/>
                        <w:rPr>
                          <w:rFonts w:ascii="Times New Roman" w:hAnsi="Times New Roman"/>
                          <w:sz w:val="24"/>
                          <w:szCs w:val="24"/>
                        </w:rPr>
                      </w:pPr>
                      <w:r>
                        <w:rPr>
                          <w:rFonts w:ascii="Times New Roman" w:hAnsi="Times New Roman"/>
                        </w:rPr>
                        <w:t>Taket för luftfartssektorn sattes ursprungligen till 210 349 264 utsläppsrätter per år, vilket motsvarar en minskning på 5 % i förhållande till de genomsnittliga årliga utsläppen från luftfarten under perioden 2004–2006. Den 1 januari 2014 höjdes taket med 116 524 utsläppsrätter i samband med att Kroatien gick med i EU:s utsläppshandelssystem. Tanken var att detta tak skulle återspegla 2008 års lagstiftning*, där det fastställdes att alla flygningar från, till och inom EES skulle inkluderas i EU:s utsläppshandelssystem. Räckvidden för EU:s utsläppshandelssystem begränsades emellertid tillfälligt till flygningar inom EES mellan 2013 och 2016 för att stödja Icaos utveckling av en global åtgärd i syfte att stabilisera utsläppen från den internationella luftfarten på 2020 års nivåer. Antalet utsläppsrätter för luftfart som har satts i omlopp under perioden 2013–2016 är därför betydligt färre än det ursprungliga taket. År 2017 förlängdes den EES-interna räckvidden för luftfarten fram till 2023, för att främja utvecklingen av Icaos globala åtgärd (se kapitel 4).</w:t>
                      </w:r>
                    </w:p>
                    <w:p w14:paraId="720D3AFE" w14:textId="77777777" w:rsidR="0017587A" w:rsidRDefault="00516F65">
                      <w:pPr>
                        <w:jc w:val="both"/>
                        <w:rPr>
                          <w:rFonts w:ascii="Times New Roman" w:hAnsi="Times New Roman"/>
                          <w:sz w:val="18"/>
                          <w:szCs w:val="18"/>
                        </w:rPr>
                      </w:pPr>
                      <w:r>
                        <w:rPr>
                          <w:rFonts w:ascii="Times New Roman" w:hAnsi="Times New Roman"/>
                          <w:sz w:val="18"/>
                          <w:szCs w:val="18"/>
                        </w:rPr>
                        <w:t>* Europaparlamentets och rådets direktiv 2008/101/EG av den 19 november 2008 om ändring av direktiv 2003/87/EG så att luftfartsverksamhet införs i systemet för handel med utsläppsrätter för växthusgaser inom gemenskapen.</w:t>
                      </w:r>
                    </w:p>
                    <w:p w14:paraId="009D0DCD" w14:textId="77777777" w:rsidR="0017587A" w:rsidRDefault="0017587A">
                      <w:pPr>
                        <w:jc w:val="both"/>
                        <w:rPr>
                          <w:rFonts w:ascii="Times New Roman" w:hAnsi="Times New Roman"/>
                          <w:sz w:val="24"/>
                          <w:szCs w:val="24"/>
                        </w:rPr>
                      </w:pPr>
                    </w:p>
                    <w:p w14:paraId="24272EB1" w14:textId="77777777" w:rsidR="0017587A" w:rsidRDefault="0017587A">
                      <w:pPr>
                        <w:jc w:val="both"/>
                        <w:rPr>
                          <w:rFonts w:ascii="Times New Roman" w:hAnsi="Times New Roman"/>
                          <w:sz w:val="24"/>
                          <w:szCs w:val="24"/>
                        </w:rPr>
                      </w:pPr>
                    </w:p>
                    <w:p w14:paraId="0E36FF24" w14:textId="77777777" w:rsidR="0017587A" w:rsidRDefault="0017587A">
                      <w:pPr>
                        <w:jc w:val="both"/>
                        <w:rPr>
                          <w:rFonts w:ascii="Times New Roman" w:hAnsi="Times New Roman"/>
                          <w:sz w:val="24"/>
                          <w:szCs w:val="24"/>
                        </w:rPr>
                      </w:pPr>
                    </w:p>
                    <w:p w14:paraId="6EE6C7F4" w14:textId="77777777" w:rsidR="0017587A" w:rsidRDefault="0017587A">
                      <w:pPr>
                        <w:jc w:val="both"/>
                      </w:pPr>
                    </w:p>
                    <w:p w14:paraId="2691C2DB" w14:textId="77777777" w:rsidR="0017587A" w:rsidRDefault="0017587A">
                      <w:pPr>
                        <w:jc w:val="both"/>
                        <w:rPr>
                          <w:rFonts w:ascii="Times New Roman" w:hAnsi="Times New Roman"/>
                          <w:sz w:val="24"/>
                          <w:szCs w:val="24"/>
                        </w:rPr>
                      </w:pPr>
                    </w:p>
                    <w:p w14:paraId="40ED1A4F" w14:textId="77777777" w:rsidR="0017587A" w:rsidRDefault="0017587A"/>
                  </w:txbxContent>
                </v:textbox>
                <w10:anchorlock/>
              </v:shape>
            </w:pict>
          </mc:Fallback>
        </mc:AlternateContent>
      </w:r>
    </w:p>
    <w:p w14:paraId="3DBD99C6" w14:textId="77777777" w:rsidR="0017587A" w:rsidRDefault="003A348D">
      <w:pPr>
        <w:spacing w:after="0"/>
        <w:jc w:val="both"/>
        <w:rPr>
          <w:rFonts w:ascii="Times New Roman" w:hAnsi="Times New Roman"/>
          <w:sz w:val="24"/>
          <w:szCs w:val="24"/>
        </w:rPr>
      </w:pPr>
      <w:r>
        <w:rPr>
          <w:rFonts w:ascii="Times New Roman" w:hAnsi="Times New Roman"/>
        </w:rPr>
        <w:t>I tabell 1 visas siffrorna för taket för fasta anläggningar och antalet utsläppsrätter för luftfart som sattes i omlopp</w:t>
      </w:r>
      <w:r>
        <w:rPr>
          <w:rStyle w:val="FootnoteReference"/>
          <w:rFonts w:ascii="Times New Roman" w:hAnsi="Times New Roman"/>
        </w:rPr>
        <w:footnoteReference w:id="15"/>
      </w:r>
      <w:r>
        <w:rPr>
          <w:rFonts w:ascii="Times New Roman" w:hAnsi="Times New Roman"/>
        </w:rPr>
        <w:t xml:space="preserve"> varje år under fas 3 av EU:s utsläppshandelssystem.</w:t>
      </w:r>
    </w:p>
    <w:p w14:paraId="2DC124A9" w14:textId="77777777" w:rsidR="0017587A" w:rsidRDefault="0017587A">
      <w:pPr>
        <w:spacing w:after="0"/>
        <w:jc w:val="both"/>
        <w:rPr>
          <w:rFonts w:ascii="Times New Roman" w:hAnsi="Times New Roman"/>
          <w:sz w:val="24"/>
          <w:szCs w:val="24"/>
        </w:rPr>
      </w:pPr>
    </w:p>
    <w:p w14:paraId="65A8382A" w14:textId="77777777" w:rsidR="0017587A" w:rsidRDefault="0017587A">
      <w:pPr>
        <w:spacing w:after="0"/>
        <w:jc w:val="both"/>
        <w:rPr>
          <w:rFonts w:ascii="Times New Roman" w:hAnsi="Times New Roman"/>
          <w:sz w:val="24"/>
          <w:szCs w:val="24"/>
        </w:rPr>
      </w:pPr>
    </w:p>
    <w:p w14:paraId="017F9C1F" w14:textId="77777777" w:rsidR="0017587A" w:rsidRDefault="0017587A">
      <w:pPr>
        <w:spacing w:after="0"/>
        <w:jc w:val="both"/>
        <w:rPr>
          <w:rFonts w:ascii="Times New Roman" w:hAnsi="Times New Roman"/>
          <w:sz w:val="24"/>
          <w:szCs w:val="24"/>
        </w:rPr>
      </w:pPr>
    </w:p>
    <w:p w14:paraId="17950437" w14:textId="77777777" w:rsidR="0017587A" w:rsidRDefault="0017587A">
      <w:pPr>
        <w:spacing w:after="0"/>
        <w:jc w:val="both"/>
        <w:rPr>
          <w:rFonts w:ascii="Times New Roman" w:hAnsi="Times New Roman"/>
          <w:sz w:val="24"/>
          <w:szCs w:val="24"/>
        </w:rPr>
      </w:pPr>
    </w:p>
    <w:p w14:paraId="4ACF793D" w14:textId="77777777" w:rsidR="0017587A" w:rsidRDefault="0017587A">
      <w:pPr>
        <w:spacing w:after="0"/>
        <w:jc w:val="both"/>
        <w:rPr>
          <w:rFonts w:ascii="Times New Roman" w:hAnsi="Times New Roman"/>
          <w:sz w:val="24"/>
          <w:szCs w:val="24"/>
        </w:rPr>
      </w:pPr>
    </w:p>
    <w:p w14:paraId="146AF48A" w14:textId="77777777" w:rsidR="0017587A" w:rsidRDefault="0017587A">
      <w:pPr>
        <w:spacing w:after="0"/>
        <w:jc w:val="both"/>
        <w:rPr>
          <w:rFonts w:ascii="Times New Roman" w:hAnsi="Times New Roman"/>
          <w:sz w:val="24"/>
          <w:szCs w:val="24"/>
        </w:rPr>
      </w:pPr>
    </w:p>
    <w:p w14:paraId="663405FB" w14:textId="77777777" w:rsidR="0017587A" w:rsidRDefault="0017587A">
      <w:pPr>
        <w:spacing w:after="0"/>
        <w:jc w:val="both"/>
        <w:rPr>
          <w:rFonts w:ascii="Times New Roman" w:hAnsi="Times New Roman"/>
          <w:b/>
        </w:rPr>
      </w:pPr>
    </w:p>
    <w:p w14:paraId="74D662B2" w14:textId="77777777" w:rsidR="0017587A" w:rsidRDefault="0017587A">
      <w:pPr>
        <w:spacing w:after="0"/>
        <w:jc w:val="both"/>
        <w:rPr>
          <w:rFonts w:ascii="Times New Roman" w:hAnsi="Times New Roman"/>
          <w:b/>
        </w:rPr>
      </w:pPr>
    </w:p>
    <w:p w14:paraId="5F9531CF" w14:textId="77777777" w:rsidR="0017587A" w:rsidRDefault="0017587A">
      <w:pPr>
        <w:jc w:val="both"/>
        <w:rPr>
          <w:rFonts w:ascii="Times New Roman" w:hAnsi="Times New Roman"/>
          <w:b/>
        </w:rPr>
      </w:pPr>
    </w:p>
    <w:p w14:paraId="79A4C8CF" w14:textId="77777777" w:rsidR="0017587A" w:rsidRDefault="003A348D">
      <w:pPr>
        <w:jc w:val="both"/>
        <w:rPr>
          <w:rFonts w:ascii="Times New Roman" w:hAnsi="Times New Roman"/>
          <w:b/>
          <w:bCs/>
          <w:sz w:val="20"/>
          <w:szCs w:val="20"/>
        </w:rPr>
      </w:pPr>
      <w:r>
        <w:rPr>
          <w:rFonts w:ascii="Times New Roman" w:hAnsi="Times New Roman"/>
          <w:b/>
        </w:rPr>
        <w:t>Tabell 1: Tak för EU:s utsläppshandelssystem 2013–2020</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4"/>
        <w:gridCol w:w="3207"/>
        <w:gridCol w:w="3810"/>
      </w:tblGrid>
      <w:tr w:rsidR="0017587A" w14:paraId="5E43DF45" w14:textId="77777777">
        <w:trPr>
          <w:trHeight w:val="615"/>
          <w:jc w:val="center"/>
        </w:trPr>
        <w:tc>
          <w:tcPr>
            <w:tcW w:w="1994" w:type="dxa"/>
          </w:tcPr>
          <w:p w14:paraId="41B89BA5" w14:textId="77777777" w:rsidR="0017587A" w:rsidRDefault="003A348D">
            <w:pPr>
              <w:jc w:val="center"/>
              <w:rPr>
                <w:rFonts w:ascii="Times New Roman" w:hAnsi="Times New Roman"/>
                <w:b/>
              </w:rPr>
            </w:pPr>
            <w:r>
              <w:rPr>
                <w:rFonts w:ascii="Times New Roman" w:hAnsi="Times New Roman"/>
                <w:b/>
              </w:rPr>
              <w:br/>
              <w:t>År</w:t>
            </w:r>
          </w:p>
          <w:p w14:paraId="6237D8E3" w14:textId="77777777" w:rsidR="0017587A" w:rsidRDefault="0017587A">
            <w:pPr>
              <w:jc w:val="center"/>
              <w:rPr>
                <w:b/>
              </w:rPr>
            </w:pPr>
          </w:p>
        </w:tc>
        <w:tc>
          <w:tcPr>
            <w:tcW w:w="3207" w:type="dxa"/>
          </w:tcPr>
          <w:p w14:paraId="13887567" w14:textId="77777777" w:rsidR="0017587A" w:rsidRDefault="003A348D">
            <w:pPr>
              <w:jc w:val="center"/>
              <w:rPr>
                <w:b/>
              </w:rPr>
            </w:pPr>
            <w:r>
              <w:rPr>
                <w:rFonts w:ascii="Times New Roman" w:hAnsi="Times New Roman"/>
                <w:b/>
              </w:rPr>
              <w:br/>
              <w:t>Årligt tak (fasta anläggningar)</w:t>
            </w:r>
          </w:p>
        </w:tc>
        <w:tc>
          <w:tcPr>
            <w:tcW w:w="3810" w:type="dxa"/>
          </w:tcPr>
          <w:p w14:paraId="750CAA56" w14:textId="77777777" w:rsidR="0017587A" w:rsidRDefault="0017587A">
            <w:pPr>
              <w:jc w:val="center"/>
              <w:rPr>
                <w:rFonts w:ascii="Times New Roman" w:hAnsi="Times New Roman"/>
                <w:b/>
              </w:rPr>
            </w:pPr>
          </w:p>
          <w:p w14:paraId="01EF8EBF" w14:textId="77777777" w:rsidR="0017587A" w:rsidRDefault="003A348D">
            <w:pPr>
              <w:jc w:val="center"/>
              <w:rPr>
                <w:rFonts w:ascii="Times New Roman" w:hAnsi="Times New Roman"/>
                <w:b/>
              </w:rPr>
            </w:pPr>
            <w:r>
              <w:rPr>
                <w:rFonts w:ascii="Times New Roman" w:hAnsi="Times New Roman"/>
                <w:b/>
              </w:rPr>
              <w:t>Antal utsläppsrätter för luftfart som årligen satts i omlopp</w:t>
            </w:r>
            <w:r>
              <w:rPr>
                <w:rStyle w:val="FootnoteReference"/>
                <w:rFonts w:ascii="Times New Roman" w:hAnsi="Times New Roman"/>
                <w:b/>
              </w:rPr>
              <w:footnoteReference w:id="16"/>
            </w:r>
          </w:p>
        </w:tc>
      </w:tr>
      <w:tr w:rsidR="0017587A" w14:paraId="0CFB8858" w14:textId="77777777">
        <w:trPr>
          <w:trHeight w:val="546"/>
          <w:jc w:val="center"/>
        </w:trPr>
        <w:tc>
          <w:tcPr>
            <w:tcW w:w="1994" w:type="dxa"/>
          </w:tcPr>
          <w:p w14:paraId="6CD94883" w14:textId="77777777" w:rsidR="0017587A" w:rsidRDefault="003A348D">
            <w:pPr>
              <w:jc w:val="center"/>
              <w:rPr>
                <w:rFonts w:ascii="Times New Roman" w:hAnsi="Times New Roman"/>
              </w:rPr>
            </w:pPr>
            <w:r>
              <w:rPr>
                <w:rFonts w:ascii="Times New Roman" w:hAnsi="Times New Roman"/>
              </w:rPr>
              <w:br/>
              <w:t>2013</w:t>
            </w:r>
          </w:p>
          <w:p w14:paraId="66BFB064" w14:textId="77777777" w:rsidR="0017587A" w:rsidRDefault="0017587A">
            <w:pPr>
              <w:jc w:val="center"/>
            </w:pPr>
          </w:p>
        </w:tc>
        <w:tc>
          <w:tcPr>
            <w:tcW w:w="3207" w:type="dxa"/>
          </w:tcPr>
          <w:p w14:paraId="62DECE42" w14:textId="77777777" w:rsidR="0017587A" w:rsidRDefault="003A348D">
            <w:pPr>
              <w:jc w:val="center"/>
            </w:pPr>
            <w:r>
              <w:rPr>
                <w:rFonts w:ascii="Times New Roman" w:hAnsi="Times New Roman"/>
              </w:rPr>
              <w:br/>
              <w:t>2 084 301 856</w:t>
            </w:r>
          </w:p>
        </w:tc>
        <w:tc>
          <w:tcPr>
            <w:tcW w:w="3810" w:type="dxa"/>
          </w:tcPr>
          <w:p w14:paraId="189BA354" w14:textId="77777777" w:rsidR="0017587A" w:rsidRDefault="0017587A">
            <w:pPr>
              <w:jc w:val="center"/>
              <w:rPr>
                <w:rFonts w:ascii="Times New Roman" w:hAnsi="Times New Roman"/>
              </w:rPr>
            </w:pPr>
          </w:p>
          <w:p w14:paraId="25D58FD4" w14:textId="77777777" w:rsidR="0017587A" w:rsidRDefault="003A348D">
            <w:pPr>
              <w:jc w:val="center"/>
              <w:rPr>
                <w:rFonts w:ascii="Times New Roman" w:hAnsi="Times New Roman"/>
              </w:rPr>
            </w:pPr>
            <w:r>
              <w:rPr>
                <w:rFonts w:ascii="Times New Roman" w:hAnsi="Times New Roman"/>
              </w:rPr>
              <w:t>32 455 296</w:t>
            </w:r>
          </w:p>
        </w:tc>
      </w:tr>
      <w:tr w:rsidR="0017587A" w14:paraId="1261E305" w14:textId="77777777">
        <w:trPr>
          <w:trHeight w:val="534"/>
          <w:jc w:val="center"/>
        </w:trPr>
        <w:tc>
          <w:tcPr>
            <w:tcW w:w="1994" w:type="dxa"/>
          </w:tcPr>
          <w:p w14:paraId="28AA40A8" w14:textId="77777777" w:rsidR="0017587A" w:rsidRDefault="003A348D">
            <w:pPr>
              <w:jc w:val="center"/>
              <w:rPr>
                <w:rFonts w:ascii="Times New Roman" w:hAnsi="Times New Roman"/>
              </w:rPr>
            </w:pPr>
            <w:r>
              <w:rPr>
                <w:rFonts w:ascii="Times New Roman" w:hAnsi="Times New Roman"/>
              </w:rPr>
              <w:br/>
              <w:t>2014</w:t>
            </w:r>
          </w:p>
          <w:p w14:paraId="267F38B6" w14:textId="77777777" w:rsidR="0017587A" w:rsidRDefault="0017587A">
            <w:pPr>
              <w:jc w:val="center"/>
            </w:pPr>
          </w:p>
        </w:tc>
        <w:tc>
          <w:tcPr>
            <w:tcW w:w="3207" w:type="dxa"/>
          </w:tcPr>
          <w:p w14:paraId="79AF631F" w14:textId="77777777" w:rsidR="0017587A" w:rsidRDefault="003A348D">
            <w:pPr>
              <w:jc w:val="center"/>
            </w:pPr>
            <w:r>
              <w:rPr>
                <w:rFonts w:ascii="Times New Roman" w:hAnsi="Times New Roman"/>
              </w:rPr>
              <w:br/>
              <w:t>2 046 037 610</w:t>
            </w:r>
          </w:p>
        </w:tc>
        <w:tc>
          <w:tcPr>
            <w:tcW w:w="3810" w:type="dxa"/>
          </w:tcPr>
          <w:p w14:paraId="587AA7A1" w14:textId="77777777" w:rsidR="0017587A" w:rsidRDefault="0017587A">
            <w:pPr>
              <w:jc w:val="center"/>
              <w:rPr>
                <w:rFonts w:ascii="Times New Roman" w:hAnsi="Times New Roman"/>
              </w:rPr>
            </w:pPr>
          </w:p>
          <w:p w14:paraId="747D9FA1" w14:textId="77777777" w:rsidR="0017587A" w:rsidRDefault="003A348D">
            <w:pPr>
              <w:jc w:val="center"/>
              <w:rPr>
                <w:rFonts w:ascii="Times New Roman" w:hAnsi="Times New Roman"/>
              </w:rPr>
            </w:pPr>
            <w:r>
              <w:rPr>
                <w:rFonts w:ascii="Times New Roman" w:hAnsi="Times New Roman"/>
              </w:rPr>
              <w:t>41 866 834</w:t>
            </w:r>
          </w:p>
        </w:tc>
      </w:tr>
      <w:tr w:rsidR="0017587A" w14:paraId="02AF42D9" w14:textId="77777777">
        <w:trPr>
          <w:trHeight w:val="522"/>
          <w:jc w:val="center"/>
        </w:trPr>
        <w:tc>
          <w:tcPr>
            <w:tcW w:w="1994" w:type="dxa"/>
          </w:tcPr>
          <w:p w14:paraId="504EF049" w14:textId="77777777" w:rsidR="0017587A" w:rsidRDefault="003A348D">
            <w:pPr>
              <w:jc w:val="center"/>
              <w:rPr>
                <w:rFonts w:ascii="Times New Roman" w:hAnsi="Times New Roman"/>
              </w:rPr>
            </w:pPr>
            <w:r>
              <w:rPr>
                <w:rFonts w:ascii="Times New Roman" w:hAnsi="Times New Roman"/>
              </w:rPr>
              <w:br/>
              <w:t>2015</w:t>
            </w:r>
          </w:p>
          <w:p w14:paraId="7F650691" w14:textId="77777777" w:rsidR="0017587A" w:rsidRDefault="0017587A">
            <w:pPr>
              <w:jc w:val="center"/>
            </w:pPr>
          </w:p>
        </w:tc>
        <w:tc>
          <w:tcPr>
            <w:tcW w:w="3207" w:type="dxa"/>
          </w:tcPr>
          <w:p w14:paraId="61B9F803" w14:textId="77777777" w:rsidR="0017587A" w:rsidRDefault="003A348D">
            <w:pPr>
              <w:jc w:val="center"/>
            </w:pPr>
            <w:r>
              <w:rPr>
                <w:rFonts w:ascii="Times New Roman" w:hAnsi="Times New Roman"/>
              </w:rPr>
              <w:br/>
              <w:t>2 007 773 364</w:t>
            </w:r>
          </w:p>
        </w:tc>
        <w:tc>
          <w:tcPr>
            <w:tcW w:w="3810" w:type="dxa"/>
          </w:tcPr>
          <w:p w14:paraId="366C775D" w14:textId="77777777" w:rsidR="0017587A" w:rsidRDefault="0017587A">
            <w:pPr>
              <w:jc w:val="center"/>
              <w:rPr>
                <w:rFonts w:ascii="Times New Roman" w:hAnsi="Times New Roman"/>
              </w:rPr>
            </w:pPr>
          </w:p>
          <w:p w14:paraId="7A2BF051" w14:textId="77777777" w:rsidR="0017587A" w:rsidRDefault="003A348D">
            <w:pPr>
              <w:jc w:val="center"/>
              <w:rPr>
                <w:rFonts w:ascii="Times New Roman" w:hAnsi="Times New Roman"/>
              </w:rPr>
            </w:pPr>
            <w:r>
              <w:rPr>
                <w:rFonts w:ascii="Times New Roman" w:hAnsi="Times New Roman"/>
              </w:rPr>
              <w:t>50 669 024</w:t>
            </w:r>
          </w:p>
        </w:tc>
      </w:tr>
      <w:tr w:rsidR="0017587A" w14:paraId="2C4C51AD" w14:textId="77777777">
        <w:trPr>
          <w:trHeight w:val="510"/>
          <w:jc w:val="center"/>
        </w:trPr>
        <w:tc>
          <w:tcPr>
            <w:tcW w:w="1994" w:type="dxa"/>
          </w:tcPr>
          <w:p w14:paraId="18A43635" w14:textId="77777777" w:rsidR="0017587A" w:rsidRDefault="003A348D">
            <w:pPr>
              <w:jc w:val="center"/>
              <w:rPr>
                <w:rFonts w:ascii="Times New Roman" w:hAnsi="Times New Roman"/>
              </w:rPr>
            </w:pPr>
            <w:r>
              <w:rPr>
                <w:rFonts w:ascii="Times New Roman" w:hAnsi="Times New Roman"/>
              </w:rPr>
              <w:br/>
              <w:t>2016</w:t>
            </w:r>
          </w:p>
          <w:p w14:paraId="6EC04BA5" w14:textId="77777777" w:rsidR="0017587A" w:rsidRDefault="0017587A">
            <w:pPr>
              <w:jc w:val="center"/>
              <w:rPr>
                <w:rFonts w:ascii="Times New Roman" w:hAnsi="Times New Roman"/>
              </w:rPr>
            </w:pPr>
          </w:p>
        </w:tc>
        <w:tc>
          <w:tcPr>
            <w:tcW w:w="3207" w:type="dxa"/>
          </w:tcPr>
          <w:p w14:paraId="6222F938" w14:textId="77777777" w:rsidR="0017587A" w:rsidRDefault="003A348D">
            <w:pPr>
              <w:jc w:val="center"/>
              <w:rPr>
                <w:rFonts w:ascii="Times New Roman" w:hAnsi="Times New Roman"/>
              </w:rPr>
            </w:pPr>
            <w:r>
              <w:rPr>
                <w:rFonts w:ascii="Times New Roman" w:hAnsi="Times New Roman"/>
              </w:rPr>
              <w:br/>
              <w:t>1 969 509 118</w:t>
            </w:r>
          </w:p>
        </w:tc>
        <w:tc>
          <w:tcPr>
            <w:tcW w:w="3810" w:type="dxa"/>
          </w:tcPr>
          <w:p w14:paraId="72BFB1FB" w14:textId="77777777" w:rsidR="0017587A" w:rsidRDefault="0017587A">
            <w:pPr>
              <w:jc w:val="center"/>
              <w:rPr>
                <w:rFonts w:ascii="Times New Roman" w:hAnsi="Times New Roman"/>
              </w:rPr>
            </w:pPr>
          </w:p>
          <w:p w14:paraId="3F1BE5D1" w14:textId="77777777" w:rsidR="0017587A" w:rsidRDefault="003A348D">
            <w:pPr>
              <w:jc w:val="center"/>
              <w:rPr>
                <w:rFonts w:ascii="Times New Roman" w:hAnsi="Times New Roman"/>
              </w:rPr>
            </w:pPr>
            <w:r>
              <w:rPr>
                <w:rFonts w:ascii="Times New Roman" w:hAnsi="Times New Roman"/>
              </w:rPr>
              <w:t>38 879 316</w:t>
            </w:r>
          </w:p>
        </w:tc>
      </w:tr>
      <w:tr w:rsidR="0017587A" w14:paraId="447C4087" w14:textId="77777777">
        <w:trPr>
          <w:trHeight w:val="603"/>
          <w:jc w:val="center"/>
        </w:trPr>
        <w:tc>
          <w:tcPr>
            <w:tcW w:w="1994" w:type="dxa"/>
          </w:tcPr>
          <w:p w14:paraId="06E63005" w14:textId="77777777" w:rsidR="0017587A" w:rsidRDefault="003A348D">
            <w:pPr>
              <w:jc w:val="center"/>
              <w:rPr>
                <w:rFonts w:ascii="Times New Roman" w:hAnsi="Times New Roman"/>
              </w:rPr>
            </w:pPr>
            <w:r>
              <w:rPr>
                <w:rFonts w:ascii="Times New Roman" w:hAnsi="Times New Roman"/>
              </w:rPr>
              <w:br/>
              <w:t>2017</w:t>
            </w:r>
          </w:p>
          <w:p w14:paraId="47CCDEF2" w14:textId="77777777" w:rsidR="0017587A" w:rsidRDefault="0017587A">
            <w:pPr>
              <w:jc w:val="center"/>
              <w:rPr>
                <w:rFonts w:ascii="Times New Roman" w:hAnsi="Times New Roman"/>
              </w:rPr>
            </w:pPr>
          </w:p>
        </w:tc>
        <w:tc>
          <w:tcPr>
            <w:tcW w:w="3207" w:type="dxa"/>
          </w:tcPr>
          <w:p w14:paraId="1991CD6C" w14:textId="77777777" w:rsidR="0017587A" w:rsidRDefault="003A348D">
            <w:pPr>
              <w:jc w:val="center"/>
              <w:rPr>
                <w:rFonts w:ascii="Times New Roman" w:hAnsi="Times New Roman"/>
              </w:rPr>
            </w:pPr>
            <w:r>
              <w:rPr>
                <w:rFonts w:ascii="Times New Roman" w:hAnsi="Times New Roman"/>
              </w:rPr>
              <w:br/>
              <w:t>1 931 244 873</w:t>
            </w:r>
          </w:p>
        </w:tc>
        <w:tc>
          <w:tcPr>
            <w:tcW w:w="3810" w:type="dxa"/>
          </w:tcPr>
          <w:p w14:paraId="0982641B" w14:textId="77777777" w:rsidR="0017587A" w:rsidRDefault="0017587A">
            <w:pPr>
              <w:jc w:val="center"/>
              <w:rPr>
                <w:rFonts w:ascii="Times New Roman" w:hAnsi="Times New Roman"/>
              </w:rPr>
            </w:pPr>
          </w:p>
          <w:p w14:paraId="6A47184D" w14:textId="77777777" w:rsidR="0017587A" w:rsidRDefault="003A348D">
            <w:pPr>
              <w:jc w:val="center"/>
              <w:rPr>
                <w:rFonts w:ascii="Times New Roman" w:hAnsi="Times New Roman"/>
              </w:rPr>
            </w:pPr>
            <w:r>
              <w:rPr>
                <w:rFonts w:ascii="Times New Roman" w:hAnsi="Times New Roman"/>
              </w:rPr>
              <w:t>38 711 651</w:t>
            </w:r>
          </w:p>
        </w:tc>
      </w:tr>
      <w:tr w:rsidR="0017587A" w14:paraId="7E9EDB71" w14:textId="77777777">
        <w:trPr>
          <w:trHeight w:val="603"/>
          <w:jc w:val="center"/>
        </w:trPr>
        <w:tc>
          <w:tcPr>
            <w:tcW w:w="1994" w:type="dxa"/>
          </w:tcPr>
          <w:p w14:paraId="6DC44CDD" w14:textId="77777777" w:rsidR="0017587A" w:rsidRDefault="003A348D">
            <w:pPr>
              <w:jc w:val="center"/>
              <w:rPr>
                <w:rFonts w:ascii="Times New Roman" w:hAnsi="Times New Roman"/>
              </w:rPr>
            </w:pPr>
            <w:r>
              <w:rPr>
                <w:rFonts w:ascii="Times New Roman" w:hAnsi="Times New Roman"/>
              </w:rPr>
              <w:br/>
              <w:t>2018</w:t>
            </w:r>
          </w:p>
          <w:p w14:paraId="1EC5A19D" w14:textId="77777777" w:rsidR="0017587A" w:rsidRDefault="0017587A">
            <w:pPr>
              <w:jc w:val="center"/>
              <w:rPr>
                <w:rFonts w:ascii="Times New Roman" w:hAnsi="Times New Roman"/>
              </w:rPr>
            </w:pPr>
          </w:p>
        </w:tc>
        <w:tc>
          <w:tcPr>
            <w:tcW w:w="3207" w:type="dxa"/>
          </w:tcPr>
          <w:p w14:paraId="1ED5CA18" w14:textId="77777777" w:rsidR="0017587A" w:rsidRDefault="003A348D">
            <w:pPr>
              <w:jc w:val="center"/>
              <w:rPr>
                <w:rFonts w:ascii="Times New Roman" w:hAnsi="Times New Roman"/>
              </w:rPr>
            </w:pPr>
            <w:r>
              <w:rPr>
                <w:rFonts w:ascii="Times New Roman" w:hAnsi="Times New Roman"/>
              </w:rPr>
              <w:br/>
              <w:t>1 892 980 627</w:t>
            </w:r>
          </w:p>
        </w:tc>
        <w:tc>
          <w:tcPr>
            <w:tcW w:w="3810" w:type="dxa"/>
          </w:tcPr>
          <w:p w14:paraId="0AB6CE31" w14:textId="77777777" w:rsidR="0017587A" w:rsidRDefault="0017587A">
            <w:pPr>
              <w:jc w:val="center"/>
              <w:rPr>
                <w:rFonts w:ascii="Times New Roman" w:hAnsi="Times New Roman"/>
              </w:rPr>
            </w:pPr>
          </w:p>
          <w:p w14:paraId="2210EE9E" w14:textId="77777777" w:rsidR="0017587A" w:rsidRDefault="0071246D">
            <w:pPr>
              <w:jc w:val="center"/>
              <w:rPr>
                <w:rFonts w:ascii="Times New Roman" w:hAnsi="Times New Roman"/>
              </w:rPr>
            </w:pPr>
            <w:r>
              <w:rPr>
                <w:rFonts w:ascii="Times New Roman" w:hAnsi="Times New Roman"/>
              </w:rPr>
              <w:t>38 909 625</w:t>
            </w:r>
          </w:p>
        </w:tc>
      </w:tr>
      <w:tr w:rsidR="0017587A" w14:paraId="716B78B1" w14:textId="77777777">
        <w:trPr>
          <w:trHeight w:val="603"/>
          <w:jc w:val="center"/>
        </w:trPr>
        <w:tc>
          <w:tcPr>
            <w:tcW w:w="1994" w:type="dxa"/>
          </w:tcPr>
          <w:p w14:paraId="2F557929" w14:textId="77777777" w:rsidR="0017587A" w:rsidRDefault="003A348D">
            <w:pPr>
              <w:jc w:val="center"/>
              <w:rPr>
                <w:rFonts w:ascii="Times New Roman" w:hAnsi="Times New Roman"/>
              </w:rPr>
            </w:pPr>
            <w:r>
              <w:rPr>
                <w:rFonts w:ascii="Times New Roman" w:hAnsi="Times New Roman"/>
              </w:rPr>
              <w:br/>
              <w:t>2019</w:t>
            </w:r>
          </w:p>
          <w:p w14:paraId="7D15DE27" w14:textId="77777777" w:rsidR="0017587A" w:rsidRDefault="0017587A">
            <w:pPr>
              <w:jc w:val="center"/>
              <w:rPr>
                <w:rFonts w:ascii="Times New Roman" w:hAnsi="Times New Roman"/>
              </w:rPr>
            </w:pPr>
          </w:p>
        </w:tc>
        <w:tc>
          <w:tcPr>
            <w:tcW w:w="3207" w:type="dxa"/>
          </w:tcPr>
          <w:p w14:paraId="4AF86A37" w14:textId="77777777" w:rsidR="0017587A" w:rsidRDefault="003A348D">
            <w:pPr>
              <w:jc w:val="center"/>
              <w:rPr>
                <w:rFonts w:ascii="Times New Roman" w:hAnsi="Times New Roman"/>
              </w:rPr>
            </w:pPr>
            <w:r>
              <w:rPr>
                <w:rFonts w:ascii="Times New Roman" w:hAnsi="Times New Roman"/>
              </w:rPr>
              <w:br/>
              <w:t>1 854 716 381</w:t>
            </w:r>
          </w:p>
        </w:tc>
        <w:tc>
          <w:tcPr>
            <w:tcW w:w="3810" w:type="dxa"/>
          </w:tcPr>
          <w:p w14:paraId="370F971F" w14:textId="77777777" w:rsidR="0017587A" w:rsidRDefault="0017587A">
            <w:pPr>
              <w:jc w:val="center"/>
              <w:rPr>
                <w:rFonts w:ascii="Times New Roman" w:hAnsi="Times New Roman"/>
              </w:rPr>
            </w:pPr>
          </w:p>
          <w:p w14:paraId="6C25639D" w14:textId="77777777" w:rsidR="0017587A" w:rsidRDefault="0071246D">
            <w:pPr>
              <w:jc w:val="center"/>
              <w:rPr>
                <w:rFonts w:ascii="Times New Roman" w:hAnsi="Times New Roman"/>
              </w:rPr>
            </w:pPr>
            <w:r>
              <w:rPr>
                <w:rFonts w:ascii="Times New Roman" w:hAnsi="Times New Roman"/>
              </w:rPr>
              <w:t>35 172 897</w:t>
            </w:r>
            <w:r>
              <w:rPr>
                <w:rStyle w:val="FootnoteReference"/>
                <w:rFonts w:ascii="Times New Roman" w:hAnsi="Times New Roman"/>
              </w:rPr>
              <w:footnoteReference w:id="17"/>
            </w:r>
          </w:p>
        </w:tc>
      </w:tr>
      <w:tr w:rsidR="0017587A" w14:paraId="029C7B0D" w14:textId="77777777">
        <w:trPr>
          <w:trHeight w:val="510"/>
          <w:jc w:val="center"/>
        </w:trPr>
        <w:tc>
          <w:tcPr>
            <w:tcW w:w="1994" w:type="dxa"/>
          </w:tcPr>
          <w:p w14:paraId="4302057A" w14:textId="77777777" w:rsidR="0017587A" w:rsidRDefault="003A348D">
            <w:pPr>
              <w:jc w:val="center"/>
              <w:rPr>
                <w:rFonts w:ascii="Times New Roman" w:hAnsi="Times New Roman"/>
              </w:rPr>
            </w:pPr>
            <w:r>
              <w:rPr>
                <w:rFonts w:ascii="Times New Roman" w:hAnsi="Times New Roman"/>
              </w:rPr>
              <w:br/>
              <w:t>2020</w:t>
            </w:r>
          </w:p>
          <w:p w14:paraId="3F98F7CE" w14:textId="77777777" w:rsidR="0017587A" w:rsidRDefault="0017587A">
            <w:pPr>
              <w:jc w:val="center"/>
              <w:rPr>
                <w:rFonts w:ascii="Times New Roman" w:hAnsi="Times New Roman"/>
              </w:rPr>
            </w:pPr>
          </w:p>
        </w:tc>
        <w:tc>
          <w:tcPr>
            <w:tcW w:w="3207" w:type="dxa"/>
          </w:tcPr>
          <w:p w14:paraId="6A67758C" w14:textId="77777777" w:rsidR="0017587A" w:rsidRDefault="003A348D">
            <w:pPr>
              <w:jc w:val="center"/>
            </w:pPr>
            <w:r>
              <w:rPr>
                <w:rFonts w:ascii="Times New Roman" w:hAnsi="Times New Roman"/>
              </w:rPr>
              <w:br/>
              <w:t>1 816 452 135</w:t>
            </w:r>
          </w:p>
        </w:tc>
        <w:tc>
          <w:tcPr>
            <w:tcW w:w="3810" w:type="dxa"/>
          </w:tcPr>
          <w:p w14:paraId="1E15624A" w14:textId="77777777" w:rsidR="0017587A" w:rsidRDefault="0017587A">
            <w:pPr>
              <w:jc w:val="center"/>
              <w:rPr>
                <w:rFonts w:ascii="Times New Roman" w:hAnsi="Times New Roman"/>
              </w:rPr>
            </w:pPr>
          </w:p>
          <w:p w14:paraId="35686FF9" w14:textId="77777777" w:rsidR="0017587A" w:rsidRDefault="0017587A">
            <w:pPr>
              <w:jc w:val="center"/>
              <w:rPr>
                <w:rFonts w:ascii="Times New Roman" w:hAnsi="Times New Roman"/>
              </w:rPr>
            </w:pPr>
          </w:p>
        </w:tc>
      </w:tr>
    </w:tbl>
    <w:p w14:paraId="48296229" w14:textId="77777777" w:rsidR="0017587A" w:rsidRDefault="00A52F4C">
      <w:pPr>
        <w:pStyle w:val="Heading3"/>
        <w:spacing w:before="0" w:after="200"/>
        <w:ind w:left="720"/>
      </w:pPr>
      <w:bookmarkStart w:id="10" w:name="_Toc23755267"/>
      <w:r>
        <w:t>3.1.2 Utfärdade utsläppsrätter</w:t>
      </w:r>
      <w:bookmarkEnd w:id="10"/>
    </w:p>
    <w:p w14:paraId="76A7A0D3" w14:textId="77777777" w:rsidR="0017587A" w:rsidRDefault="00A52F4C">
      <w:pPr>
        <w:pStyle w:val="Heading4"/>
        <w:spacing w:before="0" w:after="200"/>
        <w:ind w:left="1080"/>
      </w:pPr>
      <w:bookmarkStart w:id="11" w:name="_Toc23755268"/>
      <w:r>
        <w:t>3.1.2.1. Gratis tilldelning</w:t>
      </w:r>
      <w:bookmarkEnd w:id="11"/>
      <w:r>
        <w:t xml:space="preserve"> </w:t>
      </w:r>
    </w:p>
    <w:p w14:paraId="17D1BF02" w14:textId="77777777" w:rsidR="0017587A" w:rsidRDefault="003A348D">
      <w:pPr>
        <w:jc w:val="both"/>
        <w:rPr>
          <w:rFonts w:ascii="Times New Roman" w:hAnsi="Times New Roman"/>
          <w:sz w:val="24"/>
          <w:szCs w:val="24"/>
        </w:rPr>
      </w:pPr>
      <w:r>
        <w:rPr>
          <w:rFonts w:ascii="Times New Roman" w:hAnsi="Times New Roman"/>
          <w:noProof/>
          <w:lang w:val="en-GB" w:eastAsia="en-GB"/>
        </w:rPr>
        <mc:AlternateContent>
          <mc:Choice Requires="wps">
            <w:drawing>
              <wp:inline distT="0" distB="0" distL="0" distR="0" wp14:anchorId="580257BA" wp14:editId="6CEC638B">
                <wp:extent cx="5749747" cy="4062046"/>
                <wp:effectExtent l="0" t="0" r="22860" b="1524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4062046"/>
                        </a:xfrm>
                        <a:prstGeom prst="rect">
                          <a:avLst/>
                        </a:prstGeom>
                        <a:solidFill>
                          <a:schemeClr val="bg1">
                            <a:lumMod val="85000"/>
                          </a:schemeClr>
                        </a:solidFill>
                        <a:ln w="12700">
                          <a:solidFill>
                            <a:srgbClr val="000000"/>
                          </a:solidFill>
                          <a:miter lim="800000"/>
                          <a:headEnd/>
                          <a:tailEnd/>
                        </a:ln>
                      </wps:spPr>
                      <wps:txbx>
                        <w:txbxContent>
                          <w:p w14:paraId="09080025" w14:textId="77777777" w:rsidR="0017587A" w:rsidRDefault="00516F65">
                            <w:pPr>
                              <w:jc w:val="both"/>
                              <w:rPr>
                                <w:rFonts w:ascii="Times New Roman" w:hAnsi="Times New Roman"/>
                                <w:sz w:val="24"/>
                                <w:szCs w:val="24"/>
                              </w:rPr>
                            </w:pPr>
                            <w:r>
                              <w:rPr>
                                <w:rFonts w:ascii="Times New Roman" w:hAnsi="Times New Roman"/>
                              </w:rPr>
                              <w:t>Under fas 3 av EU:s utsläppshandelssystem blev auktionering standardmetoden för tilldelning av utsläppsrätter, men ett betydande antal utsläppsrätter tilldelas dock gratis. Följande principer tillämpas:</w:t>
                            </w:r>
                          </w:p>
                          <w:p w14:paraId="12FA4896" w14:textId="77777777" w:rsidR="0017587A" w:rsidRDefault="00516F65">
                            <w:pPr>
                              <w:pStyle w:val="ListParagraph"/>
                              <w:numPr>
                                <w:ilvl w:val="0"/>
                                <w:numId w:val="10"/>
                              </w:numPr>
                              <w:spacing w:after="200" w:line="276" w:lineRule="auto"/>
                              <w:jc w:val="both"/>
                              <w:rPr>
                                <w:rFonts w:ascii="Times New Roman" w:hAnsi="Times New Roman"/>
                                <w:sz w:val="24"/>
                                <w:szCs w:val="24"/>
                              </w:rPr>
                            </w:pPr>
                            <w:r>
                              <w:rPr>
                                <w:rFonts w:ascii="Times New Roman" w:hAnsi="Times New Roman"/>
                              </w:rPr>
                              <w:t>Utsläppsrätter tilldelas inte gratis för elproduktion.</w:t>
                            </w:r>
                          </w:p>
                          <w:p w14:paraId="26BF5E5D" w14:textId="77777777" w:rsidR="0017587A" w:rsidRDefault="00516F65">
                            <w:pPr>
                              <w:pStyle w:val="ListParagraph"/>
                              <w:numPr>
                                <w:ilvl w:val="0"/>
                                <w:numId w:val="10"/>
                              </w:numPr>
                              <w:spacing w:after="200" w:line="276" w:lineRule="auto"/>
                              <w:jc w:val="both"/>
                              <w:rPr>
                                <w:rFonts w:ascii="Times New Roman" w:hAnsi="Times New Roman"/>
                                <w:sz w:val="24"/>
                                <w:szCs w:val="24"/>
                              </w:rPr>
                            </w:pPr>
                            <w:r>
                              <w:rPr>
                                <w:rFonts w:ascii="Times New Roman" w:hAnsi="Times New Roman"/>
                              </w:rPr>
                              <w:t>Gratis utsläppsrätter för tillverkningsindustrin fördelas enligt harmoniserade EU-regler.</w:t>
                            </w:r>
                          </w:p>
                          <w:p w14:paraId="1693CE49" w14:textId="77777777" w:rsidR="0017587A" w:rsidRDefault="00516F65">
                            <w:pPr>
                              <w:pStyle w:val="ListParagraph"/>
                              <w:numPr>
                                <w:ilvl w:val="0"/>
                                <w:numId w:val="10"/>
                              </w:numPr>
                              <w:spacing w:after="200" w:line="276" w:lineRule="auto"/>
                              <w:jc w:val="both"/>
                              <w:rPr>
                                <w:rFonts w:ascii="Times New Roman" w:hAnsi="Times New Roman"/>
                                <w:sz w:val="24"/>
                                <w:szCs w:val="24"/>
                              </w:rPr>
                            </w:pPr>
                            <w:r>
                              <w:rPr>
                                <w:rFonts w:ascii="Times New Roman" w:hAnsi="Times New Roman"/>
                              </w:rPr>
                              <w:t>Gratis tilldelning baseras på prestandariktmärken för att stärka incitamenten för att minska utsläppen av växthusgaser och göra innovationer samt belöna de effektivaste anläggningarna.</w:t>
                            </w:r>
                          </w:p>
                          <w:p w14:paraId="3F5D7859" w14:textId="77777777" w:rsidR="0017587A" w:rsidRDefault="00516F65">
                            <w:pPr>
                              <w:pStyle w:val="ListParagraph"/>
                              <w:numPr>
                                <w:ilvl w:val="0"/>
                                <w:numId w:val="10"/>
                              </w:numPr>
                              <w:spacing w:after="200" w:line="276" w:lineRule="auto"/>
                              <w:jc w:val="both"/>
                              <w:rPr>
                                <w:rFonts w:ascii="Times New Roman" w:hAnsi="Times New Roman"/>
                                <w:sz w:val="24"/>
                                <w:szCs w:val="24"/>
                              </w:rPr>
                            </w:pPr>
                            <w:r>
                              <w:rPr>
                                <w:rFonts w:ascii="Times New Roman" w:hAnsi="Times New Roman"/>
                              </w:rPr>
                              <w:t>En ny EU-omfattande reserv för nya deltagare för nya industrianläggningar och anläggningar med väsentligt ökad kapacitet har inrättats, motsvarande 5 % av det totala antalet utsläppsrätter för fas 3.</w:t>
                            </w:r>
                          </w:p>
                          <w:p w14:paraId="7FDEC026" w14:textId="77777777" w:rsidR="0017587A" w:rsidRDefault="00516F65">
                            <w:pPr>
                              <w:jc w:val="both"/>
                              <w:rPr>
                                <w:rFonts w:ascii="Times New Roman" w:hAnsi="Times New Roman"/>
                                <w:sz w:val="24"/>
                                <w:szCs w:val="24"/>
                              </w:rPr>
                            </w:pPr>
                            <w:r>
                              <w:rPr>
                                <w:rFonts w:ascii="Times New Roman" w:hAnsi="Times New Roman"/>
                              </w:rPr>
                              <w:t>Industrianläggningar får gratis tilldelning av utsläppsrätter för att hantera risken för koldioxidläckage (att företag av kostnadsskäl överför produktion till tredjeländer med mindre stränga begränsningar för utsläpp av växthusgaser, vilket kan leda till att deras totala utsläpp ökar). De sektorer och delsektorer som anses löpa avsevärd risk för koldioxidläckage anges i en förteckning*. Ursprungligen gällde förteckningen perioden 2015–2019, men dess giltighetstid förlängdes till den 31 december 2020 genom det reviderade direktivet om EU:s utsläppshandelssystem.</w:t>
                            </w:r>
                          </w:p>
                          <w:p w14:paraId="1F7E7F7F" w14:textId="77777777" w:rsidR="0017587A" w:rsidRDefault="00516F65">
                            <w:pPr>
                              <w:spacing w:line="240" w:lineRule="auto"/>
                              <w:rPr>
                                <w:rFonts w:ascii="Times New Roman" w:hAnsi="Times New Roman"/>
                                <w:sz w:val="18"/>
                                <w:szCs w:val="18"/>
                              </w:rPr>
                            </w:pPr>
                            <w:r>
                              <w:rPr>
                                <w:rFonts w:ascii="Times New Roman" w:hAnsi="Times New Roman"/>
                                <w:sz w:val="18"/>
                                <w:szCs w:val="18"/>
                              </w:rPr>
                              <w:t>*Den aktuella förteckningen finns att tillgå på http://eur-lex.europa.eu/legal-content/SV/ALL/?uri=CELEX:32014D0746</w:t>
                            </w:r>
                          </w:p>
                        </w:txbxContent>
                      </wps:txbx>
                      <wps:bodyPr rot="0" vert="horz" wrap="square" lIns="91440" tIns="45720" rIns="91440" bIns="45720" anchor="t" anchorCtr="0">
                        <a:noAutofit/>
                      </wps:bodyPr>
                    </wps:wsp>
                  </a:graphicData>
                </a:graphic>
              </wp:inline>
            </w:drawing>
          </mc:Choice>
          <mc:Fallback>
            <w:pict>
              <v:shape w14:anchorId="580257BA" id="_x0000_s1030" type="#_x0000_t202" style="width:452.75pt;height:3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" fillcolor="#d8d8d8 [2732]" strokeweight="1pt">
                <v:textbox>
                  <w:txbxContent>
                    <w:p w14:paraId="09080025" w14:textId="77777777" w:rsidR="0017587A" w:rsidRDefault="00516F65">
                      <w:pPr>
                        <w:jc w:val="both"/>
                        <w:rPr>
                          <w:rFonts w:ascii="Times New Roman" w:hAnsi="Times New Roman"/>
                          <w:sz w:val="24"/>
                          <w:szCs w:val="24"/>
                        </w:rPr>
                      </w:pPr>
                      <w:r>
                        <w:rPr>
                          <w:rFonts w:ascii="Times New Roman" w:hAnsi="Times New Roman"/>
                        </w:rPr>
                        <w:t>Under fas 3 av EU:s utsläppshandelssystem blev auktionering standardmetoden för tilldelning av utsläppsrätter, men ett betydande antal utsläppsrätter tilldelas dock gratis. Följande principer tillämpas:</w:t>
                      </w:r>
                    </w:p>
                    <w:p w14:paraId="12FA4896" w14:textId="77777777" w:rsidR="0017587A" w:rsidRDefault="00516F65">
                      <w:pPr>
                        <w:pStyle w:val="ListParagraph"/>
                        <w:numPr>
                          <w:ilvl w:val="0"/>
                          <w:numId w:val="10"/>
                        </w:numPr>
                        <w:spacing w:after="200" w:line="276" w:lineRule="auto"/>
                        <w:jc w:val="both"/>
                        <w:rPr>
                          <w:rFonts w:ascii="Times New Roman" w:hAnsi="Times New Roman"/>
                          <w:sz w:val="24"/>
                          <w:szCs w:val="24"/>
                        </w:rPr>
                      </w:pPr>
                      <w:r>
                        <w:rPr>
                          <w:rFonts w:ascii="Times New Roman" w:hAnsi="Times New Roman"/>
                        </w:rPr>
                        <w:t>Utsläppsrätter tilldelas inte gratis för elproduktion.</w:t>
                      </w:r>
                    </w:p>
                    <w:p w14:paraId="26BF5E5D" w14:textId="77777777" w:rsidR="0017587A" w:rsidRDefault="00516F65">
                      <w:pPr>
                        <w:pStyle w:val="ListParagraph"/>
                        <w:numPr>
                          <w:ilvl w:val="0"/>
                          <w:numId w:val="10"/>
                        </w:numPr>
                        <w:spacing w:after="200" w:line="276" w:lineRule="auto"/>
                        <w:jc w:val="both"/>
                        <w:rPr>
                          <w:rFonts w:ascii="Times New Roman" w:hAnsi="Times New Roman"/>
                          <w:sz w:val="24"/>
                          <w:szCs w:val="24"/>
                        </w:rPr>
                      </w:pPr>
                      <w:r>
                        <w:rPr>
                          <w:rFonts w:ascii="Times New Roman" w:hAnsi="Times New Roman"/>
                        </w:rPr>
                        <w:t>Gratis utsläppsrätter för tillverkningsindustrin fördelas enligt harmoniserade EU-regler.</w:t>
                      </w:r>
                    </w:p>
                    <w:p w14:paraId="1693CE49" w14:textId="77777777" w:rsidR="0017587A" w:rsidRDefault="00516F65">
                      <w:pPr>
                        <w:pStyle w:val="ListParagraph"/>
                        <w:numPr>
                          <w:ilvl w:val="0"/>
                          <w:numId w:val="10"/>
                        </w:numPr>
                        <w:spacing w:after="200" w:line="276" w:lineRule="auto"/>
                        <w:jc w:val="both"/>
                        <w:rPr>
                          <w:rFonts w:ascii="Times New Roman" w:hAnsi="Times New Roman"/>
                          <w:sz w:val="24"/>
                          <w:szCs w:val="24"/>
                        </w:rPr>
                      </w:pPr>
                      <w:r>
                        <w:rPr>
                          <w:rFonts w:ascii="Times New Roman" w:hAnsi="Times New Roman"/>
                        </w:rPr>
                        <w:t>Gratis tilldelning baseras på prestandariktmärken för att stärka incitamenten för att minska utsläppen av växthusgaser och göra innovationer samt belöna de effektivaste anläggningarna.</w:t>
                      </w:r>
                    </w:p>
                    <w:p w14:paraId="3F5D7859" w14:textId="77777777" w:rsidR="0017587A" w:rsidRDefault="00516F65">
                      <w:pPr>
                        <w:pStyle w:val="ListParagraph"/>
                        <w:numPr>
                          <w:ilvl w:val="0"/>
                          <w:numId w:val="10"/>
                        </w:numPr>
                        <w:spacing w:after="200" w:line="276" w:lineRule="auto"/>
                        <w:jc w:val="both"/>
                        <w:rPr>
                          <w:rFonts w:ascii="Times New Roman" w:hAnsi="Times New Roman"/>
                          <w:sz w:val="24"/>
                          <w:szCs w:val="24"/>
                        </w:rPr>
                      </w:pPr>
                      <w:r>
                        <w:rPr>
                          <w:rFonts w:ascii="Times New Roman" w:hAnsi="Times New Roman"/>
                        </w:rPr>
                        <w:t>En ny EU-omfattande reserv för nya deltagare för nya industrianläggningar och anläggningar med väsentligt ökad kapacitet har inrättats, motsvarande 5 % av det totala antalet utsläppsrätter för fas 3.</w:t>
                      </w:r>
                    </w:p>
                    <w:p w14:paraId="7FDEC026" w14:textId="77777777" w:rsidR="0017587A" w:rsidRDefault="00516F65">
                      <w:pPr>
                        <w:jc w:val="both"/>
                        <w:rPr>
                          <w:rFonts w:ascii="Times New Roman" w:hAnsi="Times New Roman"/>
                          <w:sz w:val="24"/>
                          <w:szCs w:val="24"/>
                        </w:rPr>
                      </w:pPr>
                      <w:r>
                        <w:rPr>
                          <w:rFonts w:ascii="Times New Roman" w:hAnsi="Times New Roman"/>
                        </w:rPr>
                        <w:t>Industrianläggningar får gratis tilldelning av utsläppsrätter för att hantera risken för koldioxidläckage (att företag av kostnadsskäl överför produktion till tredjeländer med mindre stränga begränsningar för utsläpp av växthusgaser, vilket kan leda till att deras totala utsläpp ökar). De sektorer och delsektorer som anses löpa avsevärd risk för koldioxidläckage anges i en förteckning*. Ursprungligen gällde förteckningen perioden 2015–2019, men dess giltighetstid förlängdes till den 31 december 2020 genom det reviderade direktivet om EU:s utsläppshandelssystem.</w:t>
                      </w:r>
                    </w:p>
                    <w:p w14:paraId="1F7E7F7F" w14:textId="77777777" w:rsidR="0017587A" w:rsidRDefault="00516F65">
                      <w:pPr>
                        <w:spacing w:line="240" w:lineRule="auto"/>
                        <w:rPr>
                          <w:rFonts w:ascii="Times New Roman" w:hAnsi="Times New Roman"/>
                          <w:sz w:val="18"/>
                          <w:szCs w:val="18"/>
                        </w:rPr>
                      </w:pPr>
                      <w:r>
                        <w:rPr>
                          <w:rFonts w:ascii="Times New Roman" w:hAnsi="Times New Roman"/>
                          <w:sz w:val="18"/>
                          <w:szCs w:val="18"/>
                        </w:rPr>
                        <w:t>*Den aktuella förteckningen finns att tillgå på http://eur-lex.europa.eu/legal-content/SV/ALL/?uri=CELEX:32014D0746</w:t>
                      </w:r>
                    </w:p>
                  </w:txbxContent>
                </v:textbox>
                <w10:anchorlock/>
              </v:shape>
            </w:pict>
          </mc:Fallback>
        </mc:AlternateContent>
      </w:r>
    </w:p>
    <w:p w14:paraId="6499690B" w14:textId="77777777" w:rsidR="0017587A" w:rsidRDefault="003A348D">
      <w:pPr>
        <w:pStyle w:val="NormalWeb"/>
        <w:spacing w:line="276" w:lineRule="auto"/>
        <w:jc w:val="both"/>
      </w:pPr>
      <w:r>
        <w:t>Under fas 3 kommer ungefär 43 % av den sammanlagda kvantiteten tillgängliga utsläppsrätter att tilldelas gratis, medan andelen utsläppsrätter som ska auktioneras av medlemsstaterna uppgår till cirka 57 %.</w:t>
      </w:r>
    </w:p>
    <w:p w14:paraId="6C5FC979" w14:textId="77777777" w:rsidR="0017587A" w:rsidRDefault="003A348D">
      <w:pPr>
        <w:pStyle w:val="NormalWeb"/>
        <w:spacing w:before="0" w:beforeAutospacing="0" w:after="300" w:afterAutospacing="0" w:line="276" w:lineRule="auto"/>
        <w:jc w:val="both"/>
      </w:pPr>
      <w:r>
        <w:t>Den ursprungliga reserven för nya deltagare innehöll 480,2 miljoner utsläppsrätter, efter avdrag för 300 miljoner utsläppsrätter till NER300-programmet. Fram till juni 2019 hade 167,9 miljoner utsläppsrätter reserverats för 937 anläggningar för hela fas 3. Återstoden av reserven för nya deltagare uppgår till 312,3 miljoner utsläppsrätter. Ett stort antal av dessa utsläppsrätter väntas förbli outdelade. De kommer att placeras i slutet av fas 3 i reserven för marknadsstabilitet, varav 200 miljoner kommer att användas för att upprätta en ny reserv för nya deltagare för fas 4.</w:t>
      </w:r>
    </w:p>
    <w:p w14:paraId="31C1182D" w14:textId="77777777" w:rsidR="0017587A" w:rsidRDefault="003A348D">
      <w:pPr>
        <w:pStyle w:val="NormalWeb"/>
        <w:spacing w:before="0" w:beforeAutospacing="0" w:after="300" w:afterAutospacing="0" w:line="276" w:lineRule="auto"/>
        <w:jc w:val="both"/>
      </w:pPr>
      <w:r>
        <w:t>Fram till slutet av juni 2019 har tilldelningen minskats med ungefär 457 miljoner utsläppsrätter på grund av att anläggningar har stängts eller minskat sin produktion eller produktionskapacitet jämfört med vad som ursprungligen användes för att beräkna tilldelningen för fas 3.</w:t>
      </w:r>
    </w:p>
    <w:p w14:paraId="57C93B81" w14:textId="77777777" w:rsidR="0017587A" w:rsidRDefault="003A348D">
      <w:pPr>
        <w:pStyle w:val="Caption"/>
        <w:keepNext/>
        <w:rPr>
          <w:rFonts w:ascii="Times New Roman" w:hAnsi="Times New Roman"/>
          <w:sz w:val="22"/>
          <w:szCs w:val="22"/>
        </w:rPr>
      </w:pPr>
      <w:r>
        <w:rPr>
          <w:rFonts w:ascii="Times New Roman" w:hAnsi="Times New Roman"/>
          <w:sz w:val="22"/>
          <w:szCs w:val="22"/>
        </w:rPr>
        <w:t>Tabell 2: Antal utsläppsrätter (i miljoner) som tilldelats gratis till industrin under perioden 2013–2019</w:t>
      </w:r>
      <w:r>
        <w:rPr>
          <w:rStyle w:val="FootnoteReference"/>
          <w:rFonts w:ascii="Times New Roman" w:hAnsi="Times New Roman"/>
          <w:b w:val="0"/>
          <w:sz w:val="22"/>
          <w:szCs w:val="22"/>
        </w:rPr>
        <w:footnoteReference w:id="18"/>
      </w:r>
    </w:p>
    <w:tbl>
      <w:tblPr>
        <w:tblW w:w="896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76"/>
        <w:gridCol w:w="940"/>
        <w:gridCol w:w="948"/>
        <w:gridCol w:w="948"/>
        <w:gridCol w:w="948"/>
        <w:gridCol w:w="949"/>
        <w:gridCol w:w="927"/>
        <w:gridCol w:w="927"/>
      </w:tblGrid>
      <w:tr w:rsidR="0017587A" w14:paraId="301E88E7" w14:textId="77777777" w:rsidTr="005D3412">
        <w:trPr>
          <w:trHeight w:val="517"/>
        </w:trPr>
        <w:tc>
          <w:tcPr>
            <w:tcW w:w="2376" w:type="dxa"/>
            <w:shd w:val="clear" w:color="auto" w:fill="auto"/>
            <w:vAlign w:val="center"/>
          </w:tcPr>
          <w:p w14:paraId="5DFCB6CD" w14:textId="77777777" w:rsidR="0017587A" w:rsidRDefault="0017587A">
            <w:pPr>
              <w:jc w:val="center"/>
              <w:rPr>
                <w:rFonts w:ascii="Times New Roman" w:hAnsi="Times New Roman"/>
                <w:b/>
                <w:sz w:val="20"/>
                <w:szCs w:val="20"/>
              </w:rPr>
            </w:pPr>
          </w:p>
        </w:tc>
        <w:tc>
          <w:tcPr>
            <w:tcW w:w="940" w:type="dxa"/>
            <w:shd w:val="clear" w:color="auto" w:fill="auto"/>
            <w:vAlign w:val="center"/>
          </w:tcPr>
          <w:p w14:paraId="42FDC8BD" w14:textId="77777777" w:rsidR="0017587A" w:rsidRDefault="00A838C0">
            <w:pPr>
              <w:jc w:val="center"/>
              <w:rPr>
                <w:rFonts w:ascii="Times New Roman" w:hAnsi="Times New Roman"/>
                <w:b/>
                <w:sz w:val="20"/>
                <w:szCs w:val="20"/>
              </w:rPr>
            </w:pPr>
            <w:r>
              <w:rPr>
                <w:rFonts w:ascii="Times New Roman" w:hAnsi="Times New Roman"/>
                <w:b/>
                <w:sz w:val="20"/>
                <w:szCs w:val="20"/>
              </w:rPr>
              <w:t>2013</w:t>
            </w:r>
          </w:p>
        </w:tc>
        <w:tc>
          <w:tcPr>
            <w:tcW w:w="948" w:type="dxa"/>
            <w:shd w:val="clear" w:color="auto" w:fill="auto"/>
            <w:vAlign w:val="center"/>
          </w:tcPr>
          <w:p w14:paraId="1D0AD494" w14:textId="77777777" w:rsidR="0017587A" w:rsidRDefault="00A838C0">
            <w:pPr>
              <w:jc w:val="center"/>
              <w:rPr>
                <w:rFonts w:ascii="Times New Roman" w:hAnsi="Times New Roman"/>
                <w:b/>
                <w:sz w:val="20"/>
                <w:szCs w:val="20"/>
              </w:rPr>
            </w:pPr>
            <w:r>
              <w:rPr>
                <w:rFonts w:ascii="Times New Roman" w:hAnsi="Times New Roman"/>
                <w:b/>
                <w:sz w:val="20"/>
                <w:szCs w:val="20"/>
              </w:rPr>
              <w:t>2014</w:t>
            </w:r>
          </w:p>
        </w:tc>
        <w:tc>
          <w:tcPr>
            <w:tcW w:w="948" w:type="dxa"/>
            <w:vAlign w:val="center"/>
          </w:tcPr>
          <w:p w14:paraId="4389E40B" w14:textId="77777777" w:rsidR="0017587A" w:rsidRDefault="00A838C0">
            <w:pPr>
              <w:jc w:val="center"/>
              <w:rPr>
                <w:rFonts w:ascii="Times New Roman" w:hAnsi="Times New Roman"/>
                <w:b/>
                <w:sz w:val="20"/>
                <w:szCs w:val="20"/>
              </w:rPr>
            </w:pPr>
            <w:r>
              <w:rPr>
                <w:rFonts w:ascii="Times New Roman" w:hAnsi="Times New Roman"/>
                <w:b/>
                <w:sz w:val="20"/>
                <w:szCs w:val="20"/>
              </w:rPr>
              <w:t>2015</w:t>
            </w:r>
          </w:p>
        </w:tc>
        <w:tc>
          <w:tcPr>
            <w:tcW w:w="948" w:type="dxa"/>
            <w:vAlign w:val="center"/>
          </w:tcPr>
          <w:p w14:paraId="1BFE4F44" w14:textId="77777777" w:rsidR="0017587A" w:rsidRDefault="00A838C0">
            <w:pPr>
              <w:jc w:val="center"/>
              <w:rPr>
                <w:rFonts w:ascii="Times New Roman" w:hAnsi="Times New Roman"/>
                <w:b/>
                <w:sz w:val="20"/>
                <w:szCs w:val="20"/>
              </w:rPr>
            </w:pPr>
            <w:r>
              <w:rPr>
                <w:rFonts w:ascii="Times New Roman" w:hAnsi="Times New Roman"/>
                <w:b/>
                <w:sz w:val="20"/>
                <w:szCs w:val="20"/>
              </w:rPr>
              <w:t>2016</w:t>
            </w:r>
          </w:p>
        </w:tc>
        <w:tc>
          <w:tcPr>
            <w:tcW w:w="949" w:type="dxa"/>
            <w:vAlign w:val="center"/>
          </w:tcPr>
          <w:p w14:paraId="0633B24F" w14:textId="77777777" w:rsidR="0017587A" w:rsidRDefault="00A838C0">
            <w:pPr>
              <w:jc w:val="center"/>
              <w:rPr>
                <w:rFonts w:ascii="Times New Roman" w:hAnsi="Times New Roman"/>
                <w:b/>
                <w:sz w:val="20"/>
                <w:szCs w:val="20"/>
              </w:rPr>
            </w:pPr>
            <w:r>
              <w:rPr>
                <w:rFonts w:ascii="Times New Roman" w:hAnsi="Times New Roman"/>
                <w:b/>
                <w:sz w:val="20"/>
                <w:szCs w:val="20"/>
              </w:rPr>
              <w:t>2017</w:t>
            </w:r>
          </w:p>
        </w:tc>
        <w:tc>
          <w:tcPr>
            <w:tcW w:w="927" w:type="dxa"/>
            <w:vAlign w:val="center"/>
          </w:tcPr>
          <w:p w14:paraId="084C2292" w14:textId="77777777" w:rsidR="0017587A" w:rsidRDefault="00A838C0">
            <w:pPr>
              <w:jc w:val="center"/>
              <w:rPr>
                <w:rFonts w:ascii="Times New Roman" w:hAnsi="Times New Roman"/>
                <w:b/>
                <w:sz w:val="20"/>
                <w:szCs w:val="20"/>
                <w:highlight w:val="yellow"/>
              </w:rPr>
            </w:pPr>
            <w:r>
              <w:rPr>
                <w:rFonts w:ascii="Times New Roman" w:hAnsi="Times New Roman"/>
                <w:b/>
                <w:sz w:val="20"/>
                <w:szCs w:val="20"/>
              </w:rPr>
              <w:t>2018</w:t>
            </w:r>
          </w:p>
        </w:tc>
        <w:tc>
          <w:tcPr>
            <w:tcW w:w="927" w:type="dxa"/>
            <w:vAlign w:val="center"/>
          </w:tcPr>
          <w:p w14:paraId="6BD6F269" w14:textId="77777777" w:rsidR="0017587A" w:rsidRDefault="00A838C0">
            <w:pPr>
              <w:jc w:val="center"/>
              <w:rPr>
                <w:rFonts w:ascii="Times New Roman" w:hAnsi="Times New Roman"/>
                <w:b/>
                <w:sz w:val="20"/>
                <w:szCs w:val="20"/>
              </w:rPr>
            </w:pPr>
            <w:r>
              <w:rPr>
                <w:rFonts w:ascii="Times New Roman" w:hAnsi="Times New Roman"/>
                <w:b/>
                <w:sz w:val="20"/>
                <w:szCs w:val="20"/>
              </w:rPr>
              <w:t>2019</w:t>
            </w:r>
          </w:p>
        </w:tc>
      </w:tr>
      <w:tr w:rsidR="0017587A" w14:paraId="1A471EAD" w14:textId="77777777" w:rsidTr="005D3412">
        <w:trPr>
          <w:trHeight w:val="611"/>
        </w:trPr>
        <w:tc>
          <w:tcPr>
            <w:tcW w:w="2376" w:type="dxa"/>
            <w:shd w:val="clear" w:color="auto" w:fill="auto"/>
            <w:vAlign w:val="center"/>
          </w:tcPr>
          <w:p w14:paraId="1E76C8FB" w14:textId="77777777" w:rsidR="0017587A" w:rsidRDefault="00A838C0">
            <w:pPr>
              <w:jc w:val="center"/>
              <w:rPr>
                <w:rFonts w:ascii="Times New Roman" w:hAnsi="Times New Roman"/>
                <w:b/>
                <w:sz w:val="20"/>
                <w:szCs w:val="20"/>
              </w:rPr>
            </w:pPr>
            <w:r>
              <w:rPr>
                <w:rFonts w:ascii="Times New Roman" w:hAnsi="Times New Roman"/>
                <w:b/>
                <w:sz w:val="20"/>
                <w:szCs w:val="20"/>
              </w:rPr>
              <w:t>Gratis tilldelning</w:t>
            </w:r>
            <w:r>
              <w:rPr>
                <w:rFonts w:ascii="Times New Roman" w:hAnsi="Times New Roman"/>
                <w:b/>
                <w:sz w:val="20"/>
                <w:szCs w:val="20"/>
                <w:vertAlign w:val="superscript"/>
              </w:rPr>
              <w:footnoteReference w:id="19"/>
            </w:r>
            <w:r>
              <w:rPr>
                <w:rFonts w:ascii="Times New Roman" w:hAnsi="Times New Roman"/>
                <w:b/>
                <w:sz w:val="20"/>
                <w:szCs w:val="20"/>
              </w:rPr>
              <w:t xml:space="preserve"> </w:t>
            </w:r>
            <w:r>
              <w:rPr>
                <w:rFonts w:ascii="Times New Roman" w:hAnsi="Times New Roman"/>
                <w:b/>
                <w:sz w:val="20"/>
                <w:szCs w:val="20"/>
              </w:rPr>
              <w:br/>
              <w:t>(EU-28 + EES- och Eftastaterna)</w:t>
            </w:r>
          </w:p>
        </w:tc>
        <w:tc>
          <w:tcPr>
            <w:tcW w:w="940" w:type="dxa"/>
            <w:shd w:val="clear" w:color="auto" w:fill="auto"/>
            <w:vAlign w:val="center"/>
          </w:tcPr>
          <w:p w14:paraId="4E090E77" w14:textId="77777777" w:rsidR="0017587A" w:rsidRDefault="00A838C0">
            <w:pPr>
              <w:jc w:val="center"/>
              <w:rPr>
                <w:rFonts w:ascii="Times New Roman" w:hAnsi="Times New Roman"/>
                <w:sz w:val="20"/>
                <w:szCs w:val="20"/>
              </w:rPr>
            </w:pPr>
            <w:r>
              <w:rPr>
                <w:rFonts w:ascii="Times New Roman" w:hAnsi="Times New Roman"/>
                <w:sz w:val="20"/>
                <w:szCs w:val="20"/>
              </w:rPr>
              <w:t>903,0</w:t>
            </w:r>
          </w:p>
        </w:tc>
        <w:tc>
          <w:tcPr>
            <w:tcW w:w="948" w:type="dxa"/>
            <w:shd w:val="clear" w:color="auto" w:fill="auto"/>
            <w:vAlign w:val="center"/>
          </w:tcPr>
          <w:p w14:paraId="4C7CB76F" w14:textId="77777777" w:rsidR="0017587A" w:rsidRDefault="00A838C0">
            <w:pPr>
              <w:jc w:val="center"/>
              <w:rPr>
                <w:rFonts w:ascii="Times New Roman" w:hAnsi="Times New Roman"/>
                <w:sz w:val="20"/>
                <w:szCs w:val="20"/>
              </w:rPr>
            </w:pPr>
            <w:r>
              <w:rPr>
                <w:rFonts w:ascii="Times New Roman" w:hAnsi="Times New Roman"/>
                <w:sz w:val="20"/>
                <w:szCs w:val="20"/>
              </w:rPr>
              <w:t>874,8</w:t>
            </w:r>
          </w:p>
        </w:tc>
        <w:tc>
          <w:tcPr>
            <w:tcW w:w="948" w:type="dxa"/>
            <w:vAlign w:val="center"/>
          </w:tcPr>
          <w:p w14:paraId="6795ECBF" w14:textId="77777777" w:rsidR="0017587A" w:rsidRDefault="00A838C0">
            <w:pPr>
              <w:jc w:val="center"/>
              <w:rPr>
                <w:rFonts w:ascii="Times New Roman" w:hAnsi="Times New Roman"/>
                <w:sz w:val="20"/>
                <w:szCs w:val="20"/>
              </w:rPr>
            </w:pPr>
            <w:r>
              <w:rPr>
                <w:rFonts w:ascii="Times New Roman" w:hAnsi="Times New Roman"/>
                <w:sz w:val="20"/>
                <w:szCs w:val="20"/>
              </w:rPr>
              <w:t>847,6</w:t>
            </w:r>
          </w:p>
        </w:tc>
        <w:tc>
          <w:tcPr>
            <w:tcW w:w="948" w:type="dxa"/>
            <w:vAlign w:val="center"/>
          </w:tcPr>
          <w:p w14:paraId="7DA849E7" w14:textId="77777777" w:rsidR="0017587A" w:rsidRDefault="00A838C0">
            <w:pPr>
              <w:jc w:val="center"/>
              <w:rPr>
                <w:rFonts w:ascii="Times New Roman" w:hAnsi="Times New Roman"/>
                <w:sz w:val="20"/>
                <w:szCs w:val="20"/>
              </w:rPr>
            </w:pPr>
            <w:r>
              <w:rPr>
                <w:rFonts w:ascii="Times New Roman" w:hAnsi="Times New Roman"/>
                <w:sz w:val="20"/>
                <w:szCs w:val="20"/>
              </w:rPr>
              <w:t>821,3</w:t>
            </w:r>
          </w:p>
        </w:tc>
        <w:tc>
          <w:tcPr>
            <w:tcW w:w="949" w:type="dxa"/>
            <w:vAlign w:val="center"/>
          </w:tcPr>
          <w:p w14:paraId="3C28200C" w14:textId="77777777" w:rsidR="0017587A" w:rsidRDefault="00A838C0">
            <w:pPr>
              <w:jc w:val="center"/>
              <w:rPr>
                <w:rFonts w:ascii="Times New Roman" w:hAnsi="Times New Roman"/>
                <w:sz w:val="20"/>
                <w:szCs w:val="20"/>
              </w:rPr>
            </w:pPr>
            <w:r>
              <w:rPr>
                <w:rFonts w:ascii="Times New Roman" w:hAnsi="Times New Roman"/>
                <w:sz w:val="20"/>
                <w:szCs w:val="20"/>
              </w:rPr>
              <w:t>796,2</w:t>
            </w:r>
          </w:p>
        </w:tc>
        <w:tc>
          <w:tcPr>
            <w:tcW w:w="927" w:type="dxa"/>
            <w:vAlign w:val="center"/>
          </w:tcPr>
          <w:p w14:paraId="6A625362" w14:textId="77777777" w:rsidR="0017587A" w:rsidRDefault="00A838C0">
            <w:pPr>
              <w:jc w:val="center"/>
              <w:rPr>
                <w:rFonts w:ascii="Times New Roman" w:hAnsi="Times New Roman"/>
                <w:sz w:val="20"/>
                <w:szCs w:val="20"/>
              </w:rPr>
            </w:pPr>
            <w:r>
              <w:rPr>
                <w:rFonts w:ascii="Times New Roman" w:hAnsi="Times New Roman"/>
                <w:sz w:val="20"/>
                <w:szCs w:val="20"/>
              </w:rPr>
              <w:t>771,9</w:t>
            </w:r>
          </w:p>
        </w:tc>
        <w:tc>
          <w:tcPr>
            <w:tcW w:w="927" w:type="dxa"/>
            <w:vAlign w:val="center"/>
          </w:tcPr>
          <w:p w14:paraId="5925CD70" w14:textId="77777777" w:rsidR="0017587A" w:rsidRDefault="00A838C0">
            <w:pPr>
              <w:jc w:val="center"/>
              <w:rPr>
                <w:rFonts w:ascii="Times New Roman" w:hAnsi="Times New Roman"/>
                <w:sz w:val="20"/>
                <w:szCs w:val="20"/>
              </w:rPr>
            </w:pPr>
            <w:r>
              <w:rPr>
                <w:rFonts w:ascii="Times New Roman" w:hAnsi="Times New Roman"/>
                <w:sz w:val="20"/>
                <w:szCs w:val="20"/>
              </w:rPr>
              <w:t>748,1</w:t>
            </w:r>
            <w:r>
              <w:rPr>
                <w:rStyle w:val="FootnoteReference"/>
                <w:rFonts w:ascii="Times New Roman" w:hAnsi="Times New Roman"/>
                <w:sz w:val="20"/>
                <w:szCs w:val="20"/>
              </w:rPr>
              <w:footnoteReference w:id="20"/>
            </w:r>
          </w:p>
        </w:tc>
      </w:tr>
      <w:tr w:rsidR="0017587A" w14:paraId="06EC50EF" w14:textId="77777777" w:rsidTr="005D3412">
        <w:trPr>
          <w:trHeight w:val="1191"/>
        </w:trPr>
        <w:tc>
          <w:tcPr>
            <w:tcW w:w="2376" w:type="dxa"/>
            <w:shd w:val="clear" w:color="auto" w:fill="auto"/>
            <w:vAlign w:val="center"/>
          </w:tcPr>
          <w:p w14:paraId="35709649" w14:textId="77777777" w:rsidR="0017587A" w:rsidRDefault="00A838C0">
            <w:pPr>
              <w:jc w:val="center"/>
              <w:rPr>
                <w:rFonts w:ascii="Times New Roman" w:hAnsi="Times New Roman"/>
                <w:b/>
                <w:sz w:val="20"/>
                <w:szCs w:val="20"/>
              </w:rPr>
            </w:pPr>
            <w:r>
              <w:rPr>
                <w:rFonts w:ascii="Times New Roman" w:hAnsi="Times New Roman"/>
                <w:b/>
                <w:sz w:val="20"/>
                <w:szCs w:val="20"/>
              </w:rPr>
              <w:t>Tilldelningar från reserven för nya deltagare (investeringar i nyetableringar och kapacitetshöjningar)</w:t>
            </w:r>
          </w:p>
        </w:tc>
        <w:tc>
          <w:tcPr>
            <w:tcW w:w="940" w:type="dxa"/>
            <w:shd w:val="clear" w:color="auto" w:fill="auto"/>
            <w:vAlign w:val="center"/>
          </w:tcPr>
          <w:p w14:paraId="3B423447" w14:textId="77777777" w:rsidR="0017587A" w:rsidRDefault="00A838C0">
            <w:pPr>
              <w:jc w:val="center"/>
              <w:rPr>
                <w:rFonts w:ascii="Times New Roman" w:hAnsi="Times New Roman"/>
                <w:sz w:val="20"/>
                <w:szCs w:val="20"/>
              </w:rPr>
            </w:pPr>
            <w:r>
              <w:rPr>
                <w:rFonts w:ascii="Times New Roman" w:hAnsi="Times New Roman"/>
                <w:sz w:val="20"/>
                <w:szCs w:val="20"/>
              </w:rPr>
              <w:t>11,7</w:t>
            </w:r>
          </w:p>
        </w:tc>
        <w:tc>
          <w:tcPr>
            <w:tcW w:w="948" w:type="dxa"/>
            <w:shd w:val="clear" w:color="auto" w:fill="auto"/>
            <w:vAlign w:val="center"/>
          </w:tcPr>
          <w:p w14:paraId="75DC65C0" w14:textId="77777777" w:rsidR="0017587A" w:rsidRDefault="00A838C0">
            <w:pPr>
              <w:jc w:val="center"/>
              <w:rPr>
                <w:rFonts w:ascii="Times New Roman" w:hAnsi="Times New Roman"/>
                <w:sz w:val="20"/>
                <w:szCs w:val="20"/>
              </w:rPr>
            </w:pPr>
            <w:r>
              <w:rPr>
                <w:rFonts w:ascii="Times New Roman" w:hAnsi="Times New Roman"/>
                <w:sz w:val="20"/>
                <w:szCs w:val="20"/>
              </w:rPr>
              <w:t>15,3</w:t>
            </w:r>
          </w:p>
        </w:tc>
        <w:tc>
          <w:tcPr>
            <w:tcW w:w="948" w:type="dxa"/>
            <w:vAlign w:val="center"/>
          </w:tcPr>
          <w:p w14:paraId="23386E6A" w14:textId="77777777" w:rsidR="0017587A" w:rsidRDefault="00A838C0">
            <w:pPr>
              <w:jc w:val="center"/>
              <w:rPr>
                <w:rFonts w:ascii="Times New Roman" w:hAnsi="Times New Roman"/>
                <w:sz w:val="20"/>
                <w:szCs w:val="20"/>
              </w:rPr>
            </w:pPr>
            <w:r>
              <w:rPr>
                <w:rFonts w:ascii="Times New Roman" w:hAnsi="Times New Roman"/>
                <w:sz w:val="20"/>
                <w:szCs w:val="20"/>
              </w:rPr>
              <w:t>18,6</w:t>
            </w:r>
          </w:p>
        </w:tc>
        <w:tc>
          <w:tcPr>
            <w:tcW w:w="948" w:type="dxa"/>
            <w:vAlign w:val="center"/>
          </w:tcPr>
          <w:p w14:paraId="46F08F21" w14:textId="77777777" w:rsidR="0017587A" w:rsidRDefault="00A838C0">
            <w:pPr>
              <w:jc w:val="center"/>
              <w:rPr>
                <w:rFonts w:ascii="Times New Roman" w:hAnsi="Times New Roman"/>
                <w:sz w:val="20"/>
                <w:szCs w:val="20"/>
              </w:rPr>
            </w:pPr>
            <w:r>
              <w:rPr>
                <w:rFonts w:ascii="Times New Roman" w:hAnsi="Times New Roman"/>
                <w:sz w:val="20"/>
                <w:szCs w:val="20"/>
              </w:rPr>
              <w:t>21,8</w:t>
            </w:r>
          </w:p>
        </w:tc>
        <w:tc>
          <w:tcPr>
            <w:tcW w:w="949" w:type="dxa"/>
            <w:vAlign w:val="center"/>
          </w:tcPr>
          <w:p w14:paraId="15AFCECA" w14:textId="77777777" w:rsidR="0017587A" w:rsidRDefault="00A838C0">
            <w:pPr>
              <w:jc w:val="center"/>
              <w:rPr>
                <w:rFonts w:ascii="Times New Roman" w:hAnsi="Times New Roman"/>
                <w:sz w:val="20"/>
                <w:szCs w:val="20"/>
              </w:rPr>
            </w:pPr>
            <w:r>
              <w:rPr>
                <w:rFonts w:ascii="Times New Roman" w:hAnsi="Times New Roman"/>
                <w:sz w:val="20"/>
                <w:szCs w:val="20"/>
              </w:rPr>
              <w:t>23,4</w:t>
            </w:r>
          </w:p>
        </w:tc>
        <w:tc>
          <w:tcPr>
            <w:tcW w:w="927" w:type="dxa"/>
            <w:vAlign w:val="center"/>
          </w:tcPr>
          <w:p w14:paraId="149CE125" w14:textId="77777777" w:rsidR="0017587A" w:rsidRDefault="00A838C0">
            <w:pPr>
              <w:jc w:val="center"/>
              <w:rPr>
                <w:rFonts w:ascii="Times New Roman" w:hAnsi="Times New Roman"/>
                <w:sz w:val="20"/>
                <w:szCs w:val="20"/>
              </w:rPr>
            </w:pPr>
            <w:r>
              <w:rPr>
                <w:rFonts w:ascii="Times New Roman" w:hAnsi="Times New Roman"/>
                <w:sz w:val="20"/>
                <w:szCs w:val="20"/>
              </w:rPr>
              <w:t>23,6</w:t>
            </w:r>
          </w:p>
        </w:tc>
        <w:tc>
          <w:tcPr>
            <w:tcW w:w="927" w:type="dxa"/>
            <w:vAlign w:val="center"/>
          </w:tcPr>
          <w:p w14:paraId="61760009" w14:textId="77777777" w:rsidR="0017587A" w:rsidRDefault="00A838C0">
            <w:pPr>
              <w:jc w:val="center"/>
              <w:rPr>
                <w:rFonts w:ascii="Times New Roman" w:hAnsi="Times New Roman"/>
                <w:sz w:val="20"/>
                <w:szCs w:val="20"/>
              </w:rPr>
            </w:pPr>
            <w:r>
              <w:rPr>
                <w:rFonts w:ascii="Times New Roman" w:hAnsi="Times New Roman"/>
                <w:sz w:val="20"/>
                <w:szCs w:val="20"/>
              </w:rPr>
              <w:t>22,9</w:t>
            </w:r>
          </w:p>
        </w:tc>
      </w:tr>
      <w:tr w:rsidR="0017587A" w14:paraId="50BD8E4D" w14:textId="77777777" w:rsidTr="005D3412">
        <w:trPr>
          <w:trHeight w:val="947"/>
        </w:trPr>
        <w:tc>
          <w:tcPr>
            <w:tcW w:w="2376" w:type="dxa"/>
            <w:shd w:val="clear" w:color="auto" w:fill="auto"/>
            <w:vAlign w:val="center"/>
          </w:tcPr>
          <w:p w14:paraId="32E99760" w14:textId="77777777" w:rsidR="0017587A" w:rsidRDefault="00A838C0">
            <w:pPr>
              <w:jc w:val="center"/>
              <w:rPr>
                <w:rFonts w:ascii="Times New Roman" w:hAnsi="Times New Roman"/>
                <w:b/>
                <w:sz w:val="20"/>
                <w:szCs w:val="20"/>
              </w:rPr>
            </w:pPr>
            <w:r>
              <w:rPr>
                <w:rFonts w:ascii="Times New Roman" w:hAnsi="Times New Roman"/>
                <w:b/>
                <w:sz w:val="20"/>
                <w:szCs w:val="20"/>
              </w:rPr>
              <w:t>Gratis utsläppsrätter som ännu inte har tilldelats på grund av nedläggningar eller förändringar i produktion eller produktionskapacitet</w:t>
            </w:r>
          </w:p>
        </w:tc>
        <w:tc>
          <w:tcPr>
            <w:tcW w:w="940" w:type="dxa"/>
            <w:shd w:val="clear" w:color="auto" w:fill="auto"/>
            <w:vAlign w:val="center"/>
          </w:tcPr>
          <w:p w14:paraId="4660FA58" w14:textId="77777777" w:rsidR="0017587A" w:rsidRDefault="00A838C0">
            <w:pPr>
              <w:jc w:val="center"/>
              <w:rPr>
                <w:rFonts w:ascii="Times New Roman" w:hAnsi="Times New Roman"/>
                <w:sz w:val="20"/>
                <w:szCs w:val="20"/>
                <w:highlight w:val="yellow"/>
              </w:rPr>
            </w:pPr>
            <w:r>
              <w:rPr>
                <w:rFonts w:ascii="Times New Roman" w:hAnsi="Times New Roman"/>
                <w:sz w:val="20"/>
                <w:szCs w:val="20"/>
              </w:rPr>
              <w:t>40,1</w:t>
            </w:r>
          </w:p>
        </w:tc>
        <w:tc>
          <w:tcPr>
            <w:tcW w:w="948" w:type="dxa"/>
            <w:shd w:val="clear" w:color="auto" w:fill="auto"/>
            <w:vAlign w:val="center"/>
          </w:tcPr>
          <w:p w14:paraId="1170CBDA" w14:textId="77777777" w:rsidR="0017587A" w:rsidRDefault="00A838C0">
            <w:pPr>
              <w:jc w:val="center"/>
              <w:rPr>
                <w:rFonts w:ascii="Times New Roman" w:hAnsi="Times New Roman"/>
                <w:sz w:val="20"/>
                <w:szCs w:val="20"/>
              </w:rPr>
            </w:pPr>
            <w:r>
              <w:rPr>
                <w:rFonts w:ascii="Times New Roman" w:hAnsi="Times New Roman"/>
                <w:sz w:val="20"/>
                <w:szCs w:val="20"/>
              </w:rPr>
              <w:t>58,9</w:t>
            </w:r>
          </w:p>
        </w:tc>
        <w:tc>
          <w:tcPr>
            <w:tcW w:w="948" w:type="dxa"/>
            <w:vAlign w:val="center"/>
          </w:tcPr>
          <w:p w14:paraId="2F49216B" w14:textId="77777777" w:rsidR="0017587A" w:rsidRDefault="00A838C0">
            <w:pPr>
              <w:jc w:val="center"/>
              <w:rPr>
                <w:rFonts w:ascii="Times New Roman" w:hAnsi="Times New Roman"/>
                <w:sz w:val="20"/>
                <w:szCs w:val="20"/>
              </w:rPr>
            </w:pPr>
            <w:r>
              <w:rPr>
                <w:rFonts w:ascii="Times New Roman" w:hAnsi="Times New Roman"/>
                <w:sz w:val="20"/>
                <w:szCs w:val="20"/>
              </w:rPr>
              <w:t>70,8</w:t>
            </w:r>
          </w:p>
        </w:tc>
        <w:tc>
          <w:tcPr>
            <w:tcW w:w="948" w:type="dxa"/>
            <w:vAlign w:val="center"/>
          </w:tcPr>
          <w:p w14:paraId="2393DAB1" w14:textId="77777777" w:rsidR="0017587A" w:rsidRDefault="00711C2B">
            <w:pPr>
              <w:jc w:val="center"/>
              <w:rPr>
                <w:rFonts w:ascii="Times New Roman" w:hAnsi="Times New Roman"/>
                <w:sz w:val="20"/>
                <w:szCs w:val="20"/>
              </w:rPr>
            </w:pPr>
            <w:r>
              <w:rPr>
                <w:rFonts w:ascii="Times New Roman" w:hAnsi="Times New Roman"/>
                <w:sz w:val="20"/>
                <w:szCs w:val="20"/>
              </w:rPr>
              <w:t>67,5</w:t>
            </w:r>
          </w:p>
        </w:tc>
        <w:tc>
          <w:tcPr>
            <w:tcW w:w="949" w:type="dxa"/>
            <w:vAlign w:val="center"/>
          </w:tcPr>
          <w:p w14:paraId="7A398373" w14:textId="77777777" w:rsidR="0017587A" w:rsidRDefault="00711C2B">
            <w:pPr>
              <w:jc w:val="center"/>
              <w:rPr>
                <w:rFonts w:ascii="Times New Roman" w:hAnsi="Times New Roman"/>
                <w:sz w:val="20"/>
                <w:szCs w:val="20"/>
              </w:rPr>
            </w:pPr>
            <w:r>
              <w:rPr>
                <w:rFonts w:ascii="Times New Roman" w:hAnsi="Times New Roman"/>
                <w:sz w:val="20"/>
                <w:szCs w:val="20"/>
              </w:rPr>
              <w:t>71,6</w:t>
            </w:r>
          </w:p>
        </w:tc>
        <w:tc>
          <w:tcPr>
            <w:tcW w:w="927" w:type="dxa"/>
            <w:vAlign w:val="center"/>
          </w:tcPr>
          <w:p w14:paraId="0B74DA1A" w14:textId="77777777" w:rsidR="0017587A" w:rsidRDefault="00711C2B">
            <w:pPr>
              <w:jc w:val="center"/>
              <w:rPr>
                <w:rFonts w:ascii="Times New Roman" w:hAnsi="Times New Roman"/>
                <w:sz w:val="20"/>
                <w:szCs w:val="20"/>
              </w:rPr>
            </w:pPr>
            <w:r>
              <w:rPr>
                <w:rFonts w:ascii="Times New Roman" w:hAnsi="Times New Roman"/>
                <w:sz w:val="20"/>
                <w:szCs w:val="20"/>
              </w:rPr>
              <w:t>75,9</w:t>
            </w:r>
          </w:p>
        </w:tc>
        <w:tc>
          <w:tcPr>
            <w:tcW w:w="927" w:type="dxa"/>
            <w:vAlign w:val="center"/>
          </w:tcPr>
          <w:p w14:paraId="1CDFCCB9" w14:textId="77777777" w:rsidR="0017587A" w:rsidRDefault="00A838C0">
            <w:pPr>
              <w:jc w:val="center"/>
              <w:rPr>
                <w:rFonts w:ascii="Times New Roman" w:hAnsi="Times New Roman"/>
                <w:sz w:val="20"/>
                <w:szCs w:val="20"/>
              </w:rPr>
            </w:pPr>
            <w:r>
              <w:rPr>
                <w:rFonts w:ascii="Times New Roman" w:hAnsi="Times New Roman"/>
                <w:sz w:val="20"/>
                <w:szCs w:val="20"/>
              </w:rPr>
              <w:t>71,9</w:t>
            </w:r>
          </w:p>
        </w:tc>
      </w:tr>
    </w:tbl>
    <w:p w14:paraId="1309098D" w14:textId="77777777" w:rsidR="0017587A" w:rsidRDefault="003A348D">
      <w:pPr>
        <w:pStyle w:val="NormalWeb"/>
        <w:spacing w:line="276" w:lineRule="auto"/>
        <w:jc w:val="both"/>
      </w:pPr>
      <w:r>
        <w:t>Eftersom efterfrågan på gratis tilldelning översteg den tillgängliga kvantiteten minskades tilldelningen till alla anläggningar inom EU:s utsläppshandelssystem med samma procentsats med hjälp av en ”sektorsövergripande korrigeringsfaktor”.</w:t>
      </w:r>
      <w:r>
        <w:rPr>
          <w:rStyle w:val="FootnoteReference"/>
        </w:rPr>
        <w:footnoteReference w:id="21"/>
      </w:r>
      <w:r>
        <w:t xml:space="preserve"> De ursprungliga värdena för den sektorsövergripande korrigeringsfaktorn sågs över 2017.</w:t>
      </w:r>
      <w:r>
        <w:rPr>
          <w:rStyle w:val="FootnoteReference"/>
        </w:rPr>
        <w:footnoteReference w:id="22"/>
      </w:r>
    </w:p>
    <w:p w14:paraId="5CC01713" w14:textId="77777777" w:rsidR="0017587A" w:rsidRDefault="00341982">
      <w:pPr>
        <w:pStyle w:val="NormalWeb"/>
        <w:spacing w:line="276" w:lineRule="auto"/>
        <w:jc w:val="both"/>
      </w:pPr>
      <w:r>
        <w:t>För att förebygga risken för koldioxidläckage ska gratis tilldelning fortsätta efter 2020, baserat på riktmärken som härleds med hänsyn till prestandan hos de 10 % av anläggningarna som är effektivast i EU. Sektorernas exponering för koldioxidläckage har bedömts utifrån en kombinerad indikator där sektorns handelsintensitet med tredjeländer multipliceras med sektorns utsläppsintensitet. Utifrån denna bedömning antog kommissionen i februari 2019 koldioxidläckageförteckningen för nästa handelsperiod</w:t>
      </w:r>
      <w:r>
        <w:rPr>
          <w:rStyle w:val="FootnoteReference"/>
        </w:rPr>
        <w:footnoteReference w:id="23"/>
      </w:r>
      <w:r>
        <w:t>, som kommer att vara giltig under hela fas 4.</w:t>
      </w:r>
    </w:p>
    <w:p w14:paraId="50421E3A" w14:textId="77777777" w:rsidR="0017587A" w:rsidRDefault="00511F9D">
      <w:pPr>
        <w:jc w:val="both"/>
        <w:rPr>
          <w:rFonts w:ascii="Times New Roman" w:eastAsia="Times New Roman" w:hAnsi="Times New Roman"/>
          <w:sz w:val="24"/>
          <w:szCs w:val="24"/>
        </w:rPr>
      </w:pPr>
      <w:r>
        <w:rPr>
          <w:rFonts w:ascii="Times New Roman" w:hAnsi="Times New Roman"/>
        </w:rPr>
        <w:t>För att avspegla utvecklingen inom teknik och innovation kommer riktmärkesvärdena att uppdateras två gånger under fas 4 på grundval av faktiska uppgifter. De anläggningar som ansökte om gratis tilldelning för den första tilldelningsperioden (2021–2025) var tvungna att lämna in de erfordrade uppgifterna senast den 30 maj 2019 till de behöriga myndigheterna. Kommissionen kommer att använda dessa uppgifter för att beräkna tilldelningen för respektive anläggning och uppdatera riktmärkena för perioden 2021–2025. Den delegerade akten om översyn av reglerna om gratis tilldelning för perioden 2021–2030 antogs i december 2018</w:t>
      </w:r>
      <w:r>
        <w:rPr>
          <w:rFonts w:ascii="Times New Roman" w:eastAsia="Times New Roman" w:hAnsi="Times New Roman"/>
          <w:vertAlign w:val="superscript"/>
        </w:rPr>
        <w:footnoteReference w:id="24"/>
      </w:r>
      <w:r>
        <w:rPr>
          <w:rFonts w:ascii="Times New Roman" w:hAnsi="Times New Roman"/>
        </w:rPr>
        <w:t xml:space="preserve">, och arbetet med att uppdatera riktmärkena för perioden 2021–2025 har inletts (se tillägg 7 till bilagan). </w:t>
      </w:r>
    </w:p>
    <w:p w14:paraId="138E673F" w14:textId="77777777" w:rsidR="0017587A" w:rsidRDefault="00427EEB">
      <w:pPr>
        <w:jc w:val="both"/>
      </w:pPr>
      <w:r>
        <w:rPr>
          <w:rFonts w:ascii="Times New Roman" w:hAnsi="Times New Roman"/>
        </w:rPr>
        <w:t>Under fas 4 kommer tilldelningarna till enskilda anläggningar att justeras i god tid för att avspegla betydande ökningar och minskningar i produktionen. För att förhindra manipulation och missbruk av systemet för justering av tilldelningar och för att undvika all oskälig administrativ börda kommer kommissionen att anta en genomförandeakt för att fastställa ytterligare bestämmelser om justeringarna (se tillägg 7 till bilagan).</w:t>
      </w:r>
    </w:p>
    <w:p w14:paraId="591B9D00" w14:textId="77777777" w:rsidR="0017587A" w:rsidRDefault="0017587A">
      <w:pPr>
        <w:pStyle w:val="NormalWeb"/>
        <w:spacing w:line="276" w:lineRule="auto"/>
        <w:jc w:val="both"/>
      </w:pPr>
    </w:p>
    <w:p w14:paraId="1362DCEC" w14:textId="77777777" w:rsidR="0017587A" w:rsidRDefault="003A348D">
      <w:pPr>
        <w:pStyle w:val="NormalWeb"/>
        <w:spacing w:line="276" w:lineRule="auto"/>
        <w:jc w:val="both"/>
      </w:pPr>
      <w:r>
        <w:br w:type="page"/>
      </w:r>
    </w:p>
    <w:p w14:paraId="52C20DFE" w14:textId="77777777" w:rsidR="0017587A" w:rsidRDefault="00A52F4C">
      <w:pPr>
        <w:pStyle w:val="Heading4"/>
        <w:spacing w:before="0" w:after="200"/>
        <w:ind w:left="1080"/>
      </w:pPr>
      <w:bookmarkStart w:id="12" w:name="_Toc23755269"/>
      <w:r>
        <w:t>3.1.2.2 NER300-programmet och innovationsfonden</w:t>
      </w:r>
      <w:bookmarkEnd w:id="12"/>
      <w:r>
        <w:t xml:space="preserve"> </w:t>
      </w:r>
    </w:p>
    <w:p w14:paraId="799FB551" w14:textId="77777777" w:rsidR="0017587A" w:rsidRDefault="003A348D">
      <w:pPr>
        <w:pStyle w:val="a3520normalp11"/>
        <w:spacing w:line="276" w:lineRule="auto"/>
      </w:pPr>
      <w:r>
        <w:rPr>
          <w:noProof/>
          <w:lang w:val="en-GB"/>
        </w:rPr>
        <mc:AlternateContent>
          <mc:Choice Requires="wps">
            <w:drawing>
              <wp:inline distT="0" distB="0" distL="0" distR="0" wp14:anchorId="43B3B7B1" wp14:editId="12FA704D">
                <wp:extent cx="5720486" cy="3073400"/>
                <wp:effectExtent l="0" t="0" r="13970" b="1270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3073400"/>
                        </a:xfrm>
                        <a:prstGeom prst="rect">
                          <a:avLst/>
                        </a:prstGeom>
                        <a:solidFill>
                          <a:schemeClr val="bg1">
                            <a:lumMod val="85000"/>
                          </a:schemeClr>
                        </a:solidFill>
                        <a:ln w="12700">
                          <a:solidFill>
                            <a:srgbClr val="000000"/>
                          </a:solidFill>
                          <a:miter lim="800000"/>
                          <a:headEnd/>
                          <a:tailEnd/>
                        </a:ln>
                      </wps:spPr>
                      <wps:txbx>
                        <w:txbxContent>
                          <w:p w14:paraId="0D4ADEA3" w14:textId="77777777" w:rsidR="0017587A" w:rsidRDefault="00516F65">
                            <w:pPr>
                              <w:jc w:val="both"/>
                              <w:rPr>
                                <w:rFonts w:ascii="Times New Roman" w:hAnsi="Times New Roman"/>
                              </w:rPr>
                            </w:pPr>
                            <w:r>
                              <w:rPr>
                                <w:rFonts w:ascii="Times New Roman" w:hAnsi="Times New Roman"/>
                              </w:rPr>
                              <w:t xml:space="preserve">NER300 är ett storskaligt finansieringsprogram för innovativa koldioxidsnåla energidemonstrationsprojekt. Syftet är att demonstrera miljösäker avskiljning och geologisk lagring av koldioxid (CCS-demonstrationsprojekt) och innovativa tekniker för förnybar energi (RES-demonstrationsprojekt) inom EU. NER300 finansierades genom monetarisering av 300 miljoner utsläppsrätter från reserven för nya deltagare. Medlen fördelades till projekt som valdes ut genom två ansökningsomgångar i december 2012 och juli 2014. </w:t>
                            </w:r>
                          </w:p>
                          <w:p w14:paraId="0C4BD408" w14:textId="15685AD9" w:rsidR="0017587A" w:rsidRDefault="00516F65">
                            <w:pPr>
                              <w:jc w:val="both"/>
                              <w:rPr>
                                <w:rFonts w:ascii="Times New Roman" w:hAnsi="Times New Roman"/>
                                <w:sz w:val="24"/>
                                <w:szCs w:val="24"/>
                              </w:rPr>
                            </w:pPr>
                            <w:r>
                              <w:rPr>
                                <w:rFonts w:ascii="Times New Roman" w:hAnsi="Times New Roman"/>
                              </w:rPr>
                              <w:t>Innovationsfonden är en av de två koldioxidsnåla mekanismer som inrättades genom det reviderade direktivet om EU:s utsläppshandelssystem för fas 4. Den kommer på konkurrensutsatt bas att ge stöd till ny marknadsutveckling och demonstration i kommersiell skala av innovativ teknik och banbrytande innovationer i sektorer som omfattas av EU:s utsläppshandelssystem, däribland innovativ förnybar energi, energiintensiva industrier, avskiljning och användning av koldioxid (CCU – Carbon Capture and Utilisation) och energilagring.</w:t>
                            </w:r>
                            <w:r>
                              <w:t xml:space="preserve"> </w:t>
                            </w:r>
                            <w:r>
                              <w:rPr>
                                <w:rFonts w:ascii="Times New Roman" w:hAnsi="Times New Roman"/>
                              </w:rPr>
                              <w:t>Den kommer att finansieras genom auktionering av minst 450 miljoner utsläppsrätter och eventuell outdelad budget från NER300-programmet. En första ansökningsomgång förbereds just nu för 2020.</w:t>
                            </w:r>
                          </w:p>
                          <w:p w14:paraId="5411EEF4" w14:textId="77777777" w:rsidR="0017587A" w:rsidRDefault="0017587A">
                            <w:pPr>
                              <w:rPr>
                                <w:rFonts w:ascii="Times New Roman" w:hAnsi="Times New Roman"/>
                                <w:sz w:val="24"/>
                                <w:szCs w:val="24"/>
                              </w:rPr>
                            </w:pPr>
                          </w:p>
                          <w:p w14:paraId="4F08DB62" w14:textId="77777777" w:rsidR="0017587A" w:rsidRDefault="0017587A">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43B3B7B1" id="_x0000_s1031" type="#_x0000_t202" style="width:450.45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" fillcolor="#d8d8d8 [2732]" strokeweight="1pt">
                <v:textbox>
                  <w:txbxContent>
                    <w:p w14:paraId="0D4ADEA3" w14:textId="77777777" w:rsidR="0017587A" w:rsidRDefault="00516F65">
                      <w:pPr>
                        <w:jc w:val="both"/>
                        <w:rPr>
                          <w:rFonts w:ascii="Times New Roman" w:hAnsi="Times New Roman"/>
                        </w:rPr>
                      </w:pPr>
                      <w:r>
                        <w:rPr>
                          <w:rFonts w:ascii="Times New Roman" w:hAnsi="Times New Roman"/>
                        </w:rPr>
                        <w:t xml:space="preserve">NER300 är ett storskaligt finansieringsprogram för innovativa koldioxidsnåla energidemonstrationsprojekt. Syftet är att demonstrera miljösäker avskiljning och geologisk lagring av koldioxid (CCS-demonstrationsprojekt) och innovativa tekniker för förnybar energi (RES-demonstrationsprojekt) inom EU. NER300 finansierades genom monetarisering av 300 miljoner utsläppsrätter från reserven för nya deltagare. Medlen fördelades till projekt som valdes ut genom två ansökningsomgångar i december 2012 och juli 2014. </w:t>
                      </w:r>
                    </w:p>
                    <w:p w14:paraId="0C4BD408" w14:textId="15685AD9" w:rsidR="0017587A" w:rsidRDefault="00516F65">
                      <w:pPr>
                        <w:jc w:val="both"/>
                        <w:rPr>
                          <w:rFonts w:ascii="Times New Roman" w:hAnsi="Times New Roman"/>
                          <w:sz w:val="24"/>
                          <w:szCs w:val="24"/>
                        </w:rPr>
                      </w:pPr>
                      <w:r>
                        <w:rPr>
                          <w:rFonts w:ascii="Times New Roman" w:hAnsi="Times New Roman"/>
                        </w:rPr>
                        <w:t>Innovationsfonden är en av de två koldioxidsnåla mekanismer som inrättades genom det reviderade direktivet om EU:s utsläppshandelssystem för fas 4. Den kommer på konkurrensutsatt bas att ge stöd till ny marknadsutveckling och demonstration i kommersiell skala av innovativ teknik och banbrytande innovationer i sektorer som omfattas av EU:s utsläppshandelssystem, däribland innovativ förnybar energi, energiintensiva industrier, avskiljning och användning av koldioxid (CCU – Carbon Capture and Utilisation) och energilagring.</w:t>
                      </w:r>
                      <w:r>
                        <w:t xml:space="preserve"> </w:t>
                      </w:r>
                      <w:r>
                        <w:rPr>
                          <w:rFonts w:ascii="Times New Roman" w:hAnsi="Times New Roman"/>
                        </w:rPr>
                        <w:t>Den kommer att finansieras genom auktionering av minst 450 miljoner utsläppsrätter och eventuell outdelad budget från NER300-programmet. En första ansökningsomgång förbereds just nu för 2020.</w:t>
                      </w:r>
                    </w:p>
                    <w:p w14:paraId="5411EEF4" w14:textId="77777777" w:rsidR="0017587A" w:rsidRDefault="0017587A">
                      <w:pPr>
                        <w:rPr>
                          <w:rFonts w:ascii="Times New Roman" w:hAnsi="Times New Roman"/>
                          <w:sz w:val="24"/>
                          <w:szCs w:val="24"/>
                        </w:rPr>
                      </w:pPr>
                    </w:p>
                    <w:p w14:paraId="4F08DB62" w14:textId="77777777" w:rsidR="0017587A" w:rsidRDefault="0017587A">
                      <w:pPr>
                        <w:rPr>
                          <w:rFonts w:ascii="Times New Roman" w:hAnsi="Times New Roman"/>
                          <w:sz w:val="24"/>
                          <w:szCs w:val="24"/>
                        </w:rPr>
                      </w:pPr>
                    </w:p>
                  </w:txbxContent>
                </v:textbox>
                <w10:anchorlock/>
              </v:shape>
            </w:pict>
          </mc:Fallback>
        </mc:AlternateContent>
      </w:r>
    </w:p>
    <w:p w14:paraId="7EFBE1C7" w14:textId="348E395B" w:rsidR="0017587A" w:rsidRDefault="003A348D">
      <w:pPr>
        <w:spacing w:after="120"/>
        <w:ind w:right="57"/>
        <w:jc w:val="both"/>
        <w:rPr>
          <w:rFonts w:ascii="Times New Roman" w:eastAsia="Times New Roman" w:hAnsi="Times New Roman"/>
          <w:sz w:val="24"/>
          <w:szCs w:val="24"/>
        </w:rPr>
      </w:pPr>
      <w:r>
        <w:rPr>
          <w:rFonts w:ascii="Times New Roman" w:hAnsi="Times New Roman"/>
        </w:rPr>
        <w:t>Resultatet av de två ansökningsomgångarna för NER 300 blev att 38 RES-projekt och ett CCS-projekt i 20 EU-medlemsstater tilldelades totalt 2,1 miljarder euro. Av dessa är sju i drift: bioenergiprojekten BEST i Italien och Verbiostraw i Tyskland, projekten för landbaserad vindkraft Blaiken i Sverige och vindparken Handalm i Österrike, projekten för de havsbaserade vindkraftparkerna Veja Mate och Nordsee One i Tyskland samt projektet för smarta nät ”Puglia Active Network” i Italien.</w:t>
      </w:r>
    </w:p>
    <w:p w14:paraId="20118B27" w14:textId="77777777" w:rsidR="0017587A" w:rsidRDefault="00FB28EB">
      <w:pPr>
        <w:spacing w:after="120"/>
        <w:ind w:right="57"/>
        <w:jc w:val="both"/>
        <w:rPr>
          <w:rFonts w:ascii="Times New Roman" w:eastAsia="Times New Roman" w:hAnsi="Times New Roman"/>
          <w:sz w:val="24"/>
          <w:szCs w:val="24"/>
        </w:rPr>
      </w:pPr>
      <w:r>
        <w:rPr>
          <w:rFonts w:ascii="Times New Roman" w:hAnsi="Times New Roman"/>
        </w:rPr>
        <w:t>Enligt planen ska fem projekt från den första ansökningsomgången inledas i slutet av 2019, medan förberedelser pågår för fyra projekt från den andra ansökningsomgången, vilka ska inledas senast den 30 juni 2021. Med tanke på den ekonomiska och politiska utmaning som har funnits sedan NER300-programmet inrättades har 19 projekt inte fått tillräckligt med ytterligare ekonomiskt stöd och därmed dragits tillbaka, vilket frigör totalt 1,358 miljarder euro. Fyra andra projekt befinner sig i olika utvecklingsstadier.</w:t>
      </w:r>
    </w:p>
    <w:p w14:paraId="5C141462" w14:textId="77777777" w:rsidR="0017587A" w:rsidRDefault="003A348D">
      <w:pPr>
        <w:spacing w:after="120"/>
        <w:ind w:right="57"/>
        <w:jc w:val="both"/>
        <w:rPr>
          <w:rFonts w:ascii="Times New Roman" w:eastAsia="Times New Roman" w:hAnsi="Times New Roman"/>
          <w:sz w:val="24"/>
          <w:szCs w:val="24"/>
        </w:rPr>
      </w:pPr>
      <w:r>
        <w:rPr>
          <w:rFonts w:ascii="Times New Roman" w:hAnsi="Times New Roman"/>
        </w:rPr>
        <w:t>Det ändrade NER300-beslutet</w:t>
      </w:r>
      <w:r>
        <w:rPr>
          <w:rFonts w:ascii="Times New Roman" w:eastAsia="Times New Roman" w:hAnsi="Times New Roman"/>
          <w:vertAlign w:val="superscript"/>
        </w:rPr>
        <w:footnoteReference w:id="25"/>
      </w:r>
      <w:r>
        <w:rPr>
          <w:rFonts w:ascii="Times New Roman" w:hAnsi="Times New Roman"/>
        </w:rPr>
        <w:t xml:space="preserve"> innebar att frigjorda medel från de avbrutna projekten från den första ansökningsomgången (hittills 623 miljoner euro) kunde återinvesteras i befintliga finansiella instrument – energidemonstrationsprojekten InnovFin och skuldinstrumentet för Fonden för ett sammanlänkat Europa, som båda administreras av Europeiska investeringsbanken (EIB).</w:t>
      </w:r>
      <w:r>
        <w:t xml:space="preserve"> </w:t>
      </w:r>
      <w:r>
        <w:rPr>
          <w:rFonts w:ascii="Times New Roman" w:hAnsi="Times New Roman"/>
        </w:rPr>
        <w:t>På så sätt kommer man att kunna maximera vinsterna med NER300-programmet och attrahera ytterligare privata investeringar i koldioxidsnål innovation.</w:t>
      </w:r>
    </w:p>
    <w:p w14:paraId="095EDCCE" w14:textId="77777777" w:rsidR="0017587A" w:rsidRDefault="00BB416E">
      <w:pPr>
        <w:spacing w:after="120"/>
        <w:ind w:right="57"/>
        <w:jc w:val="both"/>
        <w:rPr>
          <w:rFonts w:ascii="Times New Roman" w:eastAsia="Times New Roman" w:hAnsi="Times New Roman"/>
          <w:sz w:val="24"/>
          <w:szCs w:val="24"/>
        </w:rPr>
      </w:pPr>
      <w:r>
        <w:rPr>
          <w:rFonts w:ascii="Times New Roman" w:hAnsi="Times New Roman"/>
        </w:rPr>
        <w:t>Hittills har tre projekt valts ut för att ta del av de outnyttjade medlen i NER300 inom energidemonstrationsprojekten InnovFin, med ett stöd på cirka 73 miljoner euro (se tillägg 9 till bilagan).</w:t>
      </w:r>
    </w:p>
    <w:p w14:paraId="17497F37" w14:textId="77777777" w:rsidR="0017587A" w:rsidRDefault="003A348D">
      <w:pPr>
        <w:jc w:val="both"/>
        <w:rPr>
          <w:b/>
        </w:rPr>
      </w:pPr>
      <w:r>
        <w:rPr>
          <w:rFonts w:ascii="Times New Roman" w:hAnsi="Times New Roman"/>
        </w:rPr>
        <w:t xml:space="preserve">De frigjorda medlen från avbrutna projekt från den andra ansökningsomgången (hittills 735,5 miljoner euro) kommer att läggas till de tillgängliga resurserna för innovationsfonden. </w:t>
      </w:r>
    </w:p>
    <w:p w14:paraId="79A2132E" w14:textId="77777777" w:rsidR="0017587A" w:rsidRDefault="003A348D">
      <w:pPr>
        <w:spacing w:after="120"/>
        <w:ind w:right="57"/>
        <w:jc w:val="both"/>
        <w:rPr>
          <w:rFonts w:ascii="Times New Roman" w:eastAsia="Times New Roman" w:hAnsi="Times New Roman"/>
        </w:rPr>
      </w:pPr>
      <w:r>
        <w:rPr>
          <w:rFonts w:ascii="Times New Roman" w:hAnsi="Times New Roman"/>
          <w:b/>
        </w:rPr>
        <w:t>Tabell 3: NER300-projekt som fick anslag i den första och andra ansökningsomgången</w:t>
      </w:r>
      <w:r>
        <w:rPr>
          <w:rFonts w:ascii="Times New Roman" w:eastAsia="Times New Roman" w:hAnsi="Times New Roman"/>
          <w:b/>
          <w:vertAlign w:val="superscript"/>
        </w:rPr>
        <w:footnoteReference w:id="26"/>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18"/>
        <w:gridCol w:w="3081"/>
        <w:gridCol w:w="3081"/>
      </w:tblGrid>
      <w:tr w:rsidR="0017587A" w14:paraId="629A31D5" w14:textId="77777777">
        <w:trPr>
          <w:trHeight w:val="481"/>
          <w:jc w:val="center"/>
        </w:trPr>
        <w:tc>
          <w:tcPr>
            <w:tcW w:w="2918" w:type="dxa"/>
            <w:shd w:val="clear" w:color="auto" w:fill="auto"/>
            <w:vAlign w:val="center"/>
          </w:tcPr>
          <w:p w14:paraId="59C6C05F" w14:textId="77777777" w:rsidR="0017587A" w:rsidRDefault="0017587A">
            <w:pPr>
              <w:spacing w:after="0"/>
              <w:jc w:val="center"/>
              <w:rPr>
                <w:rFonts w:ascii="Times New Roman" w:hAnsi="Times New Roman"/>
                <w:sz w:val="20"/>
                <w:szCs w:val="20"/>
              </w:rPr>
            </w:pPr>
          </w:p>
        </w:tc>
        <w:tc>
          <w:tcPr>
            <w:tcW w:w="3081" w:type="dxa"/>
            <w:shd w:val="clear" w:color="auto" w:fill="auto"/>
            <w:vAlign w:val="center"/>
          </w:tcPr>
          <w:p w14:paraId="38CEF5AC" w14:textId="77777777" w:rsidR="0017587A" w:rsidRDefault="003A348D">
            <w:pPr>
              <w:spacing w:after="0"/>
              <w:jc w:val="center"/>
              <w:rPr>
                <w:rFonts w:ascii="Times New Roman" w:hAnsi="Times New Roman"/>
                <w:b/>
                <w:sz w:val="20"/>
                <w:szCs w:val="20"/>
              </w:rPr>
            </w:pPr>
            <w:r>
              <w:rPr>
                <w:rFonts w:ascii="Times New Roman" w:hAnsi="Times New Roman"/>
                <w:b/>
                <w:sz w:val="20"/>
                <w:szCs w:val="20"/>
              </w:rPr>
              <w:t>1:a ansökningsomgången</w:t>
            </w:r>
          </w:p>
        </w:tc>
        <w:tc>
          <w:tcPr>
            <w:tcW w:w="3081" w:type="dxa"/>
            <w:vAlign w:val="center"/>
          </w:tcPr>
          <w:p w14:paraId="76B3964E" w14:textId="77777777" w:rsidR="0017587A" w:rsidRDefault="003A348D">
            <w:pPr>
              <w:spacing w:after="0"/>
              <w:jc w:val="center"/>
              <w:rPr>
                <w:rFonts w:ascii="Times New Roman" w:hAnsi="Times New Roman"/>
                <w:b/>
                <w:sz w:val="20"/>
                <w:szCs w:val="20"/>
              </w:rPr>
            </w:pPr>
            <w:r>
              <w:rPr>
                <w:rFonts w:ascii="Times New Roman" w:hAnsi="Times New Roman"/>
                <w:b/>
                <w:sz w:val="20"/>
                <w:szCs w:val="20"/>
              </w:rPr>
              <w:t>2:a ansökningsomgången</w:t>
            </w:r>
          </w:p>
        </w:tc>
      </w:tr>
      <w:tr w:rsidR="0017587A" w14:paraId="561F27E0" w14:textId="77777777">
        <w:trPr>
          <w:trHeight w:val="481"/>
          <w:jc w:val="center"/>
        </w:trPr>
        <w:tc>
          <w:tcPr>
            <w:tcW w:w="2918" w:type="dxa"/>
            <w:shd w:val="clear" w:color="auto" w:fill="auto"/>
            <w:vAlign w:val="center"/>
          </w:tcPr>
          <w:p w14:paraId="5076B030" w14:textId="77777777" w:rsidR="0017587A" w:rsidRDefault="003A348D">
            <w:pPr>
              <w:spacing w:after="0"/>
              <w:jc w:val="center"/>
              <w:rPr>
                <w:rFonts w:ascii="Times New Roman" w:eastAsia="Times New Roman" w:hAnsi="Times New Roman"/>
                <w:b/>
                <w:sz w:val="20"/>
                <w:szCs w:val="20"/>
              </w:rPr>
            </w:pPr>
            <w:r>
              <w:rPr>
                <w:rFonts w:ascii="Times New Roman" w:hAnsi="Times New Roman"/>
                <w:b/>
                <w:sz w:val="20"/>
                <w:szCs w:val="20"/>
              </w:rPr>
              <w:t>Projekt under förberedelse</w:t>
            </w:r>
          </w:p>
        </w:tc>
        <w:tc>
          <w:tcPr>
            <w:tcW w:w="3081" w:type="dxa"/>
            <w:shd w:val="clear" w:color="auto" w:fill="auto"/>
            <w:vAlign w:val="center"/>
          </w:tcPr>
          <w:p w14:paraId="74520C48" w14:textId="77777777" w:rsidR="0017587A" w:rsidRDefault="00A729A2">
            <w:pPr>
              <w:spacing w:after="0"/>
              <w:jc w:val="center"/>
              <w:rPr>
                <w:rFonts w:ascii="Times New Roman" w:eastAsia="Times New Roman" w:hAnsi="Times New Roman"/>
                <w:sz w:val="20"/>
                <w:szCs w:val="20"/>
              </w:rPr>
            </w:pPr>
            <w:r>
              <w:rPr>
                <w:rFonts w:ascii="Times New Roman" w:hAnsi="Times New Roman"/>
                <w:sz w:val="20"/>
                <w:szCs w:val="20"/>
              </w:rPr>
              <w:t>6</w:t>
            </w:r>
          </w:p>
        </w:tc>
        <w:tc>
          <w:tcPr>
            <w:tcW w:w="3081" w:type="dxa"/>
            <w:vAlign w:val="center"/>
          </w:tcPr>
          <w:p w14:paraId="0AAE271D" w14:textId="77777777" w:rsidR="0017587A" w:rsidRDefault="00A729A2">
            <w:pPr>
              <w:spacing w:after="0"/>
              <w:jc w:val="center"/>
              <w:rPr>
                <w:rFonts w:ascii="Times New Roman" w:hAnsi="Times New Roman"/>
                <w:sz w:val="20"/>
                <w:szCs w:val="20"/>
              </w:rPr>
            </w:pPr>
            <w:r>
              <w:rPr>
                <w:rFonts w:ascii="Times New Roman" w:hAnsi="Times New Roman"/>
                <w:sz w:val="20"/>
                <w:szCs w:val="20"/>
              </w:rPr>
              <w:t>7</w:t>
            </w:r>
          </w:p>
        </w:tc>
      </w:tr>
      <w:tr w:rsidR="0017587A" w14:paraId="6DE87C9C" w14:textId="77777777">
        <w:trPr>
          <w:trHeight w:val="403"/>
          <w:jc w:val="center"/>
        </w:trPr>
        <w:tc>
          <w:tcPr>
            <w:tcW w:w="2918" w:type="dxa"/>
            <w:shd w:val="clear" w:color="auto" w:fill="auto"/>
            <w:vAlign w:val="center"/>
          </w:tcPr>
          <w:p w14:paraId="044999E4" w14:textId="77777777" w:rsidR="0017587A" w:rsidRDefault="003A348D">
            <w:pPr>
              <w:spacing w:after="0"/>
              <w:jc w:val="center"/>
              <w:rPr>
                <w:rFonts w:ascii="Times New Roman" w:eastAsia="Times New Roman" w:hAnsi="Times New Roman"/>
                <w:b/>
                <w:sz w:val="20"/>
                <w:szCs w:val="20"/>
              </w:rPr>
            </w:pPr>
            <w:r>
              <w:rPr>
                <w:rFonts w:ascii="Times New Roman" w:hAnsi="Times New Roman"/>
                <w:b/>
                <w:sz w:val="20"/>
                <w:szCs w:val="20"/>
              </w:rPr>
              <w:t>Pågående projekt</w:t>
            </w:r>
          </w:p>
        </w:tc>
        <w:tc>
          <w:tcPr>
            <w:tcW w:w="3081" w:type="dxa"/>
            <w:shd w:val="clear" w:color="auto" w:fill="auto"/>
            <w:vAlign w:val="center"/>
          </w:tcPr>
          <w:p w14:paraId="16A16751"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6</w:t>
            </w:r>
          </w:p>
        </w:tc>
        <w:tc>
          <w:tcPr>
            <w:tcW w:w="3081" w:type="dxa"/>
            <w:vAlign w:val="center"/>
          </w:tcPr>
          <w:p w14:paraId="49055DB3" w14:textId="77777777" w:rsidR="0017587A" w:rsidRDefault="00A729A2">
            <w:pPr>
              <w:spacing w:after="0"/>
              <w:jc w:val="center"/>
              <w:rPr>
                <w:rFonts w:ascii="Times New Roman" w:hAnsi="Times New Roman"/>
                <w:sz w:val="20"/>
                <w:szCs w:val="20"/>
              </w:rPr>
            </w:pPr>
            <w:r>
              <w:rPr>
                <w:rFonts w:ascii="Times New Roman" w:hAnsi="Times New Roman"/>
                <w:sz w:val="20"/>
                <w:szCs w:val="20"/>
              </w:rPr>
              <w:t>1</w:t>
            </w:r>
          </w:p>
        </w:tc>
      </w:tr>
      <w:tr w:rsidR="0017587A" w14:paraId="31D49227" w14:textId="77777777">
        <w:trPr>
          <w:trHeight w:val="422"/>
          <w:jc w:val="center"/>
        </w:trPr>
        <w:tc>
          <w:tcPr>
            <w:tcW w:w="2918" w:type="dxa"/>
            <w:shd w:val="clear" w:color="auto" w:fill="auto"/>
            <w:vAlign w:val="center"/>
          </w:tcPr>
          <w:p w14:paraId="0B014BAF" w14:textId="77777777" w:rsidR="0017587A" w:rsidRDefault="003A348D">
            <w:pPr>
              <w:spacing w:after="0"/>
              <w:jc w:val="center"/>
              <w:rPr>
                <w:rFonts w:ascii="Times New Roman" w:eastAsia="Times New Roman" w:hAnsi="Times New Roman"/>
                <w:b/>
                <w:sz w:val="20"/>
                <w:szCs w:val="20"/>
              </w:rPr>
            </w:pPr>
            <w:r>
              <w:rPr>
                <w:rFonts w:ascii="Times New Roman" w:hAnsi="Times New Roman"/>
                <w:b/>
                <w:sz w:val="20"/>
                <w:szCs w:val="20"/>
              </w:rPr>
              <w:t>Indragna projekt</w:t>
            </w:r>
          </w:p>
        </w:tc>
        <w:tc>
          <w:tcPr>
            <w:tcW w:w="3081" w:type="dxa"/>
            <w:shd w:val="clear" w:color="auto" w:fill="auto"/>
            <w:vAlign w:val="center"/>
          </w:tcPr>
          <w:p w14:paraId="4BC13856" w14:textId="77777777" w:rsidR="0017587A" w:rsidRDefault="00A729A2">
            <w:pPr>
              <w:spacing w:after="0"/>
              <w:jc w:val="center"/>
              <w:rPr>
                <w:rFonts w:ascii="Times New Roman" w:eastAsia="Times New Roman" w:hAnsi="Times New Roman"/>
                <w:sz w:val="20"/>
                <w:szCs w:val="20"/>
              </w:rPr>
            </w:pPr>
            <w:r>
              <w:rPr>
                <w:rFonts w:ascii="Times New Roman" w:hAnsi="Times New Roman"/>
                <w:sz w:val="20"/>
                <w:szCs w:val="20"/>
              </w:rPr>
              <w:t>8</w:t>
            </w:r>
          </w:p>
        </w:tc>
        <w:tc>
          <w:tcPr>
            <w:tcW w:w="3081" w:type="dxa"/>
            <w:vAlign w:val="center"/>
          </w:tcPr>
          <w:p w14:paraId="4E9B2B2F" w14:textId="77777777" w:rsidR="0017587A" w:rsidRDefault="00A729A2">
            <w:pPr>
              <w:spacing w:after="0"/>
              <w:jc w:val="center"/>
              <w:rPr>
                <w:rFonts w:ascii="Times New Roman" w:hAnsi="Times New Roman"/>
                <w:sz w:val="20"/>
                <w:szCs w:val="20"/>
              </w:rPr>
            </w:pPr>
            <w:r>
              <w:rPr>
                <w:rFonts w:ascii="Times New Roman" w:hAnsi="Times New Roman"/>
                <w:sz w:val="20"/>
                <w:szCs w:val="20"/>
              </w:rPr>
              <w:t>11</w:t>
            </w:r>
          </w:p>
        </w:tc>
      </w:tr>
      <w:tr w:rsidR="0017587A" w14:paraId="1D86FED9" w14:textId="77777777">
        <w:trPr>
          <w:trHeight w:val="415"/>
          <w:jc w:val="center"/>
        </w:trPr>
        <w:tc>
          <w:tcPr>
            <w:tcW w:w="2918" w:type="dxa"/>
            <w:shd w:val="clear" w:color="auto" w:fill="auto"/>
            <w:vAlign w:val="center"/>
          </w:tcPr>
          <w:p w14:paraId="42F7A11C" w14:textId="77777777" w:rsidR="0017587A" w:rsidRDefault="003A348D">
            <w:pPr>
              <w:spacing w:after="0"/>
              <w:jc w:val="center"/>
              <w:rPr>
                <w:rFonts w:ascii="Times New Roman" w:eastAsia="Times New Roman" w:hAnsi="Times New Roman"/>
                <w:b/>
                <w:sz w:val="20"/>
                <w:szCs w:val="20"/>
              </w:rPr>
            </w:pPr>
            <w:r>
              <w:rPr>
                <w:rFonts w:ascii="Times New Roman" w:hAnsi="Times New Roman"/>
                <w:b/>
                <w:i/>
                <w:iCs/>
                <w:sz w:val="20"/>
                <w:szCs w:val="20"/>
              </w:rPr>
              <w:t>Summa</w:t>
            </w:r>
          </w:p>
        </w:tc>
        <w:tc>
          <w:tcPr>
            <w:tcW w:w="3081" w:type="dxa"/>
            <w:shd w:val="clear" w:color="auto" w:fill="auto"/>
            <w:vAlign w:val="center"/>
          </w:tcPr>
          <w:p w14:paraId="30EC78D4" w14:textId="77777777" w:rsidR="0017587A" w:rsidRDefault="003A348D">
            <w:pPr>
              <w:spacing w:after="0"/>
              <w:jc w:val="center"/>
              <w:rPr>
                <w:rFonts w:ascii="Times New Roman" w:eastAsia="Times New Roman" w:hAnsi="Times New Roman"/>
                <w:sz w:val="20"/>
                <w:szCs w:val="20"/>
              </w:rPr>
            </w:pPr>
            <w:r>
              <w:rPr>
                <w:rFonts w:ascii="Times New Roman" w:hAnsi="Times New Roman"/>
                <w:i/>
                <w:iCs/>
                <w:sz w:val="20"/>
                <w:szCs w:val="20"/>
              </w:rPr>
              <w:t>20</w:t>
            </w:r>
          </w:p>
        </w:tc>
        <w:tc>
          <w:tcPr>
            <w:tcW w:w="3081" w:type="dxa"/>
            <w:vAlign w:val="center"/>
          </w:tcPr>
          <w:p w14:paraId="7AE425B1" w14:textId="77777777" w:rsidR="0017587A" w:rsidRDefault="003A348D">
            <w:pPr>
              <w:spacing w:after="0"/>
              <w:jc w:val="center"/>
              <w:rPr>
                <w:rFonts w:ascii="Times New Roman" w:hAnsi="Times New Roman"/>
                <w:i/>
                <w:iCs/>
                <w:sz w:val="20"/>
                <w:szCs w:val="20"/>
              </w:rPr>
            </w:pPr>
            <w:r>
              <w:rPr>
                <w:rFonts w:ascii="Times New Roman" w:hAnsi="Times New Roman"/>
                <w:i/>
                <w:iCs/>
                <w:sz w:val="20"/>
                <w:szCs w:val="20"/>
              </w:rPr>
              <w:t>19</w:t>
            </w:r>
          </w:p>
        </w:tc>
      </w:tr>
    </w:tbl>
    <w:p w14:paraId="5EEB94EF" w14:textId="77777777" w:rsidR="0017587A" w:rsidRDefault="007748C6">
      <w:pPr>
        <w:pStyle w:val="a3520normalp11"/>
        <w:spacing w:line="276" w:lineRule="auto"/>
        <w:rPr>
          <w:sz w:val="22"/>
          <w:szCs w:val="22"/>
        </w:rPr>
      </w:pPr>
      <w:r>
        <w:rPr>
          <w:sz w:val="22"/>
          <w:szCs w:val="22"/>
        </w:rPr>
        <w:t xml:space="preserve"> </w:t>
      </w:r>
    </w:p>
    <w:p w14:paraId="0EBD8751" w14:textId="77777777" w:rsidR="0017587A" w:rsidRDefault="00B0756E">
      <w:pPr>
        <w:jc w:val="both"/>
        <w:rPr>
          <w:rFonts w:ascii="Times New Roman" w:hAnsi="Times New Roman"/>
          <w:sz w:val="24"/>
          <w:szCs w:val="24"/>
        </w:rPr>
      </w:pPr>
      <w:r>
        <w:rPr>
          <w:rFonts w:ascii="Times New Roman" w:hAnsi="Times New Roman"/>
        </w:rPr>
        <w:t>Under fas 4 kommer det totala värdet av de tillgängliga resurserna för demonstration av innovativ teknik och banbrytande innovationer inom innovationsfonden sannolikt att vara betydligt högre än de 2,1 miljarder euro som funnits tillgängliga för NER300.</w:t>
      </w:r>
      <w:r>
        <w:rPr>
          <w:rStyle w:val="FootnoteReference"/>
          <w:rFonts w:ascii="Times New Roman" w:hAnsi="Times New Roman"/>
        </w:rPr>
        <w:footnoteReference w:id="27"/>
      </w:r>
      <w:r>
        <w:rPr>
          <w:rFonts w:ascii="Times New Roman" w:hAnsi="Times New Roman"/>
        </w:rPr>
        <w:t xml:space="preserve"> I februari 2019 antogs den delegerade förordningen</w:t>
      </w:r>
      <w:r>
        <w:rPr>
          <w:rStyle w:val="FootnoteReference"/>
          <w:rFonts w:ascii="Times New Roman" w:hAnsi="Times New Roman"/>
        </w:rPr>
        <w:footnoteReference w:id="28"/>
      </w:r>
      <w:r>
        <w:rPr>
          <w:rFonts w:ascii="Times New Roman" w:hAnsi="Times New Roman"/>
        </w:rPr>
        <w:t xml:space="preserve"> om driften av innovationsfonden. Projekt i alla medlemsstater, även småskaliga sådana, kommer att kunna få stöd från fonden. </w:t>
      </w:r>
    </w:p>
    <w:p w14:paraId="17FCF6E2" w14:textId="77777777" w:rsidR="0017587A" w:rsidRDefault="00487626">
      <w:pPr>
        <w:jc w:val="both"/>
      </w:pPr>
      <w:r>
        <w:rPr>
          <w:rFonts w:ascii="Times New Roman" w:hAnsi="Times New Roman"/>
        </w:rPr>
        <w:t>För att öka medvetenheten om innovationsfonden under 2019 och första halvåret 2020 deltar kommissionen aktivt i uppsökande verksamhet med industrin och medlemsstaterna för att diskutera de viktigaste frågorna för varje sektor när det gäller valet av genomförda projekt. Den första ansökningsomgången inom innovationsfonden planeras till 2020, följt av regelbundna ansökningsomgångar fram till 2030.</w:t>
      </w:r>
    </w:p>
    <w:p w14:paraId="5E980861" w14:textId="77777777" w:rsidR="0017587A" w:rsidRDefault="0017587A">
      <w:pPr>
        <w:jc w:val="both"/>
      </w:pPr>
    </w:p>
    <w:p w14:paraId="098647A2" w14:textId="77777777" w:rsidR="0017587A" w:rsidRDefault="0017587A">
      <w:pPr>
        <w:jc w:val="both"/>
      </w:pPr>
    </w:p>
    <w:p w14:paraId="7F76D5E2" w14:textId="77777777" w:rsidR="0017587A" w:rsidRDefault="0017587A">
      <w:pPr>
        <w:jc w:val="both"/>
      </w:pPr>
    </w:p>
    <w:p w14:paraId="0CF83C9C" w14:textId="77777777" w:rsidR="0017587A" w:rsidRDefault="0017587A">
      <w:pPr>
        <w:jc w:val="both"/>
      </w:pPr>
    </w:p>
    <w:p w14:paraId="2A39E9BD" w14:textId="77777777" w:rsidR="0017587A" w:rsidRDefault="0017587A">
      <w:pPr>
        <w:jc w:val="both"/>
      </w:pPr>
    </w:p>
    <w:p w14:paraId="0AC8D2ED" w14:textId="77777777" w:rsidR="0017587A" w:rsidRDefault="0017587A">
      <w:pPr>
        <w:jc w:val="both"/>
      </w:pPr>
    </w:p>
    <w:p w14:paraId="55508AB7" w14:textId="77777777" w:rsidR="0017587A" w:rsidRDefault="0017587A">
      <w:pPr>
        <w:jc w:val="both"/>
      </w:pPr>
    </w:p>
    <w:p w14:paraId="0DE6664D" w14:textId="77777777" w:rsidR="0017587A" w:rsidRDefault="0017587A">
      <w:pPr>
        <w:jc w:val="both"/>
      </w:pPr>
    </w:p>
    <w:p w14:paraId="5AEF46F4" w14:textId="77777777" w:rsidR="0017587A" w:rsidRDefault="0017587A">
      <w:pPr>
        <w:jc w:val="both"/>
        <w:rPr>
          <w:rFonts w:ascii="Times New Roman" w:hAnsi="Times New Roman"/>
          <w:sz w:val="24"/>
          <w:szCs w:val="24"/>
        </w:rPr>
      </w:pPr>
    </w:p>
    <w:p w14:paraId="2881D436" w14:textId="77777777" w:rsidR="0017587A" w:rsidRDefault="00A52F4C">
      <w:pPr>
        <w:pStyle w:val="Heading4"/>
        <w:spacing w:before="0" w:after="200"/>
        <w:ind w:left="1080"/>
        <w:rPr>
          <w:highlight w:val="yellow"/>
        </w:rPr>
      </w:pPr>
      <w:bookmarkStart w:id="13" w:name="_Toc23755270"/>
      <w:r>
        <w:t>3.1.2.3 Kompensation för indirekta koldioxidkostnader</w:t>
      </w:r>
      <w:bookmarkEnd w:id="13"/>
    </w:p>
    <w:p w14:paraId="17B6DFBB" w14:textId="77777777" w:rsidR="0017587A" w:rsidRDefault="0017587A">
      <w:pPr>
        <w:spacing w:after="0"/>
        <w:rPr>
          <w:rFonts w:asciiTheme="minorHAnsi" w:hAnsiTheme="minorHAnsi"/>
          <w:b/>
          <w:bCs/>
          <w:sz w:val="24"/>
          <w:szCs w:val="24"/>
        </w:rPr>
      </w:pPr>
    </w:p>
    <w:p w14:paraId="5DB1C0AE" w14:textId="77777777" w:rsidR="0017587A" w:rsidRDefault="00E07823">
      <w:pPr>
        <w:spacing w:after="0"/>
        <w:rPr>
          <w:rFonts w:asciiTheme="minorHAnsi" w:hAnsiTheme="minorHAnsi"/>
          <w:b/>
          <w:bCs/>
          <w:sz w:val="24"/>
          <w:szCs w:val="24"/>
        </w:rPr>
      </w:pPr>
      <w:r>
        <w:rPr>
          <w:rFonts w:ascii="Times New Roman" w:hAnsi="Times New Roman"/>
          <w:noProof/>
          <w:lang w:val="en-GB" w:eastAsia="en-GB"/>
        </w:rPr>
        <mc:AlternateContent>
          <mc:Choice Requires="wps">
            <w:drawing>
              <wp:inline distT="0" distB="0" distL="0" distR="0" wp14:anchorId="317F329C" wp14:editId="77C567F4">
                <wp:extent cx="5720486" cy="4114800"/>
                <wp:effectExtent l="0" t="0" r="13970"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4114800"/>
                        </a:xfrm>
                        <a:prstGeom prst="rect">
                          <a:avLst/>
                        </a:prstGeom>
                        <a:solidFill>
                          <a:sysClr val="window" lastClr="FFFFFF">
                            <a:lumMod val="85000"/>
                          </a:sysClr>
                        </a:solidFill>
                        <a:ln w="12700">
                          <a:solidFill>
                            <a:srgbClr val="000000"/>
                          </a:solidFill>
                          <a:miter lim="800000"/>
                          <a:headEnd/>
                          <a:tailEnd/>
                        </a:ln>
                      </wps:spPr>
                      <wps:txbx>
                        <w:txbxContent>
                          <w:p w14:paraId="09987BE3" w14:textId="77777777" w:rsidR="0017587A" w:rsidRDefault="00516F65">
                            <w:pPr>
                              <w:jc w:val="both"/>
                              <w:rPr>
                                <w:rFonts w:ascii="Times New Roman" w:hAnsi="Times New Roman"/>
                                <w:sz w:val="24"/>
                                <w:szCs w:val="24"/>
                              </w:rPr>
                            </w:pPr>
                            <w:r>
                              <w:rPr>
                                <w:rFonts w:ascii="Times New Roman" w:hAnsi="Times New Roman"/>
                              </w:rPr>
                              <w:t xml:space="preserve">Utöver tilldelningen av gratis utsläppsrätter för att täcka direkta koldioxidkostnader får medlemsstaterna bevilja statligt stöd för att kompensera vissa elintensiva industrier för indirekta koldioxidkostnader, det vill säga kostnader till följd av höjda elpriser på grund av att elproducenter överför kostnaderna för köp av utsläppsrätter till konsumenterna. </w:t>
                            </w:r>
                          </w:p>
                          <w:p w14:paraId="39D56837" w14:textId="77777777" w:rsidR="0017587A" w:rsidRDefault="00516F65">
                            <w:pPr>
                              <w:jc w:val="both"/>
                              <w:rPr>
                                <w:rFonts w:ascii="Times New Roman" w:hAnsi="Times New Roman"/>
                                <w:sz w:val="24"/>
                                <w:szCs w:val="24"/>
                              </w:rPr>
                            </w:pPr>
                            <w:r>
                              <w:rPr>
                                <w:rFonts w:ascii="Times New Roman" w:hAnsi="Times New Roman"/>
                              </w:rPr>
                              <w:t xml:space="preserve">För att säkerställa en harmoniserad tillämpning av stödet för indirekta koldioxidkostnader i medlemsstaterna och minimera snedvridningen av konkurrensen på den inre marknaden har kommissionen antagit riktlinjer för statligt stöd inom ramen för systemet för handel med utsläppsrätter* som är giltiga fram till utgången av 2020. I riktlinjerna fastställs bland annat stödberättigade sektorer och högsta stödbelopp som kompensation för indirekta koldioxidkostnader. </w:t>
                            </w:r>
                          </w:p>
                          <w:p w14:paraId="4B0BDB06" w14:textId="77777777" w:rsidR="0017587A" w:rsidRDefault="00516F65">
                            <w:pPr>
                              <w:jc w:val="both"/>
                              <w:rPr>
                                <w:rFonts w:ascii="Times New Roman" w:hAnsi="Times New Roman"/>
                                <w:sz w:val="24"/>
                                <w:szCs w:val="24"/>
                              </w:rPr>
                            </w:pPr>
                            <w:r>
                              <w:rPr>
                                <w:rFonts w:ascii="Times New Roman" w:hAnsi="Times New Roman"/>
                              </w:rPr>
                              <w:t>Enligt det reviderade direktivet om EU:s utsläppshandelssystem får medlemsstaterna fortsätta att ge kompensation för indirekta koldioxidkostnader under fas 4, och detta kompletteras med hårdare bestämmelser om insyn och rapportering. Med hänsyn till detta har kommissionen inlett en översyn av riktlinjerna för statligt stöd inom ramen för systemet för handel med utsläppsrätter inför nästa handelsperiod (se tillägg 7 till bilagan). Som en del av denna process kommer kommissionen att se över både förteckningen över stödberättigande sektorer och de avgörande faktorerna för högsta stödbelopp, baserat på de samråd som hölls med intressenter och medlemsstater i början av 2019.</w:t>
                            </w:r>
                          </w:p>
                          <w:p w14:paraId="20DE553D" w14:textId="6927CD3D" w:rsidR="0017587A" w:rsidRDefault="00516F65">
                            <w:pPr>
                              <w:jc w:val="both"/>
                              <w:rPr>
                                <w:rFonts w:ascii="Times New Roman" w:hAnsi="Times New Roman"/>
                                <w:sz w:val="18"/>
                                <w:szCs w:val="18"/>
                              </w:rPr>
                            </w:pPr>
                            <w:r>
                              <w:rPr>
                                <w:rFonts w:ascii="Times New Roman" w:hAnsi="Times New Roman"/>
                                <w:sz w:val="18"/>
                                <w:szCs w:val="18"/>
                              </w:rPr>
                              <w:t>* Riktlinjer för vissa statliga stödåtgärder inom ramen för systemet för handel med utsläppsrätter för växthusgaser efter 2012 (EUT C 158, 5.6.2012, s. 4).</w:t>
                            </w:r>
                          </w:p>
                        </w:txbxContent>
                      </wps:txbx>
                      <wps:bodyPr rot="0" vert="horz" wrap="square" lIns="91440" tIns="45720" rIns="91440" bIns="45720" anchor="t" anchorCtr="0">
                        <a:noAutofit/>
                      </wps:bodyPr>
                    </wps:wsp>
                  </a:graphicData>
                </a:graphic>
              </wp:inline>
            </w:drawing>
          </mc:Choice>
          <mc:Fallback>
            <w:pict>
              <v:shape w14:anchorId="317F329C" id="Text Box 7" o:spid="_x0000_s1032" type="#_x0000_t202" style="width:450.45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" fillcolor="#d9d9d9" strokeweight="1pt">
                <v:textbox>
                  <w:txbxContent>
                    <w:p w14:paraId="09987BE3" w14:textId="77777777" w:rsidR="0017587A" w:rsidRDefault="00516F65">
                      <w:pPr>
                        <w:jc w:val="both"/>
                        <w:rPr>
                          <w:rFonts w:ascii="Times New Roman" w:hAnsi="Times New Roman"/>
                          <w:sz w:val="24"/>
                          <w:szCs w:val="24"/>
                        </w:rPr>
                      </w:pPr>
                      <w:r>
                        <w:rPr>
                          <w:rFonts w:ascii="Times New Roman" w:hAnsi="Times New Roman"/>
                        </w:rPr>
                        <w:t xml:space="preserve">Utöver tilldelningen av gratis utsläppsrätter för att täcka direkta koldioxidkostnader får medlemsstaterna bevilja statligt stöd för att kompensera vissa elintensiva industrier för indirekta koldioxidkostnader, det vill säga kostnader till följd av höjda elpriser på grund av att elproducenter överför kostnaderna för köp av utsläppsrätter till konsumenterna. </w:t>
                      </w:r>
                    </w:p>
                    <w:p w14:paraId="39D56837" w14:textId="77777777" w:rsidR="0017587A" w:rsidRDefault="00516F65">
                      <w:pPr>
                        <w:jc w:val="both"/>
                        <w:rPr>
                          <w:rFonts w:ascii="Times New Roman" w:hAnsi="Times New Roman"/>
                          <w:sz w:val="24"/>
                          <w:szCs w:val="24"/>
                        </w:rPr>
                      </w:pPr>
                      <w:r>
                        <w:rPr>
                          <w:rFonts w:ascii="Times New Roman" w:hAnsi="Times New Roman"/>
                        </w:rPr>
                        <w:t xml:space="preserve">För att säkerställa en harmoniserad tillämpning av stödet för indirekta koldioxidkostnader i medlemsstaterna och minimera snedvridningen av konkurrensen på den inre marknaden har kommissionen antagit riktlinjer för statligt stöd inom ramen för systemet för handel med utsläppsrätter* som är giltiga fram till utgången av 2020. I riktlinjerna fastställs bland annat stödberättigade sektorer och högsta stödbelopp som kompensation för indirekta koldioxidkostnader. </w:t>
                      </w:r>
                    </w:p>
                    <w:p w14:paraId="4B0BDB06" w14:textId="77777777" w:rsidR="0017587A" w:rsidRDefault="00516F65">
                      <w:pPr>
                        <w:jc w:val="both"/>
                        <w:rPr>
                          <w:rFonts w:ascii="Times New Roman" w:hAnsi="Times New Roman"/>
                          <w:sz w:val="24"/>
                          <w:szCs w:val="24"/>
                        </w:rPr>
                      </w:pPr>
                      <w:r>
                        <w:rPr>
                          <w:rFonts w:ascii="Times New Roman" w:hAnsi="Times New Roman"/>
                        </w:rPr>
                        <w:t>Enligt det reviderade direktivet om EU:s utsläppshandelssystem får medlemsstaterna fortsätta att ge kompensation för indirekta koldioxidkostnader under fas 4, och detta kompletteras med hårdare bestämmelser om insyn och rapportering. Med hänsyn till detta har kommissionen inlett en översyn av riktlinjerna för statligt stöd inom ramen för systemet för handel med utsläppsrätter inför nästa handelsperiod (se tillägg 7 till bilagan). Som en del av denna process kommer kommissionen att se över både förteckningen över stödberättigande sektorer och de avgörande faktorerna för högsta stödbelopp, baserat på de samråd som hölls med intressenter och medlemsstater i början av 2019.</w:t>
                      </w:r>
                    </w:p>
                    <w:p w14:paraId="20DE553D" w14:textId="6927CD3D" w:rsidR="0017587A" w:rsidRDefault="00516F65">
                      <w:pPr>
                        <w:jc w:val="both"/>
                        <w:rPr>
                          <w:rFonts w:ascii="Times New Roman" w:hAnsi="Times New Roman"/>
                          <w:sz w:val="18"/>
                          <w:szCs w:val="18"/>
                        </w:rPr>
                      </w:pPr>
                      <w:r>
                        <w:rPr>
                          <w:rFonts w:ascii="Times New Roman" w:hAnsi="Times New Roman"/>
                          <w:sz w:val="18"/>
                          <w:szCs w:val="18"/>
                        </w:rPr>
                        <w:t>* Riktlinjer för vissa statliga stödåtgärder inom ramen för systemet för handel med utsläppsrätter för växthusgaser efter 2012 (EUT C 158, 5.6.2012, s. 4).</w:t>
                      </w:r>
                    </w:p>
                  </w:txbxContent>
                </v:textbox>
                <w10:anchorlock/>
              </v:shape>
            </w:pict>
          </mc:Fallback>
        </mc:AlternateContent>
      </w:r>
    </w:p>
    <w:p w14:paraId="0739B273" w14:textId="77777777" w:rsidR="0017587A" w:rsidRDefault="0017587A">
      <w:pPr>
        <w:jc w:val="both"/>
        <w:rPr>
          <w:rFonts w:ascii="Times New Roman" w:eastAsia="Times New Roman" w:hAnsi="Times New Roman"/>
          <w:sz w:val="24"/>
          <w:szCs w:val="24"/>
        </w:rPr>
      </w:pPr>
    </w:p>
    <w:p w14:paraId="4B7F9415" w14:textId="77777777" w:rsidR="0017587A" w:rsidRDefault="00E07823">
      <w:pPr>
        <w:jc w:val="both"/>
        <w:rPr>
          <w:rFonts w:ascii="Times New Roman" w:eastAsia="Times New Roman" w:hAnsi="Times New Roman"/>
          <w:sz w:val="24"/>
          <w:szCs w:val="24"/>
        </w:rPr>
      </w:pPr>
      <w:r>
        <w:rPr>
          <w:rFonts w:ascii="Times New Roman" w:hAnsi="Times New Roman"/>
        </w:rPr>
        <w:t>Hittills har kommissionen godkänt 13</w:t>
      </w:r>
      <w:r>
        <w:rPr>
          <w:rStyle w:val="FootnoteReference"/>
          <w:rFonts w:ascii="Times New Roman" w:eastAsia="Times New Roman" w:hAnsi="Times New Roman"/>
        </w:rPr>
        <w:footnoteReference w:id="29"/>
      </w:r>
      <w:r>
        <w:rPr>
          <w:rFonts w:ascii="Times New Roman" w:hAnsi="Times New Roman"/>
        </w:rPr>
        <w:t xml:space="preserve"> stödordningar för kompensation för indirekta koldioxidkostnader i 12 medlemsstater. Ersättning betalades ut för första gången under 2018 genom ordningen för Vallonien respektive Luxemburg. Den spanska regeringen anmälde en översyn av sin ordning till kommissionen i syfte att öka budgeten. Under 2019 anmälde Polen ett åtgärdsförslag till kommissionen och fick godkännande av statligt stöd till en ordning som kommer att betala ut stöd 2020 för indirekta kostnader som ådragits under 2019. </w:t>
      </w:r>
    </w:p>
    <w:p w14:paraId="7860CD35" w14:textId="77777777" w:rsidR="0017587A" w:rsidRDefault="00E07823">
      <w:pPr>
        <w:jc w:val="both"/>
        <w:rPr>
          <w:rFonts w:ascii="Times New Roman" w:eastAsia="Times New Roman" w:hAnsi="Times New Roman"/>
          <w:sz w:val="24"/>
          <w:szCs w:val="24"/>
        </w:rPr>
      </w:pPr>
      <w:r>
        <w:rPr>
          <w:rFonts w:ascii="Times New Roman" w:hAnsi="Times New Roman"/>
        </w:rPr>
        <w:t>Enligt direktivet om EU:s utsläppshandelssystem ska de medlemsstater som har infört ett stödsystem för indirekta kostnader på lätt tillgängligt sätt offentliggöra den totala kompensationens storlek uppdelad på de sektorer och delsektorer som fått stöd, inom tre månader från utgången av varje år.</w:t>
      </w:r>
    </w:p>
    <w:p w14:paraId="34AD5374" w14:textId="77777777" w:rsidR="0017587A" w:rsidRDefault="00E07823">
      <w:pPr>
        <w:jc w:val="both"/>
        <w:rPr>
          <w:rFonts w:ascii="Times New Roman" w:eastAsia="Times New Roman" w:hAnsi="Times New Roman"/>
          <w:sz w:val="24"/>
          <w:szCs w:val="24"/>
        </w:rPr>
      </w:pPr>
      <w:r>
        <w:rPr>
          <w:rFonts w:ascii="Times New Roman" w:hAnsi="Times New Roman"/>
        </w:rPr>
        <w:t xml:space="preserve">En sammanfattning av de uppgifter som medlemsstaterna offentliggör om kompensation som utbetalades under 2018 återfinns i tabell 4. </w:t>
      </w:r>
    </w:p>
    <w:p w14:paraId="786763E0" w14:textId="77777777" w:rsidR="0017587A" w:rsidRDefault="0017587A">
      <w:pPr>
        <w:jc w:val="both"/>
        <w:rPr>
          <w:rFonts w:ascii="Times New Roman" w:eastAsia="Times New Roman" w:hAnsi="Times New Roman"/>
          <w:sz w:val="24"/>
          <w:szCs w:val="24"/>
          <w:highlight w:val="yellow"/>
        </w:rPr>
      </w:pPr>
    </w:p>
    <w:p w14:paraId="316F874E" w14:textId="77777777" w:rsidR="0017587A" w:rsidRDefault="0017587A">
      <w:pPr>
        <w:jc w:val="both"/>
        <w:rPr>
          <w:rFonts w:ascii="Times New Roman" w:eastAsia="Times New Roman" w:hAnsi="Times New Roman"/>
          <w:sz w:val="24"/>
          <w:szCs w:val="24"/>
          <w:highlight w:val="yellow"/>
        </w:rPr>
      </w:pPr>
    </w:p>
    <w:p w14:paraId="1EA689CA" w14:textId="77777777" w:rsidR="0017587A" w:rsidRDefault="00E07823">
      <w:pPr>
        <w:jc w:val="both"/>
        <w:rPr>
          <w:rFonts w:ascii="Times New Roman" w:eastAsia="Times New Roman" w:hAnsi="Times New Roman"/>
          <w:b/>
          <w:sz w:val="24"/>
          <w:szCs w:val="24"/>
        </w:rPr>
      </w:pPr>
      <w:r>
        <w:rPr>
          <w:rFonts w:ascii="Times New Roman" w:hAnsi="Times New Roman"/>
          <w:b/>
        </w:rPr>
        <w:t>Tabell 4: Kompensation för indirekta koldioxidkostnader som utbetalades av medlemsstaterna under 2018</w:t>
      </w:r>
      <w:r>
        <w:rPr>
          <w:rStyle w:val="FootnoteReference"/>
          <w:rFonts w:ascii="Times New Roman" w:eastAsia="Times New Roman" w:hAnsi="Times New Roman"/>
          <w:b/>
        </w:rPr>
        <w:footnoteReference w:id="30"/>
      </w:r>
    </w:p>
    <w:tbl>
      <w:tblPr>
        <w:tblW w:w="485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39"/>
        <w:gridCol w:w="1535"/>
        <w:gridCol w:w="1437"/>
        <w:gridCol w:w="1458"/>
        <w:gridCol w:w="1655"/>
        <w:gridCol w:w="1818"/>
      </w:tblGrid>
      <w:tr w:rsidR="0017587A" w14:paraId="06757829" w14:textId="77777777" w:rsidTr="00516F65">
        <w:trPr>
          <w:trHeight w:val="1019"/>
          <w:jc w:val="center"/>
        </w:trPr>
        <w:tc>
          <w:tcPr>
            <w:tcW w:w="492" w:type="pct"/>
            <w:tcBorders>
              <w:bottom w:val="double" w:sz="4" w:space="0" w:color="auto"/>
            </w:tcBorders>
            <w:shd w:val="clear" w:color="000000" w:fill="D9D9D9"/>
            <w:vAlign w:val="center"/>
            <w:hideMark/>
          </w:tcPr>
          <w:p w14:paraId="7600C4AD" w14:textId="77777777" w:rsidR="0017587A" w:rsidRDefault="00E07823">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Medlemsstat</w:t>
            </w:r>
          </w:p>
        </w:tc>
        <w:tc>
          <w:tcPr>
            <w:tcW w:w="647" w:type="pct"/>
            <w:tcBorders>
              <w:bottom w:val="double" w:sz="4" w:space="0" w:color="auto"/>
            </w:tcBorders>
            <w:shd w:val="clear" w:color="000000" w:fill="D9D9D9"/>
            <w:vAlign w:val="center"/>
            <w:hideMark/>
          </w:tcPr>
          <w:p w14:paraId="168606D4" w14:textId="77777777" w:rsidR="0017587A" w:rsidRDefault="00E07823">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Stödordningens varaktighet</w:t>
            </w:r>
          </w:p>
        </w:tc>
        <w:tc>
          <w:tcPr>
            <w:tcW w:w="995" w:type="pct"/>
            <w:tcBorders>
              <w:bottom w:val="double" w:sz="4" w:space="0" w:color="auto"/>
            </w:tcBorders>
            <w:shd w:val="clear" w:color="000000" w:fill="D9D9D9"/>
            <w:vAlign w:val="center"/>
            <w:hideMark/>
          </w:tcPr>
          <w:p w14:paraId="2EC0AEBC" w14:textId="77777777" w:rsidR="0017587A" w:rsidRDefault="00E07823">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Kompensation som utbetalades 2018 för indirekta kostnader under 2017 (miljoner euro)</w:t>
            </w:r>
          </w:p>
        </w:tc>
        <w:tc>
          <w:tcPr>
            <w:tcW w:w="764" w:type="pct"/>
            <w:tcBorders>
              <w:bottom w:val="double" w:sz="4" w:space="0" w:color="auto"/>
            </w:tcBorders>
            <w:shd w:val="clear" w:color="000000" w:fill="D9D9D9"/>
            <w:vAlign w:val="center"/>
            <w:hideMark/>
          </w:tcPr>
          <w:p w14:paraId="30FC3338" w14:textId="77777777" w:rsidR="0017587A" w:rsidRDefault="00E07823">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Antal stödmottagare (anläggningar)</w:t>
            </w:r>
          </w:p>
        </w:tc>
        <w:tc>
          <w:tcPr>
            <w:tcW w:w="1073" w:type="pct"/>
            <w:tcBorders>
              <w:bottom w:val="double" w:sz="4" w:space="0" w:color="auto"/>
            </w:tcBorders>
            <w:shd w:val="clear" w:color="000000" w:fill="D9D9D9"/>
            <w:vAlign w:val="center"/>
            <w:hideMark/>
          </w:tcPr>
          <w:p w14:paraId="5645CBC7" w14:textId="77777777" w:rsidR="0017587A" w:rsidRDefault="00E07823">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Auktionsintäkter 2017 (exklusive utsläppsrätter för luftfart, i miljoner euro)</w:t>
            </w:r>
          </w:p>
        </w:tc>
        <w:tc>
          <w:tcPr>
            <w:tcW w:w="1029" w:type="pct"/>
            <w:tcBorders>
              <w:bottom w:val="double" w:sz="4" w:space="0" w:color="auto"/>
            </w:tcBorders>
            <w:shd w:val="clear" w:color="000000" w:fill="D9D9D9"/>
            <w:vAlign w:val="center"/>
            <w:hideMark/>
          </w:tcPr>
          <w:p w14:paraId="4EA7625D" w14:textId="77777777" w:rsidR="0017587A" w:rsidRDefault="00E07823">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Andel av auktionsintäkterna som har använts till kompensation för indirekta kostnader</w:t>
            </w:r>
          </w:p>
        </w:tc>
      </w:tr>
      <w:tr w:rsidR="0017587A" w14:paraId="1FFB60A8" w14:textId="77777777" w:rsidTr="00516F65">
        <w:trPr>
          <w:trHeight w:val="764"/>
          <w:jc w:val="center"/>
        </w:trPr>
        <w:tc>
          <w:tcPr>
            <w:tcW w:w="492" w:type="pct"/>
            <w:shd w:val="clear" w:color="auto" w:fill="auto"/>
            <w:noWrap/>
            <w:vAlign w:val="center"/>
            <w:hideMark/>
          </w:tcPr>
          <w:p w14:paraId="638F5F5C"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Storbritannien</w:t>
            </w:r>
          </w:p>
        </w:tc>
        <w:tc>
          <w:tcPr>
            <w:tcW w:w="647" w:type="pct"/>
            <w:shd w:val="clear" w:color="auto" w:fill="auto"/>
            <w:noWrap/>
            <w:vAlign w:val="center"/>
            <w:hideMark/>
          </w:tcPr>
          <w:p w14:paraId="0E4A3B8B"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2013–2020</w:t>
            </w:r>
          </w:p>
        </w:tc>
        <w:tc>
          <w:tcPr>
            <w:tcW w:w="995" w:type="pct"/>
            <w:shd w:val="clear" w:color="auto" w:fill="auto"/>
            <w:vAlign w:val="center"/>
            <w:hideMark/>
          </w:tcPr>
          <w:p w14:paraId="50DB0548"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22,36</w:t>
            </w:r>
            <w:r>
              <w:rPr>
                <w:rStyle w:val="FootnoteReference"/>
                <w:rFonts w:ascii="Times New Roman" w:eastAsia="Times New Roman" w:hAnsi="Times New Roman"/>
                <w:sz w:val="20"/>
                <w:szCs w:val="20"/>
              </w:rPr>
              <w:footnoteReference w:id="31"/>
            </w:r>
          </w:p>
        </w:tc>
        <w:tc>
          <w:tcPr>
            <w:tcW w:w="764" w:type="pct"/>
            <w:shd w:val="clear" w:color="auto" w:fill="auto"/>
            <w:vAlign w:val="center"/>
            <w:hideMark/>
          </w:tcPr>
          <w:p w14:paraId="7D66876D"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60</w:t>
            </w:r>
            <w:r>
              <w:rPr>
                <w:rStyle w:val="FootnoteReference"/>
                <w:rFonts w:ascii="Times New Roman" w:eastAsia="Times New Roman" w:hAnsi="Times New Roman"/>
                <w:sz w:val="20"/>
                <w:szCs w:val="20"/>
              </w:rPr>
              <w:footnoteReference w:id="32"/>
            </w:r>
          </w:p>
        </w:tc>
        <w:tc>
          <w:tcPr>
            <w:tcW w:w="1073" w:type="pct"/>
            <w:shd w:val="clear" w:color="auto" w:fill="auto"/>
            <w:vAlign w:val="center"/>
            <w:hideMark/>
          </w:tcPr>
          <w:p w14:paraId="61664C7E" w14:textId="77777777" w:rsidR="0017587A" w:rsidRDefault="00513707">
            <w:pPr>
              <w:spacing w:after="0" w:line="240" w:lineRule="auto"/>
              <w:jc w:val="center"/>
              <w:rPr>
                <w:rFonts w:ascii="Times New Roman" w:eastAsia="Times New Roman" w:hAnsi="Times New Roman"/>
                <w:sz w:val="20"/>
                <w:szCs w:val="20"/>
              </w:rPr>
            </w:pPr>
            <w:r>
              <w:rPr>
                <w:rFonts w:ascii="Times New Roman" w:hAnsi="Times New Roman"/>
                <w:sz w:val="20"/>
                <w:szCs w:val="20"/>
              </w:rPr>
              <w:t>1607</w:t>
            </w:r>
            <w:r>
              <w:rPr>
                <w:rStyle w:val="FootnoteReference"/>
                <w:rFonts w:ascii="Times New Roman" w:eastAsia="Times New Roman" w:hAnsi="Times New Roman"/>
                <w:sz w:val="20"/>
                <w:szCs w:val="20"/>
              </w:rPr>
              <w:footnoteReference w:id="33"/>
            </w:r>
          </w:p>
        </w:tc>
        <w:tc>
          <w:tcPr>
            <w:tcW w:w="1029" w:type="pct"/>
            <w:shd w:val="clear" w:color="auto" w:fill="auto"/>
            <w:vAlign w:val="center"/>
            <w:hideMark/>
          </w:tcPr>
          <w:p w14:paraId="2C916D31"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3,7 %</w:t>
            </w:r>
          </w:p>
          <w:p w14:paraId="6216CE76" w14:textId="77777777" w:rsidR="0017587A" w:rsidRDefault="00E07823">
            <w:pPr>
              <w:spacing w:after="0" w:line="240" w:lineRule="auto"/>
              <w:rPr>
                <w:rFonts w:ascii="Times New Roman" w:eastAsia="Times New Roman" w:hAnsi="Times New Roman"/>
                <w:sz w:val="20"/>
                <w:szCs w:val="20"/>
              </w:rPr>
            </w:pPr>
            <w:r>
              <w:rPr>
                <w:rFonts w:ascii="Times New Roman" w:hAnsi="Times New Roman"/>
                <w:sz w:val="20"/>
                <w:szCs w:val="20"/>
              </w:rPr>
              <w:t> </w:t>
            </w:r>
          </w:p>
        </w:tc>
      </w:tr>
      <w:tr w:rsidR="0017587A" w14:paraId="0978FDAA" w14:textId="77777777" w:rsidTr="00516F65">
        <w:trPr>
          <w:trHeight w:val="299"/>
          <w:jc w:val="center"/>
        </w:trPr>
        <w:tc>
          <w:tcPr>
            <w:tcW w:w="492" w:type="pct"/>
            <w:shd w:val="clear" w:color="auto" w:fill="auto"/>
            <w:noWrap/>
            <w:vAlign w:val="center"/>
            <w:hideMark/>
          </w:tcPr>
          <w:p w14:paraId="09B7D411"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DE</w:t>
            </w:r>
          </w:p>
        </w:tc>
        <w:tc>
          <w:tcPr>
            <w:tcW w:w="647" w:type="pct"/>
            <w:shd w:val="clear" w:color="auto" w:fill="auto"/>
            <w:noWrap/>
            <w:vAlign w:val="center"/>
            <w:hideMark/>
          </w:tcPr>
          <w:p w14:paraId="6C4F4B24"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2013–2020</w:t>
            </w:r>
          </w:p>
        </w:tc>
        <w:tc>
          <w:tcPr>
            <w:tcW w:w="995" w:type="pct"/>
            <w:shd w:val="clear" w:color="auto" w:fill="auto"/>
            <w:vAlign w:val="center"/>
            <w:hideMark/>
          </w:tcPr>
          <w:p w14:paraId="3902A268"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202</w:t>
            </w:r>
          </w:p>
        </w:tc>
        <w:tc>
          <w:tcPr>
            <w:tcW w:w="764" w:type="pct"/>
            <w:shd w:val="clear" w:color="auto" w:fill="auto"/>
            <w:vAlign w:val="center"/>
            <w:hideMark/>
          </w:tcPr>
          <w:p w14:paraId="351D5336"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891</w:t>
            </w:r>
          </w:p>
        </w:tc>
        <w:tc>
          <w:tcPr>
            <w:tcW w:w="1073" w:type="pct"/>
            <w:shd w:val="clear" w:color="auto" w:fill="auto"/>
            <w:vAlign w:val="center"/>
            <w:hideMark/>
          </w:tcPr>
          <w:p w14:paraId="410E19E1" w14:textId="77777777" w:rsidR="0017587A"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1141,7</w:t>
            </w:r>
          </w:p>
        </w:tc>
        <w:tc>
          <w:tcPr>
            <w:tcW w:w="1029" w:type="pct"/>
            <w:shd w:val="clear" w:color="auto" w:fill="auto"/>
            <w:vAlign w:val="center"/>
            <w:hideMark/>
          </w:tcPr>
          <w:p w14:paraId="5503AFB8"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 17,6 %</w:t>
            </w:r>
          </w:p>
        </w:tc>
      </w:tr>
      <w:tr w:rsidR="0017587A" w14:paraId="25DF01F7" w14:textId="77777777" w:rsidTr="00516F65">
        <w:trPr>
          <w:trHeight w:val="299"/>
          <w:jc w:val="center"/>
        </w:trPr>
        <w:tc>
          <w:tcPr>
            <w:tcW w:w="492" w:type="pct"/>
            <w:shd w:val="clear" w:color="auto" w:fill="auto"/>
            <w:noWrap/>
            <w:vAlign w:val="center"/>
            <w:hideMark/>
          </w:tcPr>
          <w:p w14:paraId="01A811BE"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BE (FL)</w:t>
            </w:r>
          </w:p>
        </w:tc>
        <w:tc>
          <w:tcPr>
            <w:tcW w:w="647" w:type="pct"/>
            <w:shd w:val="clear" w:color="auto" w:fill="auto"/>
            <w:noWrap/>
            <w:vAlign w:val="center"/>
            <w:hideMark/>
          </w:tcPr>
          <w:p w14:paraId="27BD553B"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2013–2020</w:t>
            </w:r>
          </w:p>
        </w:tc>
        <w:tc>
          <w:tcPr>
            <w:tcW w:w="995" w:type="pct"/>
            <w:shd w:val="clear" w:color="auto" w:fill="auto"/>
            <w:vAlign w:val="center"/>
            <w:hideMark/>
          </w:tcPr>
          <w:p w14:paraId="257B7C8C" w14:textId="77777777" w:rsidR="0017587A"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31,7</w:t>
            </w:r>
          </w:p>
        </w:tc>
        <w:tc>
          <w:tcPr>
            <w:tcW w:w="764" w:type="pct"/>
            <w:shd w:val="clear" w:color="auto" w:fill="auto"/>
            <w:vAlign w:val="center"/>
            <w:hideMark/>
          </w:tcPr>
          <w:p w14:paraId="0D65CA1C"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106 </w:t>
            </w:r>
          </w:p>
        </w:tc>
        <w:tc>
          <w:tcPr>
            <w:tcW w:w="1073" w:type="pct"/>
            <w:vMerge w:val="restart"/>
            <w:shd w:val="clear" w:color="auto" w:fill="auto"/>
            <w:vAlign w:val="center"/>
            <w:hideMark/>
          </w:tcPr>
          <w:p w14:paraId="15075BB2" w14:textId="77777777" w:rsidR="0017587A"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143,5</w:t>
            </w:r>
          </w:p>
        </w:tc>
        <w:tc>
          <w:tcPr>
            <w:tcW w:w="1029" w:type="pct"/>
            <w:vMerge w:val="restart"/>
            <w:shd w:val="clear" w:color="auto" w:fill="auto"/>
            <w:vAlign w:val="center"/>
            <w:hideMark/>
          </w:tcPr>
          <w:p w14:paraId="56556A61"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27,3 %</w:t>
            </w:r>
          </w:p>
        </w:tc>
      </w:tr>
      <w:tr w:rsidR="0017587A" w14:paraId="0B7CA88F" w14:textId="77777777" w:rsidTr="00516F65">
        <w:trPr>
          <w:trHeight w:val="299"/>
          <w:jc w:val="center"/>
        </w:trPr>
        <w:tc>
          <w:tcPr>
            <w:tcW w:w="492" w:type="pct"/>
            <w:shd w:val="clear" w:color="auto" w:fill="auto"/>
            <w:noWrap/>
            <w:vAlign w:val="center"/>
            <w:hideMark/>
          </w:tcPr>
          <w:p w14:paraId="775B201E"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BE (VL)</w:t>
            </w:r>
          </w:p>
        </w:tc>
        <w:tc>
          <w:tcPr>
            <w:tcW w:w="647" w:type="pct"/>
            <w:shd w:val="clear" w:color="auto" w:fill="auto"/>
            <w:noWrap/>
            <w:vAlign w:val="center"/>
            <w:hideMark/>
          </w:tcPr>
          <w:p w14:paraId="7DEC125C"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2017–2020</w:t>
            </w:r>
          </w:p>
        </w:tc>
        <w:tc>
          <w:tcPr>
            <w:tcW w:w="995" w:type="pct"/>
            <w:shd w:val="clear" w:color="auto" w:fill="auto"/>
            <w:vAlign w:val="center"/>
            <w:hideMark/>
          </w:tcPr>
          <w:p w14:paraId="6489502D" w14:textId="77777777" w:rsidR="0017587A"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7,5</w:t>
            </w:r>
          </w:p>
        </w:tc>
        <w:tc>
          <w:tcPr>
            <w:tcW w:w="764" w:type="pct"/>
            <w:shd w:val="clear" w:color="auto" w:fill="auto"/>
            <w:vAlign w:val="center"/>
            <w:hideMark/>
          </w:tcPr>
          <w:p w14:paraId="02D5B8D3"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30</w:t>
            </w:r>
          </w:p>
        </w:tc>
        <w:tc>
          <w:tcPr>
            <w:tcW w:w="1073" w:type="pct"/>
            <w:vMerge/>
            <w:shd w:val="clear" w:color="auto" w:fill="auto"/>
            <w:vAlign w:val="center"/>
            <w:hideMark/>
          </w:tcPr>
          <w:p w14:paraId="5C202E66" w14:textId="77777777" w:rsidR="0017587A" w:rsidRDefault="0017587A">
            <w:pPr>
              <w:spacing w:after="0" w:line="240" w:lineRule="auto"/>
              <w:rPr>
                <w:rFonts w:ascii="Times New Roman" w:eastAsia="Times New Roman" w:hAnsi="Times New Roman"/>
                <w:sz w:val="20"/>
                <w:szCs w:val="20"/>
              </w:rPr>
            </w:pPr>
          </w:p>
        </w:tc>
        <w:tc>
          <w:tcPr>
            <w:tcW w:w="1029" w:type="pct"/>
            <w:vMerge/>
            <w:shd w:val="clear" w:color="auto" w:fill="auto"/>
            <w:vAlign w:val="center"/>
            <w:hideMark/>
          </w:tcPr>
          <w:p w14:paraId="59A0DE4A" w14:textId="77777777" w:rsidR="0017587A" w:rsidRDefault="0017587A">
            <w:pPr>
              <w:spacing w:after="0" w:line="240" w:lineRule="auto"/>
              <w:rPr>
                <w:rFonts w:ascii="Times New Roman" w:eastAsia="Times New Roman" w:hAnsi="Times New Roman"/>
                <w:sz w:val="20"/>
                <w:szCs w:val="20"/>
              </w:rPr>
            </w:pPr>
          </w:p>
        </w:tc>
      </w:tr>
      <w:tr w:rsidR="0017587A" w14:paraId="0A5705B0" w14:textId="77777777" w:rsidTr="00516F65">
        <w:trPr>
          <w:trHeight w:val="299"/>
          <w:jc w:val="center"/>
        </w:trPr>
        <w:tc>
          <w:tcPr>
            <w:tcW w:w="492" w:type="pct"/>
            <w:shd w:val="clear" w:color="auto" w:fill="auto"/>
            <w:noWrap/>
            <w:vAlign w:val="center"/>
            <w:hideMark/>
          </w:tcPr>
          <w:p w14:paraId="485B2A19"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NL</w:t>
            </w:r>
          </w:p>
        </w:tc>
        <w:tc>
          <w:tcPr>
            <w:tcW w:w="647" w:type="pct"/>
            <w:shd w:val="clear" w:color="auto" w:fill="auto"/>
            <w:noWrap/>
            <w:vAlign w:val="center"/>
            <w:hideMark/>
          </w:tcPr>
          <w:p w14:paraId="6C6AEB1A"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2013–2020</w:t>
            </w:r>
          </w:p>
        </w:tc>
        <w:tc>
          <w:tcPr>
            <w:tcW w:w="995" w:type="pct"/>
            <w:shd w:val="clear" w:color="auto" w:fill="auto"/>
            <w:vAlign w:val="center"/>
            <w:hideMark/>
          </w:tcPr>
          <w:p w14:paraId="5CCA4578" w14:textId="77777777" w:rsidR="0017587A"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36,9</w:t>
            </w:r>
          </w:p>
        </w:tc>
        <w:tc>
          <w:tcPr>
            <w:tcW w:w="764" w:type="pct"/>
            <w:shd w:val="clear" w:color="auto" w:fill="auto"/>
            <w:vAlign w:val="center"/>
            <w:hideMark/>
          </w:tcPr>
          <w:p w14:paraId="56D804B4"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96</w:t>
            </w:r>
          </w:p>
        </w:tc>
        <w:tc>
          <w:tcPr>
            <w:tcW w:w="1073" w:type="pct"/>
            <w:shd w:val="clear" w:color="auto" w:fill="auto"/>
            <w:vAlign w:val="center"/>
            <w:hideMark/>
          </w:tcPr>
          <w:p w14:paraId="38394DC0"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189</w:t>
            </w:r>
          </w:p>
        </w:tc>
        <w:tc>
          <w:tcPr>
            <w:tcW w:w="1029" w:type="pct"/>
            <w:shd w:val="clear" w:color="auto" w:fill="auto"/>
            <w:vAlign w:val="center"/>
            <w:hideMark/>
          </w:tcPr>
          <w:p w14:paraId="096888DC"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19,5 %</w:t>
            </w:r>
          </w:p>
        </w:tc>
      </w:tr>
      <w:tr w:rsidR="0017587A" w14:paraId="72DCA1D8" w14:textId="77777777" w:rsidTr="00516F65">
        <w:trPr>
          <w:trHeight w:val="299"/>
          <w:jc w:val="center"/>
        </w:trPr>
        <w:tc>
          <w:tcPr>
            <w:tcW w:w="492" w:type="pct"/>
            <w:shd w:val="clear" w:color="auto" w:fill="auto"/>
            <w:noWrap/>
            <w:vAlign w:val="center"/>
            <w:hideMark/>
          </w:tcPr>
          <w:p w14:paraId="4781F965"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EL</w:t>
            </w:r>
          </w:p>
        </w:tc>
        <w:tc>
          <w:tcPr>
            <w:tcW w:w="647" w:type="pct"/>
            <w:shd w:val="clear" w:color="auto" w:fill="auto"/>
            <w:noWrap/>
            <w:vAlign w:val="center"/>
            <w:hideMark/>
          </w:tcPr>
          <w:p w14:paraId="604963F7"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2013–2020</w:t>
            </w:r>
          </w:p>
        </w:tc>
        <w:tc>
          <w:tcPr>
            <w:tcW w:w="995" w:type="pct"/>
            <w:shd w:val="clear" w:color="auto" w:fill="auto"/>
            <w:vAlign w:val="center"/>
            <w:hideMark/>
          </w:tcPr>
          <w:p w14:paraId="7A8CF77C"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16,8</w:t>
            </w:r>
          </w:p>
        </w:tc>
        <w:tc>
          <w:tcPr>
            <w:tcW w:w="764" w:type="pct"/>
            <w:shd w:val="clear" w:color="auto" w:fill="auto"/>
            <w:vAlign w:val="center"/>
            <w:hideMark/>
          </w:tcPr>
          <w:p w14:paraId="0CFF3A73"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 50</w:t>
            </w:r>
          </w:p>
        </w:tc>
        <w:tc>
          <w:tcPr>
            <w:tcW w:w="1073" w:type="pct"/>
            <w:shd w:val="clear" w:color="auto" w:fill="auto"/>
            <w:vAlign w:val="center"/>
            <w:hideMark/>
          </w:tcPr>
          <w:p w14:paraId="3671FE8E" w14:textId="77777777" w:rsidR="0017587A"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196,6</w:t>
            </w:r>
          </w:p>
        </w:tc>
        <w:tc>
          <w:tcPr>
            <w:tcW w:w="1029" w:type="pct"/>
            <w:shd w:val="clear" w:color="auto" w:fill="auto"/>
            <w:vAlign w:val="center"/>
            <w:hideMark/>
          </w:tcPr>
          <w:p w14:paraId="4E3F70F1"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8,5 %</w:t>
            </w:r>
          </w:p>
        </w:tc>
      </w:tr>
      <w:tr w:rsidR="0017587A" w14:paraId="6129C85F" w14:textId="77777777" w:rsidTr="00516F65">
        <w:trPr>
          <w:trHeight w:val="299"/>
          <w:jc w:val="center"/>
        </w:trPr>
        <w:tc>
          <w:tcPr>
            <w:tcW w:w="492" w:type="pct"/>
            <w:shd w:val="clear" w:color="auto" w:fill="auto"/>
            <w:noWrap/>
            <w:vAlign w:val="center"/>
            <w:hideMark/>
          </w:tcPr>
          <w:p w14:paraId="1539C293"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LT</w:t>
            </w:r>
          </w:p>
        </w:tc>
        <w:tc>
          <w:tcPr>
            <w:tcW w:w="647" w:type="pct"/>
            <w:shd w:val="clear" w:color="auto" w:fill="auto"/>
            <w:noWrap/>
            <w:vAlign w:val="center"/>
            <w:hideMark/>
          </w:tcPr>
          <w:p w14:paraId="63EA327A"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2014–2020</w:t>
            </w:r>
          </w:p>
        </w:tc>
        <w:tc>
          <w:tcPr>
            <w:tcW w:w="995" w:type="pct"/>
            <w:shd w:val="clear" w:color="auto" w:fill="auto"/>
            <w:vAlign w:val="center"/>
            <w:hideMark/>
          </w:tcPr>
          <w:p w14:paraId="2A9F718D"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 0,24</w:t>
            </w:r>
          </w:p>
        </w:tc>
        <w:tc>
          <w:tcPr>
            <w:tcW w:w="764" w:type="pct"/>
            <w:shd w:val="clear" w:color="auto" w:fill="auto"/>
            <w:vAlign w:val="center"/>
            <w:hideMark/>
          </w:tcPr>
          <w:p w14:paraId="41D3F208"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1 </w:t>
            </w:r>
          </w:p>
        </w:tc>
        <w:tc>
          <w:tcPr>
            <w:tcW w:w="1073" w:type="pct"/>
            <w:shd w:val="clear" w:color="auto" w:fill="auto"/>
            <w:vAlign w:val="center"/>
            <w:hideMark/>
          </w:tcPr>
          <w:p w14:paraId="7AF90581" w14:textId="77777777" w:rsidR="0017587A"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31,4</w:t>
            </w:r>
          </w:p>
        </w:tc>
        <w:tc>
          <w:tcPr>
            <w:tcW w:w="1029" w:type="pct"/>
            <w:shd w:val="clear" w:color="auto" w:fill="auto"/>
            <w:vAlign w:val="center"/>
            <w:hideMark/>
          </w:tcPr>
          <w:p w14:paraId="3E551595"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 0,8 %</w:t>
            </w:r>
          </w:p>
        </w:tc>
      </w:tr>
      <w:tr w:rsidR="0017587A" w14:paraId="0E1FA869" w14:textId="77777777" w:rsidTr="00516F65">
        <w:trPr>
          <w:trHeight w:val="299"/>
          <w:jc w:val="center"/>
        </w:trPr>
        <w:tc>
          <w:tcPr>
            <w:tcW w:w="492" w:type="pct"/>
            <w:shd w:val="clear" w:color="auto" w:fill="auto"/>
            <w:noWrap/>
            <w:vAlign w:val="center"/>
            <w:hideMark/>
          </w:tcPr>
          <w:p w14:paraId="1AF8DD26"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SK</w:t>
            </w:r>
          </w:p>
        </w:tc>
        <w:tc>
          <w:tcPr>
            <w:tcW w:w="647" w:type="pct"/>
            <w:shd w:val="clear" w:color="auto" w:fill="auto"/>
            <w:noWrap/>
            <w:vAlign w:val="center"/>
            <w:hideMark/>
          </w:tcPr>
          <w:p w14:paraId="5848BF37"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2014–2020</w:t>
            </w:r>
          </w:p>
        </w:tc>
        <w:tc>
          <w:tcPr>
            <w:tcW w:w="995" w:type="pct"/>
            <w:shd w:val="clear" w:color="auto" w:fill="auto"/>
            <w:vAlign w:val="center"/>
            <w:hideMark/>
          </w:tcPr>
          <w:p w14:paraId="79DC7499"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10</w:t>
            </w:r>
          </w:p>
        </w:tc>
        <w:tc>
          <w:tcPr>
            <w:tcW w:w="764" w:type="pct"/>
            <w:shd w:val="clear" w:color="auto" w:fill="auto"/>
            <w:vAlign w:val="center"/>
            <w:hideMark/>
          </w:tcPr>
          <w:p w14:paraId="197206B3"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7</w:t>
            </w:r>
          </w:p>
        </w:tc>
        <w:tc>
          <w:tcPr>
            <w:tcW w:w="1073" w:type="pct"/>
            <w:shd w:val="clear" w:color="auto" w:fill="auto"/>
            <w:vAlign w:val="center"/>
            <w:hideMark/>
          </w:tcPr>
          <w:p w14:paraId="4677B0E8"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87</w:t>
            </w:r>
          </w:p>
        </w:tc>
        <w:tc>
          <w:tcPr>
            <w:tcW w:w="1029" w:type="pct"/>
            <w:shd w:val="clear" w:color="auto" w:fill="auto"/>
            <w:vAlign w:val="center"/>
            <w:hideMark/>
          </w:tcPr>
          <w:p w14:paraId="78CA90BD"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11,4 %</w:t>
            </w:r>
          </w:p>
        </w:tc>
      </w:tr>
      <w:tr w:rsidR="0017587A" w14:paraId="4A33C947" w14:textId="77777777" w:rsidTr="00516F65">
        <w:trPr>
          <w:trHeight w:val="299"/>
          <w:jc w:val="center"/>
        </w:trPr>
        <w:tc>
          <w:tcPr>
            <w:tcW w:w="492" w:type="pct"/>
            <w:shd w:val="clear" w:color="auto" w:fill="auto"/>
            <w:noWrap/>
            <w:vAlign w:val="center"/>
            <w:hideMark/>
          </w:tcPr>
          <w:p w14:paraId="6F8C8076"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FR</w:t>
            </w:r>
          </w:p>
        </w:tc>
        <w:tc>
          <w:tcPr>
            <w:tcW w:w="647" w:type="pct"/>
            <w:shd w:val="clear" w:color="auto" w:fill="auto"/>
            <w:noWrap/>
            <w:vAlign w:val="center"/>
            <w:hideMark/>
          </w:tcPr>
          <w:p w14:paraId="7C29112B"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2015–2020</w:t>
            </w:r>
          </w:p>
        </w:tc>
        <w:tc>
          <w:tcPr>
            <w:tcW w:w="995" w:type="pct"/>
            <w:shd w:val="clear" w:color="auto" w:fill="auto"/>
            <w:vAlign w:val="center"/>
            <w:hideMark/>
          </w:tcPr>
          <w:p w14:paraId="4E84AAD0" w14:textId="77777777" w:rsidR="0017587A"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98,7</w:t>
            </w:r>
          </w:p>
        </w:tc>
        <w:tc>
          <w:tcPr>
            <w:tcW w:w="764" w:type="pct"/>
            <w:shd w:val="clear" w:color="auto" w:fill="auto"/>
            <w:vAlign w:val="center"/>
            <w:hideMark/>
          </w:tcPr>
          <w:p w14:paraId="5299C1B5"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296</w:t>
            </w:r>
          </w:p>
        </w:tc>
        <w:tc>
          <w:tcPr>
            <w:tcW w:w="1073" w:type="pct"/>
            <w:shd w:val="clear" w:color="auto" w:fill="auto"/>
            <w:vAlign w:val="center"/>
            <w:hideMark/>
          </w:tcPr>
          <w:p w14:paraId="6FA915EA" w14:textId="77777777" w:rsidR="0017587A"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309,8</w:t>
            </w:r>
          </w:p>
        </w:tc>
        <w:tc>
          <w:tcPr>
            <w:tcW w:w="1029" w:type="pct"/>
            <w:shd w:val="clear" w:color="auto" w:fill="auto"/>
            <w:vAlign w:val="center"/>
            <w:hideMark/>
          </w:tcPr>
          <w:p w14:paraId="44BAB80E"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31,8 %</w:t>
            </w:r>
          </w:p>
        </w:tc>
      </w:tr>
      <w:tr w:rsidR="0017587A" w14:paraId="63F6199D" w14:textId="77777777" w:rsidTr="00516F65">
        <w:trPr>
          <w:trHeight w:val="299"/>
          <w:jc w:val="center"/>
        </w:trPr>
        <w:tc>
          <w:tcPr>
            <w:tcW w:w="492" w:type="pct"/>
            <w:shd w:val="clear" w:color="auto" w:fill="auto"/>
            <w:noWrap/>
            <w:vAlign w:val="center"/>
            <w:hideMark/>
          </w:tcPr>
          <w:p w14:paraId="3FBD7A9D"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FI</w:t>
            </w:r>
          </w:p>
        </w:tc>
        <w:tc>
          <w:tcPr>
            <w:tcW w:w="647" w:type="pct"/>
            <w:shd w:val="clear" w:color="auto" w:fill="auto"/>
            <w:noWrap/>
            <w:vAlign w:val="center"/>
            <w:hideMark/>
          </w:tcPr>
          <w:p w14:paraId="6315C05C"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2016–2020</w:t>
            </w:r>
          </w:p>
        </w:tc>
        <w:tc>
          <w:tcPr>
            <w:tcW w:w="995" w:type="pct"/>
            <w:shd w:val="clear" w:color="auto" w:fill="auto"/>
            <w:noWrap/>
            <w:vAlign w:val="center"/>
            <w:hideMark/>
          </w:tcPr>
          <w:p w14:paraId="548175C4" w14:textId="77777777" w:rsidR="0017587A"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26,7</w:t>
            </w:r>
          </w:p>
        </w:tc>
        <w:tc>
          <w:tcPr>
            <w:tcW w:w="764" w:type="pct"/>
            <w:shd w:val="clear" w:color="auto" w:fill="auto"/>
            <w:noWrap/>
            <w:vAlign w:val="center"/>
            <w:hideMark/>
          </w:tcPr>
          <w:p w14:paraId="058FD312"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58</w:t>
            </w:r>
          </w:p>
        </w:tc>
        <w:tc>
          <w:tcPr>
            <w:tcW w:w="1073" w:type="pct"/>
            <w:shd w:val="clear" w:color="auto" w:fill="auto"/>
            <w:vAlign w:val="center"/>
            <w:hideMark/>
          </w:tcPr>
          <w:p w14:paraId="79A11E78" w14:textId="77777777" w:rsidR="0017587A"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94,6</w:t>
            </w:r>
          </w:p>
        </w:tc>
        <w:tc>
          <w:tcPr>
            <w:tcW w:w="1029" w:type="pct"/>
            <w:shd w:val="clear" w:color="auto" w:fill="auto"/>
            <w:vAlign w:val="center"/>
            <w:hideMark/>
          </w:tcPr>
          <w:p w14:paraId="351AE5FE"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28,2 %</w:t>
            </w:r>
          </w:p>
        </w:tc>
      </w:tr>
      <w:tr w:rsidR="0017587A" w14:paraId="5FD826FD" w14:textId="77777777" w:rsidTr="00516F65">
        <w:trPr>
          <w:trHeight w:val="299"/>
          <w:jc w:val="center"/>
        </w:trPr>
        <w:tc>
          <w:tcPr>
            <w:tcW w:w="492" w:type="pct"/>
            <w:shd w:val="clear" w:color="auto" w:fill="auto"/>
            <w:noWrap/>
            <w:vAlign w:val="center"/>
            <w:hideMark/>
          </w:tcPr>
          <w:p w14:paraId="73417BCA"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ES</w:t>
            </w:r>
          </w:p>
        </w:tc>
        <w:tc>
          <w:tcPr>
            <w:tcW w:w="647" w:type="pct"/>
            <w:shd w:val="clear" w:color="auto" w:fill="auto"/>
            <w:noWrap/>
            <w:vAlign w:val="center"/>
            <w:hideMark/>
          </w:tcPr>
          <w:p w14:paraId="3236F9D5"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2013–2015</w:t>
            </w:r>
          </w:p>
        </w:tc>
        <w:tc>
          <w:tcPr>
            <w:tcW w:w="995" w:type="pct"/>
            <w:shd w:val="clear" w:color="auto" w:fill="auto"/>
            <w:noWrap/>
            <w:vAlign w:val="center"/>
            <w:hideMark/>
          </w:tcPr>
          <w:p w14:paraId="021B2731"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6</w:t>
            </w:r>
          </w:p>
        </w:tc>
        <w:tc>
          <w:tcPr>
            <w:tcW w:w="764" w:type="pct"/>
            <w:shd w:val="clear" w:color="auto" w:fill="auto"/>
            <w:noWrap/>
            <w:vAlign w:val="center"/>
            <w:hideMark/>
          </w:tcPr>
          <w:p w14:paraId="66BB28DD"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151</w:t>
            </w:r>
          </w:p>
        </w:tc>
        <w:tc>
          <w:tcPr>
            <w:tcW w:w="1073" w:type="pct"/>
            <w:shd w:val="clear" w:color="auto" w:fill="auto"/>
            <w:vAlign w:val="center"/>
            <w:hideMark/>
          </w:tcPr>
          <w:p w14:paraId="351B8A9E" w14:textId="77777777" w:rsidR="0017587A"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488,8</w:t>
            </w:r>
          </w:p>
        </w:tc>
        <w:tc>
          <w:tcPr>
            <w:tcW w:w="1029" w:type="pct"/>
            <w:shd w:val="clear" w:color="auto" w:fill="auto"/>
            <w:vAlign w:val="center"/>
            <w:hideMark/>
          </w:tcPr>
          <w:p w14:paraId="7CA1A231" w14:textId="69F7F050" w:rsidR="0017587A" w:rsidRDefault="00E07823" w:rsidP="005E4DAD">
            <w:pPr>
              <w:spacing w:after="0" w:line="240" w:lineRule="auto"/>
              <w:jc w:val="center"/>
              <w:rPr>
                <w:rFonts w:ascii="Times New Roman" w:eastAsia="Times New Roman" w:hAnsi="Times New Roman"/>
                <w:sz w:val="20"/>
                <w:szCs w:val="20"/>
              </w:rPr>
            </w:pPr>
            <w:r>
              <w:rPr>
                <w:rFonts w:ascii="Times New Roman" w:hAnsi="Times New Roman"/>
                <w:sz w:val="20"/>
                <w:szCs w:val="20"/>
              </w:rPr>
              <w:t>1,2 %</w:t>
            </w:r>
          </w:p>
        </w:tc>
      </w:tr>
      <w:tr w:rsidR="0017587A" w14:paraId="6064E2EE" w14:textId="77777777" w:rsidTr="00516F65">
        <w:trPr>
          <w:trHeight w:val="299"/>
          <w:jc w:val="center"/>
        </w:trPr>
        <w:tc>
          <w:tcPr>
            <w:tcW w:w="492" w:type="pct"/>
            <w:shd w:val="clear" w:color="auto" w:fill="auto"/>
            <w:noWrap/>
            <w:vAlign w:val="center"/>
            <w:hideMark/>
          </w:tcPr>
          <w:p w14:paraId="025C950D"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LU</w:t>
            </w:r>
          </w:p>
        </w:tc>
        <w:tc>
          <w:tcPr>
            <w:tcW w:w="647" w:type="pct"/>
            <w:shd w:val="clear" w:color="auto" w:fill="auto"/>
            <w:noWrap/>
            <w:vAlign w:val="center"/>
            <w:hideMark/>
          </w:tcPr>
          <w:p w14:paraId="34CEBEBC"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2018–2020</w:t>
            </w:r>
          </w:p>
        </w:tc>
        <w:tc>
          <w:tcPr>
            <w:tcW w:w="995" w:type="pct"/>
            <w:shd w:val="clear" w:color="auto" w:fill="auto"/>
            <w:noWrap/>
            <w:vAlign w:val="bottom"/>
            <w:hideMark/>
          </w:tcPr>
          <w:p w14:paraId="7A77EFD0" w14:textId="77777777" w:rsidR="0017587A"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3,4</w:t>
            </w:r>
          </w:p>
        </w:tc>
        <w:tc>
          <w:tcPr>
            <w:tcW w:w="764" w:type="pct"/>
            <w:shd w:val="clear" w:color="auto" w:fill="auto"/>
            <w:noWrap/>
            <w:vAlign w:val="bottom"/>
            <w:hideMark/>
          </w:tcPr>
          <w:p w14:paraId="6637F446"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2</w:t>
            </w:r>
          </w:p>
        </w:tc>
        <w:tc>
          <w:tcPr>
            <w:tcW w:w="1073" w:type="pct"/>
            <w:shd w:val="clear" w:color="auto" w:fill="auto"/>
            <w:vAlign w:val="center"/>
            <w:hideMark/>
          </w:tcPr>
          <w:p w14:paraId="0BA3090F" w14:textId="77777777" w:rsidR="0017587A" w:rsidRDefault="00F92EFD">
            <w:pPr>
              <w:spacing w:after="0" w:line="240" w:lineRule="auto"/>
              <w:jc w:val="center"/>
              <w:rPr>
                <w:rFonts w:ascii="Times New Roman" w:eastAsia="Times New Roman" w:hAnsi="Times New Roman"/>
                <w:sz w:val="20"/>
                <w:szCs w:val="20"/>
              </w:rPr>
            </w:pPr>
            <w:r>
              <w:rPr>
                <w:rFonts w:ascii="Times New Roman" w:hAnsi="Times New Roman"/>
                <w:sz w:val="20"/>
                <w:szCs w:val="20"/>
              </w:rPr>
              <w:t>6,8</w:t>
            </w:r>
          </w:p>
        </w:tc>
        <w:tc>
          <w:tcPr>
            <w:tcW w:w="1029" w:type="pct"/>
            <w:shd w:val="clear" w:color="auto" w:fill="auto"/>
            <w:noWrap/>
            <w:vAlign w:val="bottom"/>
            <w:hideMark/>
          </w:tcPr>
          <w:p w14:paraId="089F3FF2" w14:textId="77777777" w:rsidR="0017587A" w:rsidRDefault="00E07823">
            <w:pPr>
              <w:spacing w:after="0" w:line="240" w:lineRule="auto"/>
              <w:jc w:val="center"/>
              <w:rPr>
                <w:rFonts w:ascii="Times New Roman" w:eastAsia="Times New Roman" w:hAnsi="Times New Roman"/>
                <w:sz w:val="20"/>
                <w:szCs w:val="20"/>
              </w:rPr>
            </w:pPr>
            <w:r>
              <w:rPr>
                <w:rFonts w:ascii="Times New Roman" w:hAnsi="Times New Roman"/>
                <w:sz w:val="20"/>
                <w:szCs w:val="20"/>
              </w:rPr>
              <w:t> 50 %</w:t>
            </w:r>
          </w:p>
        </w:tc>
      </w:tr>
    </w:tbl>
    <w:p w14:paraId="1962B142" w14:textId="77777777" w:rsidR="0017587A" w:rsidRDefault="0017587A">
      <w:pPr>
        <w:jc w:val="both"/>
        <w:rPr>
          <w:rFonts w:ascii="Times New Roman" w:eastAsia="Times New Roman" w:hAnsi="Times New Roman"/>
          <w:sz w:val="24"/>
          <w:szCs w:val="24"/>
        </w:rPr>
      </w:pPr>
    </w:p>
    <w:p w14:paraId="7A3700EC" w14:textId="77777777" w:rsidR="0017587A" w:rsidRDefault="00E07823">
      <w:pPr>
        <w:jc w:val="both"/>
        <w:rPr>
          <w:rFonts w:ascii="Times New Roman" w:eastAsia="Times New Roman" w:hAnsi="Times New Roman"/>
          <w:sz w:val="24"/>
          <w:szCs w:val="24"/>
        </w:rPr>
      </w:pPr>
      <w:r>
        <w:rPr>
          <w:rFonts w:ascii="Times New Roman" w:hAnsi="Times New Roman"/>
        </w:rPr>
        <w:t>Den totala kompensation för indirekta kostnader som de elva medlemsstaterna</w:t>
      </w:r>
      <w:r>
        <w:rPr>
          <w:rStyle w:val="FootnoteReference"/>
          <w:rFonts w:ascii="Times New Roman" w:eastAsia="Times New Roman" w:hAnsi="Times New Roman"/>
        </w:rPr>
        <w:footnoteReference w:id="34"/>
      </w:r>
      <w:r>
        <w:rPr>
          <w:rFonts w:ascii="Times New Roman" w:hAnsi="Times New Roman"/>
        </w:rPr>
        <w:t xml:space="preserve"> betalade ut 2018 uppgick till cirka 462 miljoner euro, vilket motsvarar nästan 11 % av auktionsintäkterna i dessa medlemsstater. De medlemsstater som har infört stödordningar för kompensation utgör tillsammans ungefär 70 % av EU:s BNP. De största mottagarna av kompensationen var den kemiska sektorn, sektorn för icke-järnmetaller samt järn- och stålsektorn.</w:t>
      </w:r>
    </w:p>
    <w:p w14:paraId="2B2B56AC" w14:textId="77777777" w:rsidR="0017587A" w:rsidRDefault="00E07823">
      <w:pPr>
        <w:jc w:val="both"/>
        <w:rPr>
          <w:rFonts w:ascii="Times New Roman" w:eastAsia="Times New Roman" w:hAnsi="Times New Roman"/>
          <w:bCs/>
          <w:i/>
          <w:sz w:val="24"/>
          <w:szCs w:val="28"/>
        </w:rPr>
      </w:pPr>
      <w:r>
        <w:rPr>
          <w:rFonts w:ascii="Times New Roman" w:hAnsi="Times New Roman"/>
        </w:rPr>
        <w:t>En av bestämmelserna om insyn i det reviderade direktivet om EU:s utsläppshandelssystem innebär att medlemsstater som har använt mer än 25 % av sina auktionsintäkter till att betala ut kompensation för indirekta kostnader under ett visst år måste offentliggöra en rapport om skälen till att detta tröskelvärde överskreds. Baserat på auktionsintäkterna för kalenderåret 2017 överskred fyra länder tröskelvärdet på 25 % 2018.</w:t>
      </w:r>
      <w:r>
        <w:rPr>
          <w:rFonts w:ascii="Times New Roman" w:eastAsia="Times New Roman" w:hAnsi="Times New Roman"/>
          <w:vertAlign w:val="superscript"/>
        </w:rPr>
        <w:footnoteReference w:id="35"/>
      </w:r>
      <w:r>
        <w:rPr>
          <w:rFonts w:ascii="Times New Roman" w:hAnsi="Times New Roman"/>
        </w:rPr>
        <w:t xml:space="preserve">  </w:t>
      </w:r>
    </w:p>
    <w:p w14:paraId="38A8BE8E" w14:textId="77777777" w:rsidR="0017587A" w:rsidRDefault="0017587A">
      <w:pPr>
        <w:jc w:val="both"/>
        <w:rPr>
          <w:rFonts w:ascii="Times New Roman" w:eastAsia="Times New Roman" w:hAnsi="Times New Roman"/>
          <w:bCs/>
          <w:sz w:val="24"/>
          <w:szCs w:val="28"/>
        </w:rPr>
      </w:pPr>
    </w:p>
    <w:p w14:paraId="3CA31EA9" w14:textId="77777777" w:rsidR="0017587A" w:rsidRDefault="00A52F4C">
      <w:pPr>
        <w:keepNext/>
        <w:ind w:left="1080"/>
        <w:outlineLvl w:val="3"/>
        <w:rPr>
          <w:rFonts w:ascii="Times New Roman" w:eastAsia="Times New Roman" w:hAnsi="Times New Roman"/>
          <w:color w:val="000000" w:themeColor="text1"/>
          <w:sz w:val="24"/>
          <w:szCs w:val="24"/>
        </w:rPr>
      </w:pPr>
      <w:bookmarkStart w:id="14" w:name="_Toc23755271"/>
      <w:r>
        <w:rPr>
          <w:rFonts w:ascii="Times New Roman" w:hAnsi="Times New Roman"/>
          <w:bCs/>
          <w:i/>
          <w:szCs w:val="28"/>
        </w:rPr>
        <w:t>3.1.2.4 Auktionering av utsläppsrätter</w:t>
      </w:r>
      <w:bookmarkEnd w:id="14"/>
    </w:p>
    <w:p w14:paraId="58DC0166" w14:textId="77777777" w:rsidR="0017587A" w:rsidRDefault="003A348D">
      <w:pPr>
        <w:pStyle w:val="a3520normalp11"/>
        <w:spacing w:line="276" w:lineRule="auto"/>
      </w:pPr>
      <w:r>
        <w:rPr>
          <w:noProof/>
          <w:lang w:val="en-GB"/>
        </w:rPr>
        <mc:AlternateContent>
          <mc:Choice Requires="wps">
            <w:drawing>
              <wp:inline distT="0" distB="0" distL="0" distR="0" wp14:anchorId="6B32014F" wp14:editId="786935B2">
                <wp:extent cx="5719648" cy="1565564"/>
                <wp:effectExtent l="0" t="0" r="14605" b="158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648" cy="1565564"/>
                        </a:xfrm>
                        <a:prstGeom prst="rect">
                          <a:avLst/>
                        </a:prstGeom>
                        <a:solidFill>
                          <a:schemeClr val="bg1">
                            <a:lumMod val="85000"/>
                          </a:schemeClr>
                        </a:solidFill>
                        <a:ln w="12700">
                          <a:solidFill>
                            <a:srgbClr val="000000"/>
                          </a:solidFill>
                          <a:miter lim="800000"/>
                          <a:headEnd/>
                          <a:tailEnd/>
                        </a:ln>
                      </wps:spPr>
                      <wps:txbx>
                        <w:txbxContent>
                          <w:p w14:paraId="13469DBA" w14:textId="77777777" w:rsidR="0017587A" w:rsidRDefault="00516F65">
                            <w:pPr>
                              <w:spacing w:after="120"/>
                              <w:ind w:right="57"/>
                              <w:jc w:val="both"/>
                              <w:rPr>
                                <w:rFonts w:ascii="Times New Roman" w:eastAsia="Times New Roman" w:hAnsi="Times New Roman"/>
                              </w:rPr>
                            </w:pPr>
                            <w:r>
                              <w:rPr>
                                <w:rFonts w:ascii="Times New Roman" w:hAnsi="Times New Roman"/>
                              </w:rPr>
                              <w:t>Under fas 3 är auktionering standardmetoden för tilldelning av utsläppsrätter. De primära auktionerna styrs av auktioneringsförordningen*, som innehåller uppgifter om tidsschema, administration och andra aspekter av auktionsförfarandet i syfte att se till att det sker på ett transparent, tydligt, harmoniserat och icke-diskriminerande sätt.</w:t>
                            </w:r>
                          </w:p>
                          <w:p w14:paraId="171DAF88" w14:textId="77777777" w:rsidR="0017587A" w:rsidRDefault="00516F65">
                            <w:pPr>
                              <w:spacing w:after="120"/>
                              <w:ind w:right="57"/>
                              <w:jc w:val="both"/>
                              <w:rPr>
                                <w:rFonts w:ascii="Times New Roman" w:eastAsia="Times New Roman" w:hAnsi="Times New Roman"/>
                                <w:sz w:val="18"/>
                                <w:szCs w:val="18"/>
                              </w:rPr>
                            </w:pPr>
                            <w:r>
                              <w:rPr>
                                <w:rFonts w:ascii="Times New Roman" w:hAnsi="Times New Roman"/>
                                <w:sz w:val="18"/>
                                <w:szCs w:val="18"/>
                              </w:rPr>
                              <w:t>* Kommissionens förordning (EU) nr 1031/2010 av den 12 november 2010 om tidsschema, administration och andra aspekter av auktionering av utsläppsrätter för växthusgaser i enlighet med Europaparlamentets och rådets direktiv 2003/87/EG om ett system för handel med utsläppsrätter för växthusgaser inom gemenskapen (EUT L 302, 18.11.2010, s. 1).</w:t>
                            </w:r>
                          </w:p>
                          <w:p w14:paraId="68E3A868" w14:textId="77777777" w:rsidR="0017587A" w:rsidRDefault="0017587A">
                            <w:pPr>
                              <w:pStyle w:val="a3520normalp11"/>
                              <w:spacing w:line="276" w:lineRule="auto"/>
                            </w:pPr>
                          </w:p>
                          <w:p w14:paraId="00C079DF" w14:textId="77777777" w:rsidR="0017587A" w:rsidRDefault="0017587A">
                            <w:pPr>
                              <w:ind w:left="-142" w:firstLine="142"/>
                            </w:pPr>
                          </w:p>
                        </w:txbxContent>
                      </wps:txbx>
                      <wps:bodyPr rot="0" vert="horz" wrap="square" lIns="91440" tIns="45720" rIns="91440" bIns="45720" anchor="t" anchorCtr="0">
                        <a:noAutofit/>
                      </wps:bodyPr>
                    </wps:wsp>
                  </a:graphicData>
                </a:graphic>
              </wp:inline>
            </w:drawing>
          </mc:Choice>
          <mc:Fallback>
            <w:pict>
              <v:shape w14:anchorId="6B32014F" id="_x0000_s1033" type="#_x0000_t202" style="width:450.35pt;height:1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" fillcolor="#d8d8d8 [2732]" strokeweight="1pt">
                <v:textbox>
                  <w:txbxContent>
                    <w:p w14:paraId="13469DBA" w14:textId="77777777" w:rsidR="0017587A" w:rsidRDefault="00516F65">
                      <w:pPr>
                        <w:spacing w:after="120"/>
                        <w:ind w:right="57"/>
                        <w:jc w:val="both"/>
                        <w:rPr>
                          <w:rFonts w:ascii="Times New Roman" w:eastAsia="Times New Roman" w:hAnsi="Times New Roman"/>
                        </w:rPr>
                      </w:pPr>
                      <w:r>
                        <w:rPr>
                          <w:rFonts w:ascii="Times New Roman" w:hAnsi="Times New Roman"/>
                        </w:rPr>
                        <w:t>Under fas 3 är auktionering standardmetoden för tilldelning av utsläppsrätter. De primära auktionerna styrs av auktioneringsförordningen*, som innehåller uppgifter om tidsschema, administration och andra aspekter av auktionsförfarandet i syfte att se till att det sker på ett transparent, tydligt, harmoniserat och icke-diskriminerande sätt.</w:t>
                      </w:r>
                    </w:p>
                    <w:p w14:paraId="171DAF88" w14:textId="77777777" w:rsidR="0017587A" w:rsidRDefault="00516F65">
                      <w:pPr>
                        <w:spacing w:after="120"/>
                        <w:ind w:right="57"/>
                        <w:jc w:val="both"/>
                        <w:rPr>
                          <w:rFonts w:ascii="Times New Roman" w:eastAsia="Times New Roman" w:hAnsi="Times New Roman"/>
                          <w:sz w:val="18"/>
                          <w:szCs w:val="18"/>
                        </w:rPr>
                      </w:pPr>
                      <w:r>
                        <w:rPr>
                          <w:rFonts w:ascii="Times New Roman" w:hAnsi="Times New Roman"/>
                          <w:sz w:val="18"/>
                          <w:szCs w:val="18"/>
                        </w:rPr>
                        <w:t>* Kommissionens förordning (EU) nr 1031/2010 av den 12 november 2010 om tidsschema, administration och andra aspekter av auktionering av utsläppsrätter för växthusgaser i enlighet med Europaparlamentets och rådets direktiv 2003/87/EG om ett system för handel med utsläppsrätter för växthusgaser inom gemenskapen (EUT L 302, 18.11.2010, s. 1).</w:t>
                      </w:r>
                    </w:p>
                    <w:p w14:paraId="68E3A868" w14:textId="77777777" w:rsidR="0017587A" w:rsidRDefault="0017587A">
                      <w:pPr>
                        <w:pStyle w:val="a3520normalp11"/>
                        <w:spacing w:line="276" w:lineRule="auto"/>
                      </w:pPr>
                    </w:p>
                    <w:p w14:paraId="00C079DF" w14:textId="77777777" w:rsidR="0017587A" w:rsidRDefault="0017587A">
                      <w:pPr>
                        <w:ind w:left="-142" w:firstLine="142"/>
                      </w:pPr>
                    </w:p>
                  </w:txbxContent>
                </v:textbox>
                <w10:anchorlock/>
              </v:shape>
            </w:pict>
          </mc:Fallback>
        </mc:AlternateContent>
      </w:r>
    </w:p>
    <w:p w14:paraId="0B2E9540" w14:textId="77777777" w:rsidR="0017587A" w:rsidRDefault="007B6B06">
      <w:pPr>
        <w:spacing w:after="120"/>
        <w:ind w:right="57"/>
        <w:jc w:val="both"/>
        <w:rPr>
          <w:rFonts w:ascii="Times New Roman" w:eastAsia="Times New Roman" w:hAnsi="Times New Roman"/>
          <w:sz w:val="24"/>
          <w:szCs w:val="24"/>
        </w:rPr>
      </w:pPr>
      <w:r>
        <w:rPr>
          <w:rFonts w:ascii="Times New Roman" w:hAnsi="Times New Roman"/>
        </w:rPr>
        <w:t>År 2018 ändrades auktioneringsförordningen</w:t>
      </w:r>
      <w:r>
        <w:rPr>
          <w:rStyle w:val="FootnoteReference"/>
          <w:rFonts w:ascii="Times New Roman" w:eastAsia="Times New Roman" w:hAnsi="Times New Roman"/>
        </w:rPr>
        <w:footnoteReference w:id="36"/>
      </w:r>
      <w:r>
        <w:rPr>
          <w:rFonts w:ascii="Times New Roman" w:hAnsi="Times New Roman"/>
        </w:rPr>
        <w:t xml:space="preserve"> för att på nytt utse European Energy Exchange (”EEX”) som fristående auktionsplattform för Tyskland och möjliggöra monetarisering av en första omgång med 50 miljoner utsläppsrätter från reserven för marknadsstabilitet för att finansiera innovationsfonden 2020.</w:t>
      </w:r>
    </w:p>
    <w:p w14:paraId="15208102" w14:textId="77777777" w:rsidR="0017587A" w:rsidRDefault="004724FA">
      <w:pPr>
        <w:spacing w:after="120"/>
        <w:ind w:right="57"/>
        <w:jc w:val="both"/>
        <w:rPr>
          <w:rFonts w:ascii="Times New Roman" w:eastAsia="Times New Roman" w:hAnsi="Times New Roman"/>
          <w:sz w:val="24"/>
          <w:szCs w:val="24"/>
        </w:rPr>
      </w:pPr>
      <w:r>
        <w:rPr>
          <w:rFonts w:ascii="Times New Roman" w:hAnsi="Times New Roman"/>
        </w:rPr>
        <w:t>I augusti 2019 antog kommissionen en ytterligare ändring av auktioneringsförordningen för att fastställa ramen för auktionering av utsläppsrätter och projekthanteringen inom innovationsfonden och moderniseringsfonden under fas 4. Ändringen avspeglar även klassificeringen av utsläppsrätter i EU:s utsläppshandelssystem som finansiella instrument enligt direktiv 2014/65/EU om marknader för finansiella instrument (Mifid II).</w:t>
      </w:r>
    </w:p>
    <w:p w14:paraId="1B01EB84" w14:textId="77777777" w:rsidR="0017587A" w:rsidRDefault="005C40E5">
      <w:pPr>
        <w:spacing w:after="120"/>
        <w:ind w:right="57"/>
        <w:jc w:val="both"/>
        <w:rPr>
          <w:rFonts w:ascii="Times New Roman" w:eastAsia="Times New Roman" w:hAnsi="Times New Roman"/>
          <w:sz w:val="24"/>
          <w:szCs w:val="24"/>
        </w:rPr>
      </w:pPr>
      <w:r>
        <w:rPr>
          <w:rFonts w:ascii="Times New Roman" w:hAnsi="Times New Roman"/>
        </w:rPr>
        <w:t>I överensstämmelse med de skyddsåtgärder som vidtagits för att skydda miljönyttan av EU:s utsläppshandelssystem (se kapitel 2.2) godtogs överlämnandet av de utsläppsrätter som Storbritannien utfärdade för 2018, men inga utsläppsrätter har auktionerats 2019 för Storbritanniens räkning.</w:t>
      </w:r>
    </w:p>
    <w:p w14:paraId="33B4ECDD" w14:textId="77777777" w:rsidR="0017587A" w:rsidRDefault="00D20456">
      <w:pPr>
        <w:spacing w:after="120"/>
        <w:ind w:right="57"/>
        <w:jc w:val="both"/>
        <w:rPr>
          <w:rFonts w:ascii="Times New Roman" w:eastAsia="Times New Roman" w:hAnsi="Times New Roman"/>
          <w:sz w:val="24"/>
          <w:szCs w:val="24"/>
        </w:rPr>
      </w:pPr>
      <w:r>
        <w:rPr>
          <w:rFonts w:ascii="Times New Roman" w:hAnsi="Times New Roman"/>
        </w:rPr>
        <w:t>Auktionerna 2018 genomfördes via följande auktionsplattformar:</w:t>
      </w:r>
    </w:p>
    <w:p w14:paraId="3EEF9FD2" w14:textId="77777777" w:rsidR="0017587A" w:rsidRDefault="00D20456">
      <w:pPr>
        <w:numPr>
          <w:ilvl w:val="0"/>
          <w:numId w:val="2"/>
        </w:numPr>
        <w:spacing w:after="120"/>
        <w:ind w:right="57"/>
        <w:jc w:val="both"/>
        <w:rPr>
          <w:rFonts w:ascii="Times New Roman" w:eastAsia="Times New Roman" w:hAnsi="Times New Roman"/>
          <w:sz w:val="24"/>
          <w:szCs w:val="24"/>
        </w:rPr>
      </w:pPr>
      <w:r>
        <w:rPr>
          <w:rFonts w:ascii="Times New Roman" w:hAnsi="Times New Roman"/>
        </w:rPr>
        <w:t xml:space="preserve">EEX, den gemensamma auktionsplattformen för de 25 medlemsstater som deltar i ett gemensamt upphandlingsförfarande samt Polen, som har valt att lämna det gemensamma upphandlingsförfarandet men ännu inte har förordnat någon fristående auktionsplattform. Sedan den 5 september 2016 har EEX genomfört auktioner i egenskap av den andra gemensamma auktionsplattformen, förordnad den 13 juli 2016. </w:t>
      </w:r>
    </w:p>
    <w:p w14:paraId="09D30459" w14:textId="77777777" w:rsidR="0017587A" w:rsidRDefault="00D20456">
      <w:pPr>
        <w:numPr>
          <w:ilvl w:val="0"/>
          <w:numId w:val="2"/>
        </w:numPr>
        <w:spacing w:after="120"/>
        <w:ind w:right="57"/>
        <w:jc w:val="both"/>
        <w:rPr>
          <w:rFonts w:ascii="Times New Roman" w:eastAsia="Times New Roman" w:hAnsi="Times New Roman"/>
          <w:sz w:val="24"/>
          <w:szCs w:val="24"/>
        </w:rPr>
      </w:pPr>
      <w:r>
        <w:rPr>
          <w:rFonts w:ascii="Times New Roman" w:hAnsi="Times New Roman"/>
        </w:rPr>
        <w:t>EEX som fristående auktionsplattform för Tyskland.</w:t>
      </w:r>
    </w:p>
    <w:p w14:paraId="7F5A81A0" w14:textId="77777777" w:rsidR="0017587A" w:rsidRDefault="00D20456">
      <w:pPr>
        <w:numPr>
          <w:ilvl w:val="0"/>
          <w:numId w:val="2"/>
        </w:numPr>
        <w:spacing w:after="120"/>
        <w:ind w:right="57"/>
        <w:jc w:val="both"/>
        <w:rPr>
          <w:rFonts w:ascii="Times New Roman" w:eastAsia="Times New Roman" w:hAnsi="Times New Roman"/>
          <w:sz w:val="24"/>
          <w:szCs w:val="24"/>
        </w:rPr>
      </w:pPr>
      <w:r>
        <w:rPr>
          <w:rFonts w:ascii="Times New Roman" w:hAnsi="Times New Roman"/>
        </w:rPr>
        <w:t>ICE som fristående auktionsplattform för Storbritannien.</w:t>
      </w:r>
    </w:p>
    <w:p w14:paraId="4E2BD946" w14:textId="77777777" w:rsidR="0017587A" w:rsidRDefault="00D20456">
      <w:pPr>
        <w:spacing w:after="120"/>
        <w:ind w:right="57"/>
        <w:jc w:val="both"/>
        <w:rPr>
          <w:rFonts w:ascii="Times New Roman" w:eastAsia="Times New Roman" w:hAnsi="Times New Roman"/>
          <w:sz w:val="24"/>
          <w:szCs w:val="24"/>
        </w:rPr>
      </w:pPr>
      <w:r>
        <w:rPr>
          <w:rFonts w:ascii="Times New Roman" w:hAnsi="Times New Roman"/>
        </w:rPr>
        <w:t>Island, Liechtenstein och Norge började auktionera utsläppsrätter i juni 2019 efter att EES</w:t>
      </w:r>
      <w:r>
        <w:rPr>
          <w:rFonts w:ascii="Times New Roman" w:hAnsi="Times New Roman"/>
        </w:rPr>
        <w:noBreakHyphen/>
        <w:t>avtalet hade ändrats så att de kunde delta i det gemensamma upphandlingsavtalet för den gemensamma auktionsplattformen.</w:t>
      </w:r>
      <w:r>
        <w:t xml:space="preserve"> </w:t>
      </w:r>
      <w:r>
        <w:rPr>
          <w:rFonts w:ascii="Times New Roman" w:hAnsi="Times New Roman"/>
        </w:rPr>
        <w:t>Enligt överenskommelse med de tre länderna har auktionsvolymerna för 2013–2018 fördelats över åren 2019 och 2020 för att säkerställa en stabil och förutsägbar tillgång på utsläppsrätter på marknaden och undvika skadliga effekter för koldioxidmarknaden på grund av denna ytterligare tillgång. De reviderade auktionskalendrarna för 2019 och 2020 innefattar därmed en del av de tidigare volymer som inte tagits med i auktionerna.</w:t>
      </w:r>
    </w:p>
    <w:p w14:paraId="033B3FE7" w14:textId="77777777" w:rsidR="0017587A" w:rsidRDefault="00D20456">
      <w:pPr>
        <w:spacing w:after="120"/>
        <w:ind w:right="57"/>
        <w:jc w:val="both"/>
        <w:rPr>
          <w:rFonts w:ascii="Times New Roman" w:eastAsia="Times New Roman" w:hAnsi="Times New Roman"/>
          <w:sz w:val="24"/>
          <w:szCs w:val="24"/>
        </w:rPr>
      </w:pPr>
      <w:r>
        <w:rPr>
          <w:rFonts w:ascii="Times New Roman" w:hAnsi="Times New Roman"/>
        </w:rPr>
        <w:t xml:space="preserve">Under 2018 auktionerade EEX, för sina 27 medlemsstaters räkning, 89 % av den totala auktionerade mängden, medan ICE auktionerade 11 % av den totala mängden för Storbritanniens räkning. Fram till den 30 juni 2019 hade mer än 1 480 auktioner anordnats. </w:t>
      </w:r>
    </w:p>
    <w:p w14:paraId="130F42DC" w14:textId="77777777" w:rsidR="0017587A" w:rsidRDefault="003A348D">
      <w:pPr>
        <w:spacing w:after="0"/>
        <w:ind w:right="57"/>
        <w:jc w:val="both"/>
        <w:rPr>
          <w:rFonts w:ascii="Times New Roman" w:eastAsia="Times New Roman" w:hAnsi="Times New Roman"/>
          <w:sz w:val="24"/>
          <w:szCs w:val="24"/>
        </w:rPr>
      </w:pPr>
      <w:r>
        <w:rPr>
          <w:rFonts w:ascii="Times New Roman" w:hAnsi="Times New Roman"/>
        </w:rPr>
        <w:t>I tabell 5 nedan ges en översikt över de volymer utsläppsrätter</w:t>
      </w:r>
      <w:r>
        <w:rPr>
          <w:rStyle w:val="FootnoteReference"/>
          <w:rFonts w:ascii="Times New Roman" w:eastAsia="Times New Roman" w:hAnsi="Times New Roman"/>
        </w:rPr>
        <w:footnoteReference w:id="37"/>
      </w:r>
      <w:r>
        <w:rPr>
          <w:rFonts w:ascii="Times New Roman" w:hAnsi="Times New Roman"/>
        </w:rPr>
        <w:t xml:space="preserve"> som auktionerades av EEX och ICE fram till den 30 juni 2019, inklusive de tidiga auktionerna</w:t>
      </w:r>
      <w:r>
        <w:rPr>
          <w:rFonts w:ascii="Times New Roman" w:eastAsia="Times New Roman" w:hAnsi="Times New Roman"/>
          <w:vertAlign w:val="superscript"/>
        </w:rPr>
        <w:footnoteReference w:id="38"/>
      </w:r>
      <w:r>
        <w:rPr>
          <w:rFonts w:ascii="Times New Roman" w:hAnsi="Times New Roman"/>
        </w:rPr>
        <w:t xml:space="preserve"> för allmänna utsläppsrätter. </w:t>
      </w:r>
    </w:p>
    <w:p w14:paraId="4B849F68" w14:textId="77777777" w:rsidR="0017587A" w:rsidRDefault="0017587A">
      <w:pPr>
        <w:spacing w:after="0"/>
        <w:ind w:right="57"/>
        <w:jc w:val="both"/>
        <w:rPr>
          <w:rFonts w:ascii="Times New Roman" w:eastAsia="Times New Roman" w:hAnsi="Times New Roman"/>
          <w:sz w:val="24"/>
          <w:szCs w:val="24"/>
        </w:rPr>
      </w:pPr>
    </w:p>
    <w:p w14:paraId="39E42D14" w14:textId="77777777" w:rsidR="0017587A" w:rsidRDefault="003A348D">
      <w:pPr>
        <w:keepNext/>
        <w:rPr>
          <w:rFonts w:ascii="Times New Roman" w:hAnsi="Times New Roman"/>
          <w:b/>
          <w:bCs/>
        </w:rPr>
      </w:pPr>
      <w:r>
        <w:rPr>
          <w:rFonts w:ascii="Times New Roman" w:hAnsi="Times New Roman"/>
          <w:b/>
          <w:bCs/>
        </w:rPr>
        <w:t>Tabell 5: Total mängd utsläppsrätter för fas 3 som har auktionerats under 2012–2019</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08"/>
        <w:gridCol w:w="3051"/>
        <w:gridCol w:w="2989"/>
      </w:tblGrid>
      <w:tr w:rsidR="0017587A" w14:paraId="66060B7D"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01A21902"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År</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42A612CE"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br/>
              <w:t xml:space="preserve">Allmänna utsläppsrätter </w:t>
            </w:r>
          </w:p>
          <w:p w14:paraId="782C41B3" w14:textId="77777777" w:rsidR="0017587A" w:rsidRDefault="0017587A">
            <w:pPr>
              <w:spacing w:after="0"/>
              <w:jc w:val="center"/>
              <w:rPr>
                <w:rFonts w:ascii="Times New Roman" w:eastAsia="Times New Roman" w:hAnsi="Times New Roman"/>
                <w:sz w:val="20"/>
                <w:szCs w:val="20"/>
              </w:rPr>
            </w:pP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54E165AA" w14:textId="77777777" w:rsidR="0017587A" w:rsidRDefault="003A348D">
            <w:pPr>
              <w:spacing w:after="0"/>
              <w:jc w:val="center"/>
              <w:rPr>
                <w:rFonts w:ascii="Times New Roman" w:hAnsi="Times New Roman"/>
                <w:bCs/>
                <w:color w:val="000000"/>
                <w:sz w:val="20"/>
                <w:szCs w:val="20"/>
              </w:rPr>
            </w:pPr>
            <w:r>
              <w:rPr>
                <w:rFonts w:ascii="Times New Roman" w:hAnsi="Times New Roman"/>
                <w:bCs/>
                <w:sz w:val="20"/>
                <w:szCs w:val="20"/>
              </w:rPr>
              <w:t xml:space="preserve">Utsläppsrätter för luftfart </w:t>
            </w:r>
          </w:p>
        </w:tc>
      </w:tr>
      <w:tr w:rsidR="0017587A" w14:paraId="7085048E"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10F3A75C"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2012</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6E682BF1"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89 701 500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2D6AAD3F" w14:textId="77777777" w:rsidR="0017587A" w:rsidRDefault="003A348D">
            <w:pPr>
              <w:spacing w:after="0"/>
              <w:jc w:val="center"/>
              <w:rPr>
                <w:rFonts w:ascii="Times New Roman" w:hAnsi="Times New Roman"/>
                <w:bCs/>
                <w:color w:val="000000"/>
                <w:sz w:val="20"/>
                <w:szCs w:val="20"/>
              </w:rPr>
            </w:pPr>
            <w:r>
              <w:rPr>
                <w:rFonts w:ascii="Times New Roman" w:hAnsi="Times New Roman"/>
                <w:bCs/>
                <w:sz w:val="20"/>
                <w:szCs w:val="20"/>
              </w:rPr>
              <w:t>2 500 000</w:t>
            </w:r>
          </w:p>
        </w:tc>
      </w:tr>
      <w:tr w:rsidR="0017587A" w14:paraId="69D529D4"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A0C9E0B"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2013</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1117D98D"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808 146 500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5B01A99F" w14:textId="77777777" w:rsidR="0017587A" w:rsidRDefault="003A348D">
            <w:pPr>
              <w:spacing w:after="0"/>
              <w:jc w:val="center"/>
              <w:rPr>
                <w:rFonts w:ascii="Times New Roman" w:hAnsi="Times New Roman"/>
                <w:bCs/>
                <w:color w:val="000000"/>
                <w:sz w:val="20"/>
                <w:szCs w:val="20"/>
              </w:rPr>
            </w:pPr>
            <w:r>
              <w:rPr>
                <w:rFonts w:ascii="Times New Roman" w:hAnsi="Times New Roman"/>
                <w:bCs/>
                <w:sz w:val="20"/>
                <w:szCs w:val="20"/>
              </w:rPr>
              <w:t xml:space="preserve">0 </w:t>
            </w:r>
          </w:p>
        </w:tc>
      </w:tr>
      <w:tr w:rsidR="0017587A" w14:paraId="58C940D0"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1B28787"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2014</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290613E5"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528 399 500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69360777" w14:textId="77777777" w:rsidR="0017587A" w:rsidRDefault="003A348D">
            <w:pPr>
              <w:spacing w:after="0"/>
              <w:jc w:val="center"/>
              <w:rPr>
                <w:rFonts w:ascii="Times New Roman" w:hAnsi="Times New Roman"/>
                <w:bCs/>
                <w:color w:val="000000"/>
                <w:sz w:val="20"/>
                <w:szCs w:val="20"/>
              </w:rPr>
            </w:pPr>
            <w:r>
              <w:rPr>
                <w:rFonts w:ascii="Times New Roman" w:hAnsi="Times New Roman"/>
                <w:bCs/>
                <w:sz w:val="20"/>
                <w:szCs w:val="20"/>
              </w:rPr>
              <w:t>9 278 000</w:t>
            </w:r>
          </w:p>
        </w:tc>
      </w:tr>
      <w:tr w:rsidR="0017587A" w14:paraId="62C5AC9A"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BC84A92"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2015</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0DE1A92B"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632 725 500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2523A034" w14:textId="77777777" w:rsidR="0017587A" w:rsidRDefault="003A348D">
            <w:pPr>
              <w:spacing w:after="0"/>
              <w:jc w:val="center"/>
              <w:rPr>
                <w:rFonts w:ascii="Times New Roman" w:hAnsi="Times New Roman"/>
                <w:bCs/>
                <w:color w:val="000000"/>
                <w:sz w:val="20"/>
                <w:szCs w:val="20"/>
              </w:rPr>
            </w:pPr>
            <w:r>
              <w:rPr>
                <w:rFonts w:ascii="Times New Roman" w:hAnsi="Times New Roman"/>
                <w:bCs/>
                <w:sz w:val="20"/>
                <w:szCs w:val="20"/>
              </w:rPr>
              <w:t>16 390 500</w:t>
            </w:r>
          </w:p>
        </w:tc>
      </w:tr>
      <w:tr w:rsidR="0017587A" w14:paraId="7C82438C"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547B753F"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2016</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1F4DE1E8"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715 289 500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09E049F7" w14:textId="77777777" w:rsidR="0017587A" w:rsidRDefault="003A348D">
            <w:pPr>
              <w:spacing w:after="0"/>
              <w:jc w:val="center"/>
              <w:rPr>
                <w:rFonts w:ascii="Times New Roman" w:hAnsi="Times New Roman"/>
                <w:bCs/>
                <w:color w:val="000000"/>
                <w:sz w:val="20"/>
                <w:szCs w:val="20"/>
              </w:rPr>
            </w:pPr>
            <w:r>
              <w:rPr>
                <w:rFonts w:ascii="Times New Roman" w:hAnsi="Times New Roman"/>
                <w:bCs/>
                <w:sz w:val="20"/>
                <w:szCs w:val="20"/>
              </w:rPr>
              <w:t>5 997 500</w:t>
            </w:r>
          </w:p>
        </w:tc>
      </w:tr>
      <w:tr w:rsidR="0017587A" w14:paraId="4F933B21"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2C664241"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 xml:space="preserve">2017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6A087CC5"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951 195 500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62A78481" w14:textId="77777777" w:rsidR="0017587A" w:rsidRDefault="003A348D">
            <w:pPr>
              <w:spacing w:after="0"/>
              <w:jc w:val="center"/>
              <w:rPr>
                <w:rFonts w:ascii="Times New Roman" w:hAnsi="Times New Roman"/>
                <w:bCs/>
                <w:color w:val="000000"/>
                <w:sz w:val="20"/>
                <w:szCs w:val="20"/>
              </w:rPr>
            </w:pPr>
            <w:r>
              <w:rPr>
                <w:rFonts w:ascii="Times New Roman" w:hAnsi="Times New Roman"/>
                <w:bCs/>
                <w:sz w:val="20"/>
                <w:szCs w:val="20"/>
              </w:rPr>
              <w:t>4 730 500</w:t>
            </w:r>
          </w:p>
        </w:tc>
      </w:tr>
      <w:tr w:rsidR="0017587A" w14:paraId="4BBC51F1"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5E503AE7" w14:textId="77777777" w:rsidR="0017587A" w:rsidRDefault="003A348D">
            <w:pPr>
              <w:spacing w:after="0"/>
              <w:jc w:val="center"/>
              <w:rPr>
                <w:rFonts w:ascii="Times New Roman" w:eastAsia="Times New Roman" w:hAnsi="Times New Roman"/>
                <w:sz w:val="20"/>
                <w:szCs w:val="20"/>
              </w:rPr>
            </w:pPr>
            <w:r>
              <w:rPr>
                <w:rFonts w:ascii="Times New Roman" w:hAnsi="Times New Roman"/>
                <w:sz w:val="20"/>
                <w:szCs w:val="20"/>
              </w:rPr>
              <w:t xml:space="preserve">2018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46F0888F" w14:textId="77777777" w:rsidR="0017587A" w:rsidRDefault="00D20456">
            <w:pPr>
              <w:spacing w:after="0"/>
              <w:jc w:val="center"/>
              <w:rPr>
                <w:rFonts w:ascii="Times New Roman" w:eastAsia="Times New Roman" w:hAnsi="Times New Roman"/>
                <w:sz w:val="20"/>
                <w:szCs w:val="20"/>
              </w:rPr>
            </w:pPr>
            <w:r>
              <w:rPr>
                <w:rFonts w:ascii="Times New Roman" w:hAnsi="Times New Roman"/>
                <w:sz w:val="20"/>
                <w:szCs w:val="20"/>
              </w:rPr>
              <w:t>915 750 000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14B3AB38" w14:textId="77777777" w:rsidR="0017587A" w:rsidRDefault="00D20456">
            <w:pPr>
              <w:spacing w:after="0"/>
              <w:jc w:val="center"/>
              <w:rPr>
                <w:rFonts w:ascii="Times New Roman" w:hAnsi="Times New Roman"/>
                <w:bCs/>
                <w:color w:val="000000"/>
                <w:sz w:val="20"/>
                <w:szCs w:val="20"/>
              </w:rPr>
            </w:pPr>
            <w:r>
              <w:rPr>
                <w:rFonts w:ascii="Times New Roman" w:hAnsi="Times New Roman"/>
                <w:sz w:val="20"/>
                <w:szCs w:val="20"/>
              </w:rPr>
              <w:t>5 601 500</w:t>
            </w:r>
          </w:p>
        </w:tc>
      </w:tr>
      <w:tr w:rsidR="0017587A" w14:paraId="01BC19B9"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12A07926" w14:textId="77777777" w:rsidR="0017587A" w:rsidRDefault="00DA23BD">
            <w:pPr>
              <w:spacing w:after="0"/>
              <w:jc w:val="center"/>
              <w:rPr>
                <w:rFonts w:ascii="Times New Roman" w:eastAsia="Times New Roman" w:hAnsi="Times New Roman"/>
                <w:sz w:val="20"/>
                <w:szCs w:val="20"/>
              </w:rPr>
            </w:pPr>
            <w:r>
              <w:rPr>
                <w:rFonts w:ascii="Times New Roman" w:hAnsi="Times New Roman"/>
                <w:sz w:val="20"/>
                <w:szCs w:val="20"/>
              </w:rPr>
              <w:t>2019 (till den 30 juni 2019)</w:t>
            </w:r>
            <w:r>
              <w:rPr>
                <w:rStyle w:val="FootnoteReference"/>
                <w:rFonts w:ascii="Times New Roman" w:eastAsia="Times New Roman" w:hAnsi="Times New Roman"/>
                <w:sz w:val="20"/>
                <w:szCs w:val="20"/>
              </w:rPr>
              <w:footnoteReference w:id="39"/>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31545E2E" w14:textId="77777777" w:rsidR="0017587A" w:rsidRDefault="00DA23BD">
            <w:pPr>
              <w:spacing w:after="0"/>
              <w:jc w:val="center"/>
              <w:rPr>
                <w:rFonts w:ascii="Times New Roman" w:eastAsia="Times New Roman" w:hAnsi="Times New Roman"/>
                <w:sz w:val="20"/>
                <w:szCs w:val="20"/>
              </w:rPr>
            </w:pPr>
            <w:r>
              <w:rPr>
                <w:rFonts w:ascii="Times New Roman" w:hAnsi="Times New Roman"/>
                <w:sz w:val="20"/>
                <w:szCs w:val="20"/>
              </w:rPr>
              <w:t>292 975 500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0CADC71B" w14:textId="77777777" w:rsidR="0017587A" w:rsidRDefault="00DA23BD">
            <w:pPr>
              <w:spacing w:after="0"/>
              <w:jc w:val="center"/>
              <w:rPr>
                <w:rFonts w:ascii="Times New Roman" w:eastAsia="Times New Roman" w:hAnsi="Times New Roman"/>
                <w:sz w:val="20"/>
                <w:szCs w:val="20"/>
              </w:rPr>
            </w:pPr>
            <w:r>
              <w:rPr>
                <w:rFonts w:ascii="Times New Roman" w:hAnsi="Times New Roman"/>
                <w:sz w:val="20"/>
                <w:szCs w:val="20"/>
              </w:rPr>
              <w:t>2 032 500</w:t>
            </w:r>
          </w:p>
        </w:tc>
      </w:tr>
    </w:tbl>
    <w:p w14:paraId="2833898D" w14:textId="77777777" w:rsidR="0017587A" w:rsidRDefault="00BE16E5">
      <w:pPr>
        <w:spacing w:after="120" w:line="240" w:lineRule="auto"/>
        <w:ind w:right="57"/>
        <w:jc w:val="both"/>
        <w:rPr>
          <w:rFonts w:ascii="Times New Roman" w:eastAsia="Times New Roman" w:hAnsi="Times New Roman"/>
          <w:sz w:val="18"/>
          <w:szCs w:val="18"/>
        </w:rPr>
      </w:pPr>
      <w:r>
        <w:rPr>
          <w:rFonts w:ascii="Times New Roman" w:hAnsi="Times New Roman"/>
          <w:sz w:val="18"/>
          <w:szCs w:val="18"/>
        </w:rPr>
        <w:t>Källa: EEX</w:t>
      </w:r>
    </w:p>
    <w:p w14:paraId="5C30BAAB" w14:textId="77777777" w:rsidR="0017587A" w:rsidRDefault="00C505AB">
      <w:pPr>
        <w:jc w:val="both"/>
        <w:rPr>
          <w:rFonts w:ascii="Times New Roman" w:hAnsi="Times New Roman"/>
          <w:sz w:val="24"/>
          <w:szCs w:val="24"/>
        </w:rPr>
      </w:pPr>
      <w:r>
        <w:rPr>
          <w:rFonts w:ascii="Times New Roman" w:hAnsi="Times New Roman"/>
        </w:rPr>
        <w:t xml:space="preserve">Siffrorna för 2019 avspeglar effekten av att reserven för marknadsstabilitet trädde i kraft i januari 2019, vilken bidrog till en betydligt mindre auktionstillgång under 2019 (se kapitel 3.3). Auktionerna genomfördes i allmänhet friktionsfritt, och auktionspriserna låg generellt nära sekundärmarknadspriserna. </w:t>
      </w:r>
    </w:p>
    <w:p w14:paraId="547617CC" w14:textId="1A376B5F" w:rsidR="0017587A" w:rsidRDefault="003A348D">
      <w:pPr>
        <w:jc w:val="both"/>
        <w:rPr>
          <w:rFonts w:ascii="Times New Roman" w:hAnsi="Times New Roman"/>
          <w:sz w:val="24"/>
          <w:szCs w:val="24"/>
        </w:rPr>
      </w:pPr>
      <w:r>
        <w:rPr>
          <w:rFonts w:ascii="Times New Roman" w:hAnsi="Times New Roman"/>
        </w:rPr>
        <w:t>Mellan januari 2018 och juni 2019 ställdes fem auktioner in, antingen på grund av att reservpriset inte uppnåddes eller för att den totala volymen anbud var mindre än den auktionerade volymen. Med dessa fem har därmed totalt 1</w:t>
      </w:r>
      <w:r w:rsidR="005E4DAD">
        <w:rPr>
          <w:rFonts w:ascii="Times New Roman" w:hAnsi="Times New Roman"/>
        </w:rPr>
        <w:t>3</w:t>
      </w:r>
      <w:r>
        <w:rPr>
          <w:rFonts w:ascii="Times New Roman" w:hAnsi="Times New Roman"/>
        </w:rPr>
        <w:t> av de mer än 1 480 auktioner som har genomförts enligt auktioneringsförordningen sedan i slutet av 2012 ställts in. En översikt över auktionspriserna från 2013 till den 30 juni 2019 ges i figur 1:</w:t>
      </w:r>
    </w:p>
    <w:p w14:paraId="517BD99B" w14:textId="77777777" w:rsidR="0017587A" w:rsidRDefault="0017587A">
      <w:pPr>
        <w:rPr>
          <w:rFonts w:ascii="Times New Roman" w:hAnsi="Times New Roman"/>
          <w:b/>
          <w:sz w:val="20"/>
          <w:szCs w:val="20"/>
        </w:rPr>
      </w:pPr>
    </w:p>
    <w:p w14:paraId="1757E9C0" w14:textId="77777777" w:rsidR="0017587A" w:rsidRDefault="001D5A68">
      <w:pPr>
        <w:rPr>
          <w:rFonts w:ascii="Times New Roman" w:hAnsi="Times New Roman"/>
          <w:b/>
          <w:sz w:val="20"/>
          <w:szCs w:val="20"/>
        </w:rPr>
      </w:pPr>
      <w:r>
        <w:rPr>
          <w:rFonts w:ascii="Times New Roman" w:hAnsi="Times New Roman"/>
          <w:b/>
          <w:sz w:val="20"/>
          <w:szCs w:val="20"/>
        </w:rPr>
        <w:t>Figur 1: Auktionspris för allmänna utsläppsrätter från 2013 till den 30 juni 2019</w:t>
      </w:r>
    </w:p>
    <w:p w14:paraId="22AF2772" w14:textId="77777777" w:rsidR="0017587A" w:rsidRDefault="001D5A68">
      <w:pPr>
        <w:spacing w:after="0"/>
        <w:jc w:val="both"/>
        <w:rPr>
          <w:rFonts w:ascii="Times New Roman" w:hAnsi="Times New Roman"/>
          <w:sz w:val="24"/>
          <w:szCs w:val="24"/>
        </w:rPr>
      </w:pPr>
      <w:r>
        <w:rPr>
          <w:rFonts w:ascii="Times New Roman" w:hAnsi="Times New Roman"/>
          <w:noProof/>
          <w:lang w:val="en-GB" w:eastAsia="en-GB"/>
        </w:rPr>
        <w:drawing>
          <wp:inline distT="0" distB="0" distL="0" distR="0" wp14:anchorId="773DF38F" wp14:editId="1EB5A592">
            <wp:extent cx="5575300" cy="279073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8291" cy="2802239"/>
                    </a:xfrm>
                    <a:prstGeom prst="rect">
                      <a:avLst/>
                    </a:prstGeom>
                    <a:noFill/>
                  </pic:spPr>
                </pic:pic>
              </a:graphicData>
            </a:graphic>
          </wp:inline>
        </w:drawing>
      </w:r>
    </w:p>
    <w:p w14:paraId="3488F8D6" w14:textId="77777777" w:rsidR="0017587A" w:rsidRDefault="00626D3C">
      <w:pPr>
        <w:spacing w:after="0"/>
        <w:jc w:val="both"/>
        <w:rPr>
          <w:rFonts w:ascii="Times New Roman" w:hAnsi="Times New Roman"/>
          <w:sz w:val="18"/>
          <w:szCs w:val="18"/>
        </w:rPr>
      </w:pPr>
      <w:r>
        <w:rPr>
          <w:rFonts w:ascii="Times New Roman" w:hAnsi="Times New Roman"/>
          <w:sz w:val="18"/>
          <w:szCs w:val="18"/>
        </w:rPr>
        <w:t>Källa: EEX</w:t>
      </w:r>
    </w:p>
    <w:p w14:paraId="05BEFAF8" w14:textId="77777777" w:rsidR="0017587A" w:rsidRDefault="001D5A68">
      <w:pPr>
        <w:rPr>
          <w:rFonts w:ascii="Times New Roman" w:hAnsi="Times New Roman"/>
          <w:sz w:val="20"/>
          <w:szCs w:val="20"/>
        </w:rPr>
      </w:pPr>
      <w:r>
        <w:rPr>
          <w:rFonts w:ascii="Times New Roman" w:hAnsi="Times New Roman"/>
          <w:b/>
          <w:color w:val="00B050"/>
          <w:sz w:val="20"/>
          <w:szCs w:val="20"/>
        </w:rPr>
        <w:t xml:space="preserve">___ </w:t>
      </w:r>
      <w:r>
        <w:rPr>
          <w:rFonts w:ascii="Times New Roman" w:hAnsi="Times New Roman"/>
          <w:sz w:val="20"/>
          <w:szCs w:val="20"/>
        </w:rPr>
        <w:t>Auktionspris</w:t>
      </w:r>
    </w:p>
    <w:p w14:paraId="0AAEABAD" w14:textId="77777777" w:rsidR="0017587A" w:rsidRDefault="001D5A68">
      <w:pPr>
        <w:jc w:val="both"/>
        <w:rPr>
          <w:rFonts w:ascii="Times New Roman" w:hAnsi="Times New Roman"/>
          <w:sz w:val="24"/>
          <w:szCs w:val="24"/>
        </w:rPr>
      </w:pPr>
      <w:r>
        <w:rPr>
          <w:rFonts w:ascii="Times New Roman" w:hAnsi="Times New Roman"/>
        </w:rPr>
        <w:t>Antalet deltagare i auktionerna för allmänna utsläppsrätter från 2013 till den 30 juni 2019 anges i tillägg 2. På auktionsplattformarna offentliggörs de utförliga resultaten av varje auktion på särskilda webbplatser inom lämplig tid. Mer information om resultatet av auktionerna, bland annat om deltagande, täckningsgrader och priser, finns i medlemsstaternas rapporter som offentliggörs på kommissionens webbplats.</w:t>
      </w:r>
      <w:r>
        <w:rPr>
          <w:rFonts w:ascii="Times New Roman" w:hAnsi="Times New Roman"/>
          <w:vertAlign w:val="superscript"/>
        </w:rPr>
        <w:footnoteReference w:id="40"/>
      </w:r>
    </w:p>
    <w:p w14:paraId="69FCCC6F" w14:textId="77777777" w:rsidR="0017587A" w:rsidRDefault="00952A42">
      <w:pPr>
        <w:jc w:val="both"/>
        <w:rPr>
          <w:rFonts w:ascii="Times New Roman" w:hAnsi="Times New Roman"/>
          <w:sz w:val="24"/>
          <w:szCs w:val="24"/>
        </w:rPr>
      </w:pPr>
      <w:r>
        <w:rPr>
          <w:rFonts w:ascii="Times New Roman" w:hAnsi="Times New Roman"/>
        </w:rPr>
        <w:t>Medlemsstaternas totala intäkter från auktionerna mellan 2012 och den 30 juni 2019 översteg 42 miljarder euro (se tabell 2.1 i tillägg 2). De totala intäkterna var på 14 miljarder euro enbart under 2018. Enligt direktivet om EU:s utsläppshandelssystem bör medlemsstaterna använda minst 50 % av intäkterna från auktioneringen, inklusive alla intäkter från utsläppsrätter som fördelas för solidaritet och tillväxt, för klimat- och energirelaterade ändamål. Enligt de uppgifter som medlemsstaterna lämnat till kommissionen använde eller avsåg medlemsstaterna att använda omkring 70 % av dessa intäkter för angivna klimat- och energirelaterade ändamål 2018. Under perioden 2013–2018 användes omkring 80 % av auktionsintäkterna för sådana ändamål.</w:t>
      </w:r>
    </w:p>
    <w:p w14:paraId="223BAE32" w14:textId="77777777" w:rsidR="0017587A" w:rsidRDefault="00A52F4C">
      <w:pPr>
        <w:pStyle w:val="Heading4"/>
        <w:spacing w:before="0" w:after="200"/>
        <w:ind w:left="1080"/>
      </w:pPr>
      <w:bookmarkStart w:id="15" w:name="_Toc23755272"/>
      <w:r>
        <w:t>3.1.2.5 Undantag från fullständig auktionering för el- och värmeproduktion</w:t>
      </w:r>
      <w:bookmarkEnd w:id="15"/>
    </w:p>
    <w:p w14:paraId="66966EE8" w14:textId="77777777" w:rsidR="0017587A" w:rsidRDefault="003A348D">
      <w:pPr>
        <w:jc w:val="both"/>
      </w:pPr>
      <w:r>
        <w:rPr>
          <w:rFonts w:ascii="Times New Roman" w:hAnsi="Times New Roman"/>
          <w:noProof/>
          <w:lang w:val="en-GB" w:eastAsia="en-GB"/>
        </w:rPr>
        <mc:AlternateContent>
          <mc:Choice Requires="wps">
            <w:drawing>
              <wp:inline distT="0" distB="0" distL="0" distR="0" wp14:anchorId="399D85D1" wp14:editId="6B236A1B">
                <wp:extent cx="5720487" cy="5613621"/>
                <wp:effectExtent l="0" t="0" r="13970" b="2540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7" cy="5613621"/>
                        </a:xfrm>
                        <a:prstGeom prst="rect">
                          <a:avLst/>
                        </a:prstGeom>
                        <a:solidFill>
                          <a:sysClr val="window" lastClr="FFFFFF">
                            <a:lumMod val="85000"/>
                          </a:sysClr>
                        </a:solidFill>
                        <a:ln w="12700">
                          <a:solidFill>
                            <a:srgbClr val="000000">
                              <a:alpha val="70000"/>
                            </a:srgbClr>
                          </a:solidFill>
                          <a:miter lim="800000"/>
                          <a:headEnd/>
                          <a:tailEnd/>
                        </a:ln>
                      </wps:spPr>
                      <wps:txbx>
                        <w:txbxContent>
                          <w:p w14:paraId="4C24446F" w14:textId="77777777" w:rsidR="0017587A" w:rsidRDefault="00516F65">
                            <w:pPr>
                              <w:pStyle w:val="FootnoteText"/>
                              <w:spacing w:after="200" w:line="276" w:lineRule="auto"/>
                              <w:jc w:val="both"/>
                              <w:rPr>
                                <w:sz w:val="24"/>
                                <w:szCs w:val="24"/>
                              </w:rPr>
                            </w:pPr>
                            <w:r>
                              <w:t xml:space="preserve">I artikel 10c i direktivet om EU:s utsläppshandelssystem föreskrivs ett undantag från den allmänna auktioneringsregeln för att stödja investeringar i modernisering av elsektorn i vissa medlemsstater med lägre inkomster. Åtta av tio medlemsstater som har rätt till det* använder detta undantag under fas 3 och tilldelar elproducenter ett antal utsläppsrätter gratis förutsatt att investeringarna i fråga genomförs. </w:t>
                            </w:r>
                          </w:p>
                          <w:p w14:paraId="26623B68" w14:textId="6FD7686E" w:rsidR="0017587A" w:rsidRDefault="00516F65">
                            <w:pPr>
                              <w:pStyle w:val="FootnoteText"/>
                              <w:spacing w:after="200" w:line="276" w:lineRule="auto"/>
                              <w:jc w:val="both"/>
                              <w:rPr>
                                <w:sz w:val="24"/>
                                <w:szCs w:val="24"/>
                              </w:rPr>
                            </w:pPr>
                            <w:r>
                              <w:t>De utsläppsrätter som har tilldelats gratis enligt artikel 10c dras av från den mängd som respektive medlemsstat annars skulle ha auktionerat. Beroende på de nationella reglerna för tillämpning av undantaget kan elproducenterna få gratis utsläppsrätter motsvarande det ekonomiska värdet av de investeringar som de gör enligt de nationella investeringsplanerna, eller motsvarande inbetalningarna till en nationell fond som används för att finansiera sådana investeringar. Eftersom tilldelningen av gratis utsläppsrätter till elproducenter enligt artikel 10c i direktivet om EU:s utsläppshandelssystem i princip skulle omfatta statligt stöd, har de nationella ordningarna för att genomföra undantaget enligt artikel 10c godkänts enligt reglerna för statligt stöd och omfattas av kraven i riktlinjerna för statligt stöd.**</w:t>
                            </w:r>
                          </w:p>
                          <w:p w14:paraId="218DB988" w14:textId="1F2BD2AE" w:rsidR="0017587A" w:rsidRDefault="00516F65">
                            <w:pPr>
                              <w:pStyle w:val="FootnoteText"/>
                              <w:spacing w:after="120" w:line="276" w:lineRule="auto"/>
                              <w:jc w:val="both"/>
                              <w:rPr>
                                <w:sz w:val="24"/>
                                <w:szCs w:val="24"/>
                              </w:rPr>
                            </w:pPr>
                            <w:r>
                              <w:t>Gratis tilldelning enligt artikel 10c kommer att fortsätta att vara tillgänglig under fas 4, men med förstärkta bestämmelser om insyn och med en möjlighet för stödberättigade medlemsstater att använda hela eller delar av sin tilldelning enligt artikel 10c för att stödja investeringar inom ramen för moderniseringsfonden. Baserat på uppgifter som medlemsstaterna lämnat till kommissionen kommer undantaget enligt artikel 10c att tillämpas i mycket begränsad omfattning under nästa handelsperiod. Sju av tio berättigade medlemsstater, inklusive Polen och Tjeckien, som hade de största volymerna av gratis tilldelning under en övergångsperiod under fas 3, valde att sluta tillämpa undantaget.</w:t>
                            </w:r>
                          </w:p>
                          <w:p w14:paraId="55136B73" w14:textId="77777777" w:rsidR="0017587A" w:rsidRDefault="00516F65">
                            <w:pPr>
                              <w:spacing w:after="120"/>
                              <w:jc w:val="both"/>
                              <w:rPr>
                                <w:rFonts w:ascii="Times New Roman" w:hAnsi="Times New Roman"/>
                                <w:sz w:val="18"/>
                                <w:szCs w:val="18"/>
                              </w:rPr>
                            </w:pPr>
                            <w:r>
                              <w:rPr>
                                <w:rFonts w:ascii="Times New Roman" w:hAnsi="Times New Roman"/>
                                <w:sz w:val="18"/>
                                <w:szCs w:val="18"/>
                              </w:rPr>
                              <w:t>* Bulgarien, Cypern, Estland, Lettland, Litauen, Malta, Polen, Rumänien, Tjeckien och Ungern har rätt att tillämpa undantaget. Malta och Lettland har beslutat att inte utnyttja undantaget under fas 3.</w:t>
                            </w:r>
                          </w:p>
                          <w:p w14:paraId="650DFAD5" w14:textId="43F69296" w:rsidR="0017587A" w:rsidRDefault="00516F65">
                            <w:pPr>
                              <w:spacing w:after="120"/>
                              <w:jc w:val="both"/>
                              <w:rPr>
                                <w:rFonts w:ascii="Times New Roman" w:hAnsi="Times New Roman"/>
                                <w:sz w:val="18"/>
                                <w:szCs w:val="18"/>
                              </w:rPr>
                            </w:pPr>
                            <w:r>
                              <w:rPr>
                                <w:rFonts w:ascii="Times New Roman" w:hAnsi="Times New Roman"/>
                                <w:sz w:val="18"/>
                                <w:szCs w:val="18"/>
                              </w:rPr>
                              <w:t>** Riktlinjer för vissa statliga stödåtgärder inom ramen för systemet för handel med utsläppsrätter för växthusgaser efter 2012 (EUT C 158, 5.6.2012, s. 4).</w:t>
                            </w:r>
                          </w:p>
                        </w:txbxContent>
                      </wps:txbx>
                      <wps:bodyPr rot="0" vert="horz" wrap="square" lIns="91440" tIns="45720" rIns="91440" bIns="45720" anchor="t" anchorCtr="0">
                        <a:noAutofit/>
                      </wps:bodyPr>
                    </wps:wsp>
                  </a:graphicData>
                </a:graphic>
              </wp:inline>
            </w:drawing>
          </mc:Choice>
          <mc:Fallback>
            <w:pict>
              <v:shape w14:anchorId="399D85D1" id="_x0000_s1034" type="#_x0000_t202" style="width:450.45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" fillcolor="#d9d9d9" strokeweight="1pt">
                <v:stroke opacity="46003f"/>
                <v:textbox>
                  <w:txbxContent>
                    <w:p w14:paraId="4C24446F" w14:textId="77777777" w:rsidR="0017587A" w:rsidRDefault="00516F65">
                      <w:pPr>
                        <w:pStyle w:val="FootnoteText"/>
                        <w:spacing w:after="200" w:line="276" w:lineRule="auto"/>
                        <w:jc w:val="both"/>
                        <w:rPr>
                          <w:sz w:val="24"/>
                          <w:szCs w:val="24"/>
                        </w:rPr>
                      </w:pPr>
                      <w:r>
                        <w:t xml:space="preserve">I artikel 10c i direktivet om EU:s utsläppshandelssystem föreskrivs ett undantag från den allmänna auktioneringsregeln för att stödja investeringar i modernisering av elsektorn i vissa medlemsstater med lägre inkomster. Åtta av tio medlemsstater som har rätt till det* använder detta undantag under fas 3 och tilldelar elproducenter ett antal utsläppsrätter gratis förutsatt att investeringarna i fråga genomförs. </w:t>
                      </w:r>
                    </w:p>
                    <w:p w14:paraId="26623B68" w14:textId="6FD7686E" w:rsidR="0017587A" w:rsidRDefault="00516F65">
                      <w:pPr>
                        <w:pStyle w:val="FootnoteText"/>
                        <w:spacing w:after="200" w:line="276" w:lineRule="auto"/>
                        <w:jc w:val="both"/>
                        <w:rPr>
                          <w:sz w:val="24"/>
                          <w:szCs w:val="24"/>
                        </w:rPr>
                      </w:pPr>
                      <w:r>
                        <w:t>De utsläppsrätter som har tilldelats gratis enligt artikel 10c dras av från den mängd som respektive medlemsstat annars skulle ha auktionerat. Beroende på de nationella reglerna för tillämpning av undantaget kan elproducenterna få gratis utsläppsrätter motsvarande det ekonomiska värdet av de investeringar som de gör enligt de nationella investeringsplanerna, eller motsvarande inbetalningarna till en nationell fond som används för att finansiera sådana investeringar. Eftersom tilldelningen av gratis utsläppsrätter till elproducenter enligt artikel 10c i direktivet om EU:s utsläppshandelssystem i princip skulle omfatta statligt stöd, har de nationella ordningarna för att genomföra undantaget enligt artikel 10c godkänts enligt reglerna för statligt stöd och omfattas av kraven i riktlinjerna för statligt stöd.**</w:t>
                      </w:r>
                    </w:p>
                    <w:p w14:paraId="218DB988" w14:textId="1F2BD2AE" w:rsidR="0017587A" w:rsidRDefault="00516F65">
                      <w:pPr>
                        <w:pStyle w:val="FootnoteText"/>
                        <w:spacing w:after="120" w:line="276" w:lineRule="auto"/>
                        <w:jc w:val="both"/>
                        <w:rPr>
                          <w:sz w:val="24"/>
                          <w:szCs w:val="24"/>
                        </w:rPr>
                      </w:pPr>
                      <w:r>
                        <w:t>Gratis tilldelning enligt artikel 10c kommer att fortsätta att vara tillgänglig under fas 4, men med förstärkta bestämmelser om insyn och med en möjlighet för stödberättigade medlemsstater att använda hela eller delar av sin tilldelning enligt artikel 10c för att stödja investeringar inom ramen för moderniseringsfonden. Baserat på uppgifter som medlemsstaterna lämnat till kommissionen kommer undantaget enligt artikel 10c att tillämpas i mycket begränsad omfattning under nästa handelsperiod. Sju av tio berättigade medlemsstater, inklusive Polen och Tjeckien, som hade de största volymerna av gratis tilldelning under en övergångsperiod under fas 3, valde att sluta tillämpa undantaget.</w:t>
                      </w:r>
                    </w:p>
                    <w:p w14:paraId="55136B73" w14:textId="77777777" w:rsidR="0017587A" w:rsidRDefault="00516F65">
                      <w:pPr>
                        <w:spacing w:after="120"/>
                        <w:jc w:val="both"/>
                        <w:rPr>
                          <w:rFonts w:ascii="Times New Roman" w:hAnsi="Times New Roman"/>
                          <w:sz w:val="18"/>
                          <w:szCs w:val="18"/>
                        </w:rPr>
                      </w:pPr>
                      <w:r>
                        <w:rPr>
                          <w:rFonts w:ascii="Times New Roman" w:hAnsi="Times New Roman"/>
                          <w:sz w:val="18"/>
                          <w:szCs w:val="18"/>
                        </w:rPr>
                        <w:t>* Bulgarien, Cypern, Estland, Lettland, Litauen, Malta, Polen, Rumänien, Tjeckien och Ungern har rätt att tillämpa undantaget. Malta och Lettland har beslutat att inte utnyttja undantaget under fas 3.</w:t>
                      </w:r>
                    </w:p>
                    <w:p w14:paraId="650DFAD5" w14:textId="43F69296" w:rsidR="0017587A" w:rsidRDefault="00516F65">
                      <w:pPr>
                        <w:spacing w:after="120"/>
                        <w:jc w:val="both"/>
                        <w:rPr>
                          <w:rFonts w:ascii="Times New Roman" w:hAnsi="Times New Roman"/>
                          <w:sz w:val="18"/>
                          <w:szCs w:val="18"/>
                        </w:rPr>
                      </w:pPr>
                      <w:r>
                        <w:rPr>
                          <w:rFonts w:ascii="Times New Roman" w:hAnsi="Times New Roman"/>
                          <w:sz w:val="18"/>
                          <w:szCs w:val="18"/>
                        </w:rPr>
                        <w:t>** Riktlinjer för vissa statliga stödåtgärder inom ramen för systemet för handel med utsläppsrätter för växthusgaser efter 2012 (EUT C 158, 5.6.2012, s. 4).</w:t>
                      </w:r>
                    </w:p>
                  </w:txbxContent>
                </v:textbox>
                <w10:anchorlock/>
              </v:shape>
            </w:pict>
          </mc:Fallback>
        </mc:AlternateContent>
      </w:r>
    </w:p>
    <w:p w14:paraId="3429A3B5" w14:textId="77777777" w:rsidR="0017587A" w:rsidRDefault="003A348D">
      <w:pPr>
        <w:spacing w:after="160" w:line="259" w:lineRule="auto"/>
        <w:contextualSpacing/>
        <w:jc w:val="both"/>
        <w:rPr>
          <w:rFonts w:ascii="Times New Roman" w:hAnsi="Times New Roman"/>
          <w:sz w:val="24"/>
          <w:szCs w:val="24"/>
        </w:rPr>
      </w:pPr>
      <w:r>
        <w:rPr>
          <w:rFonts w:ascii="Times New Roman" w:hAnsi="Times New Roman"/>
        </w:rPr>
        <w:t xml:space="preserve">Det sammanlagda värdet av det rapporterade investeringsstödet under åren 2009–2018 är cirka 12,4 miljarder euro. Ungefär 82 % av detta belopp användes för att uppgradera och utrusta infrastruktur, medan resten av investeringarna gällde ren teknik eller diversifiering av utbudet. </w:t>
      </w:r>
    </w:p>
    <w:p w14:paraId="3C7A2009" w14:textId="77777777" w:rsidR="0017587A" w:rsidRDefault="0017587A">
      <w:pPr>
        <w:spacing w:after="160" w:line="259" w:lineRule="auto"/>
        <w:contextualSpacing/>
        <w:jc w:val="both"/>
        <w:rPr>
          <w:rFonts w:ascii="Times New Roman" w:hAnsi="Times New Roman"/>
          <w:sz w:val="24"/>
          <w:szCs w:val="24"/>
        </w:rPr>
      </w:pPr>
    </w:p>
    <w:p w14:paraId="342BC579" w14:textId="77777777" w:rsidR="0017587A" w:rsidRDefault="00FE4E64">
      <w:pPr>
        <w:jc w:val="both"/>
        <w:rPr>
          <w:rFonts w:ascii="Times New Roman" w:hAnsi="Times New Roman"/>
          <w:sz w:val="24"/>
          <w:szCs w:val="24"/>
        </w:rPr>
      </w:pPr>
      <w:r>
        <w:rPr>
          <w:rFonts w:ascii="Times New Roman" w:hAnsi="Times New Roman"/>
        </w:rPr>
        <w:t>Antalet utsläppsrätter som tilldelades gratis till elproducenter för 2018 anges i tabell 1.1 i tillägg 1 till bilagan, medan det maximala antalet utsläppsrätter per år framgår av tabell 1.2 i tillägg 1.</w:t>
      </w:r>
    </w:p>
    <w:p w14:paraId="0E438262" w14:textId="77777777" w:rsidR="0017587A" w:rsidRDefault="003A348D">
      <w:pPr>
        <w:jc w:val="both"/>
        <w:rPr>
          <w:rFonts w:ascii="Times New Roman" w:hAnsi="Times New Roman"/>
          <w:sz w:val="24"/>
          <w:szCs w:val="24"/>
        </w:rPr>
      </w:pPr>
      <w:r>
        <w:rPr>
          <w:rFonts w:ascii="Times New Roman" w:hAnsi="Times New Roman"/>
        </w:rPr>
        <w:t>Icke tilldelade utsläppsrätter får auktioneras eller, enligt bestämmelserna i det reviderade direktivet om EU:s utsläppshandelssystem, tilldelas under perioden 2021–2030 till investeringar som har valts ut enligt artikel 10c genom konkurrensutsatta anbudsförfaranden. Det antal utsläppsrätter som tilldelades under perioden 2013–2018 framgår av figur 2.</w:t>
      </w:r>
    </w:p>
    <w:p w14:paraId="4EEDB1C2" w14:textId="77777777" w:rsidR="0017587A" w:rsidRDefault="0017587A">
      <w:pPr>
        <w:jc w:val="both"/>
        <w:rPr>
          <w:rFonts w:ascii="Times New Roman" w:hAnsi="Times New Roman"/>
          <w:sz w:val="24"/>
          <w:szCs w:val="24"/>
        </w:rPr>
      </w:pPr>
    </w:p>
    <w:p w14:paraId="0FC9363F" w14:textId="77777777" w:rsidR="0017587A" w:rsidRDefault="003A348D">
      <w:pPr>
        <w:jc w:val="both"/>
        <w:rPr>
          <w:rFonts w:ascii="Times New Roman" w:hAnsi="Times New Roman"/>
          <w:b/>
        </w:rPr>
      </w:pPr>
      <w:r>
        <w:rPr>
          <w:rFonts w:ascii="Times New Roman" w:hAnsi="Times New Roman"/>
          <w:b/>
        </w:rPr>
        <w:t xml:space="preserve"> Figur 2: Utsläppsrätter som har tilldelats gratis enligt artikel 10c</w:t>
      </w:r>
    </w:p>
    <w:p w14:paraId="3532CF67" w14:textId="77777777" w:rsidR="0017587A" w:rsidRDefault="00F47B94">
      <w:pPr>
        <w:spacing w:after="160" w:line="259" w:lineRule="auto"/>
        <w:contextualSpacing/>
        <w:rPr>
          <w:rFonts w:ascii="Times New Roman" w:hAnsi="Times New Roman"/>
          <w:sz w:val="24"/>
          <w:szCs w:val="24"/>
        </w:rPr>
      </w:pPr>
      <w:r>
        <w:rPr>
          <w:rFonts w:ascii="Times New Roman" w:hAnsi="Times New Roman"/>
          <w:noProof/>
          <w:lang w:val="en-GB" w:eastAsia="en-GB"/>
        </w:rPr>
        <w:drawing>
          <wp:inline distT="0" distB="0" distL="0" distR="0" wp14:anchorId="48AA7D14" wp14:editId="4F8D3810">
            <wp:extent cx="5694218" cy="2910011"/>
            <wp:effectExtent l="0" t="0" r="190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132" cy="2914056"/>
                    </a:xfrm>
                    <a:prstGeom prst="rect">
                      <a:avLst/>
                    </a:prstGeom>
                    <a:noFill/>
                  </pic:spPr>
                </pic:pic>
              </a:graphicData>
            </a:graphic>
          </wp:inline>
        </w:drawing>
      </w:r>
    </w:p>
    <w:p w14:paraId="794B64F3" w14:textId="77777777" w:rsidR="0017587A" w:rsidRDefault="00A92C10">
      <w:pPr>
        <w:jc w:val="both"/>
        <w:rPr>
          <w:rFonts w:ascii="Times New Roman" w:hAnsi="Times New Roman"/>
          <w:sz w:val="18"/>
          <w:szCs w:val="18"/>
        </w:rPr>
      </w:pPr>
      <w:r>
        <w:rPr>
          <w:rFonts w:ascii="Times New Roman" w:hAnsi="Times New Roman"/>
          <w:sz w:val="18"/>
          <w:szCs w:val="18"/>
        </w:rPr>
        <w:t>Källa: GD Klimatpolitik</w:t>
      </w:r>
    </w:p>
    <w:p w14:paraId="5C6CC9DE" w14:textId="77777777" w:rsidR="0017587A" w:rsidRDefault="00967BB6">
      <w:pPr>
        <w:jc w:val="both"/>
        <w:rPr>
          <w:rFonts w:ascii="Times New Roman" w:hAnsi="Times New Roman"/>
          <w:b/>
          <w:sz w:val="20"/>
          <w:szCs w:val="20"/>
        </w:rPr>
      </w:pPr>
      <w:r>
        <w:rPr>
          <w:rFonts w:ascii="Times New Roman" w:hAnsi="Times New Roman"/>
        </w:rPr>
        <w:t xml:space="preserve">I december 2018 informerade Polen kommissionen om sin avsikt att auktionera 55,8 miljoner av dess icke tilldelade utsläppsrätter 2019 inom ramen för undantaget enligt artikel 10c. I maj 2019 underrättades kommissionen dessutom om Polens avsikt att lägga till 49,52 miljoner icke tilldelade utsläppsrätter enligt artikel 10c till den mängd utsläppsrätter som Polen kommer att auktionera 2020. </w:t>
      </w:r>
    </w:p>
    <w:p w14:paraId="548932C6" w14:textId="77777777" w:rsidR="0017587A" w:rsidRDefault="00967BB6">
      <w:pPr>
        <w:jc w:val="both"/>
        <w:rPr>
          <w:rFonts w:ascii="Times New Roman" w:hAnsi="Times New Roman"/>
          <w:b/>
        </w:rPr>
      </w:pPr>
      <w:r>
        <w:rPr>
          <w:rFonts w:ascii="Times New Roman" w:hAnsi="Times New Roman"/>
        </w:rPr>
        <w:t xml:space="preserve">Figur 3 visar i vilken utsträckning utsläppsrätter enligt artikel 10c har tilldelats, lagts till auktionerna eller fortfarande är outnyttjade (som i dagsläget vare sig tilldelats eller tillagts till auktionerna). </w:t>
      </w:r>
    </w:p>
    <w:p w14:paraId="2E6DA9B3" w14:textId="77777777" w:rsidR="0017587A" w:rsidRDefault="0017587A">
      <w:pPr>
        <w:jc w:val="both"/>
        <w:rPr>
          <w:rFonts w:ascii="Times New Roman" w:hAnsi="Times New Roman"/>
          <w:b/>
        </w:rPr>
      </w:pPr>
    </w:p>
    <w:p w14:paraId="401414B7" w14:textId="77777777" w:rsidR="0017587A" w:rsidRDefault="0017587A">
      <w:pPr>
        <w:jc w:val="both"/>
        <w:rPr>
          <w:rFonts w:ascii="Times New Roman" w:hAnsi="Times New Roman"/>
          <w:b/>
        </w:rPr>
      </w:pPr>
    </w:p>
    <w:p w14:paraId="5D6B7E68" w14:textId="77777777" w:rsidR="0017587A" w:rsidRDefault="0017587A">
      <w:pPr>
        <w:jc w:val="both"/>
        <w:rPr>
          <w:rFonts w:ascii="Times New Roman" w:hAnsi="Times New Roman"/>
          <w:b/>
        </w:rPr>
      </w:pPr>
    </w:p>
    <w:p w14:paraId="7FDD3205" w14:textId="77777777" w:rsidR="0017587A" w:rsidRDefault="0017587A">
      <w:pPr>
        <w:jc w:val="both"/>
        <w:rPr>
          <w:rFonts w:ascii="Times New Roman" w:hAnsi="Times New Roman"/>
          <w:b/>
        </w:rPr>
      </w:pPr>
    </w:p>
    <w:p w14:paraId="63D4ECA4" w14:textId="77777777" w:rsidR="0017587A" w:rsidRDefault="0017587A">
      <w:pPr>
        <w:jc w:val="both"/>
        <w:rPr>
          <w:rFonts w:ascii="Times New Roman" w:hAnsi="Times New Roman"/>
          <w:b/>
        </w:rPr>
      </w:pPr>
    </w:p>
    <w:p w14:paraId="7A872F1C" w14:textId="77777777" w:rsidR="0017587A" w:rsidRDefault="0017587A">
      <w:pPr>
        <w:jc w:val="both"/>
        <w:rPr>
          <w:rFonts w:ascii="Times New Roman" w:hAnsi="Times New Roman"/>
          <w:b/>
        </w:rPr>
      </w:pPr>
    </w:p>
    <w:p w14:paraId="2F2735B7" w14:textId="77777777" w:rsidR="0017587A" w:rsidRDefault="0017587A">
      <w:pPr>
        <w:jc w:val="both"/>
        <w:rPr>
          <w:rFonts w:ascii="Times New Roman" w:hAnsi="Times New Roman"/>
          <w:b/>
        </w:rPr>
      </w:pPr>
    </w:p>
    <w:p w14:paraId="0E4480BB" w14:textId="77777777" w:rsidR="0017587A" w:rsidRDefault="0017587A">
      <w:pPr>
        <w:jc w:val="both"/>
        <w:rPr>
          <w:rFonts w:ascii="Times New Roman" w:hAnsi="Times New Roman"/>
          <w:b/>
        </w:rPr>
      </w:pPr>
    </w:p>
    <w:p w14:paraId="750B31D7" w14:textId="77777777" w:rsidR="0017587A" w:rsidRDefault="0017587A">
      <w:pPr>
        <w:jc w:val="both"/>
        <w:rPr>
          <w:rFonts w:ascii="Times New Roman" w:hAnsi="Times New Roman"/>
          <w:b/>
        </w:rPr>
      </w:pPr>
    </w:p>
    <w:p w14:paraId="4983EFE1" w14:textId="77777777" w:rsidR="0017587A" w:rsidRDefault="0017587A">
      <w:pPr>
        <w:jc w:val="both"/>
        <w:rPr>
          <w:rFonts w:ascii="Times New Roman" w:hAnsi="Times New Roman"/>
          <w:b/>
        </w:rPr>
      </w:pPr>
    </w:p>
    <w:p w14:paraId="65965E6E" w14:textId="77777777" w:rsidR="0017587A" w:rsidRDefault="0017587A">
      <w:pPr>
        <w:jc w:val="both"/>
        <w:rPr>
          <w:rFonts w:ascii="Times New Roman" w:hAnsi="Times New Roman"/>
          <w:b/>
        </w:rPr>
      </w:pPr>
    </w:p>
    <w:p w14:paraId="54B19E0B" w14:textId="77777777" w:rsidR="0017587A" w:rsidRDefault="003A348D">
      <w:pPr>
        <w:jc w:val="both"/>
        <w:rPr>
          <w:rFonts w:ascii="Times New Roman" w:hAnsi="Times New Roman"/>
          <w:sz w:val="24"/>
          <w:szCs w:val="24"/>
        </w:rPr>
      </w:pPr>
      <w:r>
        <w:rPr>
          <w:rFonts w:ascii="Times New Roman" w:hAnsi="Times New Roman"/>
          <w:b/>
        </w:rPr>
        <w:t>Figur 3: Fördelning av utsläppsrätter (tilldelade, auktionerade och återstående outnyttjade)</w:t>
      </w:r>
      <w:r>
        <w:rPr>
          <w:rStyle w:val="FootnoteReference"/>
          <w:rFonts w:ascii="Times New Roman" w:hAnsi="Times New Roman"/>
          <w:b/>
        </w:rPr>
        <w:footnoteReference w:id="41"/>
      </w:r>
    </w:p>
    <w:p w14:paraId="3D08DE0B" w14:textId="77777777" w:rsidR="0017587A" w:rsidRDefault="007D07C5">
      <w:pPr>
        <w:keepNext/>
        <w:spacing w:after="0" w:line="240" w:lineRule="auto"/>
        <w:rPr>
          <w:rFonts w:ascii="Times New Roman" w:hAnsi="Times New Roman"/>
          <w:sz w:val="24"/>
          <w:szCs w:val="24"/>
        </w:rPr>
      </w:pPr>
      <w:r>
        <w:rPr>
          <w:rFonts w:ascii="Times New Roman" w:hAnsi="Times New Roman"/>
          <w:noProof/>
          <w:lang w:val="en-GB" w:eastAsia="en-GB"/>
        </w:rPr>
        <w:drawing>
          <wp:inline distT="0" distB="0" distL="0" distR="0" wp14:anchorId="77ACA8CF" wp14:editId="35D4F5BA">
            <wp:extent cx="5583382" cy="284822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7766" cy="2850457"/>
                    </a:xfrm>
                    <a:prstGeom prst="rect">
                      <a:avLst/>
                    </a:prstGeom>
                    <a:noFill/>
                  </pic:spPr>
                </pic:pic>
              </a:graphicData>
            </a:graphic>
          </wp:inline>
        </w:drawing>
      </w:r>
    </w:p>
    <w:p w14:paraId="183B21DE" w14:textId="77777777" w:rsidR="0017587A" w:rsidRDefault="00A92C10">
      <w:pPr>
        <w:keepNext/>
        <w:spacing w:after="0" w:line="240" w:lineRule="auto"/>
        <w:rPr>
          <w:rFonts w:ascii="Times New Roman" w:hAnsi="Times New Roman"/>
          <w:sz w:val="18"/>
          <w:szCs w:val="18"/>
        </w:rPr>
      </w:pPr>
      <w:r>
        <w:rPr>
          <w:rFonts w:ascii="Times New Roman" w:hAnsi="Times New Roman"/>
          <w:sz w:val="18"/>
          <w:szCs w:val="18"/>
        </w:rPr>
        <w:t>Källa: GD Klimatpolitik</w:t>
      </w:r>
    </w:p>
    <w:tbl>
      <w:tblPr>
        <w:tblStyle w:val="TableGrid5"/>
        <w:tblpPr w:leftFromText="180" w:rightFromText="180" w:vertAnchor="text" w:horzAnchor="page" w:tblpX="1794" w:tblpY="142"/>
        <w:tblW w:w="1157" w:type="pct"/>
        <w:tblLook w:val="04A0" w:firstRow="1" w:lastRow="0" w:firstColumn="1" w:lastColumn="0" w:noHBand="0" w:noVBand="1"/>
      </w:tblPr>
      <w:tblGrid>
        <w:gridCol w:w="537"/>
        <w:gridCol w:w="1602"/>
      </w:tblGrid>
      <w:tr w:rsidR="0017587A" w14:paraId="0D798E09" w14:textId="77777777" w:rsidTr="00276918">
        <w:trPr>
          <w:trHeight w:val="461"/>
        </w:trPr>
        <w:tc>
          <w:tcPr>
            <w:tcW w:w="1255" w:type="pct"/>
            <w:shd w:val="clear" w:color="auto" w:fill="4F81BD"/>
          </w:tcPr>
          <w:p w14:paraId="2F8EFB45" w14:textId="77777777" w:rsidR="0017587A" w:rsidRDefault="0017587A">
            <w:pPr>
              <w:rPr>
                <w:highlight w:val="yellow"/>
              </w:rPr>
            </w:pPr>
          </w:p>
        </w:tc>
        <w:tc>
          <w:tcPr>
            <w:tcW w:w="3745" w:type="pct"/>
            <w:vAlign w:val="center"/>
          </w:tcPr>
          <w:p w14:paraId="1B4A53B2" w14:textId="77777777" w:rsidR="0017587A" w:rsidRDefault="007708E7">
            <w:pPr>
              <w:rPr>
                <w:rFonts w:ascii="Times New Roman" w:hAnsi="Times New Roman"/>
                <w:sz w:val="18"/>
                <w:szCs w:val="18"/>
              </w:rPr>
            </w:pPr>
            <w:r>
              <w:rPr>
                <w:rFonts w:ascii="Times New Roman" w:hAnsi="Times New Roman"/>
                <w:sz w:val="18"/>
                <w:szCs w:val="18"/>
              </w:rPr>
              <w:t>Tilldelade utsläppsrätter</w:t>
            </w:r>
          </w:p>
        </w:tc>
      </w:tr>
      <w:tr w:rsidR="0017587A" w14:paraId="4D39D1F5" w14:textId="77777777" w:rsidTr="00276918">
        <w:trPr>
          <w:trHeight w:val="461"/>
        </w:trPr>
        <w:tc>
          <w:tcPr>
            <w:tcW w:w="1255" w:type="pct"/>
            <w:shd w:val="clear" w:color="auto" w:fill="C00000"/>
          </w:tcPr>
          <w:p w14:paraId="0B4AB5DB" w14:textId="77777777" w:rsidR="0017587A" w:rsidRDefault="0017587A">
            <w:pPr>
              <w:jc w:val="both"/>
              <w:rPr>
                <w:highlight w:val="yellow"/>
              </w:rPr>
            </w:pPr>
          </w:p>
        </w:tc>
        <w:tc>
          <w:tcPr>
            <w:tcW w:w="3745" w:type="pct"/>
            <w:vAlign w:val="center"/>
          </w:tcPr>
          <w:p w14:paraId="4C2F4A14" w14:textId="77777777" w:rsidR="0017587A" w:rsidRDefault="007708E7">
            <w:pPr>
              <w:rPr>
                <w:rFonts w:ascii="Times New Roman" w:hAnsi="Times New Roman"/>
                <w:sz w:val="18"/>
                <w:szCs w:val="18"/>
              </w:rPr>
            </w:pPr>
            <w:r>
              <w:rPr>
                <w:rFonts w:ascii="Times New Roman" w:hAnsi="Times New Roman"/>
                <w:sz w:val="18"/>
                <w:szCs w:val="18"/>
              </w:rPr>
              <w:t>Auktionerade utsläppsrätter</w:t>
            </w:r>
          </w:p>
        </w:tc>
      </w:tr>
      <w:tr w:rsidR="0017587A" w14:paraId="5BA788F8" w14:textId="77777777" w:rsidTr="00276918">
        <w:trPr>
          <w:trHeight w:val="461"/>
        </w:trPr>
        <w:tc>
          <w:tcPr>
            <w:tcW w:w="1255" w:type="pct"/>
            <w:shd w:val="clear" w:color="auto" w:fill="9BBB59"/>
          </w:tcPr>
          <w:p w14:paraId="3E388509" w14:textId="77777777" w:rsidR="0017587A" w:rsidRDefault="0017587A">
            <w:pPr>
              <w:rPr>
                <w:highlight w:val="yellow"/>
              </w:rPr>
            </w:pPr>
          </w:p>
        </w:tc>
        <w:tc>
          <w:tcPr>
            <w:tcW w:w="3745" w:type="pct"/>
            <w:vAlign w:val="center"/>
          </w:tcPr>
          <w:p w14:paraId="19548CBA" w14:textId="77777777" w:rsidR="0017587A" w:rsidRDefault="007708E7">
            <w:pPr>
              <w:rPr>
                <w:rFonts w:ascii="Times New Roman" w:hAnsi="Times New Roman"/>
                <w:sz w:val="18"/>
                <w:szCs w:val="18"/>
              </w:rPr>
            </w:pPr>
            <w:r>
              <w:rPr>
                <w:rFonts w:ascii="Times New Roman" w:hAnsi="Times New Roman"/>
                <w:sz w:val="18"/>
                <w:szCs w:val="18"/>
              </w:rPr>
              <w:t>Återstående outnyttjade utsläppsrätter</w:t>
            </w:r>
          </w:p>
        </w:tc>
      </w:tr>
    </w:tbl>
    <w:p w14:paraId="453E8449" w14:textId="77777777" w:rsidR="0017587A" w:rsidRDefault="0017587A">
      <w:pPr>
        <w:keepNext/>
        <w:spacing w:line="240" w:lineRule="auto"/>
        <w:jc w:val="both"/>
        <w:rPr>
          <w:rFonts w:ascii="Times New Roman" w:hAnsi="Times New Roman"/>
          <w:sz w:val="24"/>
          <w:szCs w:val="24"/>
        </w:rPr>
      </w:pPr>
    </w:p>
    <w:p w14:paraId="0A65B778" w14:textId="77777777" w:rsidR="0017587A" w:rsidRDefault="0017587A">
      <w:pPr>
        <w:keepNext/>
        <w:spacing w:line="240" w:lineRule="auto"/>
        <w:jc w:val="both"/>
        <w:rPr>
          <w:rFonts w:ascii="Times New Roman" w:hAnsi="Times New Roman"/>
          <w:sz w:val="24"/>
          <w:szCs w:val="24"/>
        </w:rPr>
      </w:pPr>
    </w:p>
    <w:p w14:paraId="7B3C2CFD" w14:textId="77777777" w:rsidR="0017587A" w:rsidRDefault="0017587A">
      <w:pPr>
        <w:keepNext/>
        <w:spacing w:line="240" w:lineRule="auto"/>
        <w:jc w:val="both"/>
        <w:rPr>
          <w:rFonts w:ascii="Times New Roman" w:hAnsi="Times New Roman"/>
          <w:sz w:val="24"/>
          <w:szCs w:val="24"/>
        </w:rPr>
      </w:pPr>
    </w:p>
    <w:p w14:paraId="4E96E12B" w14:textId="77777777" w:rsidR="0017587A" w:rsidRDefault="0017587A">
      <w:pPr>
        <w:jc w:val="both"/>
        <w:rPr>
          <w:rFonts w:ascii="Times New Roman" w:hAnsi="Times New Roman"/>
          <w:sz w:val="24"/>
          <w:szCs w:val="24"/>
        </w:rPr>
      </w:pPr>
    </w:p>
    <w:p w14:paraId="0D4900D2" w14:textId="77777777" w:rsidR="0017587A" w:rsidRDefault="003A348D">
      <w:pPr>
        <w:jc w:val="both"/>
        <w:rPr>
          <w:rFonts w:ascii="Times New Roman" w:hAnsi="Times New Roman"/>
          <w:sz w:val="24"/>
          <w:szCs w:val="24"/>
        </w:rPr>
      </w:pPr>
      <w:r>
        <w:rPr>
          <w:rFonts w:ascii="Times New Roman" w:hAnsi="Times New Roman"/>
        </w:rPr>
        <w:t xml:space="preserve">Tabell 6 visar det antal utsläppsrätter enligt artikel 10c som auktionerades under perioden 2013–2018, samt antalet återstående outnyttjade utsläppsrätter. </w:t>
      </w:r>
    </w:p>
    <w:p w14:paraId="44B135BB" w14:textId="77777777" w:rsidR="0017587A" w:rsidRDefault="003A348D">
      <w:pPr>
        <w:keepNext/>
        <w:rPr>
          <w:rFonts w:ascii="Times New Roman" w:hAnsi="Times New Roman"/>
          <w:b/>
          <w:bCs/>
        </w:rPr>
      </w:pPr>
      <w:r>
        <w:rPr>
          <w:rFonts w:ascii="Times New Roman" w:hAnsi="Times New Roman"/>
          <w:b/>
          <w:bCs/>
        </w:rPr>
        <w:t>Tabell 6: Hanteringen av outnyttjade utsläppsrätter enligt artikel 10c 2013–2018</w:t>
      </w:r>
      <w:r>
        <w:rPr>
          <w:rStyle w:val="FootnoteReference"/>
          <w:rFonts w:ascii="Times New Roman" w:hAnsi="Times New Roman"/>
          <w:b/>
          <w:bCs/>
        </w:rPr>
        <w:footnoteReference w:id="42"/>
      </w:r>
    </w:p>
    <w:tbl>
      <w:tblPr>
        <w:tblW w:w="885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805"/>
        <w:gridCol w:w="3561"/>
        <w:gridCol w:w="3488"/>
      </w:tblGrid>
      <w:tr w:rsidR="0017587A" w14:paraId="31DE2C04"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D671EAC"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Medlemsstat</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810A139"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 xml:space="preserve">Antal utsläppsrätter enligt artikel 10c </w:t>
            </w:r>
          </w:p>
          <w:p w14:paraId="1105E166"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som har auktionerats (miljoner)</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9A4C9CB"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Antal återstående outnyttjade utsläppsrätter (miljoner)</w:t>
            </w:r>
          </w:p>
        </w:tc>
      </w:tr>
      <w:tr w:rsidR="0017587A" w14:paraId="643A4E9B"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34B62EE"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BG</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E1F1741" w14:textId="77777777" w:rsidR="0017587A" w:rsidRDefault="00544382">
            <w:pPr>
              <w:spacing w:after="0" w:line="240" w:lineRule="auto"/>
              <w:jc w:val="center"/>
              <w:rPr>
                <w:rFonts w:ascii="Times New Roman" w:hAnsi="Times New Roman"/>
                <w:b/>
                <w:bCs/>
                <w:color w:val="000000"/>
                <w:sz w:val="20"/>
                <w:szCs w:val="20"/>
              </w:rPr>
            </w:pPr>
            <w:r>
              <w:rPr>
                <w:rFonts w:ascii="Times New Roman" w:hAnsi="Times New Roman"/>
                <w:b/>
                <w:bCs/>
                <w:sz w:val="20"/>
                <w:szCs w:val="20"/>
              </w:rPr>
              <w:t>9,5</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9CC0DCD" w14:textId="77777777" w:rsidR="0017587A" w:rsidRDefault="00544382">
            <w:pPr>
              <w:spacing w:after="0" w:line="240" w:lineRule="auto"/>
              <w:jc w:val="center"/>
              <w:rPr>
                <w:rFonts w:ascii="Times New Roman" w:hAnsi="Times New Roman"/>
                <w:b/>
                <w:bCs/>
                <w:color w:val="000000"/>
                <w:sz w:val="20"/>
                <w:szCs w:val="20"/>
              </w:rPr>
            </w:pPr>
            <w:r>
              <w:rPr>
                <w:rFonts w:ascii="Times New Roman" w:hAnsi="Times New Roman"/>
                <w:b/>
                <w:bCs/>
                <w:sz w:val="20"/>
                <w:szCs w:val="20"/>
              </w:rPr>
              <w:t>0,8</w:t>
            </w:r>
          </w:p>
        </w:tc>
      </w:tr>
      <w:tr w:rsidR="0017587A" w14:paraId="1DDDFF40"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BE6880C"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CY</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45FDF1E0"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0,0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A34FD16"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0,0</w:t>
            </w:r>
          </w:p>
        </w:tc>
      </w:tr>
      <w:tr w:rsidR="0017587A" w14:paraId="350720D8"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895EDF3"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CZ</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AD669DA"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0,3</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EA7C395"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0,1</w:t>
            </w:r>
          </w:p>
        </w:tc>
      </w:tr>
      <w:tr w:rsidR="0017587A" w14:paraId="3E1A2A74"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D83BFBB"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EE</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725F4ACA" w14:textId="77777777" w:rsidR="0017587A" w:rsidRDefault="00544382">
            <w:pPr>
              <w:spacing w:after="0" w:line="240" w:lineRule="auto"/>
              <w:jc w:val="center"/>
              <w:rPr>
                <w:rFonts w:ascii="Times New Roman" w:hAnsi="Times New Roman"/>
                <w:b/>
                <w:bCs/>
                <w:color w:val="000000"/>
                <w:sz w:val="20"/>
                <w:szCs w:val="20"/>
              </w:rPr>
            </w:pPr>
            <w:r>
              <w:rPr>
                <w:rFonts w:ascii="Times New Roman" w:hAnsi="Times New Roman"/>
                <w:b/>
                <w:bCs/>
                <w:sz w:val="20"/>
                <w:szCs w:val="20"/>
              </w:rPr>
              <w:t>2,1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4CC509EA" w14:textId="77777777" w:rsidR="0017587A" w:rsidRDefault="00544382">
            <w:pPr>
              <w:spacing w:after="0" w:line="240" w:lineRule="auto"/>
              <w:jc w:val="center"/>
              <w:rPr>
                <w:rFonts w:ascii="Times New Roman" w:hAnsi="Times New Roman"/>
                <w:b/>
                <w:bCs/>
                <w:color w:val="000000"/>
                <w:sz w:val="20"/>
                <w:szCs w:val="20"/>
              </w:rPr>
            </w:pPr>
            <w:r>
              <w:rPr>
                <w:rFonts w:ascii="Times New Roman" w:hAnsi="Times New Roman"/>
                <w:b/>
                <w:bCs/>
                <w:sz w:val="20"/>
                <w:szCs w:val="20"/>
              </w:rPr>
              <w:t>0,0</w:t>
            </w:r>
          </w:p>
        </w:tc>
      </w:tr>
      <w:tr w:rsidR="0017587A" w14:paraId="3F591B4A"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0CDB72D2"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LT</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9D08B20"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1,1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076243E"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0,1</w:t>
            </w:r>
          </w:p>
        </w:tc>
      </w:tr>
      <w:tr w:rsidR="0017587A" w14:paraId="24325275"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878CBA2"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PL</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D28F951"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55,8</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7F16EBF"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68,9</w:t>
            </w:r>
          </w:p>
        </w:tc>
      </w:tr>
      <w:tr w:rsidR="0017587A" w14:paraId="7B3E655A"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9920767"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RO</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232DD66"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15,4</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46469DE"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2,8</w:t>
            </w:r>
          </w:p>
        </w:tc>
      </w:tr>
      <w:tr w:rsidR="0017587A" w14:paraId="41F9C951"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3C329A1"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HU</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120C9C0"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1E8906F"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0,9</w:t>
            </w:r>
          </w:p>
        </w:tc>
      </w:tr>
      <w:tr w:rsidR="0017587A" w14:paraId="0CC8EAF8"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6ACFDD9" w14:textId="77777777" w:rsidR="0017587A" w:rsidRDefault="00AF42BE">
            <w:pPr>
              <w:spacing w:after="0" w:line="240" w:lineRule="auto"/>
              <w:jc w:val="center"/>
              <w:rPr>
                <w:rFonts w:ascii="Times New Roman" w:hAnsi="Times New Roman"/>
                <w:b/>
                <w:bCs/>
                <w:color w:val="000000"/>
                <w:sz w:val="20"/>
                <w:szCs w:val="20"/>
              </w:rPr>
            </w:pPr>
            <w:r>
              <w:rPr>
                <w:rFonts w:ascii="Times New Roman" w:hAnsi="Times New Roman"/>
                <w:b/>
                <w:bCs/>
                <w:sz w:val="20"/>
                <w:szCs w:val="20"/>
              </w:rPr>
              <w:t>Summa</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5932401" w14:textId="77777777" w:rsidR="0017587A" w:rsidRDefault="00544382">
            <w:pPr>
              <w:spacing w:after="0" w:line="240" w:lineRule="auto"/>
              <w:jc w:val="center"/>
              <w:rPr>
                <w:rFonts w:ascii="Times New Roman" w:hAnsi="Times New Roman"/>
                <w:b/>
                <w:bCs/>
                <w:color w:val="000000"/>
                <w:sz w:val="20"/>
                <w:szCs w:val="20"/>
              </w:rPr>
            </w:pPr>
            <w:r>
              <w:rPr>
                <w:rFonts w:ascii="Times New Roman" w:hAnsi="Times New Roman"/>
                <w:b/>
                <w:bCs/>
                <w:sz w:val="20"/>
                <w:szCs w:val="20"/>
              </w:rPr>
              <w:t>84,2</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08D920B8" w14:textId="77777777" w:rsidR="0017587A" w:rsidRDefault="00544382">
            <w:pPr>
              <w:spacing w:after="0" w:line="240" w:lineRule="auto"/>
              <w:jc w:val="center"/>
              <w:rPr>
                <w:rFonts w:ascii="Times New Roman" w:hAnsi="Times New Roman"/>
                <w:b/>
                <w:bCs/>
                <w:color w:val="000000"/>
                <w:sz w:val="20"/>
                <w:szCs w:val="20"/>
              </w:rPr>
            </w:pPr>
            <w:r>
              <w:rPr>
                <w:rFonts w:ascii="Times New Roman" w:hAnsi="Times New Roman"/>
                <w:b/>
                <w:bCs/>
                <w:sz w:val="20"/>
                <w:szCs w:val="20"/>
              </w:rPr>
              <w:t>73,5</w:t>
            </w:r>
          </w:p>
        </w:tc>
      </w:tr>
    </w:tbl>
    <w:p w14:paraId="12EAE172" w14:textId="77777777" w:rsidR="0017587A" w:rsidRDefault="00A92C10">
      <w:pPr>
        <w:jc w:val="both"/>
        <w:rPr>
          <w:rFonts w:ascii="Times New Roman" w:hAnsi="Times New Roman"/>
          <w:sz w:val="18"/>
          <w:szCs w:val="18"/>
        </w:rPr>
      </w:pPr>
      <w:r>
        <w:rPr>
          <w:rFonts w:ascii="Times New Roman" w:hAnsi="Times New Roman"/>
          <w:sz w:val="18"/>
          <w:szCs w:val="18"/>
        </w:rPr>
        <w:t xml:space="preserve"> Källa: GD Klimatpolitik</w:t>
      </w:r>
    </w:p>
    <w:p w14:paraId="57D7927A" w14:textId="77777777" w:rsidR="0017587A" w:rsidRDefault="00A063FC">
      <w:pPr>
        <w:jc w:val="both"/>
      </w:pPr>
      <w:r>
        <w:rPr>
          <w:rFonts w:ascii="Times New Roman" w:hAnsi="Times New Roman"/>
        </w:rPr>
        <w:t>Antalet icke tilldelade utsläppsrätter som medlemsstaterna har auktionerat (eller planerar att auktionera) inom ramen för undantaget enligt artikel 10c för respektive år under fas 3 anges i tabell 1.3 i tillägg 1 till bilagan.</w:t>
      </w:r>
    </w:p>
    <w:p w14:paraId="041B37C7" w14:textId="77777777" w:rsidR="0017587A" w:rsidRDefault="00A52F4C">
      <w:pPr>
        <w:pStyle w:val="Heading3"/>
        <w:spacing w:before="0" w:after="200"/>
        <w:ind w:left="720"/>
      </w:pPr>
      <w:bookmarkStart w:id="16" w:name="_Toc23755273"/>
      <w:r>
        <w:t>3.1.3 Internationella reduktionsenheter</w:t>
      </w:r>
      <w:bookmarkEnd w:id="16"/>
    </w:p>
    <w:p w14:paraId="23377E86" w14:textId="77777777" w:rsidR="0017587A" w:rsidRDefault="003A348D">
      <w:pPr>
        <w:jc w:val="both"/>
        <w:rPr>
          <w:rFonts w:ascii="Times New Roman" w:hAnsi="Times New Roman"/>
          <w:sz w:val="24"/>
          <w:szCs w:val="24"/>
        </w:rPr>
      </w:pPr>
      <w:r>
        <w:rPr>
          <w:rFonts w:ascii="Times New Roman" w:hAnsi="Times New Roman"/>
          <w:noProof/>
          <w:lang w:val="en-GB" w:eastAsia="en-GB"/>
        </w:rPr>
        <mc:AlternateContent>
          <mc:Choice Requires="wps">
            <w:drawing>
              <wp:inline distT="0" distB="0" distL="0" distR="0" wp14:anchorId="45E3A308" wp14:editId="48F2482A">
                <wp:extent cx="5742432" cy="2493818"/>
                <wp:effectExtent l="0" t="0" r="10795" b="2095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32" cy="2493818"/>
                        </a:xfrm>
                        <a:prstGeom prst="rect">
                          <a:avLst/>
                        </a:prstGeom>
                        <a:solidFill>
                          <a:schemeClr val="bg1">
                            <a:lumMod val="85000"/>
                          </a:schemeClr>
                        </a:solidFill>
                        <a:ln w="12700">
                          <a:solidFill>
                            <a:srgbClr val="000000"/>
                          </a:solidFill>
                          <a:miter lim="800000"/>
                          <a:headEnd/>
                          <a:tailEnd/>
                        </a:ln>
                      </wps:spPr>
                      <wps:txbx>
                        <w:txbxContent>
                          <w:p w14:paraId="541897DA" w14:textId="77777777" w:rsidR="0017587A" w:rsidRDefault="00516F65">
                            <w:pPr>
                              <w:jc w:val="both"/>
                              <w:rPr>
                                <w:rFonts w:ascii="Times New Roman" w:hAnsi="Times New Roman"/>
                                <w:sz w:val="24"/>
                                <w:szCs w:val="24"/>
                              </w:rPr>
                            </w:pPr>
                            <w:r>
                              <w:rPr>
                                <w:rFonts w:ascii="Times New Roman" w:hAnsi="Times New Roman"/>
                              </w:rPr>
                              <w:t>Deltagarna i EU:s utsläppshandelssystem kan fortfarande använda internationella reduktionsenheter från Kyotoprotokollets mekanism för ren utveckling och mekanismen för gemensamt genomförande för att uppfylla en del av sina skyldigheter enligt EU:s utsläppshandelssystem fram till 2020</w:t>
                            </w:r>
                            <w:r>
                              <w:rPr>
                                <w:rStyle w:val="FootnoteReference"/>
                                <w:rFonts w:ascii="Times New Roman" w:hAnsi="Times New Roman"/>
                              </w:rPr>
                              <w:t>*</w:t>
                            </w:r>
                            <w:r>
                              <w:rPr>
                                <w:rFonts w:ascii="Times New Roman" w:hAnsi="Times New Roman"/>
                              </w:rPr>
                              <w:t>, med förbehåll för kvalitativa och kvantitativa begränsningar. Dessa reduktionsenheter är finansiella instrument som motsvarar ett ton mindre koldioxid i atmosfären till följd av ett projekt för minskade utsläpp. Under fas 3 överlämnas reduktionsenheterna inte längre direkt utan går att byta mot utsläppsrätter när som helst under kalenderåret.</w:t>
                            </w:r>
                            <w:r>
                              <w:t xml:space="preserve"> </w:t>
                            </w:r>
                          </w:p>
                          <w:p w14:paraId="4E867384" w14:textId="77777777" w:rsidR="0017587A" w:rsidRDefault="00516F65">
                            <w:pPr>
                              <w:jc w:val="both"/>
                              <w:rPr>
                                <w:rFonts w:ascii="Times New Roman" w:hAnsi="Times New Roman"/>
                                <w:sz w:val="24"/>
                                <w:szCs w:val="24"/>
                              </w:rPr>
                            </w:pPr>
                            <w:r>
                              <w:rPr>
                                <w:rFonts w:ascii="Times New Roman" w:hAnsi="Times New Roman"/>
                              </w:rPr>
                              <w:t>Enligt bestämmelserna i det reviderade direktivet om EU:s utsläppshandelssystem ska internationella reduktionsenheter inte längre användas för efterlevnaden av EU:s utsläppshandelssystem under nästa handelsperiod.</w:t>
                            </w:r>
                          </w:p>
                          <w:p w14:paraId="170A6952" w14:textId="77777777" w:rsidR="0017587A" w:rsidRDefault="00516F65">
                            <w:pPr>
                              <w:jc w:val="both"/>
                              <w:rPr>
                                <w:rFonts w:ascii="Times New Roman" w:hAnsi="Times New Roman"/>
                                <w:sz w:val="18"/>
                                <w:szCs w:val="18"/>
                              </w:rPr>
                            </w:pPr>
                            <w:r>
                              <w:rPr>
                                <w:rFonts w:ascii="Times New Roman" w:hAnsi="Times New Roman"/>
                                <w:sz w:val="18"/>
                                <w:szCs w:val="18"/>
                              </w:rPr>
                              <w:t xml:space="preserve">* Projekt inom ramen för båda mekanismerna, för ren utveckling respektive gemensamt genomförande, genererar reduktionsenheter enligt Kyotoprotokollet: certifierade utsläppsminskningar (CER) respektive utsläppsminskningsenheter (ERU). </w:t>
                            </w:r>
                          </w:p>
                        </w:txbxContent>
                      </wps:txbx>
                      <wps:bodyPr rot="0" vert="horz" wrap="square" lIns="91440" tIns="45720" rIns="91440" bIns="45720" anchor="t" anchorCtr="0">
                        <a:noAutofit/>
                      </wps:bodyPr>
                    </wps:wsp>
                  </a:graphicData>
                </a:graphic>
              </wp:inline>
            </w:drawing>
          </mc:Choice>
          <mc:Fallback>
            <w:pict>
              <v:shape w14:anchorId="45E3A308" id="_x0000_s1035" type="#_x0000_t202" style="width:452.15pt;height:19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" fillcolor="#d8d8d8 [2732]" strokeweight="1pt">
                <v:textbox>
                  <w:txbxContent>
                    <w:p w14:paraId="541897DA" w14:textId="77777777" w:rsidR="0017587A" w:rsidRDefault="00516F65">
                      <w:pPr>
                        <w:jc w:val="both"/>
                        <w:rPr>
                          <w:rFonts w:ascii="Times New Roman" w:hAnsi="Times New Roman"/>
                          <w:sz w:val="24"/>
                          <w:szCs w:val="24"/>
                        </w:rPr>
                      </w:pPr>
                      <w:r>
                        <w:rPr>
                          <w:rFonts w:ascii="Times New Roman" w:hAnsi="Times New Roman"/>
                        </w:rPr>
                        <w:t>Deltagarna i EU:s utsläppshandelssystem kan fortfarande använda internationella reduktionsenheter från Kyotoprotokollets mekanism för ren utveckling och mekanismen för gemensamt genomförande för att uppfylla en del av sina skyldigheter enligt EU:s utsläppshandelssystem fram till 2020</w:t>
                      </w:r>
                      <w:r>
                        <w:rPr>
                          <w:rStyle w:val="FootnoteReference"/>
                          <w:rFonts w:ascii="Times New Roman" w:hAnsi="Times New Roman"/>
                        </w:rPr>
                        <w:t>*</w:t>
                      </w:r>
                      <w:r>
                        <w:rPr>
                          <w:rFonts w:ascii="Times New Roman" w:hAnsi="Times New Roman"/>
                        </w:rPr>
                        <w:t>, med förbehåll för kvalitativa och kvantitativa begränsningar. Dessa reduktionsenheter är finansiella instrument som motsvarar ett ton mindre koldioxid i atmosfären till följd av ett projekt för minskade utsläpp. Under fas 3 överlämnas reduktionsenheterna inte längre direkt utan går att byta mot utsläppsrätter när som helst under kalenderåret.</w:t>
                      </w:r>
                      <w:r>
                        <w:t xml:space="preserve"> </w:t>
                      </w:r>
                    </w:p>
                    <w:p w14:paraId="4E867384" w14:textId="77777777" w:rsidR="0017587A" w:rsidRDefault="00516F65">
                      <w:pPr>
                        <w:jc w:val="both"/>
                        <w:rPr>
                          <w:rFonts w:ascii="Times New Roman" w:hAnsi="Times New Roman"/>
                          <w:sz w:val="24"/>
                          <w:szCs w:val="24"/>
                        </w:rPr>
                      </w:pPr>
                      <w:r>
                        <w:rPr>
                          <w:rFonts w:ascii="Times New Roman" w:hAnsi="Times New Roman"/>
                        </w:rPr>
                        <w:t>Enligt bestämmelserna i det reviderade direktivet om EU:s utsläppshandelssystem ska internationella reduktionsenheter inte längre användas för efterlevnaden av EU:s utsläppshandelssystem under nästa handelsperiod.</w:t>
                      </w:r>
                    </w:p>
                    <w:p w14:paraId="170A6952" w14:textId="77777777" w:rsidR="0017587A" w:rsidRDefault="00516F65">
                      <w:pPr>
                        <w:jc w:val="both"/>
                        <w:rPr>
                          <w:rFonts w:ascii="Times New Roman" w:hAnsi="Times New Roman"/>
                          <w:sz w:val="18"/>
                          <w:szCs w:val="18"/>
                        </w:rPr>
                      </w:pPr>
                      <w:r>
                        <w:rPr>
                          <w:rFonts w:ascii="Times New Roman" w:hAnsi="Times New Roman"/>
                          <w:sz w:val="18"/>
                          <w:szCs w:val="18"/>
                        </w:rPr>
                        <w:t xml:space="preserve">* Projekt inom ramen för båda mekanismerna, för ren utveckling respektive gemensamt genomförande, genererar reduktionsenheter enligt Kyotoprotokollet: certifierade utsläppsminskningar (CER) respektive utsläppsminskningsenheter (ERU). </w:t>
                      </w:r>
                    </w:p>
                  </w:txbxContent>
                </v:textbox>
                <w10:anchorlock/>
              </v:shape>
            </w:pict>
          </mc:Fallback>
        </mc:AlternateContent>
      </w:r>
    </w:p>
    <w:p w14:paraId="22FD9B1F" w14:textId="77777777" w:rsidR="0017587A" w:rsidRDefault="003A348D">
      <w:pPr>
        <w:jc w:val="both"/>
        <w:rPr>
          <w:rFonts w:ascii="Times New Roman" w:hAnsi="Times New Roman"/>
          <w:sz w:val="24"/>
          <w:szCs w:val="24"/>
        </w:rPr>
      </w:pPr>
      <w:r>
        <w:rPr>
          <w:rFonts w:ascii="Times New Roman" w:hAnsi="Times New Roman"/>
        </w:rPr>
        <w:t>Den exakta mängden internationella reduktionsenheter för faserna 2 och 3 (2008–2020) kommer delvis att bero på mängden framtida verifierade utsläpp, men marknadsanalytiker bedömer att det kommer att röra sig om ungefär 1,6 miljarder reduktionsenheter. Per slutet av 2019 har sammanlagt omkring 1,51 miljarder internationella reduktionsenheter använts eller utbytts, vilket motsvarar över 90 % av det uppskattade maximalt tillåtna antalet.</w:t>
      </w:r>
    </w:p>
    <w:p w14:paraId="7634AFD4" w14:textId="77777777" w:rsidR="0017587A" w:rsidRDefault="003A348D">
      <w:pPr>
        <w:spacing w:after="0"/>
        <w:jc w:val="both"/>
        <w:rPr>
          <w:rFonts w:ascii="Times New Roman" w:hAnsi="Times New Roman"/>
          <w:sz w:val="24"/>
          <w:szCs w:val="24"/>
        </w:rPr>
      </w:pPr>
      <w:r>
        <w:rPr>
          <w:rFonts w:ascii="Times New Roman" w:hAnsi="Times New Roman"/>
        </w:rPr>
        <w:t>En komplett översikt över utbytet av internationella reduktionsenheter finns i tillägg 3 till bilagan.</w:t>
      </w:r>
    </w:p>
    <w:p w14:paraId="5E4A415D" w14:textId="77777777" w:rsidR="0017587A" w:rsidRDefault="0017587A">
      <w:pPr>
        <w:spacing w:after="0"/>
        <w:jc w:val="both"/>
        <w:rPr>
          <w:rFonts w:ascii="Times New Roman" w:hAnsi="Times New Roman"/>
          <w:sz w:val="24"/>
          <w:szCs w:val="24"/>
        </w:rPr>
      </w:pPr>
    </w:p>
    <w:p w14:paraId="61BA759C" w14:textId="77777777" w:rsidR="0017587A" w:rsidRDefault="0017587A">
      <w:pPr>
        <w:spacing w:after="0"/>
        <w:jc w:val="both"/>
        <w:rPr>
          <w:rFonts w:ascii="Times New Roman" w:hAnsi="Times New Roman"/>
          <w:sz w:val="24"/>
          <w:szCs w:val="24"/>
        </w:rPr>
      </w:pPr>
    </w:p>
    <w:p w14:paraId="493EBFEE" w14:textId="77777777" w:rsidR="0017587A" w:rsidRDefault="0017587A">
      <w:pPr>
        <w:spacing w:after="0"/>
        <w:jc w:val="both"/>
        <w:rPr>
          <w:rFonts w:ascii="Times New Roman" w:hAnsi="Times New Roman"/>
          <w:sz w:val="24"/>
          <w:szCs w:val="24"/>
        </w:rPr>
      </w:pPr>
    </w:p>
    <w:p w14:paraId="0755FAA3" w14:textId="77777777" w:rsidR="0017587A" w:rsidRDefault="0017587A">
      <w:pPr>
        <w:spacing w:after="0"/>
        <w:jc w:val="both"/>
        <w:rPr>
          <w:rFonts w:ascii="Times New Roman" w:hAnsi="Times New Roman"/>
          <w:sz w:val="24"/>
          <w:szCs w:val="24"/>
        </w:rPr>
      </w:pPr>
    </w:p>
    <w:p w14:paraId="087CE548" w14:textId="77777777" w:rsidR="0017587A" w:rsidRDefault="0017587A">
      <w:pPr>
        <w:spacing w:after="0"/>
        <w:jc w:val="both"/>
        <w:rPr>
          <w:rFonts w:ascii="Times New Roman" w:hAnsi="Times New Roman"/>
          <w:sz w:val="24"/>
          <w:szCs w:val="24"/>
        </w:rPr>
      </w:pPr>
    </w:p>
    <w:p w14:paraId="3A74B91F" w14:textId="77777777" w:rsidR="0017587A" w:rsidRDefault="0017587A">
      <w:pPr>
        <w:spacing w:after="0"/>
        <w:jc w:val="both"/>
        <w:rPr>
          <w:rFonts w:ascii="Times New Roman" w:hAnsi="Times New Roman"/>
          <w:sz w:val="24"/>
          <w:szCs w:val="24"/>
        </w:rPr>
      </w:pPr>
    </w:p>
    <w:p w14:paraId="2AEEBC6B" w14:textId="77777777" w:rsidR="0017587A" w:rsidRDefault="0017587A">
      <w:pPr>
        <w:spacing w:after="0"/>
        <w:jc w:val="both"/>
        <w:rPr>
          <w:rFonts w:ascii="Times New Roman" w:hAnsi="Times New Roman"/>
          <w:sz w:val="24"/>
          <w:szCs w:val="24"/>
        </w:rPr>
      </w:pPr>
    </w:p>
    <w:p w14:paraId="23BF2CC4" w14:textId="77777777" w:rsidR="0017587A" w:rsidRDefault="0017587A">
      <w:pPr>
        <w:spacing w:after="0"/>
        <w:jc w:val="both"/>
        <w:rPr>
          <w:rFonts w:ascii="Times New Roman" w:hAnsi="Times New Roman"/>
          <w:sz w:val="24"/>
          <w:szCs w:val="24"/>
        </w:rPr>
      </w:pPr>
    </w:p>
    <w:p w14:paraId="78251126" w14:textId="77777777" w:rsidR="0017587A" w:rsidRDefault="0017587A">
      <w:pPr>
        <w:spacing w:after="0"/>
        <w:jc w:val="both"/>
        <w:rPr>
          <w:rFonts w:ascii="Times New Roman" w:hAnsi="Times New Roman"/>
          <w:sz w:val="24"/>
          <w:szCs w:val="24"/>
        </w:rPr>
      </w:pPr>
    </w:p>
    <w:p w14:paraId="410FD69E" w14:textId="77777777" w:rsidR="0017587A" w:rsidRDefault="0017587A">
      <w:pPr>
        <w:spacing w:after="0"/>
        <w:jc w:val="both"/>
        <w:rPr>
          <w:rFonts w:ascii="Times New Roman" w:hAnsi="Times New Roman"/>
          <w:sz w:val="24"/>
          <w:szCs w:val="24"/>
        </w:rPr>
      </w:pPr>
    </w:p>
    <w:p w14:paraId="17A92FF6" w14:textId="77777777" w:rsidR="0017587A" w:rsidRDefault="0017587A">
      <w:pPr>
        <w:spacing w:after="0"/>
        <w:jc w:val="both"/>
        <w:rPr>
          <w:rFonts w:ascii="Times New Roman" w:hAnsi="Times New Roman"/>
          <w:sz w:val="24"/>
          <w:szCs w:val="24"/>
        </w:rPr>
      </w:pPr>
    </w:p>
    <w:p w14:paraId="50A1AB8F" w14:textId="77777777" w:rsidR="0017587A" w:rsidRDefault="0017587A">
      <w:pPr>
        <w:spacing w:after="0"/>
        <w:jc w:val="both"/>
        <w:rPr>
          <w:rFonts w:ascii="Times New Roman" w:hAnsi="Times New Roman"/>
          <w:sz w:val="24"/>
          <w:szCs w:val="24"/>
        </w:rPr>
      </w:pPr>
    </w:p>
    <w:p w14:paraId="653F79D1" w14:textId="77777777" w:rsidR="0017587A" w:rsidRDefault="0017587A">
      <w:pPr>
        <w:spacing w:after="0"/>
        <w:jc w:val="both"/>
        <w:rPr>
          <w:rFonts w:ascii="Times New Roman" w:hAnsi="Times New Roman"/>
          <w:sz w:val="24"/>
          <w:szCs w:val="24"/>
        </w:rPr>
      </w:pPr>
    </w:p>
    <w:p w14:paraId="4F314435" w14:textId="77777777" w:rsidR="0017587A" w:rsidRDefault="0017587A">
      <w:pPr>
        <w:spacing w:after="0"/>
        <w:jc w:val="both"/>
        <w:rPr>
          <w:rFonts w:ascii="Times New Roman" w:hAnsi="Times New Roman"/>
          <w:sz w:val="24"/>
          <w:szCs w:val="24"/>
        </w:rPr>
      </w:pPr>
    </w:p>
    <w:p w14:paraId="301273B5" w14:textId="77777777" w:rsidR="0017587A" w:rsidRDefault="0017587A">
      <w:pPr>
        <w:spacing w:after="0"/>
        <w:jc w:val="both"/>
        <w:rPr>
          <w:rFonts w:ascii="Times New Roman" w:hAnsi="Times New Roman"/>
          <w:sz w:val="24"/>
          <w:szCs w:val="24"/>
        </w:rPr>
      </w:pPr>
    </w:p>
    <w:p w14:paraId="4EEDA10C" w14:textId="77777777" w:rsidR="0017587A" w:rsidRDefault="00A52F4C">
      <w:pPr>
        <w:pStyle w:val="Heading2"/>
        <w:rPr>
          <w:i w:val="0"/>
        </w:rPr>
      </w:pPr>
      <w:bookmarkStart w:id="17" w:name="_Toc23755274"/>
      <w:r>
        <w:rPr>
          <w:i w:val="0"/>
        </w:rPr>
        <w:t>3.2. Efterfrågan: utsläppsrätter som har tagits ur omlopp</w:t>
      </w:r>
      <w:bookmarkEnd w:id="17"/>
    </w:p>
    <w:p w14:paraId="0D482F57" w14:textId="77777777" w:rsidR="0017587A" w:rsidRDefault="003A348D">
      <w:pPr>
        <w:jc w:val="both"/>
      </w:pPr>
      <w:r>
        <w:rPr>
          <w:rFonts w:ascii="Times New Roman" w:hAnsi="Times New Roman"/>
        </w:rPr>
        <w:t xml:space="preserve">Utsläppen från anläggningar som deltog i EU:s utsläppshandelssystem 2018 uppskattas ha minskat med 4,1 % jämfört med 2017 enligt uppgifterna i unionsregistret. Såsom framgår av tabell 7 drevs utsläppsminskningen framför allt av el- och värmeproduktionen, medan utsläppen från industrin endast minskade marginellt. </w:t>
      </w:r>
    </w:p>
    <w:p w14:paraId="254CD840" w14:textId="77777777" w:rsidR="0017587A" w:rsidRDefault="003A348D">
      <w:pPr>
        <w:pStyle w:val="Caption"/>
        <w:keepNext/>
        <w:rPr>
          <w:rFonts w:ascii="Times New Roman" w:hAnsi="Times New Roman"/>
          <w:color w:val="000000"/>
          <w:sz w:val="22"/>
          <w:szCs w:val="22"/>
        </w:rPr>
      </w:pPr>
      <w:r>
        <w:rPr>
          <w:rFonts w:ascii="Times New Roman" w:hAnsi="Times New Roman"/>
          <w:sz w:val="22"/>
          <w:szCs w:val="22"/>
        </w:rPr>
        <w:t>Tabell 7: Verifierade utsläpp (miljoner ton koldioxidekvivalenter)</w:t>
      </w:r>
      <w:r>
        <w:rPr>
          <w:rStyle w:val="FootnoteReference"/>
          <w:rFonts w:ascii="Times New Roman" w:hAnsi="Times New Roman"/>
          <w:sz w:val="22"/>
          <w:szCs w:val="22"/>
        </w:rPr>
        <w:footnoteReference w:id="43"/>
      </w:r>
    </w:p>
    <w:tbl>
      <w:tblPr>
        <w:tblW w:w="4992" w:type="pct"/>
        <w:tblInd w:w="108" w:type="dxa"/>
        <w:tblLayout w:type="fixed"/>
        <w:tblCellMar>
          <w:left w:w="0" w:type="dxa"/>
          <w:right w:w="0" w:type="dxa"/>
        </w:tblCellMar>
        <w:tblLook w:val="04A0" w:firstRow="1" w:lastRow="0" w:firstColumn="1" w:lastColumn="0" w:noHBand="0" w:noVBand="1"/>
      </w:tblPr>
      <w:tblGrid>
        <w:gridCol w:w="2077"/>
        <w:gridCol w:w="895"/>
        <w:gridCol w:w="881"/>
        <w:gridCol w:w="882"/>
        <w:gridCol w:w="882"/>
        <w:gridCol w:w="881"/>
        <w:gridCol w:w="882"/>
        <w:gridCol w:w="879"/>
        <w:gridCol w:w="875"/>
      </w:tblGrid>
      <w:tr w:rsidR="0017587A" w14:paraId="167E3B00" w14:textId="77777777" w:rsidTr="00E72EF9">
        <w:trPr>
          <w:trHeight w:val="474"/>
        </w:trPr>
        <w:tc>
          <w:tcPr>
            <w:tcW w:w="113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010D935" w14:textId="77777777" w:rsidR="0017587A" w:rsidRDefault="00250CD2">
            <w:pPr>
              <w:jc w:val="center"/>
              <w:rPr>
                <w:rFonts w:ascii="Times New Roman" w:hAnsi="Times New Roman"/>
                <w:b/>
                <w:bCs/>
                <w:color w:val="000000"/>
                <w:sz w:val="20"/>
                <w:szCs w:val="20"/>
              </w:rPr>
            </w:pPr>
            <w:r>
              <w:rPr>
                <w:rFonts w:ascii="Times New Roman" w:hAnsi="Times New Roman"/>
                <w:b/>
                <w:bCs/>
                <w:sz w:val="20"/>
                <w:szCs w:val="20"/>
              </w:rPr>
              <w:t>År</w:t>
            </w:r>
          </w:p>
        </w:tc>
        <w:tc>
          <w:tcPr>
            <w:tcW w:w="490"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1698471" w14:textId="77777777" w:rsidR="0017587A" w:rsidRDefault="00250CD2">
            <w:pPr>
              <w:jc w:val="center"/>
              <w:rPr>
                <w:rFonts w:ascii="Times New Roman" w:hAnsi="Times New Roman"/>
                <w:b/>
                <w:sz w:val="20"/>
                <w:szCs w:val="20"/>
              </w:rPr>
            </w:pPr>
            <w:r>
              <w:rPr>
                <w:rFonts w:ascii="Times New Roman" w:hAnsi="Times New Roman"/>
                <w:b/>
                <w:sz w:val="20"/>
                <w:szCs w:val="20"/>
              </w:rPr>
              <w:t>2011</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80ADA1C" w14:textId="77777777" w:rsidR="0017587A" w:rsidRDefault="00250CD2">
            <w:pPr>
              <w:jc w:val="center"/>
              <w:rPr>
                <w:rFonts w:ascii="Times New Roman" w:hAnsi="Times New Roman"/>
                <w:b/>
                <w:sz w:val="20"/>
                <w:szCs w:val="20"/>
              </w:rPr>
            </w:pPr>
            <w:r>
              <w:rPr>
                <w:rFonts w:ascii="Times New Roman" w:hAnsi="Times New Roman"/>
                <w:b/>
                <w:sz w:val="20"/>
                <w:szCs w:val="20"/>
              </w:rPr>
              <w:t>2012</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35E5623" w14:textId="77777777" w:rsidR="0017587A" w:rsidRDefault="00250CD2">
            <w:pPr>
              <w:jc w:val="center"/>
              <w:rPr>
                <w:rFonts w:ascii="Times New Roman" w:hAnsi="Times New Roman"/>
                <w:b/>
                <w:sz w:val="20"/>
                <w:szCs w:val="20"/>
              </w:rPr>
            </w:pPr>
            <w:r>
              <w:rPr>
                <w:rFonts w:ascii="Times New Roman" w:hAnsi="Times New Roman"/>
                <w:b/>
                <w:sz w:val="20"/>
                <w:szCs w:val="20"/>
              </w:rPr>
              <w:t>2013</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51B6131" w14:textId="77777777" w:rsidR="0017587A" w:rsidRDefault="00250CD2">
            <w:pPr>
              <w:jc w:val="center"/>
              <w:rPr>
                <w:rFonts w:ascii="Times New Roman" w:hAnsi="Times New Roman"/>
                <w:b/>
                <w:sz w:val="20"/>
                <w:szCs w:val="20"/>
              </w:rPr>
            </w:pPr>
            <w:r>
              <w:rPr>
                <w:rFonts w:ascii="Times New Roman" w:hAnsi="Times New Roman"/>
                <w:b/>
                <w:sz w:val="20"/>
                <w:szCs w:val="20"/>
              </w:rPr>
              <w:t>2014</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66C84E4" w14:textId="77777777" w:rsidR="0017587A" w:rsidRDefault="00250CD2">
            <w:pPr>
              <w:jc w:val="center"/>
              <w:rPr>
                <w:rFonts w:ascii="Times New Roman" w:hAnsi="Times New Roman"/>
                <w:b/>
                <w:sz w:val="20"/>
                <w:szCs w:val="20"/>
              </w:rPr>
            </w:pPr>
            <w:r>
              <w:rPr>
                <w:rFonts w:ascii="Times New Roman" w:hAnsi="Times New Roman"/>
                <w:b/>
                <w:sz w:val="20"/>
                <w:szCs w:val="20"/>
              </w:rPr>
              <w:t>2015</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C3314D6" w14:textId="77777777" w:rsidR="0017587A" w:rsidRDefault="00250CD2">
            <w:pPr>
              <w:jc w:val="center"/>
              <w:rPr>
                <w:rFonts w:ascii="Times New Roman" w:hAnsi="Times New Roman"/>
                <w:b/>
                <w:sz w:val="20"/>
                <w:szCs w:val="20"/>
              </w:rPr>
            </w:pPr>
            <w:r>
              <w:rPr>
                <w:rFonts w:ascii="Times New Roman" w:hAnsi="Times New Roman"/>
                <w:b/>
                <w:sz w:val="20"/>
                <w:szCs w:val="20"/>
              </w:rPr>
              <w:t>2016</w:t>
            </w:r>
          </w:p>
        </w:tc>
        <w:tc>
          <w:tcPr>
            <w:tcW w:w="48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EB3592A" w14:textId="77777777" w:rsidR="0017587A" w:rsidRDefault="00250CD2">
            <w:pPr>
              <w:jc w:val="center"/>
              <w:rPr>
                <w:rFonts w:ascii="Times New Roman" w:hAnsi="Times New Roman"/>
                <w:b/>
                <w:sz w:val="20"/>
                <w:szCs w:val="20"/>
              </w:rPr>
            </w:pPr>
            <w:r>
              <w:rPr>
                <w:rFonts w:ascii="Times New Roman" w:hAnsi="Times New Roman"/>
                <w:b/>
                <w:sz w:val="20"/>
                <w:szCs w:val="20"/>
              </w:rPr>
              <w:t>2017</w:t>
            </w:r>
          </w:p>
        </w:tc>
        <w:tc>
          <w:tcPr>
            <w:tcW w:w="479" w:type="pct"/>
            <w:tcBorders>
              <w:top w:val="double" w:sz="4" w:space="0" w:color="auto"/>
              <w:left w:val="nil"/>
              <w:bottom w:val="double" w:sz="4" w:space="0" w:color="auto"/>
              <w:right w:val="double" w:sz="4" w:space="0" w:color="auto"/>
            </w:tcBorders>
            <w:vAlign w:val="center"/>
          </w:tcPr>
          <w:p w14:paraId="4170912D" w14:textId="77777777" w:rsidR="0017587A" w:rsidRDefault="00250CD2">
            <w:pPr>
              <w:jc w:val="center"/>
              <w:rPr>
                <w:rFonts w:ascii="Times New Roman" w:hAnsi="Times New Roman"/>
                <w:b/>
                <w:sz w:val="20"/>
                <w:szCs w:val="20"/>
              </w:rPr>
            </w:pPr>
            <w:r>
              <w:rPr>
                <w:rFonts w:ascii="Times New Roman" w:hAnsi="Times New Roman"/>
                <w:b/>
                <w:sz w:val="20"/>
                <w:szCs w:val="20"/>
              </w:rPr>
              <w:t>2018</w:t>
            </w:r>
          </w:p>
        </w:tc>
      </w:tr>
      <w:tr w:rsidR="0017587A" w14:paraId="4BB93598" w14:textId="77777777" w:rsidTr="00E72EF9">
        <w:trPr>
          <w:trHeight w:val="4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3AA25B4" w14:textId="77777777" w:rsidR="0017587A" w:rsidRDefault="00250CD2">
            <w:pPr>
              <w:jc w:val="center"/>
              <w:rPr>
                <w:rFonts w:ascii="Times New Roman" w:hAnsi="Times New Roman"/>
                <w:color w:val="FF0000"/>
                <w:sz w:val="20"/>
                <w:szCs w:val="20"/>
              </w:rPr>
            </w:pPr>
            <w:r>
              <w:rPr>
                <w:rFonts w:ascii="Times New Roman" w:hAnsi="Times New Roman"/>
                <w:b/>
                <w:bCs/>
                <w:sz w:val="20"/>
                <w:szCs w:val="20"/>
              </w:rPr>
              <w:t>Verifierade totala utsläpp</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1750E6F" w14:textId="77777777" w:rsidR="0017587A" w:rsidRDefault="00250CD2">
            <w:pPr>
              <w:jc w:val="center"/>
              <w:rPr>
                <w:rFonts w:ascii="Times New Roman" w:hAnsi="Times New Roman"/>
                <w:sz w:val="20"/>
                <w:szCs w:val="20"/>
              </w:rPr>
            </w:pPr>
            <w:r>
              <w:rPr>
                <w:rFonts w:ascii="Times New Roman" w:hAnsi="Times New Roman"/>
                <w:sz w:val="20"/>
                <w:szCs w:val="20"/>
              </w:rPr>
              <w:t>1904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2B779F5" w14:textId="77777777" w:rsidR="0017587A" w:rsidRDefault="00250CD2">
            <w:pPr>
              <w:jc w:val="center"/>
              <w:rPr>
                <w:rFonts w:ascii="Times New Roman" w:hAnsi="Times New Roman"/>
                <w:sz w:val="20"/>
                <w:szCs w:val="20"/>
              </w:rPr>
            </w:pPr>
            <w:r>
              <w:rPr>
                <w:rFonts w:ascii="Times New Roman" w:hAnsi="Times New Roman"/>
                <w:sz w:val="20"/>
                <w:szCs w:val="20"/>
              </w:rPr>
              <w:t>1867</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3CEB0B5" w14:textId="77777777" w:rsidR="0017587A" w:rsidRDefault="00250CD2">
            <w:pPr>
              <w:jc w:val="center"/>
              <w:rPr>
                <w:rFonts w:ascii="Times New Roman" w:hAnsi="Times New Roman"/>
                <w:sz w:val="20"/>
                <w:szCs w:val="20"/>
              </w:rPr>
            </w:pPr>
            <w:r>
              <w:rPr>
                <w:rFonts w:ascii="Times New Roman" w:hAnsi="Times New Roman"/>
                <w:sz w:val="20"/>
                <w:szCs w:val="20"/>
              </w:rPr>
              <w:t>1908</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B5DB73E" w14:textId="77777777" w:rsidR="0017587A" w:rsidRDefault="00250CD2">
            <w:pPr>
              <w:jc w:val="center"/>
              <w:rPr>
                <w:rFonts w:ascii="Times New Roman" w:hAnsi="Times New Roman"/>
                <w:sz w:val="20"/>
                <w:szCs w:val="20"/>
              </w:rPr>
            </w:pPr>
            <w:r>
              <w:rPr>
                <w:rFonts w:ascii="Times New Roman" w:hAnsi="Times New Roman"/>
                <w:sz w:val="20"/>
                <w:szCs w:val="20"/>
              </w:rPr>
              <w:t>1814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54B94CC" w14:textId="77777777" w:rsidR="0017587A" w:rsidRDefault="00250CD2">
            <w:pPr>
              <w:jc w:val="center"/>
              <w:rPr>
                <w:rFonts w:ascii="Times New Roman" w:hAnsi="Times New Roman"/>
                <w:sz w:val="20"/>
                <w:szCs w:val="20"/>
              </w:rPr>
            </w:pPr>
            <w:r>
              <w:rPr>
                <w:rFonts w:ascii="Times New Roman" w:hAnsi="Times New Roman"/>
                <w:sz w:val="20"/>
                <w:szCs w:val="20"/>
              </w:rPr>
              <w:t>1803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F9836B0" w14:textId="77777777" w:rsidR="0017587A" w:rsidRDefault="00250CD2">
            <w:pPr>
              <w:jc w:val="center"/>
              <w:rPr>
                <w:rFonts w:ascii="Times New Roman" w:hAnsi="Times New Roman"/>
                <w:sz w:val="20"/>
                <w:szCs w:val="20"/>
              </w:rPr>
            </w:pPr>
            <w:r>
              <w:rPr>
                <w:rFonts w:ascii="Times New Roman" w:hAnsi="Times New Roman"/>
                <w:sz w:val="20"/>
                <w:szCs w:val="20"/>
              </w:rPr>
              <w:t>1750</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D770350" w14:textId="77777777" w:rsidR="0017587A" w:rsidRDefault="00250CD2">
            <w:pPr>
              <w:jc w:val="center"/>
              <w:rPr>
                <w:rFonts w:ascii="Times New Roman" w:hAnsi="Times New Roman"/>
                <w:sz w:val="20"/>
                <w:szCs w:val="20"/>
              </w:rPr>
            </w:pPr>
            <w:r>
              <w:rPr>
                <w:rFonts w:ascii="Times New Roman" w:hAnsi="Times New Roman"/>
                <w:sz w:val="20"/>
                <w:szCs w:val="20"/>
              </w:rPr>
              <w:t>1755</w:t>
            </w:r>
          </w:p>
        </w:tc>
        <w:tc>
          <w:tcPr>
            <w:tcW w:w="479" w:type="pct"/>
            <w:tcBorders>
              <w:top w:val="nil"/>
              <w:left w:val="nil"/>
              <w:bottom w:val="double" w:sz="4" w:space="0" w:color="auto"/>
              <w:right w:val="double" w:sz="4" w:space="0" w:color="auto"/>
            </w:tcBorders>
            <w:vAlign w:val="center"/>
          </w:tcPr>
          <w:p w14:paraId="29C6D3D4" w14:textId="77777777" w:rsidR="0017587A" w:rsidRDefault="00E20A97">
            <w:pPr>
              <w:jc w:val="center"/>
              <w:rPr>
                <w:rFonts w:ascii="Times New Roman" w:hAnsi="Times New Roman"/>
                <w:sz w:val="20"/>
                <w:szCs w:val="20"/>
              </w:rPr>
            </w:pPr>
            <w:r>
              <w:rPr>
                <w:rFonts w:ascii="Times New Roman" w:hAnsi="Times New Roman"/>
                <w:sz w:val="20"/>
                <w:szCs w:val="20"/>
              </w:rPr>
              <w:t>1682</w:t>
            </w:r>
          </w:p>
        </w:tc>
      </w:tr>
      <w:tr w:rsidR="0017587A" w14:paraId="13F898C8"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B49F04C" w14:textId="77777777" w:rsidR="0017587A" w:rsidRDefault="00250CD2">
            <w:pPr>
              <w:jc w:val="center"/>
              <w:rPr>
                <w:rFonts w:ascii="Times New Roman" w:hAnsi="Times New Roman"/>
                <w:b/>
                <w:bCs/>
                <w:color w:val="000000"/>
                <w:sz w:val="20"/>
                <w:szCs w:val="20"/>
              </w:rPr>
            </w:pPr>
            <w:r>
              <w:rPr>
                <w:rFonts w:ascii="Times New Roman" w:hAnsi="Times New Roman"/>
                <w:b/>
                <w:bCs/>
                <w:sz w:val="20"/>
                <w:szCs w:val="20"/>
              </w:rPr>
              <w:t>Förändring jämfört med år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E94528C" w14:textId="77777777" w:rsidR="0017587A" w:rsidRDefault="00250CD2">
            <w:pPr>
              <w:jc w:val="center"/>
              <w:rPr>
                <w:rFonts w:ascii="Times New Roman" w:hAnsi="Times New Roman"/>
                <w:color w:val="FF0000"/>
                <w:sz w:val="20"/>
                <w:szCs w:val="20"/>
              </w:rPr>
            </w:pPr>
            <w:r>
              <w:rPr>
                <w:rFonts w:ascii="Times New Roman" w:hAnsi="Times New Roman"/>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B2FB4E1" w14:textId="77777777" w:rsidR="0017587A" w:rsidRDefault="00250CD2">
            <w:pPr>
              <w:jc w:val="center"/>
              <w:rPr>
                <w:rFonts w:ascii="Times New Roman" w:hAnsi="Times New Roman"/>
                <w:color w:val="FF0000"/>
                <w:sz w:val="20"/>
                <w:szCs w:val="20"/>
              </w:rPr>
            </w:pPr>
            <w:r>
              <w:rPr>
                <w:rFonts w:ascii="Times New Roman" w:hAnsi="Times New Roman"/>
                <w:sz w:val="20"/>
                <w:szCs w:val="20"/>
              </w:rPr>
              <w:t>–2 %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03AE47F" w14:textId="77777777" w:rsidR="0017587A" w:rsidRDefault="00250CD2">
            <w:pPr>
              <w:jc w:val="center"/>
              <w:rPr>
                <w:rFonts w:ascii="Times New Roman" w:hAnsi="Times New Roman"/>
                <w:color w:val="FF0000"/>
                <w:sz w:val="20"/>
                <w:szCs w:val="20"/>
              </w:rPr>
            </w:pPr>
            <w:r>
              <w:rPr>
                <w:rFonts w:ascii="Times New Roman" w:hAnsi="Times New Roman"/>
                <w:sz w:val="20"/>
                <w:szCs w:val="20"/>
              </w:rPr>
              <w:t>2,2 %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E5C9DED" w14:textId="77777777" w:rsidR="0017587A" w:rsidRDefault="00250CD2">
            <w:pPr>
              <w:jc w:val="center"/>
              <w:rPr>
                <w:rFonts w:ascii="Times New Roman" w:hAnsi="Times New Roman"/>
                <w:color w:val="000000"/>
                <w:sz w:val="20"/>
                <w:szCs w:val="20"/>
              </w:rPr>
            </w:pPr>
            <w:r>
              <w:rPr>
                <w:rFonts w:ascii="Times New Roman" w:hAnsi="Times New Roman"/>
                <w:sz w:val="20"/>
                <w:szCs w:val="20"/>
              </w:rPr>
              <w:t>–4,9 %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2235303" w14:textId="77777777" w:rsidR="0017587A" w:rsidRDefault="00250CD2">
            <w:pPr>
              <w:jc w:val="center"/>
              <w:rPr>
                <w:rFonts w:ascii="Times New Roman" w:hAnsi="Times New Roman"/>
                <w:color w:val="000000"/>
                <w:sz w:val="20"/>
                <w:szCs w:val="20"/>
              </w:rPr>
            </w:pPr>
            <w:r>
              <w:rPr>
                <w:rFonts w:ascii="Times New Roman" w:hAnsi="Times New Roman"/>
                <w:sz w:val="20"/>
                <w:szCs w:val="20"/>
              </w:rPr>
              <w:t>–0,6 %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0343943" w14:textId="77777777" w:rsidR="0017587A" w:rsidRDefault="00250CD2">
            <w:pPr>
              <w:jc w:val="center"/>
              <w:rPr>
                <w:rFonts w:ascii="Times New Roman" w:hAnsi="Times New Roman"/>
                <w:color w:val="000000"/>
                <w:sz w:val="20"/>
                <w:szCs w:val="20"/>
              </w:rPr>
            </w:pPr>
            <w:r>
              <w:rPr>
                <w:rFonts w:ascii="Times New Roman" w:hAnsi="Times New Roman"/>
                <w:sz w:val="20"/>
                <w:szCs w:val="20"/>
              </w:rPr>
              <w:t>–2,9 %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858867" w14:textId="77777777" w:rsidR="0017587A" w:rsidRDefault="00250CD2">
            <w:pPr>
              <w:jc w:val="center"/>
              <w:rPr>
                <w:rFonts w:ascii="Times New Roman" w:hAnsi="Times New Roman"/>
                <w:color w:val="000000"/>
                <w:sz w:val="20"/>
                <w:szCs w:val="20"/>
              </w:rPr>
            </w:pPr>
            <w:r>
              <w:rPr>
                <w:rFonts w:ascii="Times New Roman" w:hAnsi="Times New Roman"/>
                <w:sz w:val="20"/>
                <w:szCs w:val="20"/>
              </w:rPr>
              <w:t>0,2 %</w:t>
            </w:r>
          </w:p>
        </w:tc>
        <w:tc>
          <w:tcPr>
            <w:tcW w:w="479" w:type="pct"/>
            <w:tcBorders>
              <w:top w:val="nil"/>
              <w:left w:val="nil"/>
              <w:bottom w:val="double" w:sz="4" w:space="0" w:color="auto"/>
              <w:right w:val="double" w:sz="4" w:space="0" w:color="auto"/>
            </w:tcBorders>
            <w:vAlign w:val="center"/>
          </w:tcPr>
          <w:p w14:paraId="33CE7F5B" w14:textId="77777777" w:rsidR="0017587A" w:rsidRDefault="00E20A97">
            <w:pPr>
              <w:jc w:val="center"/>
              <w:rPr>
                <w:rFonts w:ascii="Times New Roman" w:hAnsi="Times New Roman"/>
                <w:color w:val="000000"/>
                <w:sz w:val="20"/>
                <w:szCs w:val="20"/>
              </w:rPr>
            </w:pPr>
            <w:r>
              <w:rPr>
                <w:rFonts w:ascii="Times New Roman" w:hAnsi="Times New Roman"/>
                <w:sz w:val="20"/>
                <w:szCs w:val="20"/>
              </w:rPr>
              <w:t>–4,1 %</w:t>
            </w:r>
          </w:p>
        </w:tc>
      </w:tr>
      <w:tr w:rsidR="0017587A" w14:paraId="5A19CCEC" w14:textId="77777777" w:rsidTr="00E72EF9">
        <w:trPr>
          <w:trHeight w:val="558"/>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309F883" w14:textId="77777777" w:rsidR="0017587A" w:rsidRDefault="00250CD2">
            <w:pPr>
              <w:jc w:val="center"/>
              <w:rPr>
                <w:rFonts w:ascii="Times New Roman" w:hAnsi="Times New Roman"/>
                <w:b/>
                <w:bCs/>
                <w:color w:val="000000"/>
                <w:sz w:val="20"/>
                <w:szCs w:val="20"/>
              </w:rPr>
            </w:pPr>
            <w:r>
              <w:rPr>
                <w:rFonts w:ascii="Times New Roman" w:hAnsi="Times New Roman"/>
                <w:b/>
                <w:bCs/>
                <w:sz w:val="20"/>
                <w:szCs w:val="20"/>
              </w:rPr>
              <w:t>Kontrollerade utsläpp från el- och värmeproduktion</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08F9AD8" w14:textId="77777777" w:rsidR="0017587A" w:rsidRDefault="00117A8A">
            <w:pPr>
              <w:jc w:val="center"/>
              <w:rPr>
                <w:rFonts w:ascii="Times New Roman" w:hAnsi="Times New Roman"/>
                <w:color w:val="000000"/>
                <w:sz w:val="20"/>
                <w:szCs w:val="20"/>
              </w:rPr>
            </w:pPr>
            <w:r>
              <w:rPr>
                <w:rFonts w:ascii="Times New Roman" w:hAnsi="Times New Roman"/>
                <w:sz w:val="20"/>
                <w:szCs w:val="20"/>
              </w:rPr>
              <w:t>1190</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03447D4" w14:textId="77777777" w:rsidR="0017587A" w:rsidRDefault="00117A8A">
            <w:pPr>
              <w:jc w:val="center"/>
              <w:rPr>
                <w:rFonts w:ascii="Times New Roman" w:hAnsi="Times New Roman"/>
                <w:color w:val="000000"/>
                <w:sz w:val="20"/>
                <w:szCs w:val="20"/>
              </w:rPr>
            </w:pPr>
            <w:r>
              <w:rPr>
                <w:rFonts w:ascii="Times New Roman" w:hAnsi="Times New Roman"/>
                <w:sz w:val="20"/>
                <w:szCs w:val="20"/>
              </w:rPr>
              <w:t>1184</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0B4777F" w14:textId="77777777" w:rsidR="0017587A" w:rsidRDefault="00117A8A">
            <w:pPr>
              <w:jc w:val="center"/>
              <w:rPr>
                <w:rFonts w:ascii="Times New Roman" w:hAnsi="Times New Roman"/>
                <w:color w:val="000000"/>
                <w:sz w:val="20"/>
                <w:szCs w:val="20"/>
              </w:rPr>
            </w:pPr>
            <w:r>
              <w:rPr>
                <w:rFonts w:ascii="Times New Roman" w:hAnsi="Times New Roman"/>
                <w:sz w:val="20"/>
                <w:szCs w:val="20"/>
              </w:rPr>
              <w:t>1125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658F0B2" w14:textId="77777777" w:rsidR="0017587A" w:rsidRDefault="00117A8A">
            <w:pPr>
              <w:jc w:val="center"/>
              <w:rPr>
                <w:rFonts w:ascii="Times New Roman" w:hAnsi="Times New Roman"/>
                <w:color w:val="000000"/>
                <w:sz w:val="20"/>
                <w:szCs w:val="20"/>
              </w:rPr>
            </w:pPr>
            <w:r>
              <w:rPr>
                <w:rFonts w:ascii="Times New Roman" w:hAnsi="Times New Roman"/>
                <w:sz w:val="20"/>
                <w:szCs w:val="20"/>
              </w:rPr>
              <w:t>1037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D16A0ED" w14:textId="77777777" w:rsidR="0017587A" w:rsidRDefault="00117A8A">
            <w:pPr>
              <w:jc w:val="center"/>
              <w:rPr>
                <w:rFonts w:ascii="Times New Roman" w:hAnsi="Times New Roman"/>
                <w:color w:val="000000"/>
                <w:sz w:val="20"/>
                <w:szCs w:val="20"/>
              </w:rPr>
            </w:pPr>
            <w:r>
              <w:rPr>
                <w:rFonts w:ascii="Times New Roman" w:hAnsi="Times New Roman"/>
                <w:sz w:val="20"/>
                <w:szCs w:val="20"/>
              </w:rPr>
              <w:t>1032</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287549" w14:textId="77777777" w:rsidR="0017587A" w:rsidRDefault="00117A8A">
            <w:pPr>
              <w:jc w:val="center"/>
              <w:rPr>
                <w:rFonts w:ascii="Times New Roman" w:hAnsi="Times New Roman"/>
                <w:color w:val="000000"/>
                <w:sz w:val="20"/>
                <w:szCs w:val="20"/>
              </w:rPr>
            </w:pPr>
            <w:r>
              <w:rPr>
                <w:rFonts w:ascii="Times New Roman" w:hAnsi="Times New Roman"/>
                <w:sz w:val="20"/>
                <w:szCs w:val="20"/>
              </w:rPr>
              <w:t>992</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32830C3" w14:textId="77777777" w:rsidR="0017587A" w:rsidRDefault="00117A8A">
            <w:pPr>
              <w:jc w:val="center"/>
              <w:rPr>
                <w:rFonts w:ascii="Times New Roman" w:hAnsi="Times New Roman"/>
                <w:color w:val="000000"/>
                <w:sz w:val="20"/>
                <w:szCs w:val="20"/>
              </w:rPr>
            </w:pPr>
            <w:r>
              <w:rPr>
                <w:rFonts w:ascii="Times New Roman" w:hAnsi="Times New Roman"/>
                <w:sz w:val="20"/>
                <w:szCs w:val="20"/>
              </w:rPr>
              <w:t>985</w:t>
            </w:r>
          </w:p>
        </w:tc>
        <w:tc>
          <w:tcPr>
            <w:tcW w:w="479" w:type="pct"/>
            <w:tcBorders>
              <w:top w:val="nil"/>
              <w:left w:val="nil"/>
              <w:bottom w:val="double" w:sz="4" w:space="0" w:color="auto"/>
              <w:right w:val="double" w:sz="4" w:space="0" w:color="auto"/>
            </w:tcBorders>
            <w:vAlign w:val="center"/>
          </w:tcPr>
          <w:p w14:paraId="27E36802" w14:textId="77777777" w:rsidR="0017587A" w:rsidRDefault="00117A8A">
            <w:pPr>
              <w:jc w:val="center"/>
              <w:rPr>
                <w:rFonts w:ascii="Times New Roman" w:hAnsi="Times New Roman"/>
                <w:color w:val="000000"/>
                <w:sz w:val="20"/>
                <w:szCs w:val="20"/>
              </w:rPr>
            </w:pPr>
            <w:r>
              <w:rPr>
                <w:rFonts w:ascii="Times New Roman" w:hAnsi="Times New Roman"/>
                <w:sz w:val="20"/>
                <w:szCs w:val="20"/>
              </w:rPr>
              <w:t>913</w:t>
            </w:r>
          </w:p>
        </w:tc>
      </w:tr>
      <w:tr w:rsidR="0017587A" w14:paraId="0B8F315E"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AD75C6B" w14:textId="77777777" w:rsidR="0017587A" w:rsidRDefault="00250CD2">
            <w:pPr>
              <w:jc w:val="center"/>
              <w:rPr>
                <w:rFonts w:ascii="Times New Roman" w:hAnsi="Times New Roman"/>
                <w:b/>
                <w:bCs/>
                <w:color w:val="000000"/>
                <w:sz w:val="20"/>
                <w:szCs w:val="20"/>
              </w:rPr>
            </w:pPr>
            <w:r>
              <w:rPr>
                <w:rFonts w:ascii="Times New Roman" w:hAnsi="Times New Roman"/>
                <w:b/>
                <w:bCs/>
                <w:sz w:val="20"/>
                <w:szCs w:val="20"/>
              </w:rPr>
              <w:t>Förändring jämfört med år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230130D1" w14:textId="77777777" w:rsidR="0017587A" w:rsidRDefault="0017587A">
            <w:pPr>
              <w:jc w:val="center"/>
              <w:rPr>
                <w:rFonts w:ascii="Times New Roman" w:hAnsi="Times New Roman"/>
                <w:color w:val="000000"/>
                <w:sz w:val="20"/>
                <w:szCs w:val="20"/>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FBA8163"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–0,5 %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102AD66"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–5,0 %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EC2F466"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–7,8 %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26DECC"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–0,5 %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63E079B"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–3,8 %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4B6BACC"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–0,7 %</w:t>
            </w:r>
          </w:p>
        </w:tc>
        <w:tc>
          <w:tcPr>
            <w:tcW w:w="479" w:type="pct"/>
            <w:tcBorders>
              <w:top w:val="nil"/>
              <w:left w:val="nil"/>
              <w:bottom w:val="double" w:sz="4" w:space="0" w:color="auto"/>
              <w:right w:val="double" w:sz="4" w:space="0" w:color="auto"/>
            </w:tcBorders>
            <w:vAlign w:val="center"/>
          </w:tcPr>
          <w:p w14:paraId="3128F6C2"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–7,3 %</w:t>
            </w:r>
          </w:p>
        </w:tc>
      </w:tr>
      <w:tr w:rsidR="0017587A" w14:paraId="2740F905" w14:textId="77777777" w:rsidTr="00E72EF9">
        <w:trPr>
          <w:trHeight w:val="582"/>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F65A22B" w14:textId="77777777" w:rsidR="0017587A" w:rsidRDefault="00250CD2">
            <w:pPr>
              <w:jc w:val="center"/>
              <w:rPr>
                <w:rFonts w:ascii="Times New Roman" w:hAnsi="Times New Roman"/>
                <w:b/>
                <w:bCs/>
                <w:color w:val="000000"/>
                <w:sz w:val="20"/>
                <w:szCs w:val="20"/>
              </w:rPr>
            </w:pPr>
            <w:r>
              <w:rPr>
                <w:rFonts w:ascii="Times New Roman" w:hAnsi="Times New Roman"/>
                <w:b/>
                <w:bCs/>
                <w:sz w:val="20"/>
                <w:szCs w:val="20"/>
              </w:rPr>
              <w:t>Verifierade utsläpp från industrianläggningar</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90AF5E1" w14:textId="77777777" w:rsidR="0017587A" w:rsidRDefault="00117A8A">
            <w:pPr>
              <w:jc w:val="center"/>
              <w:rPr>
                <w:rFonts w:ascii="Times New Roman" w:hAnsi="Times New Roman"/>
                <w:color w:val="000000"/>
                <w:sz w:val="20"/>
                <w:szCs w:val="20"/>
              </w:rPr>
            </w:pPr>
            <w:r>
              <w:rPr>
                <w:rFonts w:ascii="Times New Roman" w:hAnsi="Times New Roman"/>
                <w:sz w:val="20"/>
                <w:szCs w:val="20"/>
              </w:rPr>
              <w:t>715</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487A3A9"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683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29E6BF4"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783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2A03626"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777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74A26B9"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771</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2BC55A9"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758</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2EEEB1"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769</w:t>
            </w:r>
          </w:p>
        </w:tc>
        <w:tc>
          <w:tcPr>
            <w:tcW w:w="479" w:type="pct"/>
            <w:tcBorders>
              <w:top w:val="nil"/>
              <w:left w:val="nil"/>
              <w:bottom w:val="double" w:sz="4" w:space="0" w:color="auto"/>
              <w:right w:val="double" w:sz="4" w:space="0" w:color="auto"/>
            </w:tcBorders>
            <w:vAlign w:val="center"/>
          </w:tcPr>
          <w:p w14:paraId="3987BBEB"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769</w:t>
            </w:r>
          </w:p>
        </w:tc>
      </w:tr>
      <w:tr w:rsidR="0017587A" w14:paraId="5FCE3C93"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29DF5B5" w14:textId="77777777" w:rsidR="0017587A" w:rsidRDefault="00250CD2">
            <w:pPr>
              <w:jc w:val="center"/>
              <w:rPr>
                <w:rFonts w:ascii="Times New Roman" w:hAnsi="Times New Roman"/>
                <w:b/>
                <w:bCs/>
                <w:color w:val="000000"/>
                <w:sz w:val="20"/>
                <w:szCs w:val="20"/>
              </w:rPr>
            </w:pPr>
            <w:r>
              <w:rPr>
                <w:rFonts w:ascii="Times New Roman" w:hAnsi="Times New Roman"/>
                <w:b/>
                <w:bCs/>
                <w:sz w:val="20"/>
                <w:szCs w:val="20"/>
              </w:rPr>
              <w:t>Förändring jämfört med år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00E7DFC6" w14:textId="77777777" w:rsidR="0017587A" w:rsidRDefault="0017587A">
            <w:pPr>
              <w:jc w:val="center"/>
              <w:rPr>
                <w:rFonts w:ascii="Times New Roman" w:hAnsi="Times New Roman"/>
                <w:color w:val="000000"/>
                <w:sz w:val="20"/>
                <w:szCs w:val="20"/>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A805931" w14:textId="77777777" w:rsidR="0017587A" w:rsidRDefault="0045466C">
            <w:pPr>
              <w:jc w:val="center"/>
              <w:rPr>
                <w:rFonts w:ascii="Times New Roman" w:hAnsi="Times New Roman"/>
                <w:color w:val="000000" w:themeColor="text1"/>
                <w:sz w:val="20"/>
                <w:szCs w:val="20"/>
              </w:rPr>
            </w:pPr>
            <w:r>
              <w:rPr>
                <w:rFonts w:ascii="Times New Roman" w:hAnsi="Times New Roman"/>
                <w:sz w:val="20"/>
                <w:szCs w:val="20"/>
              </w:rPr>
              <w:t>–4,5 %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8EA885C"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14,7 %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7DF6CF" w14:textId="77777777" w:rsidR="0017587A" w:rsidRDefault="0045466C">
            <w:pPr>
              <w:jc w:val="center"/>
              <w:rPr>
                <w:rFonts w:ascii="Times New Roman" w:hAnsi="Times New Roman"/>
                <w:color w:val="000000" w:themeColor="text1"/>
                <w:sz w:val="20"/>
                <w:szCs w:val="20"/>
              </w:rPr>
            </w:pPr>
            <w:r>
              <w:rPr>
                <w:rFonts w:ascii="Times New Roman" w:hAnsi="Times New Roman"/>
                <w:sz w:val="20"/>
                <w:szCs w:val="20"/>
              </w:rPr>
              <w:t>–0,9 %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3721E52" w14:textId="77777777" w:rsidR="0017587A" w:rsidRDefault="0045466C">
            <w:pPr>
              <w:jc w:val="center"/>
              <w:rPr>
                <w:rFonts w:ascii="Times New Roman" w:hAnsi="Times New Roman"/>
                <w:color w:val="000000" w:themeColor="text1"/>
                <w:sz w:val="20"/>
                <w:szCs w:val="20"/>
              </w:rPr>
            </w:pPr>
            <w:r>
              <w:rPr>
                <w:rFonts w:ascii="Times New Roman" w:hAnsi="Times New Roman"/>
                <w:sz w:val="20"/>
                <w:szCs w:val="20"/>
              </w:rPr>
              <w:t>–0,7 %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C01EF54" w14:textId="77777777" w:rsidR="0017587A" w:rsidRDefault="0045466C">
            <w:pPr>
              <w:jc w:val="center"/>
              <w:rPr>
                <w:rFonts w:ascii="Times New Roman" w:hAnsi="Times New Roman"/>
                <w:color w:val="000000" w:themeColor="text1"/>
                <w:sz w:val="20"/>
                <w:szCs w:val="20"/>
              </w:rPr>
            </w:pPr>
            <w:r>
              <w:rPr>
                <w:rFonts w:ascii="Times New Roman" w:hAnsi="Times New Roman"/>
                <w:sz w:val="20"/>
                <w:szCs w:val="20"/>
              </w:rPr>
              <w:t>–1,7 %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147448F"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1,4 %</w:t>
            </w:r>
          </w:p>
        </w:tc>
        <w:tc>
          <w:tcPr>
            <w:tcW w:w="479" w:type="pct"/>
            <w:tcBorders>
              <w:top w:val="nil"/>
              <w:left w:val="nil"/>
              <w:bottom w:val="double" w:sz="4" w:space="0" w:color="auto"/>
              <w:right w:val="double" w:sz="4" w:space="0" w:color="auto"/>
            </w:tcBorders>
            <w:vAlign w:val="center"/>
          </w:tcPr>
          <w:p w14:paraId="261DC9AA" w14:textId="77777777" w:rsidR="0017587A" w:rsidRDefault="00117A8A">
            <w:pPr>
              <w:jc w:val="center"/>
              <w:rPr>
                <w:rFonts w:ascii="Times New Roman" w:hAnsi="Times New Roman"/>
                <w:color w:val="000000" w:themeColor="text1"/>
                <w:sz w:val="20"/>
                <w:szCs w:val="20"/>
              </w:rPr>
            </w:pPr>
            <w:r>
              <w:rPr>
                <w:rFonts w:ascii="Times New Roman" w:hAnsi="Times New Roman"/>
                <w:sz w:val="20"/>
                <w:szCs w:val="20"/>
              </w:rPr>
              <w:t>–0,1 %</w:t>
            </w:r>
          </w:p>
        </w:tc>
      </w:tr>
      <w:tr w:rsidR="0017587A" w14:paraId="6F4F7C5E" w14:textId="77777777" w:rsidTr="00E72EF9">
        <w:trPr>
          <w:trHeight w:val="7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5F6B321" w14:textId="77777777" w:rsidR="0017587A" w:rsidRDefault="00250CD2">
            <w:pPr>
              <w:jc w:val="center"/>
              <w:rPr>
                <w:rFonts w:ascii="Times New Roman" w:hAnsi="Times New Roman"/>
                <w:b/>
                <w:bCs/>
                <w:color w:val="000000"/>
                <w:sz w:val="20"/>
                <w:szCs w:val="20"/>
              </w:rPr>
            </w:pPr>
            <w:r>
              <w:rPr>
                <w:rFonts w:ascii="Times New Roman" w:hAnsi="Times New Roman"/>
                <w:b/>
                <w:bCs/>
                <w:sz w:val="20"/>
                <w:szCs w:val="20"/>
              </w:rPr>
              <w:br/>
              <w:t>Real BNP-tillväxt EU-28</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64429B01" w14:textId="77777777" w:rsidR="0017587A" w:rsidRDefault="00250CD2">
            <w:pPr>
              <w:jc w:val="center"/>
              <w:rPr>
                <w:rFonts w:ascii="Times New Roman" w:hAnsi="Times New Roman"/>
                <w:color w:val="FF0000"/>
                <w:sz w:val="20"/>
                <w:szCs w:val="20"/>
              </w:rPr>
            </w:pPr>
            <w:r>
              <w:rPr>
                <w:rFonts w:ascii="Times New Roman" w:hAnsi="Times New Roman"/>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14:paraId="6A416108" w14:textId="77777777" w:rsidR="0017587A" w:rsidRDefault="00250CD2">
            <w:pPr>
              <w:jc w:val="center"/>
              <w:rPr>
                <w:rFonts w:ascii="Times New Roman" w:hAnsi="Times New Roman"/>
                <w:color w:val="FF0000"/>
                <w:sz w:val="20"/>
                <w:szCs w:val="20"/>
              </w:rPr>
            </w:pPr>
            <w:r>
              <w:rPr>
                <w:rFonts w:ascii="Times New Roman" w:hAnsi="Times New Roman"/>
                <w:sz w:val="20"/>
                <w:szCs w:val="20"/>
              </w:rPr>
              <w:t>–0,4 %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693470C8" w14:textId="77777777" w:rsidR="0017587A" w:rsidRDefault="00250CD2">
            <w:pPr>
              <w:jc w:val="center"/>
              <w:rPr>
                <w:rFonts w:ascii="Times New Roman" w:hAnsi="Times New Roman"/>
                <w:color w:val="FF0000"/>
                <w:sz w:val="20"/>
                <w:szCs w:val="20"/>
              </w:rPr>
            </w:pPr>
            <w:r>
              <w:rPr>
                <w:rFonts w:ascii="Times New Roman" w:hAnsi="Times New Roman"/>
                <w:sz w:val="20"/>
                <w:szCs w:val="20"/>
              </w:rPr>
              <w:t>0,3 %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1BD792AF" w14:textId="77777777" w:rsidR="0017587A" w:rsidRDefault="00250CD2">
            <w:pPr>
              <w:jc w:val="center"/>
              <w:rPr>
                <w:rFonts w:ascii="Times New Roman" w:hAnsi="Times New Roman"/>
                <w:color w:val="000000"/>
                <w:sz w:val="20"/>
                <w:szCs w:val="20"/>
              </w:rPr>
            </w:pPr>
            <w:r>
              <w:rPr>
                <w:rFonts w:ascii="Times New Roman" w:hAnsi="Times New Roman"/>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14:paraId="3822F7E0" w14:textId="77777777" w:rsidR="0017587A" w:rsidRDefault="00250CD2">
            <w:pPr>
              <w:jc w:val="center"/>
              <w:rPr>
                <w:rFonts w:ascii="Times New Roman" w:hAnsi="Times New Roman"/>
                <w:color w:val="000000"/>
                <w:sz w:val="20"/>
                <w:szCs w:val="20"/>
              </w:rPr>
            </w:pPr>
            <w:r>
              <w:rPr>
                <w:rFonts w:ascii="Times New Roman" w:hAnsi="Times New Roman"/>
                <w:sz w:val="20"/>
                <w:szCs w:val="20"/>
              </w:rPr>
              <w:t>2,3 %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308C1DF9" w14:textId="77777777" w:rsidR="0017587A" w:rsidRDefault="00DD0ECB">
            <w:pPr>
              <w:jc w:val="center"/>
              <w:rPr>
                <w:rFonts w:ascii="Times New Roman" w:hAnsi="Times New Roman"/>
                <w:color w:val="000000"/>
                <w:sz w:val="20"/>
                <w:szCs w:val="20"/>
              </w:rPr>
            </w:pPr>
            <w:r>
              <w:rPr>
                <w:rFonts w:ascii="Times New Roman" w:hAnsi="Times New Roman"/>
                <w:sz w:val="20"/>
                <w:szCs w:val="20"/>
              </w:rPr>
              <w:t>2,0 %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tcPr>
          <w:p w14:paraId="0A66ABE2" w14:textId="77777777" w:rsidR="0017587A" w:rsidRDefault="00250CD2">
            <w:pPr>
              <w:jc w:val="center"/>
              <w:rPr>
                <w:rFonts w:ascii="Times New Roman" w:hAnsi="Times New Roman"/>
                <w:color w:val="000000"/>
                <w:sz w:val="20"/>
                <w:szCs w:val="20"/>
              </w:rPr>
            </w:pPr>
            <w:r>
              <w:rPr>
                <w:rFonts w:ascii="Times New Roman" w:hAnsi="Times New Roman"/>
                <w:sz w:val="20"/>
                <w:szCs w:val="20"/>
              </w:rPr>
              <w:t>2,5 %</w:t>
            </w:r>
          </w:p>
        </w:tc>
        <w:tc>
          <w:tcPr>
            <w:tcW w:w="479" w:type="pct"/>
            <w:tcBorders>
              <w:top w:val="nil"/>
              <w:left w:val="nil"/>
              <w:bottom w:val="double" w:sz="4" w:space="0" w:color="auto"/>
              <w:right w:val="double" w:sz="4" w:space="0" w:color="auto"/>
            </w:tcBorders>
            <w:vAlign w:val="center"/>
          </w:tcPr>
          <w:p w14:paraId="1FDCA916" w14:textId="77777777" w:rsidR="0017587A" w:rsidRDefault="00DD0ECB">
            <w:pPr>
              <w:jc w:val="center"/>
              <w:rPr>
                <w:rFonts w:ascii="Times New Roman" w:hAnsi="Times New Roman"/>
                <w:color w:val="000000"/>
                <w:sz w:val="20"/>
                <w:szCs w:val="20"/>
              </w:rPr>
            </w:pPr>
            <w:r>
              <w:rPr>
                <w:rFonts w:ascii="Times New Roman" w:hAnsi="Times New Roman"/>
                <w:sz w:val="20"/>
                <w:szCs w:val="20"/>
              </w:rPr>
              <w:t>2,0 %</w:t>
            </w:r>
          </w:p>
        </w:tc>
      </w:tr>
    </w:tbl>
    <w:p w14:paraId="57631802" w14:textId="77777777" w:rsidR="0017587A" w:rsidRDefault="00A92C10">
      <w:pPr>
        <w:autoSpaceDE w:val="0"/>
        <w:autoSpaceDN w:val="0"/>
        <w:adjustRightInd w:val="0"/>
        <w:spacing w:after="0"/>
        <w:rPr>
          <w:rStyle w:val="Hyperlink"/>
          <w:rFonts w:ascii="Times New Roman" w:hAnsi="Times New Roman"/>
          <w:bCs/>
          <w:color w:val="auto"/>
          <w:sz w:val="18"/>
          <w:szCs w:val="18"/>
        </w:rPr>
      </w:pPr>
      <w:r>
        <w:rPr>
          <w:rFonts w:ascii="Times New Roman" w:hAnsi="Times New Roman"/>
          <w:sz w:val="18"/>
          <w:szCs w:val="18"/>
        </w:rPr>
        <w:t xml:space="preserve">Källa: EUTL, BNP-uppgifter som rapporterats på </w:t>
      </w:r>
      <w:hyperlink r:id="rId18" w:history="1">
        <w:r>
          <w:rPr>
            <w:rStyle w:val="Hyperlink"/>
            <w:rFonts w:ascii="Times New Roman" w:hAnsi="Times New Roman"/>
            <w:bCs/>
            <w:sz w:val="18"/>
            <w:szCs w:val="18"/>
          </w:rPr>
          <w:t>http://epp.eurostat.ec.europa.eu/tgm/table.do?tab=table&amp;init=1&amp;plugin=1&amp;language=en&amp;pcode=tec00115</w:t>
        </w:r>
      </w:hyperlink>
      <w:r>
        <w:rPr>
          <w:rStyle w:val="Hyperlink"/>
          <w:rFonts w:ascii="Times New Roman" w:hAnsi="Times New Roman"/>
          <w:bCs/>
          <w:sz w:val="18"/>
          <w:szCs w:val="18"/>
        </w:rPr>
        <w:t xml:space="preserve"> </w:t>
      </w:r>
    </w:p>
    <w:p w14:paraId="0F9CFA4B" w14:textId="77777777" w:rsidR="0017587A" w:rsidRDefault="003A348D">
      <w:pPr>
        <w:autoSpaceDE w:val="0"/>
        <w:autoSpaceDN w:val="0"/>
        <w:adjustRightInd w:val="0"/>
        <w:spacing w:after="0"/>
        <w:rPr>
          <w:rStyle w:val="Hyperlink"/>
          <w:rFonts w:ascii="Times New Roman" w:hAnsi="Times New Roman"/>
          <w:bCs/>
          <w:color w:val="auto"/>
          <w:sz w:val="18"/>
          <w:szCs w:val="18"/>
        </w:rPr>
      </w:pPr>
      <w:r>
        <w:rPr>
          <w:rStyle w:val="Hyperlink"/>
          <w:rFonts w:ascii="Times New Roman" w:hAnsi="Times New Roman"/>
          <w:bCs/>
          <w:sz w:val="18"/>
          <w:szCs w:val="18"/>
        </w:rPr>
        <w:t xml:space="preserve">(hämtade i juli 2019). </w:t>
      </w:r>
      <w:r>
        <w:rPr>
          <w:rStyle w:val="Hyperlink"/>
          <w:rFonts w:ascii="Times New Roman" w:hAnsi="Times New Roman"/>
          <w:bCs/>
          <w:sz w:val="18"/>
          <w:szCs w:val="18"/>
          <w:u w:val="none"/>
        </w:rPr>
        <w:t>Verifierade utsläpp från luftfarten rapporteras separat i kapitel 4.</w:t>
      </w:r>
    </w:p>
    <w:p w14:paraId="143AC280" w14:textId="77777777" w:rsidR="0017587A" w:rsidRDefault="0017587A">
      <w:pPr>
        <w:autoSpaceDE w:val="0"/>
        <w:autoSpaceDN w:val="0"/>
        <w:adjustRightInd w:val="0"/>
        <w:spacing w:after="0"/>
        <w:rPr>
          <w:highlight w:val="yellow"/>
        </w:rPr>
      </w:pPr>
    </w:p>
    <w:p w14:paraId="2D446545" w14:textId="77777777" w:rsidR="0017587A" w:rsidRDefault="002C2541">
      <w:pPr>
        <w:jc w:val="both"/>
        <w:rPr>
          <w:rFonts w:ascii="Times New Roman" w:hAnsi="Times New Roman"/>
          <w:sz w:val="24"/>
          <w:szCs w:val="24"/>
        </w:rPr>
      </w:pPr>
      <w:r>
        <w:rPr>
          <w:rFonts w:ascii="Times New Roman" w:hAnsi="Times New Roman"/>
        </w:rPr>
        <w:t>Kontrollerade utsläpp inom utsläppshandelssystemet från anläggningar uppdelade efter typen av växthusgasutsläpp (koldioxid, dikväveoxid och perfluorkarboner) anges i tabell 5.1 i tillägg 5 till bilagan.</w:t>
      </w:r>
    </w:p>
    <w:p w14:paraId="33EDC775" w14:textId="77777777" w:rsidR="0017587A" w:rsidRDefault="003A348D">
      <w:pPr>
        <w:jc w:val="both"/>
        <w:rPr>
          <w:rFonts w:ascii="Times New Roman" w:hAnsi="Times New Roman"/>
          <w:sz w:val="24"/>
          <w:szCs w:val="24"/>
        </w:rPr>
      </w:pPr>
      <w:r>
        <w:rPr>
          <w:rFonts w:ascii="Times New Roman" w:hAnsi="Times New Roman"/>
        </w:rPr>
        <w:t>Antalet utsläppsrätter som annullerades på frivillig basis 2018 uppgår till 36 559. Totalt registrerades 345 893 frivilligt annullerade utsläppsrätter fram till utgången av juni 2019.</w:t>
      </w:r>
    </w:p>
    <w:p w14:paraId="4409A09B" w14:textId="77777777" w:rsidR="0017587A" w:rsidRDefault="0017587A">
      <w:pPr>
        <w:jc w:val="both"/>
        <w:rPr>
          <w:rFonts w:ascii="Times New Roman" w:hAnsi="Times New Roman"/>
          <w:sz w:val="24"/>
          <w:szCs w:val="24"/>
        </w:rPr>
      </w:pPr>
    </w:p>
    <w:p w14:paraId="406330A0" w14:textId="77777777" w:rsidR="0017587A" w:rsidRDefault="0017587A">
      <w:pPr>
        <w:jc w:val="both"/>
        <w:rPr>
          <w:rFonts w:ascii="Times New Roman" w:hAnsi="Times New Roman"/>
          <w:sz w:val="24"/>
          <w:szCs w:val="24"/>
        </w:rPr>
      </w:pPr>
    </w:p>
    <w:p w14:paraId="384D4D8E" w14:textId="77777777" w:rsidR="0017587A" w:rsidRDefault="00A52F4C">
      <w:pPr>
        <w:pStyle w:val="Heading2"/>
        <w:rPr>
          <w:i w:val="0"/>
        </w:rPr>
      </w:pPr>
      <w:bookmarkStart w:id="18" w:name="_Toc23755275"/>
      <w:r>
        <w:rPr>
          <w:i w:val="0"/>
        </w:rPr>
        <w:t>3.3. Balansera tillgång och efterfrågan</w:t>
      </w:r>
      <w:bookmarkEnd w:id="18"/>
      <w:r>
        <w:rPr>
          <w:i w:val="0"/>
        </w:rPr>
        <w:t xml:space="preserve"> </w:t>
      </w:r>
    </w:p>
    <w:p w14:paraId="08A51BDA" w14:textId="77777777" w:rsidR="0017587A" w:rsidRDefault="00DA667D">
      <w:pPr>
        <w:jc w:val="both"/>
        <w:rPr>
          <w:rFonts w:ascii="Times New Roman" w:hAnsi="Times New Roman"/>
          <w:sz w:val="24"/>
          <w:szCs w:val="24"/>
        </w:rPr>
      </w:pPr>
      <w:r>
        <w:rPr>
          <w:rFonts w:ascii="Times New Roman" w:hAnsi="Times New Roman"/>
        </w:rPr>
        <w:t xml:space="preserve">Det rådde en stor strukturell obalans mellan tillgång och efterfrågan i EU:s utsläppshandelssystem när fas 3 inleddes 2013, på motsvarande 2,1 miljarder utsläppsrätter. Överskottet har minskat under den nuvarande handelsperioden. Det var stabilt under 2014 och minskade kraftigt till 1,78 miljarder utsläppsrätter 2015, 1,69 miljarder utsläppsrätter 2016 och 1,65 miljarder utsläppsrätter 2017. Överskottet stannade kvar på 1,65 miljarder utsläppsrätter under 2018. </w:t>
      </w:r>
    </w:p>
    <w:p w14:paraId="412A36D0" w14:textId="77777777" w:rsidR="0017587A" w:rsidRDefault="00DA667D">
      <w:pPr>
        <w:jc w:val="both"/>
        <w:rPr>
          <w:rFonts w:ascii="Times New Roman" w:hAnsi="Times New Roman"/>
          <w:b/>
        </w:rPr>
      </w:pPr>
      <w:r>
        <w:rPr>
          <w:rFonts w:ascii="Times New Roman" w:hAnsi="Times New Roman"/>
        </w:rPr>
        <w:t xml:space="preserve">I figur 4 visas utvecklingen av överskottet på den europeiska koldioxidmarknaden fram till slutet av 2018. </w:t>
      </w:r>
    </w:p>
    <w:p w14:paraId="0B85A162" w14:textId="77777777" w:rsidR="0017587A" w:rsidRDefault="00DA667D">
      <w:pPr>
        <w:jc w:val="both"/>
        <w:rPr>
          <w:rFonts w:ascii="Times New Roman" w:hAnsi="Times New Roman"/>
          <w:b/>
        </w:rPr>
      </w:pPr>
      <w:r>
        <w:rPr>
          <w:rFonts w:ascii="Times New Roman" w:hAnsi="Times New Roman"/>
          <w:b/>
        </w:rPr>
        <w:t>Figur 4: Utveckling av överskottet på den europeiska koldioxidmarknaden 2013–2018</w:t>
      </w:r>
    </w:p>
    <w:p w14:paraId="208CDB95" w14:textId="77777777" w:rsidR="0017587A" w:rsidRDefault="00076795">
      <w:pPr>
        <w:spacing w:after="0"/>
        <w:jc w:val="both"/>
        <w:rPr>
          <w:rFonts w:ascii="Times New Roman" w:hAnsi="Times New Roman"/>
          <w:sz w:val="24"/>
          <w:szCs w:val="24"/>
        </w:rPr>
      </w:pPr>
      <w:r>
        <w:rPr>
          <w:rFonts w:ascii="Times New Roman" w:hAnsi="Times New Roman"/>
          <w:b/>
          <w:noProof/>
          <w:lang w:val="en-GB" w:eastAsia="en-GB"/>
        </w:rPr>
        <w:drawing>
          <wp:inline distT="0" distB="0" distL="0" distR="0" wp14:anchorId="11C7606E" wp14:editId="28CB2864">
            <wp:extent cx="5562600" cy="310210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5604" cy="3103776"/>
                    </a:xfrm>
                    <a:prstGeom prst="rect">
                      <a:avLst/>
                    </a:prstGeom>
                    <a:noFill/>
                  </pic:spPr>
                </pic:pic>
              </a:graphicData>
            </a:graphic>
          </wp:inline>
        </w:drawing>
      </w:r>
    </w:p>
    <w:p w14:paraId="56D0B8B2" w14:textId="77777777" w:rsidR="0017587A" w:rsidRDefault="00246919">
      <w:pPr>
        <w:jc w:val="both"/>
        <w:rPr>
          <w:rFonts w:ascii="Times New Roman" w:hAnsi="Times New Roman"/>
          <w:sz w:val="18"/>
          <w:szCs w:val="18"/>
        </w:rPr>
      </w:pPr>
      <w:r>
        <w:rPr>
          <w:rFonts w:ascii="Times New Roman" w:hAnsi="Times New Roman"/>
          <w:sz w:val="18"/>
          <w:szCs w:val="18"/>
        </w:rPr>
        <w:t>Källa: GD Klimatpolitik</w:t>
      </w:r>
    </w:p>
    <w:p w14:paraId="204A6F24" w14:textId="77777777" w:rsidR="0017587A" w:rsidRDefault="000E5BB1">
      <w:pPr>
        <w:jc w:val="both"/>
        <w:rPr>
          <w:rFonts w:ascii="Times New Roman" w:hAnsi="Times New Roman"/>
          <w:sz w:val="24"/>
          <w:szCs w:val="24"/>
        </w:rPr>
      </w:pPr>
      <w:r>
        <w:rPr>
          <w:rFonts w:ascii="Times New Roman" w:hAnsi="Times New Roman"/>
        </w:rPr>
        <w:t>För att komma åt den strukturella obalansen mellan tillgång och efterfrågan på utsläppsrätter inrättades en reserv för marknadsstabilitet 2015</w:t>
      </w:r>
      <w:r>
        <w:rPr>
          <w:rStyle w:val="FootnoteReference"/>
        </w:rPr>
        <w:footnoteReference w:id="44"/>
      </w:r>
      <w:r>
        <w:rPr>
          <w:rFonts w:ascii="Times New Roman" w:hAnsi="Times New Roman"/>
        </w:rPr>
        <w:t xml:space="preserve"> för att göra auktionstillgången på utsläppsrätter mer flexibel. </w:t>
      </w:r>
      <w:r>
        <w:rPr>
          <w:rFonts w:ascii="Times New Roman" w:hAnsi="Times New Roman"/>
          <w:bCs/>
          <w:iCs/>
        </w:rPr>
        <w:t>Vid översynen av EU:s utsläppshandelssystem</w:t>
      </w:r>
      <w:r>
        <w:rPr>
          <w:rFonts w:ascii="Times New Roman" w:eastAsia="Times New Roman" w:hAnsi="Times New Roman" w:cstheme="minorBidi"/>
          <w:bCs/>
          <w:iCs/>
          <w:vertAlign w:val="superscript"/>
        </w:rPr>
        <w:footnoteReference w:id="45"/>
      </w:r>
      <w:r>
        <w:rPr>
          <w:rFonts w:ascii="Times New Roman" w:hAnsi="Times New Roman"/>
          <w:bCs/>
          <w:iCs/>
        </w:rPr>
        <w:t xml:space="preserve"> gjordes viktiga funktionsmässiga förändringar i reserven för marknadsstabilitet, såsom framgår av textrutan nedan. </w:t>
      </w:r>
      <w:r>
        <w:rPr>
          <w:rFonts w:ascii="Times New Roman" w:hAnsi="Times New Roman"/>
        </w:rPr>
        <w:t>Reserven för marknadsstabilitet togs i drift i början av 2019.</w:t>
      </w:r>
    </w:p>
    <w:p w14:paraId="62966FD3" w14:textId="77777777" w:rsidR="0017587A" w:rsidRDefault="0017587A">
      <w:pPr>
        <w:jc w:val="both"/>
        <w:rPr>
          <w:rFonts w:ascii="Times New Roman" w:hAnsi="Times New Roman"/>
          <w:sz w:val="24"/>
          <w:szCs w:val="24"/>
        </w:rPr>
      </w:pPr>
    </w:p>
    <w:p w14:paraId="404CD0E3" w14:textId="77777777" w:rsidR="0017587A" w:rsidRDefault="003A348D">
      <w:r>
        <w:rPr>
          <w:rFonts w:ascii="Times New Roman" w:hAnsi="Times New Roman"/>
          <w:noProof/>
          <w:lang w:val="en-GB" w:eastAsia="en-GB"/>
        </w:rPr>
        <mc:AlternateContent>
          <mc:Choice Requires="wps">
            <w:drawing>
              <wp:inline distT="0" distB="0" distL="0" distR="0" wp14:anchorId="14D9424C" wp14:editId="6DD11966">
                <wp:extent cx="5731510" cy="6269182"/>
                <wp:effectExtent l="0" t="0" r="21590" b="1778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269182"/>
                        </a:xfrm>
                        <a:prstGeom prst="rect">
                          <a:avLst/>
                        </a:prstGeom>
                        <a:solidFill>
                          <a:sysClr val="window" lastClr="FFFFFF">
                            <a:lumMod val="85000"/>
                          </a:sysClr>
                        </a:solidFill>
                        <a:ln w="12700">
                          <a:solidFill>
                            <a:srgbClr val="000000"/>
                          </a:solidFill>
                          <a:miter lim="800000"/>
                          <a:headEnd/>
                          <a:tailEnd/>
                        </a:ln>
                      </wps:spPr>
                      <wps:txbx>
                        <w:txbxContent>
                          <w:p w14:paraId="46C0987F" w14:textId="77777777" w:rsidR="0017587A" w:rsidRDefault="00516F65">
                            <w:pPr>
                              <w:jc w:val="both"/>
                              <w:rPr>
                                <w:rFonts w:ascii="Times New Roman" w:hAnsi="Times New Roman"/>
                                <w:sz w:val="24"/>
                                <w:szCs w:val="24"/>
                              </w:rPr>
                            </w:pPr>
                            <w:r>
                              <w:rPr>
                                <w:rFonts w:ascii="Times New Roman" w:hAnsi="Times New Roman"/>
                              </w:rPr>
                              <w:t xml:space="preserve">Ett nyckelbegrepp för reserven för marknadsstabilitet är det totala antalet utsläppsrätter i omlopp. Utsläppsrätter ska läggas till reserven om det totala antalet utsläppsrätter i omlopp ligger över ett visst tak (833 miljoner utsläppsrätter) och ska tas ut från reserven om antalet är lägre än ett visst förutbestämt tröskelvärde (mindre än 400 miljoner utsläppsrätter)*. På så sätt ska reserven för marknadsstabilitet ta upp eller frisläppa utsläppsrätter om det totala antalet utsläppsrätter i omlopp ligger utanför ett fastställt intervall. Senarelagda utsläppsrätter från perioden 2014–2016** och så kallade icke tilldelade*** utsläppsrätter kommer också att tas med i reserven. </w:t>
                            </w:r>
                          </w:p>
                          <w:p w14:paraId="65A710FB" w14:textId="77777777" w:rsidR="0017587A" w:rsidRDefault="00516F65">
                            <w:pPr>
                              <w:jc w:val="both"/>
                              <w:rPr>
                                <w:rFonts w:ascii="Times New Roman" w:hAnsi="Times New Roman"/>
                                <w:sz w:val="24"/>
                                <w:szCs w:val="24"/>
                              </w:rPr>
                            </w:pPr>
                            <w:r>
                              <w:rPr>
                                <w:rFonts w:ascii="Times New Roman" w:hAnsi="Times New Roman"/>
                              </w:rPr>
                              <w:t>Det totala antal utsläppsrätter i omlopp som är relevant för att fastställa in- och utflödet i reserven för marknadsstabilitet beräknas med följande formel:</w:t>
                            </w:r>
                          </w:p>
                          <w:p w14:paraId="55436D03" w14:textId="77777777" w:rsidR="0017587A" w:rsidRDefault="00516F65">
                            <w:pPr>
                              <w:jc w:val="both"/>
                              <w:rPr>
                                <w:rFonts w:ascii="Times New Roman" w:hAnsi="Times New Roman"/>
                                <w:sz w:val="24"/>
                                <w:szCs w:val="24"/>
                              </w:rPr>
                            </w:pPr>
                            <w:r>
                              <w:rPr>
                                <w:rFonts w:ascii="Times New Roman" w:hAnsi="Times New Roman"/>
                              </w:rPr>
                              <w:t>Totalt antal utsläppsrätter i omlopp = tillgång − (efterfrågan + utsläppsrätter i reserven för marknadsstabilitet)</w:t>
                            </w:r>
                          </w:p>
                          <w:p w14:paraId="16B9E149" w14:textId="77777777" w:rsidR="0017587A" w:rsidRDefault="00516F65">
                            <w:pPr>
                              <w:rPr>
                                <w:rFonts w:ascii="Times New Roman" w:hAnsi="Times New Roman"/>
                                <w:sz w:val="24"/>
                                <w:szCs w:val="24"/>
                              </w:rPr>
                            </w:pPr>
                            <w:r>
                              <w:rPr>
                                <w:rFonts w:ascii="Times New Roman" w:hAnsi="Times New Roman"/>
                              </w:rPr>
                              <w:t>De tillgångs- och efterfrågekomponenter som används i formeln beskrivs närmare i tabell 4.1 i tillägg 4 till bilagan.</w:t>
                            </w:r>
                          </w:p>
                          <w:p w14:paraId="74047526" w14:textId="77777777" w:rsidR="0017587A" w:rsidRDefault="00516F65">
                            <w:pPr>
                              <w:jc w:val="both"/>
                              <w:rPr>
                                <w:rFonts w:ascii="Times New Roman" w:hAnsi="Times New Roman"/>
                                <w:sz w:val="24"/>
                                <w:szCs w:val="24"/>
                              </w:rPr>
                            </w:pPr>
                            <w:r>
                              <w:rPr>
                                <w:rFonts w:ascii="Times New Roman" w:hAnsi="Times New Roman"/>
                              </w:rPr>
                              <w:t xml:space="preserve">Det reviderade direktivet om EU:s utsläppshandelssystem innebär två väsentliga funktionsmässiga förändringar i reserven för marknadsstabilitet. För det första har den andel av det totala antalet utsläppsrätter i omlopp som ska placeras i reserven från 2019 till 2023 fördubblats från 12 till 24 %. Det betyder att överskottet kommer att minskas betydligt snabbare. För det andra kommer utsläppsrätter i reserven för marknadsstabilitet som överskrider föregående års auktionsvolym att bli ogiltiga från och med 2023. </w:t>
                            </w:r>
                          </w:p>
                          <w:p w14:paraId="6A0F2585" w14:textId="77777777" w:rsidR="0017587A" w:rsidRDefault="00516F65">
                            <w:pPr>
                              <w:jc w:val="both"/>
                              <w:rPr>
                                <w:rFonts w:ascii="Times New Roman" w:hAnsi="Times New Roman"/>
                                <w:sz w:val="18"/>
                                <w:szCs w:val="18"/>
                              </w:rPr>
                            </w:pPr>
                            <w:r>
                              <w:rPr>
                                <w:rFonts w:ascii="Times New Roman" w:hAnsi="Times New Roman"/>
                                <w:sz w:val="18"/>
                                <w:szCs w:val="18"/>
                              </w:rPr>
                              <w:t>* Eller när åtgärder vidtas i enlighet med artikel 29a i direktivet om EU:s utsläppshandelssystem.</w:t>
                            </w:r>
                          </w:p>
                          <w:p w14:paraId="621F3CC0" w14:textId="77777777" w:rsidR="0017587A" w:rsidRDefault="00516F65">
                            <w:pPr>
                              <w:jc w:val="both"/>
                              <w:rPr>
                                <w:rFonts w:ascii="Times New Roman" w:hAnsi="Times New Roman"/>
                                <w:sz w:val="18"/>
                                <w:szCs w:val="18"/>
                              </w:rPr>
                            </w:pPr>
                            <w:r>
                              <w:rPr>
                                <w:rFonts w:ascii="Times New Roman" w:hAnsi="Times New Roman"/>
                                <w:sz w:val="18"/>
                                <w:szCs w:val="18"/>
                              </w:rPr>
                              <w:t>** Europaparlamentets och rådets beslut nr 1359/2013/EU av den 17 december 2013 om ändring av direktiv 2003/87/EG vad gäller att förtydliga bestämmelserna om tidsschemat för auktioner av utsläppsrätter för växthusgaser (EUTL 343, 19.12.2013, s. 1).</w:t>
                            </w:r>
                          </w:p>
                          <w:p w14:paraId="636A7EFE" w14:textId="77777777" w:rsidR="0017587A" w:rsidRDefault="00516F65">
                            <w:pPr>
                              <w:jc w:val="both"/>
                              <w:rPr>
                                <w:rFonts w:ascii="Times New Roman" w:hAnsi="Times New Roman"/>
                                <w:sz w:val="18"/>
                                <w:szCs w:val="18"/>
                              </w:rPr>
                            </w:pPr>
                            <w:r>
                              <w:rPr>
                                <w:rFonts w:ascii="Times New Roman" w:hAnsi="Times New Roman"/>
                                <w:sz w:val="18"/>
                                <w:szCs w:val="18"/>
                              </w:rPr>
                              <w:t>*** Icke tilldelade utsläppsrätter är utsläppsrätter som inte har tilldelats enligt artikel 10a.7 i direktivet om EU:s utsläppshandelssystem, det vill säga utsläppsrätter som ligger kvar i reserven för nya deltagare och som är en följd av tillämpningen av artikel 10a.19 och 10a.20, det vill säga utsläppsrätter som har avsatts för gratis tilldelning till anläggningar men som inte har tilldelats på grund av att driften har lagts ned helt eller delvis eller att kapaciteten har minskat avsevärt. Faktiska ”icke tilldelade” utsläppsrätter som beror på tillämpning av den relevanta koldioxidläckagefaktorn för sektorer som inte ingår i koldioxidläckageförteckningen under nuvarande period, samt alla utsläppsrätter som inte har tilldelats enligt artikel 10c i direktivet om EU:s utsläppshandelssystem, kommer inte att läggas till i reserven för marknadsstabilitet enligt artikel 1.3 i beslut (EU) 2015/1814. Sådana utsläppsrätter omfattas därför inte (se s. 225 i konsekvensbedömningen (SWD(2015) 135 final)) som åtföljer förslaget om revidering av utsläppshandelssystemet under fas 4.</w:t>
                            </w:r>
                          </w:p>
                          <w:p w14:paraId="0796D009" w14:textId="77777777" w:rsidR="0017587A" w:rsidRDefault="0017587A">
                            <w:pPr>
                              <w:rPr>
                                <w:rFonts w:ascii="Times New Roman" w:hAnsi="Times New Roman"/>
                                <w:sz w:val="18"/>
                                <w:szCs w:val="18"/>
                              </w:rPr>
                            </w:pPr>
                          </w:p>
                        </w:txbxContent>
                      </wps:txbx>
                      <wps:bodyPr rot="0" vert="horz" wrap="square" lIns="91440" tIns="45720" rIns="91440" bIns="45720" anchor="t" anchorCtr="0">
                        <a:noAutofit/>
                      </wps:bodyPr>
                    </wps:wsp>
                  </a:graphicData>
                </a:graphic>
              </wp:inline>
            </w:drawing>
          </mc:Choice>
          <mc:Fallback>
            <w:pict>
              <v:shape w14:anchorId="14D9424C" id="_x0000_s1036" type="#_x0000_t202" style="width:451.3pt;height:4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" fillcolor="#d9d9d9" strokeweight="1pt">
                <v:textbox>
                  <w:txbxContent>
                    <w:p w14:paraId="46C0987F" w14:textId="77777777" w:rsidR="0017587A" w:rsidRDefault="00516F65">
                      <w:pPr>
                        <w:jc w:val="both"/>
                        <w:rPr>
                          <w:rFonts w:ascii="Times New Roman" w:hAnsi="Times New Roman"/>
                          <w:sz w:val="24"/>
                          <w:szCs w:val="24"/>
                        </w:rPr>
                      </w:pPr>
                      <w:r>
                        <w:rPr>
                          <w:rFonts w:ascii="Times New Roman" w:hAnsi="Times New Roman"/>
                        </w:rPr>
                        <w:t xml:space="preserve">Ett nyckelbegrepp för reserven för marknadsstabilitet är det totala antalet utsläppsrätter i omlopp. Utsläppsrätter ska läggas till reserven om det totala antalet utsläppsrätter i omlopp ligger över ett visst tak (833 miljoner utsläppsrätter) och ska tas ut från reserven om antalet är lägre än ett visst förutbestämt tröskelvärde (mindre än 400 miljoner utsläppsrätter)*. På så sätt ska reserven för marknadsstabilitet ta upp eller frisläppa utsläppsrätter om det totala antalet utsläppsrätter i omlopp ligger utanför ett fastställt intervall. Senarelagda utsläppsrätter från perioden 2014–2016** och så kallade icke tilldelade*** utsläppsrätter kommer också att tas med i reserven. </w:t>
                      </w:r>
                    </w:p>
                    <w:p w14:paraId="65A710FB" w14:textId="77777777" w:rsidR="0017587A" w:rsidRDefault="00516F65">
                      <w:pPr>
                        <w:jc w:val="both"/>
                        <w:rPr>
                          <w:rFonts w:ascii="Times New Roman" w:hAnsi="Times New Roman"/>
                          <w:sz w:val="24"/>
                          <w:szCs w:val="24"/>
                        </w:rPr>
                      </w:pPr>
                      <w:r>
                        <w:rPr>
                          <w:rFonts w:ascii="Times New Roman" w:hAnsi="Times New Roman"/>
                        </w:rPr>
                        <w:t>Det totala antal utsläppsrätter i omlopp som är relevant för att fastställa in- och utflödet i reserven för marknadsstabilitet beräknas med följande formel:</w:t>
                      </w:r>
                    </w:p>
                    <w:p w14:paraId="55436D03" w14:textId="77777777" w:rsidR="0017587A" w:rsidRDefault="00516F65">
                      <w:pPr>
                        <w:jc w:val="both"/>
                        <w:rPr>
                          <w:rFonts w:ascii="Times New Roman" w:hAnsi="Times New Roman"/>
                          <w:sz w:val="24"/>
                          <w:szCs w:val="24"/>
                        </w:rPr>
                      </w:pPr>
                      <w:r>
                        <w:rPr>
                          <w:rFonts w:ascii="Times New Roman" w:hAnsi="Times New Roman"/>
                        </w:rPr>
                        <w:t>Totalt antal utsläppsrätter i omlopp = tillgång − (efterfrågan + utsläppsrätter i reserven för marknadsstabilitet)</w:t>
                      </w:r>
                    </w:p>
                    <w:p w14:paraId="16B9E149" w14:textId="77777777" w:rsidR="0017587A" w:rsidRDefault="00516F65">
                      <w:pPr>
                        <w:rPr>
                          <w:rFonts w:ascii="Times New Roman" w:hAnsi="Times New Roman"/>
                          <w:sz w:val="24"/>
                          <w:szCs w:val="24"/>
                        </w:rPr>
                      </w:pPr>
                      <w:r>
                        <w:rPr>
                          <w:rFonts w:ascii="Times New Roman" w:hAnsi="Times New Roman"/>
                        </w:rPr>
                        <w:t>De tillgångs- och efterfrågekomponenter som används i formeln beskrivs närmare i tabell 4.1 i tillägg 4 till bilagan.</w:t>
                      </w:r>
                    </w:p>
                    <w:p w14:paraId="74047526" w14:textId="77777777" w:rsidR="0017587A" w:rsidRDefault="00516F65">
                      <w:pPr>
                        <w:jc w:val="both"/>
                        <w:rPr>
                          <w:rFonts w:ascii="Times New Roman" w:hAnsi="Times New Roman"/>
                          <w:sz w:val="24"/>
                          <w:szCs w:val="24"/>
                        </w:rPr>
                      </w:pPr>
                      <w:r>
                        <w:rPr>
                          <w:rFonts w:ascii="Times New Roman" w:hAnsi="Times New Roman"/>
                        </w:rPr>
                        <w:t xml:space="preserve">Det reviderade direktivet om EU:s utsläppshandelssystem innebär två väsentliga funktionsmässiga förändringar i reserven för marknadsstabilitet. För det första har den andel av det totala antalet utsläppsrätter i omlopp som ska placeras i reserven från 2019 till 2023 fördubblats från 12 till 24 %. Det betyder att överskottet kommer att minskas betydligt snabbare. För det andra kommer utsläppsrätter i reserven för marknadsstabilitet som överskrider föregående års auktionsvolym att bli ogiltiga från och med 2023. </w:t>
                      </w:r>
                    </w:p>
                    <w:p w14:paraId="6A0F2585" w14:textId="77777777" w:rsidR="0017587A" w:rsidRDefault="00516F65">
                      <w:pPr>
                        <w:jc w:val="both"/>
                        <w:rPr>
                          <w:rFonts w:ascii="Times New Roman" w:hAnsi="Times New Roman"/>
                          <w:sz w:val="18"/>
                          <w:szCs w:val="18"/>
                        </w:rPr>
                      </w:pPr>
                      <w:r>
                        <w:rPr>
                          <w:rFonts w:ascii="Times New Roman" w:hAnsi="Times New Roman"/>
                          <w:sz w:val="18"/>
                          <w:szCs w:val="18"/>
                        </w:rPr>
                        <w:t>* Eller när åtgärder vidtas i enlighet med artikel 29a i direktivet om EU:s utsläppshandelssystem.</w:t>
                      </w:r>
                    </w:p>
                    <w:p w14:paraId="621F3CC0" w14:textId="77777777" w:rsidR="0017587A" w:rsidRDefault="00516F65">
                      <w:pPr>
                        <w:jc w:val="both"/>
                        <w:rPr>
                          <w:rFonts w:ascii="Times New Roman" w:hAnsi="Times New Roman"/>
                          <w:sz w:val="18"/>
                          <w:szCs w:val="18"/>
                        </w:rPr>
                      </w:pPr>
                      <w:r>
                        <w:rPr>
                          <w:rFonts w:ascii="Times New Roman" w:hAnsi="Times New Roman"/>
                          <w:sz w:val="18"/>
                          <w:szCs w:val="18"/>
                        </w:rPr>
                        <w:t>** Europaparlamentets och rådets beslut nr 1359/2013/EU av den 17 december 2013 om ändring av direktiv 2003/87/EG vad gäller att förtydliga bestämmelserna om tidsschemat för auktioner av utsläppsrätter för växthusgaser (EUTL 343, 19.12.2013, s. 1).</w:t>
                      </w:r>
                    </w:p>
                    <w:p w14:paraId="636A7EFE" w14:textId="77777777" w:rsidR="0017587A" w:rsidRDefault="00516F65">
                      <w:pPr>
                        <w:jc w:val="both"/>
                        <w:rPr>
                          <w:rFonts w:ascii="Times New Roman" w:hAnsi="Times New Roman"/>
                          <w:sz w:val="18"/>
                          <w:szCs w:val="18"/>
                        </w:rPr>
                      </w:pPr>
                      <w:r>
                        <w:rPr>
                          <w:rFonts w:ascii="Times New Roman" w:hAnsi="Times New Roman"/>
                          <w:sz w:val="18"/>
                          <w:szCs w:val="18"/>
                        </w:rPr>
                        <w:t>*** Icke tilldelade utsläppsrätter är utsläppsrätter som inte har tilldelats enligt artikel 10a.7 i direktivet om EU:s utsläppshandelssystem, det vill säga utsläppsrätter som ligger kvar i reserven för nya deltagare och som är en följd av tillämpningen av artikel 10a.19 och 10a.20, det vill säga utsläppsrätter som har avsatts för gratis tilldelning till anläggningar men som inte har tilldelats på grund av att driften har lagts ned helt eller delvis eller att kapaciteten har minskat avsevärt. Faktiska ”icke tilldelade” utsläppsrätter som beror på tillämpning av den relevanta koldioxidläckagefaktorn för sektorer som inte ingår i koldioxidläckageförteckningen under nuvarande period, samt alla utsläppsrätter som inte har tilldelats enligt artikel 10c i direktivet om EU:s utsläppshandelssystem, kommer inte att läggas till i reserven för marknadsstabilitet enligt artikel 1.3 i beslut (EU) 2015/1814. Sådana utsläppsrätter omfattas därför inte (se s. 225 i konsekvensbedömningen (SWD(2015) 135 final)) som åtföljer förslaget om revidering av utsläppshandelssystemet under fas 4.</w:t>
                      </w:r>
                    </w:p>
                    <w:p w14:paraId="0796D009" w14:textId="77777777" w:rsidR="0017587A" w:rsidRDefault="0017587A">
                      <w:pPr>
                        <w:rPr>
                          <w:rFonts w:ascii="Times New Roman" w:hAnsi="Times New Roman"/>
                          <w:sz w:val="18"/>
                          <w:szCs w:val="18"/>
                        </w:rPr>
                      </w:pPr>
                    </w:p>
                  </w:txbxContent>
                </v:textbox>
                <w10:anchorlock/>
              </v:shape>
            </w:pict>
          </mc:Fallback>
        </mc:AlternateContent>
      </w:r>
    </w:p>
    <w:p w14:paraId="5DF66922" w14:textId="77777777" w:rsidR="0017587A" w:rsidRDefault="00EB4AF8">
      <w:pPr>
        <w:jc w:val="both"/>
        <w:rPr>
          <w:rFonts w:ascii="Times New Roman" w:hAnsi="Times New Roman"/>
          <w:sz w:val="24"/>
          <w:szCs w:val="24"/>
        </w:rPr>
      </w:pPr>
      <w:r>
        <w:rPr>
          <w:rFonts w:ascii="Times New Roman" w:hAnsi="Times New Roman"/>
        </w:rPr>
        <w:t xml:space="preserve">I rapporten om koldioxidmarknaden går det att konsolidera de siffror för tillgång och efterfrågan som offentliggörs enligt tidsplanen för de rapporter som ska publiceras i enlighet med direktivet om EU:s utsläppshandelssystem och dess tillämpningsföreskrifter. </w:t>
      </w:r>
    </w:p>
    <w:p w14:paraId="512C20EE" w14:textId="77777777" w:rsidR="0017587A" w:rsidRDefault="00EB4AF8">
      <w:pPr>
        <w:jc w:val="both"/>
        <w:rPr>
          <w:rFonts w:ascii="Times New Roman" w:hAnsi="Times New Roman"/>
        </w:rPr>
      </w:pPr>
      <w:r>
        <w:rPr>
          <w:rFonts w:ascii="Times New Roman" w:hAnsi="Times New Roman"/>
        </w:rPr>
        <w:t>Tillgång och efterfrågan under 2018 framgår av figur 5. Relevanta uppgifter har också publicerats i det tredje meddelandet om det totala antalet utsläppsrätter i omlopp med avseende på reserven för marknadsstabilitet</w:t>
      </w:r>
      <w:r>
        <w:rPr>
          <w:rFonts w:ascii="Times New Roman" w:hAnsi="Times New Roman"/>
          <w:vertAlign w:val="superscript"/>
        </w:rPr>
        <w:footnoteReference w:id="46"/>
      </w:r>
      <w:r>
        <w:rPr>
          <w:rFonts w:ascii="Times New Roman" w:hAnsi="Times New Roman"/>
        </w:rPr>
        <w:t>.</w:t>
      </w:r>
    </w:p>
    <w:p w14:paraId="24F833AA" w14:textId="77777777" w:rsidR="0017587A" w:rsidRDefault="0017587A">
      <w:pPr>
        <w:jc w:val="both"/>
        <w:rPr>
          <w:rFonts w:ascii="Times New Roman" w:hAnsi="Times New Roman"/>
        </w:rPr>
      </w:pPr>
    </w:p>
    <w:p w14:paraId="60E2B522" w14:textId="77777777" w:rsidR="0017587A" w:rsidRDefault="003A348D">
      <w:pPr>
        <w:jc w:val="both"/>
        <w:rPr>
          <w:rFonts w:ascii="Times New Roman" w:hAnsi="Times New Roman"/>
        </w:rPr>
      </w:pPr>
      <w:r>
        <w:rPr>
          <w:rFonts w:ascii="Times New Roman" w:hAnsi="Times New Roman"/>
          <w:b/>
        </w:rPr>
        <w:t>Figur 5: Kumulativ tillgång och efterfrågan fram till utgången av 2018</w:t>
      </w:r>
    </w:p>
    <w:p w14:paraId="744BB1EA" w14:textId="77777777" w:rsidR="0017587A" w:rsidRDefault="003A348D">
      <w:pPr>
        <w:rPr>
          <w:sz w:val="20"/>
          <w:szCs w:val="20"/>
        </w:rPr>
      </w:pPr>
      <w:r>
        <w:rPr>
          <w:rFonts w:ascii="Times New Roman" w:hAnsi="Times New Roman"/>
          <w:b/>
          <w:bCs/>
          <w:sz w:val="20"/>
          <w:szCs w:val="20"/>
        </w:rPr>
        <w:t>Tillgång</w:t>
      </w:r>
      <w:r>
        <w:rPr>
          <w:rFonts w:ascii="Times New Roman" w:hAnsi="Times New Roman"/>
          <w:sz w:val="20"/>
          <w:szCs w:val="20"/>
        </w:rPr>
        <w:t xml:space="preserve"> (kumulativ, i miljoner)</w:t>
      </w:r>
      <w:r>
        <w:rPr>
          <w:rFonts w:ascii="Times New Roman" w:hAnsi="Times New Roman"/>
          <w:sz w:val="20"/>
          <w:szCs w:val="20"/>
        </w:rPr>
        <w:tab/>
        <w:t xml:space="preserve">                   </w:t>
      </w:r>
      <w:r>
        <w:rPr>
          <w:rFonts w:ascii="Times New Roman" w:hAnsi="Times New Roman"/>
          <w:b/>
          <w:bCs/>
          <w:sz w:val="20"/>
          <w:szCs w:val="20"/>
        </w:rPr>
        <w:t>Efterfrågan</w:t>
      </w:r>
      <w:r>
        <w:rPr>
          <w:rFonts w:ascii="Times New Roman" w:hAnsi="Times New Roman"/>
          <w:sz w:val="20"/>
          <w:szCs w:val="20"/>
        </w:rPr>
        <w:t xml:space="preserve"> (kumulativ, i miljoner)</w:t>
      </w:r>
    </w:p>
    <w:p w14:paraId="16F552AD" w14:textId="77777777" w:rsidR="0017587A" w:rsidRDefault="008E69DA">
      <w:pPr>
        <w:spacing w:after="0"/>
      </w:pPr>
      <w:r>
        <w:rPr>
          <w:noProof/>
          <w:lang w:val="en-GB" w:eastAsia="en-GB"/>
        </w:rPr>
        <w:drawing>
          <wp:inline distT="0" distB="0" distL="0" distR="0" wp14:anchorId="09C85C50" wp14:editId="668A1F15">
            <wp:extent cx="2260315" cy="3174715"/>
            <wp:effectExtent l="0" t="0" r="6985"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val="en-GB" w:eastAsia="en-GB"/>
        </w:rPr>
        <w:drawing>
          <wp:inline distT="0" distB="0" distL="0" distR="0" wp14:anchorId="5BD76768" wp14:editId="71A6E781">
            <wp:extent cx="2167255" cy="3170381"/>
            <wp:effectExtent l="0" t="0" r="4445"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716347" w14:textId="77777777" w:rsidR="0017587A" w:rsidRDefault="00526348">
      <w:pPr>
        <w:rPr>
          <w:rFonts w:ascii="Times New Roman" w:hAnsi="Times New Roman"/>
          <w:sz w:val="18"/>
          <w:szCs w:val="18"/>
        </w:rPr>
      </w:pPr>
      <w:r>
        <w:rPr>
          <w:rFonts w:ascii="Times New Roman" w:hAnsi="Times New Roman"/>
          <w:sz w:val="18"/>
          <w:szCs w:val="18"/>
        </w:rPr>
        <w:t>Källa: GD Klimatpolitik</w:t>
      </w:r>
    </w:p>
    <w:tbl>
      <w:tblPr>
        <w:tblW w:w="4051" w:type="dxa"/>
        <w:jc w:val="center"/>
        <w:tblLook w:val="04A0" w:firstRow="1" w:lastRow="0" w:firstColumn="1" w:lastColumn="0" w:noHBand="0" w:noVBand="1"/>
      </w:tblPr>
      <w:tblGrid>
        <w:gridCol w:w="551"/>
        <w:gridCol w:w="3500"/>
      </w:tblGrid>
      <w:tr w:rsidR="0017587A" w14:paraId="0FD8B42A" w14:textId="77777777" w:rsidTr="008E69DA">
        <w:trPr>
          <w:trHeight w:val="310"/>
          <w:jc w:val="center"/>
        </w:trPr>
        <w:tc>
          <w:tcPr>
            <w:tcW w:w="551" w:type="dxa"/>
            <w:tcBorders>
              <w:top w:val="nil"/>
              <w:left w:val="nil"/>
              <w:bottom w:val="nil"/>
              <w:right w:val="nil"/>
            </w:tcBorders>
            <w:shd w:val="clear" w:color="auto" w:fill="4BACC6" w:themeFill="accent5"/>
            <w:noWrap/>
            <w:vAlign w:val="center"/>
          </w:tcPr>
          <w:p w14:paraId="04FA8FFC" w14:textId="77777777" w:rsidR="0017587A" w:rsidRDefault="005C54C3">
            <w:pPr>
              <w:spacing w:line="240" w:lineRule="auto"/>
              <w:rPr>
                <w:rFonts w:ascii="Times New Roman" w:eastAsia="Times New Roman" w:hAnsi="Times New Roman"/>
                <w:color w:val="000000"/>
                <w:sz w:val="24"/>
                <w:szCs w:val="24"/>
              </w:rPr>
            </w:pPr>
            <w:r>
              <w:rPr>
                <w:rFonts w:ascii="Times New Roman" w:hAnsi="Times New Roman"/>
              </w:rPr>
              <w:t> </w:t>
            </w:r>
          </w:p>
        </w:tc>
        <w:tc>
          <w:tcPr>
            <w:tcW w:w="3500" w:type="dxa"/>
            <w:tcBorders>
              <w:top w:val="nil"/>
              <w:left w:val="nil"/>
              <w:bottom w:val="nil"/>
              <w:right w:val="nil"/>
            </w:tcBorders>
            <w:shd w:val="clear" w:color="000000" w:fill="FFFFFF"/>
            <w:noWrap/>
            <w:vAlign w:val="center"/>
          </w:tcPr>
          <w:p w14:paraId="1B726D52" w14:textId="77777777" w:rsidR="0017587A" w:rsidRDefault="005C54C3">
            <w:pPr>
              <w:spacing w:line="240" w:lineRule="auto"/>
              <w:rPr>
                <w:rFonts w:ascii="Times New Roman" w:eastAsia="Times New Roman" w:hAnsi="Times New Roman"/>
                <w:color w:val="000000"/>
                <w:sz w:val="20"/>
                <w:szCs w:val="20"/>
              </w:rPr>
            </w:pPr>
            <w:r>
              <w:rPr>
                <w:rFonts w:ascii="Times New Roman" w:hAnsi="Times New Roman"/>
                <w:sz w:val="20"/>
                <w:szCs w:val="20"/>
              </w:rPr>
              <w:t>Auktionering</w:t>
            </w:r>
          </w:p>
        </w:tc>
      </w:tr>
      <w:tr w:rsidR="0017587A" w14:paraId="08CA4BD6" w14:textId="77777777" w:rsidTr="008E69DA">
        <w:trPr>
          <w:trHeight w:val="310"/>
          <w:jc w:val="center"/>
        </w:trPr>
        <w:tc>
          <w:tcPr>
            <w:tcW w:w="551" w:type="dxa"/>
            <w:tcBorders>
              <w:top w:val="nil"/>
              <w:left w:val="nil"/>
              <w:bottom w:val="nil"/>
              <w:right w:val="nil"/>
            </w:tcBorders>
            <w:shd w:val="clear" w:color="auto" w:fill="C0504D" w:themeFill="accent2"/>
            <w:noWrap/>
            <w:vAlign w:val="center"/>
          </w:tcPr>
          <w:p w14:paraId="07846CC7" w14:textId="77777777" w:rsidR="0017587A"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3500" w:type="dxa"/>
            <w:tcBorders>
              <w:top w:val="nil"/>
              <w:left w:val="nil"/>
              <w:bottom w:val="nil"/>
              <w:right w:val="nil"/>
            </w:tcBorders>
            <w:shd w:val="clear" w:color="000000" w:fill="FFFFFF"/>
            <w:noWrap/>
            <w:vAlign w:val="center"/>
          </w:tcPr>
          <w:p w14:paraId="7E4DC6A3" w14:textId="77777777" w:rsidR="0017587A"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Gratis tilldelning</w:t>
            </w:r>
          </w:p>
        </w:tc>
      </w:tr>
      <w:tr w:rsidR="0017587A" w14:paraId="3702DC68" w14:textId="77777777" w:rsidTr="008E69DA">
        <w:trPr>
          <w:trHeight w:val="310"/>
          <w:jc w:val="center"/>
        </w:trPr>
        <w:tc>
          <w:tcPr>
            <w:tcW w:w="551" w:type="dxa"/>
            <w:tcBorders>
              <w:top w:val="nil"/>
              <w:left w:val="nil"/>
              <w:bottom w:val="nil"/>
              <w:right w:val="nil"/>
            </w:tcBorders>
            <w:shd w:val="clear" w:color="auto" w:fill="9BBB59" w:themeFill="accent3"/>
            <w:noWrap/>
            <w:vAlign w:val="center"/>
          </w:tcPr>
          <w:p w14:paraId="53CC0484" w14:textId="77777777" w:rsidR="0017587A"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3500" w:type="dxa"/>
            <w:tcBorders>
              <w:top w:val="nil"/>
              <w:left w:val="nil"/>
              <w:bottom w:val="nil"/>
              <w:right w:val="nil"/>
            </w:tcBorders>
            <w:shd w:val="clear" w:color="000000" w:fill="FFFFFF"/>
            <w:noWrap/>
            <w:vAlign w:val="center"/>
          </w:tcPr>
          <w:p w14:paraId="54D6297F" w14:textId="77777777" w:rsidR="0017587A"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Gratis tilldelning (NER)</w:t>
            </w:r>
          </w:p>
        </w:tc>
      </w:tr>
      <w:tr w:rsidR="0017587A" w14:paraId="7BFE0879" w14:textId="77777777" w:rsidTr="008E69DA">
        <w:trPr>
          <w:trHeight w:val="310"/>
          <w:jc w:val="center"/>
        </w:trPr>
        <w:tc>
          <w:tcPr>
            <w:tcW w:w="551" w:type="dxa"/>
            <w:tcBorders>
              <w:top w:val="nil"/>
              <w:left w:val="nil"/>
              <w:bottom w:val="nil"/>
              <w:right w:val="nil"/>
            </w:tcBorders>
            <w:shd w:val="clear" w:color="auto" w:fill="8064A2" w:themeFill="accent4"/>
            <w:noWrap/>
            <w:vAlign w:val="center"/>
          </w:tcPr>
          <w:p w14:paraId="03CE5182" w14:textId="77777777" w:rsidR="0017587A"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3500" w:type="dxa"/>
            <w:tcBorders>
              <w:top w:val="nil"/>
              <w:left w:val="nil"/>
              <w:bottom w:val="nil"/>
              <w:right w:val="nil"/>
            </w:tcBorders>
            <w:shd w:val="clear" w:color="000000" w:fill="FFFFFF"/>
            <w:noWrap/>
            <w:vAlign w:val="center"/>
          </w:tcPr>
          <w:p w14:paraId="1D19A5E5" w14:textId="77777777" w:rsidR="0017587A"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Gratis tilldelning (10c)</w:t>
            </w:r>
          </w:p>
        </w:tc>
      </w:tr>
      <w:tr w:rsidR="0017587A" w14:paraId="65D722B4" w14:textId="77777777" w:rsidTr="008E69DA">
        <w:trPr>
          <w:trHeight w:val="310"/>
          <w:jc w:val="center"/>
        </w:trPr>
        <w:tc>
          <w:tcPr>
            <w:tcW w:w="551" w:type="dxa"/>
            <w:tcBorders>
              <w:top w:val="nil"/>
              <w:left w:val="nil"/>
              <w:bottom w:val="nil"/>
              <w:right w:val="nil"/>
            </w:tcBorders>
            <w:shd w:val="clear" w:color="auto" w:fill="1F497D" w:themeFill="text2"/>
            <w:noWrap/>
            <w:vAlign w:val="center"/>
          </w:tcPr>
          <w:p w14:paraId="5B97F255" w14:textId="77777777" w:rsidR="0017587A"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3500" w:type="dxa"/>
            <w:tcBorders>
              <w:top w:val="nil"/>
              <w:left w:val="nil"/>
              <w:bottom w:val="nil"/>
              <w:right w:val="nil"/>
            </w:tcBorders>
            <w:shd w:val="clear" w:color="000000" w:fill="FFFFFF"/>
            <w:noWrap/>
            <w:vAlign w:val="center"/>
          </w:tcPr>
          <w:p w14:paraId="6F3881C4" w14:textId="77777777" w:rsidR="0017587A"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Internationella reduktionsenheter som har utbytts</w:t>
            </w:r>
          </w:p>
        </w:tc>
      </w:tr>
      <w:tr w:rsidR="0017587A" w14:paraId="390B3415" w14:textId="77777777" w:rsidTr="008E69DA">
        <w:trPr>
          <w:trHeight w:val="310"/>
          <w:jc w:val="center"/>
        </w:trPr>
        <w:tc>
          <w:tcPr>
            <w:tcW w:w="551" w:type="dxa"/>
            <w:tcBorders>
              <w:top w:val="nil"/>
              <w:left w:val="nil"/>
              <w:bottom w:val="nil"/>
              <w:right w:val="nil"/>
            </w:tcBorders>
            <w:shd w:val="clear" w:color="auto" w:fill="F79646" w:themeFill="accent6"/>
            <w:noWrap/>
            <w:vAlign w:val="center"/>
          </w:tcPr>
          <w:p w14:paraId="095B3FD1" w14:textId="77777777" w:rsidR="0017587A"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3500" w:type="dxa"/>
            <w:tcBorders>
              <w:top w:val="nil"/>
              <w:left w:val="nil"/>
              <w:bottom w:val="nil"/>
              <w:right w:val="nil"/>
            </w:tcBorders>
            <w:shd w:val="clear" w:color="000000" w:fill="FFFFFF"/>
            <w:noWrap/>
            <w:vAlign w:val="center"/>
          </w:tcPr>
          <w:p w14:paraId="0CABE209" w14:textId="77777777" w:rsidR="0017587A"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NER300-monetarisering av EIB</w:t>
            </w:r>
          </w:p>
        </w:tc>
      </w:tr>
      <w:tr w:rsidR="0017587A" w14:paraId="5826F97F" w14:textId="77777777" w:rsidTr="008E69DA">
        <w:trPr>
          <w:trHeight w:val="310"/>
          <w:jc w:val="center"/>
        </w:trPr>
        <w:tc>
          <w:tcPr>
            <w:tcW w:w="551" w:type="dxa"/>
            <w:tcBorders>
              <w:top w:val="nil"/>
              <w:left w:val="nil"/>
              <w:bottom w:val="nil"/>
              <w:right w:val="nil"/>
            </w:tcBorders>
            <w:shd w:val="clear" w:color="auto" w:fill="632423" w:themeFill="accent2" w:themeFillShade="80"/>
            <w:noWrap/>
            <w:vAlign w:val="center"/>
          </w:tcPr>
          <w:p w14:paraId="7DD9E809" w14:textId="77777777" w:rsidR="0017587A" w:rsidRDefault="0017587A">
            <w:pPr>
              <w:spacing w:after="0" w:line="240" w:lineRule="auto"/>
              <w:rPr>
                <w:rFonts w:ascii="Times New Roman" w:eastAsia="Times New Roman" w:hAnsi="Times New Roman"/>
                <w:color w:val="000000"/>
                <w:sz w:val="24"/>
                <w:szCs w:val="24"/>
              </w:rPr>
            </w:pPr>
          </w:p>
        </w:tc>
        <w:tc>
          <w:tcPr>
            <w:tcW w:w="3500" w:type="dxa"/>
            <w:tcBorders>
              <w:top w:val="nil"/>
              <w:left w:val="nil"/>
              <w:bottom w:val="nil"/>
              <w:right w:val="nil"/>
            </w:tcBorders>
            <w:shd w:val="clear" w:color="000000" w:fill="FFFFFF"/>
            <w:noWrap/>
            <w:vAlign w:val="center"/>
          </w:tcPr>
          <w:p w14:paraId="2BA79C61" w14:textId="77777777" w:rsidR="0017587A"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Tidiga insatser</w:t>
            </w:r>
          </w:p>
        </w:tc>
      </w:tr>
      <w:tr w:rsidR="0017587A" w14:paraId="3A59EC98" w14:textId="77777777" w:rsidTr="008E69DA">
        <w:trPr>
          <w:trHeight w:val="310"/>
          <w:jc w:val="center"/>
        </w:trPr>
        <w:tc>
          <w:tcPr>
            <w:tcW w:w="551" w:type="dxa"/>
            <w:tcBorders>
              <w:top w:val="nil"/>
              <w:left w:val="nil"/>
              <w:bottom w:val="nil"/>
              <w:right w:val="nil"/>
            </w:tcBorders>
            <w:shd w:val="clear" w:color="auto" w:fill="4F81BD" w:themeFill="accent1"/>
            <w:noWrap/>
            <w:vAlign w:val="center"/>
          </w:tcPr>
          <w:p w14:paraId="6A3E692E" w14:textId="77777777" w:rsidR="0017587A"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3500" w:type="dxa"/>
            <w:tcBorders>
              <w:top w:val="nil"/>
              <w:left w:val="nil"/>
              <w:bottom w:val="nil"/>
              <w:right w:val="nil"/>
            </w:tcBorders>
            <w:shd w:val="clear" w:color="000000" w:fill="FFFFFF"/>
            <w:noWrap/>
            <w:vAlign w:val="center"/>
          </w:tcPr>
          <w:p w14:paraId="77560710" w14:textId="77777777" w:rsidR="0017587A"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Överföring</w:t>
            </w:r>
          </w:p>
        </w:tc>
      </w:tr>
    </w:tbl>
    <w:tbl>
      <w:tblPr>
        <w:tblpPr w:leftFromText="180" w:rightFromText="180" w:vertAnchor="text" w:horzAnchor="page" w:tblpX="6517" w:tblpY="-2342"/>
        <w:tblW w:w="3380" w:type="dxa"/>
        <w:tblLook w:val="04A0" w:firstRow="1" w:lastRow="0" w:firstColumn="1" w:lastColumn="0" w:noHBand="0" w:noVBand="1"/>
      </w:tblPr>
      <w:tblGrid>
        <w:gridCol w:w="460"/>
        <w:gridCol w:w="2920"/>
      </w:tblGrid>
      <w:tr w:rsidR="0017587A" w14:paraId="51EF94B7" w14:textId="77777777" w:rsidTr="00650F07">
        <w:trPr>
          <w:trHeight w:val="342"/>
        </w:trPr>
        <w:tc>
          <w:tcPr>
            <w:tcW w:w="460" w:type="dxa"/>
            <w:tcBorders>
              <w:top w:val="nil"/>
              <w:left w:val="nil"/>
              <w:bottom w:val="nil"/>
              <w:right w:val="nil"/>
            </w:tcBorders>
            <w:shd w:val="clear" w:color="auto" w:fill="3374C3"/>
            <w:noWrap/>
            <w:vAlign w:val="center"/>
            <w:hideMark/>
          </w:tcPr>
          <w:p w14:paraId="26D65FC2" w14:textId="77777777" w:rsidR="0017587A"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2920" w:type="dxa"/>
            <w:tcBorders>
              <w:top w:val="nil"/>
              <w:left w:val="nil"/>
              <w:bottom w:val="nil"/>
              <w:right w:val="nil"/>
            </w:tcBorders>
            <w:shd w:val="clear" w:color="000000" w:fill="FFFFFF"/>
            <w:noWrap/>
            <w:vAlign w:val="center"/>
            <w:hideMark/>
          </w:tcPr>
          <w:p w14:paraId="09245578" w14:textId="77777777" w:rsidR="0017587A"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Verifierade utsläpp</w:t>
            </w:r>
          </w:p>
        </w:tc>
      </w:tr>
      <w:tr w:rsidR="0017587A" w14:paraId="7BBA8898" w14:textId="77777777" w:rsidTr="005C54C3">
        <w:trPr>
          <w:trHeight w:val="342"/>
        </w:trPr>
        <w:tc>
          <w:tcPr>
            <w:tcW w:w="460" w:type="dxa"/>
            <w:tcBorders>
              <w:top w:val="nil"/>
              <w:left w:val="nil"/>
              <w:bottom w:val="nil"/>
              <w:right w:val="nil"/>
            </w:tcBorders>
            <w:shd w:val="clear" w:color="auto" w:fill="C2D69B"/>
            <w:noWrap/>
            <w:vAlign w:val="center"/>
            <w:hideMark/>
          </w:tcPr>
          <w:p w14:paraId="6F290C31" w14:textId="77777777" w:rsidR="0017587A" w:rsidRDefault="005C54C3">
            <w:pPr>
              <w:spacing w:after="0" w:line="240" w:lineRule="auto"/>
              <w:rPr>
                <w:rFonts w:ascii="Times New Roman" w:eastAsia="Times New Roman" w:hAnsi="Times New Roman"/>
                <w:color w:val="000000"/>
                <w:sz w:val="24"/>
                <w:szCs w:val="24"/>
              </w:rPr>
            </w:pPr>
            <w:r>
              <w:rPr>
                <w:rFonts w:ascii="Times New Roman" w:hAnsi="Times New Roman"/>
              </w:rPr>
              <w:t> </w:t>
            </w:r>
          </w:p>
        </w:tc>
        <w:tc>
          <w:tcPr>
            <w:tcW w:w="2920" w:type="dxa"/>
            <w:tcBorders>
              <w:top w:val="nil"/>
              <w:left w:val="nil"/>
              <w:bottom w:val="nil"/>
              <w:right w:val="nil"/>
            </w:tcBorders>
            <w:shd w:val="clear" w:color="000000" w:fill="FFFFFF"/>
            <w:noWrap/>
            <w:vAlign w:val="center"/>
            <w:hideMark/>
          </w:tcPr>
          <w:p w14:paraId="14C59A3B" w14:textId="77777777" w:rsidR="0017587A" w:rsidRDefault="005C54C3">
            <w:pPr>
              <w:spacing w:after="0" w:line="240" w:lineRule="auto"/>
              <w:rPr>
                <w:rFonts w:ascii="Times New Roman" w:eastAsia="Times New Roman" w:hAnsi="Times New Roman"/>
                <w:color w:val="000000"/>
                <w:sz w:val="20"/>
                <w:szCs w:val="20"/>
              </w:rPr>
            </w:pPr>
            <w:r>
              <w:rPr>
                <w:rFonts w:ascii="Times New Roman" w:hAnsi="Times New Roman"/>
                <w:sz w:val="20"/>
                <w:szCs w:val="20"/>
              </w:rPr>
              <w:t>Annulleringar</w:t>
            </w:r>
          </w:p>
        </w:tc>
      </w:tr>
    </w:tbl>
    <w:p w14:paraId="3E173424" w14:textId="77777777" w:rsidR="0017587A" w:rsidRDefault="0017587A">
      <w:pPr>
        <w:jc w:val="both"/>
        <w:rPr>
          <w:rFonts w:ascii="Times New Roman" w:hAnsi="Times New Roman"/>
          <w:sz w:val="24"/>
          <w:szCs w:val="24"/>
        </w:rPr>
      </w:pPr>
    </w:p>
    <w:p w14:paraId="1B382BE9" w14:textId="77777777" w:rsidR="0017587A" w:rsidRDefault="00926127">
      <w:pPr>
        <w:jc w:val="both"/>
        <w:rPr>
          <w:rFonts w:ascii="Times New Roman" w:hAnsi="Times New Roman"/>
          <w:sz w:val="24"/>
          <w:szCs w:val="24"/>
        </w:rPr>
      </w:pPr>
      <w:r>
        <w:rPr>
          <w:rFonts w:ascii="Times New Roman" w:hAnsi="Times New Roman"/>
        </w:rPr>
        <w:t>Som förberedelse inför att reserven för marknadsstabilitet tas i drift 2019 har kommissionen regelbundet från mitten av maj 2017</w:t>
      </w:r>
      <w:r>
        <w:rPr>
          <w:rFonts w:ascii="Times New Roman" w:hAnsi="Times New Roman"/>
          <w:vertAlign w:val="superscript"/>
        </w:rPr>
        <w:footnoteReference w:id="47"/>
      </w:r>
      <w:r>
        <w:rPr>
          <w:rFonts w:ascii="Times New Roman" w:hAnsi="Times New Roman"/>
        </w:rPr>
        <w:t xml:space="preserve"> offentliggjort det totala antalet utsläppsrätter i omlopp för det föregående året. Det totala antalet utsläppsrätter i omlopp offentliggjordes för tredje gången i maj 2019 och uppgick till 1 654 909 824 utsläppsrätter.</w:t>
      </w:r>
      <w:r>
        <w:rPr>
          <w:rFonts w:ascii="Times New Roman" w:hAnsi="Times New Roman"/>
          <w:vertAlign w:val="superscript"/>
        </w:rPr>
        <w:footnoteReference w:id="48"/>
      </w:r>
      <w:r>
        <w:rPr>
          <w:rFonts w:ascii="Times New Roman" w:hAnsi="Times New Roman"/>
        </w:rPr>
        <w:t xml:space="preserve"> Offentliggörandet 2019 innebär att utsläppsrätter kan fortsätta placeras i reserven för marknadsstabilitet, vilket medför mindre auktionsvolymer för 2019 och 2020.</w:t>
      </w:r>
    </w:p>
    <w:p w14:paraId="54F95386" w14:textId="77777777" w:rsidR="0017587A" w:rsidRDefault="00926127">
      <w:pPr>
        <w:jc w:val="both"/>
        <w:rPr>
          <w:rFonts w:ascii="Times New Roman" w:hAnsi="Times New Roman"/>
          <w:sz w:val="24"/>
          <w:szCs w:val="24"/>
        </w:rPr>
      </w:pPr>
      <w:r>
        <w:rPr>
          <w:rFonts w:ascii="Times New Roman" w:hAnsi="Times New Roman"/>
        </w:rPr>
        <w:t>Jämfört med det totala antalet utsläppsrätter i omlopp 2017 och 2018 samt på grundval av den reviderade lagstiftningen minskade auktionsvolymerna med nästan 40 % eller 397 miljoner utsläppsrätter 2019. Auktionsvolymerna 2020 kommer också att minska på motsvarande sätt.</w:t>
      </w:r>
      <w:r>
        <w:rPr>
          <w:rFonts w:ascii="Times New Roman" w:hAnsi="Times New Roman"/>
          <w:vertAlign w:val="superscript"/>
        </w:rPr>
        <w:footnoteReference w:id="49"/>
      </w:r>
      <w:r>
        <w:rPr>
          <w:rFonts w:ascii="Times New Roman" w:hAnsi="Times New Roman"/>
        </w:rPr>
        <w:t xml:space="preserve"> Följaktligen kommer cirka 30 %</w:t>
      </w:r>
      <w:r>
        <w:rPr>
          <w:rFonts w:ascii="Times New Roman" w:hAnsi="Times New Roman"/>
          <w:vertAlign w:val="superscript"/>
        </w:rPr>
        <w:footnoteReference w:id="50"/>
      </w:r>
      <w:r>
        <w:rPr>
          <w:rFonts w:ascii="Times New Roman" w:hAnsi="Times New Roman"/>
        </w:rPr>
        <w:t xml:space="preserve"> färre utsläppsrätter</w:t>
      </w:r>
      <w:r>
        <w:rPr>
          <w:rFonts w:ascii="Times New Roman" w:hAnsi="Times New Roman"/>
          <w:vertAlign w:val="superscript"/>
        </w:rPr>
        <w:footnoteReference w:id="51"/>
      </w:r>
      <w:r>
        <w:rPr>
          <w:rFonts w:ascii="Times New Roman" w:hAnsi="Times New Roman"/>
        </w:rPr>
        <w:t xml:space="preserve"> att auktioneras under 2019 jämfört med 2018. I tillägg 8 ges information om medlemsstaternas bidrag till reserven för marknadsstabilitet under hela 2019 och från januari till augusti 2020.</w:t>
      </w:r>
    </w:p>
    <w:p w14:paraId="7C061943" w14:textId="77777777" w:rsidR="0017587A" w:rsidRDefault="00A52F4C">
      <w:pPr>
        <w:pStyle w:val="Heading1"/>
        <w:spacing w:before="0" w:after="200"/>
      </w:pPr>
      <w:bookmarkStart w:id="19" w:name="_Toc23755276"/>
      <w:r>
        <w:t>4. LUFTFART</w:t>
      </w:r>
      <w:bookmarkEnd w:id="19"/>
    </w:p>
    <w:p w14:paraId="11041A86" w14:textId="77777777" w:rsidR="0017587A" w:rsidRDefault="003A348D">
      <w:pPr>
        <w:jc w:val="both"/>
      </w:pPr>
      <w:r>
        <w:rPr>
          <w:noProof/>
          <w:lang w:val="en-GB" w:eastAsia="en-GB"/>
        </w:rPr>
        <mc:AlternateContent>
          <mc:Choice Requires="wps">
            <w:drawing>
              <wp:inline distT="0" distB="0" distL="0" distR="0" wp14:anchorId="2B0C4131" wp14:editId="102DBC10">
                <wp:extent cx="5727802" cy="3456709"/>
                <wp:effectExtent l="0" t="0" r="25400" b="1079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456709"/>
                        </a:xfrm>
                        <a:prstGeom prst="rect">
                          <a:avLst/>
                        </a:prstGeom>
                        <a:solidFill>
                          <a:sysClr val="window" lastClr="FFFFFF">
                            <a:lumMod val="85000"/>
                          </a:sysClr>
                        </a:solidFill>
                        <a:ln w="12700">
                          <a:solidFill>
                            <a:srgbClr val="000000"/>
                          </a:solidFill>
                          <a:miter lim="800000"/>
                          <a:headEnd/>
                          <a:tailEnd/>
                        </a:ln>
                      </wps:spPr>
                      <wps:txbx>
                        <w:txbxContent>
                          <w:p w14:paraId="02F97212" w14:textId="77777777" w:rsidR="0017587A" w:rsidRDefault="00516F65">
                            <w:pPr>
                              <w:jc w:val="both"/>
                              <w:rPr>
                                <w:rFonts w:ascii="Times New Roman" w:hAnsi="Times New Roman"/>
                              </w:rPr>
                            </w:pPr>
                            <w:r>
                              <w:rPr>
                                <w:rFonts w:ascii="Times New Roman" w:hAnsi="Times New Roman"/>
                              </w:rPr>
                              <w:t xml:space="preserve">Luftfartssektorn har ingått i EU:s utsläppshandelssystem sedan 2012. Den ursprungliga lagstiftningen omfattade alla flygningar in i och ut ur Europeiska ekonomiska samarbetsområdet (EES). EU begränsade emellertid skyldigheterna till flygningar inom EES under perioden 2012–2016, i syfte att stödja Internationella civila luftfartsorganisationens (Icao) utveckling av en global åtgärd för att minska utsläppen från luftfarten. </w:t>
                            </w:r>
                          </w:p>
                          <w:p w14:paraId="3699CA8C" w14:textId="4B7AEBF3" w:rsidR="0017587A" w:rsidRDefault="00516F65">
                            <w:pPr>
                              <w:jc w:val="both"/>
                              <w:rPr>
                                <w:rFonts w:ascii="Times New Roman" w:hAnsi="Times New Roman"/>
                                <w:sz w:val="24"/>
                                <w:szCs w:val="24"/>
                              </w:rPr>
                            </w:pPr>
                            <w:r>
                              <w:rPr>
                                <w:rFonts w:ascii="Times New Roman" w:hAnsi="Times New Roman"/>
                              </w:rPr>
                              <w:t>I oktober 2016 antog Icaos församling en resolution om systemet för kompensation för och minskning av koldioxidutsläpp inom internationell luftfart (Corsia). Corsia är tänkt att vara ett system för kompensation för koldioxidutsläpp med målet att stabilisera utsläppen från den internationella luftfarten på 2020 års nivåer. Mot bakgrund av detta ändrades direktivet om EU:s utsläppshandelssystem 2017 för att förlänga den EES-interna räckvidden för luftfarten fram till den 31 december 2023.</w:t>
                            </w:r>
                            <w:r>
                              <w:t xml:space="preserve"> </w:t>
                            </w:r>
                            <w:r>
                              <w:rPr>
                                <w:rFonts w:ascii="Times New Roman" w:hAnsi="Times New Roman"/>
                              </w:rPr>
                              <w:t xml:space="preserve">Därefter skulle räckvidden återgå till sin ursprungliga heltäckande omfattning förutsatt att det inte görs en omprövning.  </w:t>
                            </w:r>
                          </w:p>
                          <w:p w14:paraId="44FC2491" w14:textId="77777777" w:rsidR="0017587A" w:rsidRDefault="00516F65">
                            <w:pPr>
                              <w:jc w:val="both"/>
                              <w:rPr>
                                <w:rFonts w:ascii="Times New Roman" w:hAnsi="Times New Roman"/>
                                <w:sz w:val="24"/>
                                <w:szCs w:val="24"/>
                              </w:rPr>
                            </w:pPr>
                            <w:r>
                              <w:rPr>
                                <w:rFonts w:ascii="Times New Roman" w:hAnsi="Times New Roman"/>
                              </w:rPr>
                              <w:t xml:space="preserve">Enligt det reviderade direktivet om EU:s utsläppshandelssystem ska kommissionen rapportera till Europaparlamentet och rådet om metoder för att genomföra Corsia i EU-lagstiftningen genom en översyn av direktivet. Det föreskrivs också att den linjära minskningsfaktorn ska tillämpas på luftfarten från och med 2021.  </w:t>
                            </w:r>
                          </w:p>
                          <w:p w14:paraId="1813B900" w14:textId="77777777" w:rsidR="0017587A" w:rsidRDefault="0017587A">
                            <w:pPr>
                              <w:jc w:val="both"/>
                              <w:rPr>
                                <w:rFonts w:ascii="Times New Roman" w:hAnsi="Times New Roman"/>
                                <w:sz w:val="24"/>
                                <w:szCs w:val="24"/>
                              </w:rPr>
                            </w:pPr>
                          </w:p>
                          <w:p w14:paraId="47AD052C" w14:textId="77777777" w:rsidR="0017587A" w:rsidRDefault="0017587A">
                            <w:pPr>
                              <w:jc w:val="both"/>
                            </w:pPr>
                          </w:p>
                        </w:txbxContent>
                      </wps:txbx>
                      <wps:bodyPr rot="0" vert="horz" wrap="square" lIns="91440" tIns="45720" rIns="91440" bIns="45720" anchor="t" anchorCtr="0">
                        <a:noAutofit/>
                      </wps:bodyPr>
                    </wps:wsp>
                  </a:graphicData>
                </a:graphic>
              </wp:inline>
            </w:drawing>
          </mc:Choice>
          <mc:Fallback>
            <w:pict>
              <v:shape w14:anchorId="2B0C4131" id="_x0000_s1037" type="#_x0000_t202" style="width:451pt;height:27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" fillcolor="#d9d9d9" strokeweight="1pt">
                <v:textbox>
                  <w:txbxContent>
                    <w:p w14:paraId="02F97212" w14:textId="77777777" w:rsidR="0017587A" w:rsidRDefault="00516F65">
                      <w:pPr>
                        <w:jc w:val="both"/>
                        <w:rPr>
                          <w:rFonts w:ascii="Times New Roman" w:hAnsi="Times New Roman"/>
                        </w:rPr>
                      </w:pPr>
                      <w:r>
                        <w:rPr>
                          <w:rFonts w:ascii="Times New Roman" w:hAnsi="Times New Roman"/>
                        </w:rPr>
                        <w:t xml:space="preserve">Luftfartssektorn har ingått i EU:s utsläppshandelssystem sedan 2012. Den ursprungliga lagstiftningen omfattade alla flygningar in i och ut ur Europeiska ekonomiska samarbetsområdet (EES). EU begränsade emellertid skyldigheterna till flygningar inom EES under perioden 2012–2016, i syfte att stödja Internationella civila luftfartsorganisationens (Icao) utveckling av en global åtgärd för att minska utsläppen från luftfarten. </w:t>
                      </w:r>
                    </w:p>
                    <w:p w14:paraId="3699CA8C" w14:textId="4B7AEBF3" w:rsidR="0017587A" w:rsidRDefault="00516F65">
                      <w:pPr>
                        <w:jc w:val="both"/>
                        <w:rPr>
                          <w:rFonts w:ascii="Times New Roman" w:hAnsi="Times New Roman"/>
                          <w:sz w:val="24"/>
                          <w:szCs w:val="24"/>
                        </w:rPr>
                      </w:pPr>
                      <w:r>
                        <w:rPr>
                          <w:rFonts w:ascii="Times New Roman" w:hAnsi="Times New Roman"/>
                        </w:rPr>
                        <w:t>I oktober 2016 antog Icaos församling en resolution om systemet för kompensation för och minskning av koldioxidutsläpp inom internationell luftfart (Corsia). Corsia är tänkt att vara ett system för kompensation för koldioxidutsläpp med målet att stabilisera utsläppen från den internationella luftfarten på 2020 års nivåer. Mot bakgrund av detta ändrades direktivet om EU:s utsläppshandelssystem 2017 för att förlänga den EES-interna räckvidden för luftfarten fram till den 31 december 2023.</w:t>
                      </w:r>
                      <w:r>
                        <w:t xml:space="preserve"> </w:t>
                      </w:r>
                      <w:r>
                        <w:rPr>
                          <w:rFonts w:ascii="Times New Roman" w:hAnsi="Times New Roman"/>
                        </w:rPr>
                        <w:t xml:space="preserve">Därefter skulle räckvidden återgå till sin ursprungliga heltäckande omfattning förutsatt att det inte görs en omprövning.  </w:t>
                      </w:r>
                    </w:p>
                    <w:p w14:paraId="44FC2491" w14:textId="77777777" w:rsidR="0017587A" w:rsidRDefault="00516F65">
                      <w:pPr>
                        <w:jc w:val="both"/>
                        <w:rPr>
                          <w:rFonts w:ascii="Times New Roman" w:hAnsi="Times New Roman"/>
                          <w:sz w:val="24"/>
                          <w:szCs w:val="24"/>
                        </w:rPr>
                      </w:pPr>
                      <w:r>
                        <w:rPr>
                          <w:rFonts w:ascii="Times New Roman" w:hAnsi="Times New Roman"/>
                        </w:rPr>
                        <w:t xml:space="preserve">Enligt det reviderade direktivet om EU:s utsläppshandelssystem ska kommissionen rapportera till Europaparlamentet och rådet om metoder för att genomföra Corsia i EU-lagstiftningen genom en översyn av direktivet. Det föreskrivs också att den linjära minskningsfaktorn ska tillämpas på luftfarten från och med 2021.  </w:t>
                      </w:r>
                    </w:p>
                    <w:p w14:paraId="1813B900" w14:textId="77777777" w:rsidR="0017587A" w:rsidRDefault="0017587A">
                      <w:pPr>
                        <w:jc w:val="both"/>
                        <w:rPr>
                          <w:rFonts w:ascii="Times New Roman" w:hAnsi="Times New Roman"/>
                          <w:sz w:val="24"/>
                          <w:szCs w:val="24"/>
                        </w:rPr>
                      </w:pPr>
                    </w:p>
                    <w:p w14:paraId="47AD052C" w14:textId="77777777" w:rsidR="0017587A" w:rsidRDefault="0017587A">
                      <w:pPr>
                        <w:jc w:val="both"/>
                      </w:pPr>
                    </w:p>
                  </w:txbxContent>
                </v:textbox>
                <w10:anchorlock/>
              </v:shape>
            </w:pict>
          </mc:Fallback>
        </mc:AlternateContent>
      </w:r>
    </w:p>
    <w:p w14:paraId="657A51D5" w14:textId="77777777" w:rsidR="0017587A" w:rsidRDefault="00491E4C">
      <w:pPr>
        <w:jc w:val="both"/>
        <w:rPr>
          <w:rFonts w:ascii="Times New Roman" w:hAnsi="Times New Roman"/>
          <w:sz w:val="24"/>
          <w:szCs w:val="24"/>
        </w:rPr>
      </w:pPr>
      <w:r>
        <w:rPr>
          <w:rFonts w:ascii="Times New Roman" w:hAnsi="Times New Roman"/>
        </w:rPr>
        <w:t xml:space="preserve">Under 2018 utfärdades utsläppsrätter i linje med den EES-interna räckvidden. Tilldelningen av gratis utsläppsrätter uppgick då till strax över 32,3 miljoner utsläppsrätter. Detta omfattar både gratis tilldelning (lite drygt 31,2 miljoner utsläppsrätter) för etablerade operatörer och nästan 1,1 miljoner utsläppsrätter som tilldelas från den särskilda reserven för snabbväxande operatörer och nya aktörer. Tilldelningarna från denna reserv dubbleras under perioden 2017–2020 eftersom de gäller hela perioden 2013–2020. Omkring 5,6 miljoner utsläppsrätter auktionerades under 2018. </w:t>
      </w:r>
    </w:p>
    <w:p w14:paraId="20A23957" w14:textId="77777777" w:rsidR="0017587A" w:rsidRDefault="00B84FD2">
      <w:pPr>
        <w:jc w:val="both"/>
        <w:rPr>
          <w:rFonts w:ascii="Times New Roman" w:hAnsi="Times New Roman"/>
          <w:sz w:val="24"/>
          <w:szCs w:val="24"/>
        </w:rPr>
      </w:pPr>
      <w:r>
        <w:rPr>
          <w:rFonts w:ascii="Times New Roman" w:hAnsi="Times New Roman"/>
        </w:rPr>
        <w:t xml:space="preserve">De verifierade utsläppen från luftfarten fortsatte att öka och uppgick till 67 miljoner ton koldioxid 2018, vilket är en ökning med 4 % jämfört med 2017.   </w:t>
      </w:r>
    </w:p>
    <w:p w14:paraId="0A7E73BC" w14:textId="77777777" w:rsidR="0017587A" w:rsidRDefault="00F442D1">
      <w:pPr>
        <w:jc w:val="both"/>
        <w:rPr>
          <w:rFonts w:ascii="Times New Roman" w:hAnsi="Times New Roman"/>
          <w:b/>
        </w:rPr>
      </w:pPr>
      <w:r>
        <w:rPr>
          <w:rFonts w:ascii="Times New Roman" w:hAnsi="Times New Roman"/>
        </w:rPr>
        <w:t>I tabell 8 visas en sammanfattning av verifierade utsläpp, gratis tilldelningar och auktioneringsvolymer för luftfartssektorn sedan starten av fas 3.</w:t>
      </w:r>
      <w:r>
        <w:rPr>
          <w:rFonts w:ascii="Times New Roman" w:hAnsi="Times New Roman"/>
          <w:b/>
        </w:rPr>
        <w:t xml:space="preserve"> </w:t>
      </w:r>
    </w:p>
    <w:p w14:paraId="302A9E75" w14:textId="77777777" w:rsidR="0017587A" w:rsidRDefault="0017587A">
      <w:pPr>
        <w:jc w:val="both"/>
        <w:rPr>
          <w:rFonts w:ascii="Times New Roman" w:hAnsi="Times New Roman"/>
          <w:b/>
        </w:rPr>
      </w:pPr>
    </w:p>
    <w:p w14:paraId="6E0DB9F4" w14:textId="1BBA28A4" w:rsidR="0017587A" w:rsidRDefault="0017587A">
      <w:pPr>
        <w:jc w:val="both"/>
        <w:rPr>
          <w:rFonts w:ascii="Times New Roman" w:hAnsi="Times New Roman"/>
          <w:b/>
        </w:rPr>
      </w:pPr>
    </w:p>
    <w:p w14:paraId="4FB5E5C2" w14:textId="77777777" w:rsidR="00F12944" w:rsidRDefault="00F12944">
      <w:pPr>
        <w:jc w:val="both"/>
        <w:rPr>
          <w:rFonts w:ascii="Times New Roman" w:hAnsi="Times New Roman"/>
          <w:b/>
        </w:rPr>
      </w:pPr>
    </w:p>
    <w:p w14:paraId="1FA3C279" w14:textId="77777777" w:rsidR="0017587A" w:rsidRDefault="0017587A">
      <w:pPr>
        <w:jc w:val="both"/>
        <w:rPr>
          <w:rFonts w:ascii="Times New Roman" w:hAnsi="Times New Roman"/>
          <w:b/>
        </w:rPr>
      </w:pPr>
    </w:p>
    <w:p w14:paraId="6868671C" w14:textId="77777777" w:rsidR="0017587A" w:rsidRDefault="00F442D1">
      <w:pPr>
        <w:jc w:val="both"/>
        <w:rPr>
          <w:rFonts w:ascii="Times New Roman" w:hAnsi="Times New Roman"/>
          <w:b/>
        </w:rPr>
      </w:pPr>
      <w:r>
        <w:rPr>
          <w:rFonts w:ascii="Times New Roman" w:hAnsi="Times New Roman"/>
          <w:b/>
        </w:rPr>
        <w:t>Tabell 8: Verifierade utsläpp och tilldelningar till luftfartssektorn</w:t>
      </w:r>
    </w:p>
    <w:tbl>
      <w:tblPr>
        <w:tblW w:w="4889" w:type="pct"/>
        <w:tblInd w:w="108" w:type="dxa"/>
        <w:tblCellMar>
          <w:left w:w="0" w:type="dxa"/>
          <w:right w:w="0" w:type="dxa"/>
        </w:tblCellMar>
        <w:tblLook w:val="04A0" w:firstRow="1" w:lastRow="0" w:firstColumn="1" w:lastColumn="0" w:noHBand="0" w:noVBand="1"/>
      </w:tblPr>
      <w:tblGrid>
        <w:gridCol w:w="2268"/>
        <w:gridCol w:w="878"/>
        <w:gridCol w:w="973"/>
        <w:gridCol w:w="972"/>
        <w:gridCol w:w="968"/>
        <w:gridCol w:w="964"/>
        <w:gridCol w:w="964"/>
        <w:gridCol w:w="959"/>
      </w:tblGrid>
      <w:tr w:rsidR="0017587A" w14:paraId="0F8C6C1C" w14:textId="77777777" w:rsidTr="00E72EF9">
        <w:trPr>
          <w:trHeight w:val="532"/>
        </w:trPr>
        <w:tc>
          <w:tcPr>
            <w:tcW w:w="126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8487E22" w14:textId="77777777" w:rsidR="0017587A" w:rsidRDefault="00E2275C">
            <w:pPr>
              <w:jc w:val="center"/>
              <w:rPr>
                <w:rFonts w:ascii="Times New Roman" w:hAnsi="Times New Roman"/>
                <w:b/>
                <w:bCs/>
                <w:sz w:val="20"/>
                <w:szCs w:val="20"/>
              </w:rPr>
            </w:pPr>
            <w:r>
              <w:rPr>
                <w:rFonts w:ascii="Times New Roman" w:hAnsi="Times New Roman"/>
                <w:b/>
                <w:bCs/>
                <w:sz w:val="20"/>
                <w:szCs w:val="20"/>
              </w:rPr>
              <w:br/>
              <w:t>År</w:t>
            </w:r>
          </w:p>
        </w:tc>
        <w:tc>
          <w:tcPr>
            <w:tcW w:w="49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601B9379" w14:textId="77777777" w:rsidR="0017587A" w:rsidRDefault="00E2275C">
            <w:pPr>
              <w:jc w:val="center"/>
              <w:rPr>
                <w:rFonts w:ascii="Times New Roman" w:hAnsi="Times New Roman"/>
                <w:b/>
                <w:bCs/>
                <w:sz w:val="20"/>
                <w:szCs w:val="20"/>
              </w:rPr>
            </w:pPr>
            <w:r>
              <w:rPr>
                <w:rFonts w:ascii="Times New Roman" w:hAnsi="Times New Roman"/>
                <w:b/>
                <w:bCs/>
                <w:sz w:val="20"/>
                <w:szCs w:val="20"/>
              </w:rPr>
              <w:t>2013</w:t>
            </w:r>
          </w:p>
        </w:tc>
        <w:tc>
          <w:tcPr>
            <w:tcW w:w="544"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1CF580D8" w14:textId="77777777" w:rsidR="0017587A" w:rsidRDefault="00E2275C">
            <w:pPr>
              <w:jc w:val="center"/>
              <w:rPr>
                <w:rFonts w:ascii="Times New Roman" w:hAnsi="Times New Roman"/>
                <w:b/>
                <w:bCs/>
                <w:sz w:val="20"/>
                <w:szCs w:val="20"/>
              </w:rPr>
            </w:pPr>
            <w:r>
              <w:rPr>
                <w:rFonts w:ascii="Times New Roman" w:hAnsi="Times New Roman"/>
                <w:b/>
                <w:bCs/>
                <w:sz w:val="20"/>
                <w:szCs w:val="20"/>
              </w:rPr>
              <w:t>2014</w:t>
            </w:r>
          </w:p>
        </w:tc>
        <w:tc>
          <w:tcPr>
            <w:tcW w:w="54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115CA9ED" w14:textId="77777777" w:rsidR="0017587A" w:rsidRDefault="00E2275C">
            <w:pPr>
              <w:jc w:val="center"/>
              <w:rPr>
                <w:rFonts w:ascii="Times New Roman" w:hAnsi="Times New Roman"/>
                <w:b/>
                <w:bCs/>
                <w:sz w:val="20"/>
                <w:szCs w:val="20"/>
              </w:rPr>
            </w:pPr>
            <w:r>
              <w:rPr>
                <w:rFonts w:ascii="Times New Roman" w:hAnsi="Times New Roman"/>
                <w:b/>
                <w:bCs/>
                <w:sz w:val="20"/>
                <w:szCs w:val="20"/>
              </w:rPr>
              <w:t>2015</w:t>
            </w:r>
          </w:p>
        </w:tc>
        <w:tc>
          <w:tcPr>
            <w:tcW w:w="54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2AEF9934" w14:textId="77777777" w:rsidR="0017587A" w:rsidRDefault="00E2275C">
            <w:pPr>
              <w:jc w:val="center"/>
              <w:rPr>
                <w:rFonts w:ascii="Times New Roman" w:hAnsi="Times New Roman"/>
                <w:b/>
                <w:bCs/>
                <w:sz w:val="20"/>
                <w:szCs w:val="20"/>
              </w:rPr>
            </w:pPr>
            <w:r>
              <w:rPr>
                <w:rFonts w:ascii="Times New Roman" w:hAnsi="Times New Roman"/>
                <w:b/>
                <w:bCs/>
                <w:sz w:val="20"/>
                <w:szCs w:val="20"/>
              </w:rPr>
              <w:t>2016</w:t>
            </w:r>
          </w:p>
        </w:tc>
        <w:tc>
          <w:tcPr>
            <w:tcW w:w="539" w:type="pct"/>
            <w:tcBorders>
              <w:top w:val="double" w:sz="4" w:space="0" w:color="auto"/>
              <w:left w:val="nil"/>
              <w:bottom w:val="double" w:sz="4" w:space="0" w:color="auto"/>
              <w:right w:val="double" w:sz="4" w:space="0" w:color="auto"/>
            </w:tcBorders>
            <w:vAlign w:val="center"/>
          </w:tcPr>
          <w:p w14:paraId="44D52AE5" w14:textId="77777777" w:rsidR="0017587A" w:rsidRDefault="00E2275C">
            <w:pPr>
              <w:jc w:val="center"/>
              <w:rPr>
                <w:rFonts w:ascii="Times New Roman" w:hAnsi="Times New Roman"/>
                <w:b/>
                <w:bCs/>
                <w:sz w:val="20"/>
                <w:szCs w:val="20"/>
              </w:rPr>
            </w:pPr>
            <w:r>
              <w:rPr>
                <w:rFonts w:ascii="Times New Roman" w:hAnsi="Times New Roman"/>
                <w:b/>
                <w:bCs/>
                <w:sz w:val="20"/>
                <w:szCs w:val="20"/>
              </w:rPr>
              <w:t>2017</w:t>
            </w:r>
          </w:p>
        </w:tc>
        <w:tc>
          <w:tcPr>
            <w:tcW w:w="539" w:type="pct"/>
            <w:tcBorders>
              <w:top w:val="double" w:sz="4" w:space="0" w:color="auto"/>
              <w:left w:val="nil"/>
              <w:bottom w:val="double" w:sz="4" w:space="0" w:color="auto"/>
              <w:right w:val="double" w:sz="4" w:space="0" w:color="auto"/>
            </w:tcBorders>
            <w:vAlign w:val="center"/>
          </w:tcPr>
          <w:p w14:paraId="40DB6636" w14:textId="77777777" w:rsidR="0017587A" w:rsidRDefault="00E2275C">
            <w:pPr>
              <w:jc w:val="center"/>
              <w:rPr>
                <w:rFonts w:ascii="Times New Roman" w:hAnsi="Times New Roman"/>
                <w:b/>
                <w:bCs/>
                <w:sz w:val="20"/>
                <w:szCs w:val="20"/>
              </w:rPr>
            </w:pPr>
            <w:r>
              <w:rPr>
                <w:rFonts w:ascii="Times New Roman" w:hAnsi="Times New Roman"/>
                <w:b/>
                <w:bCs/>
                <w:sz w:val="20"/>
                <w:szCs w:val="20"/>
              </w:rPr>
              <w:t>2018</w:t>
            </w:r>
          </w:p>
        </w:tc>
        <w:tc>
          <w:tcPr>
            <w:tcW w:w="537" w:type="pct"/>
            <w:tcBorders>
              <w:top w:val="double" w:sz="4" w:space="0" w:color="auto"/>
              <w:left w:val="nil"/>
              <w:bottom w:val="double" w:sz="4" w:space="0" w:color="auto"/>
              <w:right w:val="double" w:sz="4" w:space="0" w:color="auto"/>
            </w:tcBorders>
            <w:vAlign w:val="center"/>
          </w:tcPr>
          <w:p w14:paraId="3BED0959" w14:textId="77777777" w:rsidR="0017587A" w:rsidRDefault="00E2275C">
            <w:pPr>
              <w:jc w:val="center"/>
              <w:rPr>
                <w:rFonts w:ascii="Times New Roman" w:hAnsi="Times New Roman"/>
                <w:b/>
                <w:bCs/>
                <w:sz w:val="20"/>
                <w:szCs w:val="20"/>
              </w:rPr>
            </w:pPr>
            <w:r>
              <w:rPr>
                <w:rFonts w:ascii="Times New Roman" w:hAnsi="Times New Roman"/>
                <w:b/>
                <w:bCs/>
                <w:sz w:val="20"/>
                <w:szCs w:val="20"/>
              </w:rPr>
              <w:t>2019</w:t>
            </w:r>
          </w:p>
        </w:tc>
      </w:tr>
      <w:tr w:rsidR="0017587A" w14:paraId="19E33297" w14:textId="77777777" w:rsidTr="00294A8C">
        <w:trPr>
          <w:trHeight w:val="1017"/>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91C1A4F" w14:textId="77777777" w:rsidR="0017587A" w:rsidRDefault="00E2275C">
            <w:pPr>
              <w:jc w:val="center"/>
              <w:rPr>
                <w:rFonts w:ascii="Times New Roman" w:hAnsi="Times New Roman"/>
                <w:color w:val="FF0000"/>
                <w:sz w:val="20"/>
                <w:szCs w:val="20"/>
              </w:rPr>
            </w:pPr>
            <w:r>
              <w:rPr>
                <w:rFonts w:ascii="Times New Roman" w:hAnsi="Times New Roman"/>
                <w:b/>
                <w:bCs/>
                <w:sz w:val="20"/>
                <w:szCs w:val="20"/>
              </w:rPr>
              <w:br/>
              <w:t>Verifierade utsläpp (miljoner ton koldioxidekvivalenter)</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629FBA6" w14:textId="77777777" w:rsidR="0017587A" w:rsidRDefault="00E2275C">
            <w:pPr>
              <w:jc w:val="center"/>
              <w:rPr>
                <w:rFonts w:ascii="Times New Roman" w:hAnsi="Times New Roman"/>
                <w:color w:val="000000"/>
                <w:sz w:val="20"/>
                <w:szCs w:val="20"/>
              </w:rPr>
            </w:pPr>
            <w:r>
              <w:rPr>
                <w:rFonts w:ascii="Times New Roman" w:hAnsi="Times New Roman"/>
                <w:sz w:val="20"/>
                <w:szCs w:val="20"/>
              </w:rPr>
              <w:t>53,5</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3A7FCEC" w14:textId="77777777" w:rsidR="0017587A" w:rsidRDefault="00E2275C">
            <w:pPr>
              <w:jc w:val="center"/>
              <w:rPr>
                <w:rFonts w:ascii="Times New Roman" w:hAnsi="Times New Roman"/>
                <w:color w:val="000000"/>
                <w:sz w:val="20"/>
                <w:szCs w:val="20"/>
              </w:rPr>
            </w:pPr>
            <w:r>
              <w:rPr>
                <w:rFonts w:ascii="Times New Roman" w:hAnsi="Times New Roman"/>
                <w:sz w:val="20"/>
                <w:szCs w:val="20"/>
              </w:rPr>
              <w:t>54,8</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9EDFF9" w14:textId="77777777" w:rsidR="0017587A" w:rsidRDefault="00E2275C">
            <w:pPr>
              <w:jc w:val="center"/>
              <w:rPr>
                <w:rFonts w:ascii="Times New Roman" w:hAnsi="Times New Roman"/>
                <w:color w:val="000000"/>
                <w:sz w:val="20"/>
                <w:szCs w:val="20"/>
              </w:rPr>
            </w:pPr>
            <w:r>
              <w:rPr>
                <w:rFonts w:ascii="Times New Roman" w:hAnsi="Times New Roman"/>
                <w:sz w:val="20"/>
                <w:szCs w:val="20"/>
              </w:rPr>
              <w:t>57,1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0031F37" w14:textId="77777777" w:rsidR="0017587A" w:rsidRDefault="00E2275C">
            <w:pPr>
              <w:jc w:val="center"/>
              <w:rPr>
                <w:rFonts w:ascii="Times New Roman" w:hAnsi="Times New Roman"/>
                <w:color w:val="000000"/>
                <w:sz w:val="20"/>
                <w:szCs w:val="20"/>
              </w:rPr>
            </w:pPr>
            <w:r>
              <w:rPr>
                <w:rFonts w:ascii="Times New Roman" w:hAnsi="Times New Roman"/>
                <w:sz w:val="20"/>
                <w:szCs w:val="20"/>
              </w:rPr>
              <w:t>61,5</w:t>
            </w:r>
          </w:p>
        </w:tc>
        <w:tc>
          <w:tcPr>
            <w:tcW w:w="539" w:type="pct"/>
            <w:tcBorders>
              <w:top w:val="nil"/>
              <w:left w:val="nil"/>
              <w:bottom w:val="double" w:sz="4" w:space="0" w:color="auto"/>
              <w:right w:val="double" w:sz="4" w:space="0" w:color="auto"/>
            </w:tcBorders>
            <w:vAlign w:val="center"/>
          </w:tcPr>
          <w:p w14:paraId="12D12699" w14:textId="77777777" w:rsidR="0017587A" w:rsidRDefault="00E2275C">
            <w:pPr>
              <w:jc w:val="center"/>
              <w:rPr>
                <w:rFonts w:ascii="Times New Roman" w:hAnsi="Times New Roman"/>
                <w:color w:val="000000"/>
                <w:sz w:val="20"/>
                <w:szCs w:val="20"/>
              </w:rPr>
            </w:pPr>
            <w:r>
              <w:rPr>
                <w:rFonts w:ascii="Times New Roman" w:hAnsi="Times New Roman"/>
                <w:sz w:val="20"/>
                <w:szCs w:val="20"/>
              </w:rPr>
              <w:t>64,4</w:t>
            </w:r>
          </w:p>
        </w:tc>
        <w:tc>
          <w:tcPr>
            <w:tcW w:w="539" w:type="pct"/>
            <w:tcBorders>
              <w:top w:val="nil"/>
              <w:left w:val="nil"/>
              <w:bottom w:val="double" w:sz="4" w:space="0" w:color="auto"/>
              <w:right w:val="double" w:sz="4" w:space="0" w:color="auto"/>
            </w:tcBorders>
          </w:tcPr>
          <w:p w14:paraId="7CC27619" w14:textId="77777777" w:rsidR="0017587A" w:rsidRDefault="0017587A">
            <w:pPr>
              <w:jc w:val="center"/>
              <w:rPr>
                <w:rFonts w:ascii="Times New Roman" w:hAnsi="Times New Roman"/>
                <w:color w:val="000000"/>
                <w:sz w:val="20"/>
                <w:szCs w:val="20"/>
              </w:rPr>
            </w:pPr>
          </w:p>
          <w:p w14:paraId="4B39A5CA" w14:textId="77777777" w:rsidR="0017587A" w:rsidRDefault="00E2275C">
            <w:pPr>
              <w:jc w:val="center"/>
              <w:rPr>
                <w:rFonts w:ascii="Times New Roman" w:hAnsi="Times New Roman"/>
                <w:color w:val="000000"/>
                <w:sz w:val="20"/>
                <w:szCs w:val="20"/>
              </w:rPr>
            </w:pPr>
            <w:r>
              <w:rPr>
                <w:rFonts w:ascii="Times New Roman" w:hAnsi="Times New Roman"/>
                <w:sz w:val="20"/>
                <w:szCs w:val="20"/>
              </w:rPr>
              <w:t>67,0</w:t>
            </w:r>
          </w:p>
        </w:tc>
        <w:tc>
          <w:tcPr>
            <w:tcW w:w="537" w:type="pct"/>
            <w:tcBorders>
              <w:top w:val="nil"/>
              <w:left w:val="nil"/>
              <w:bottom w:val="double" w:sz="4" w:space="0" w:color="auto"/>
              <w:right w:val="double" w:sz="4" w:space="0" w:color="auto"/>
            </w:tcBorders>
          </w:tcPr>
          <w:p w14:paraId="7D9A0C9F" w14:textId="77777777" w:rsidR="0017587A" w:rsidRDefault="0017587A">
            <w:pPr>
              <w:jc w:val="center"/>
              <w:rPr>
                <w:rFonts w:ascii="Times New Roman" w:hAnsi="Times New Roman"/>
                <w:color w:val="000000"/>
                <w:sz w:val="20"/>
                <w:szCs w:val="20"/>
              </w:rPr>
            </w:pPr>
          </w:p>
        </w:tc>
      </w:tr>
      <w:tr w:rsidR="0017587A" w14:paraId="32BADC2B" w14:textId="77777777" w:rsidTr="00294A8C">
        <w:trPr>
          <w:trHeight w:val="68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3C188407" w14:textId="77777777" w:rsidR="0017587A" w:rsidRDefault="00E2275C">
            <w:pPr>
              <w:jc w:val="center"/>
              <w:rPr>
                <w:rFonts w:ascii="Times New Roman" w:hAnsi="Times New Roman"/>
                <w:b/>
                <w:bCs/>
                <w:color w:val="000000"/>
                <w:sz w:val="20"/>
                <w:szCs w:val="20"/>
              </w:rPr>
            </w:pPr>
            <w:r>
              <w:rPr>
                <w:rFonts w:ascii="Times New Roman" w:hAnsi="Times New Roman"/>
                <w:b/>
                <w:bCs/>
                <w:sz w:val="20"/>
                <w:szCs w:val="20"/>
              </w:rPr>
              <w:br/>
              <w:t>Förändring av verifierade utsläpp jämfört med år x−1</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38DCABA" w14:textId="77777777" w:rsidR="0017587A" w:rsidRDefault="0017587A">
            <w:pPr>
              <w:jc w:val="center"/>
              <w:rPr>
                <w:rFonts w:ascii="Times New Roman" w:hAnsi="Times New Roman"/>
                <w:color w:val="000000"/>
                <w:sz w:val="20"/>
                <w:szCs w:val="20"/>
              </w:rPr>
            </w:pP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1A6EE4D" w14:textId="77777777" w:rsidR="0017587A" w:rsidRDefault="00B84FD2">
            <w:pPr>
              <w:jc w:val="center"/>
              <w:rPr>
                <w:rFonts w:ascii="Times New Roman" w:hAnsi="Times New Roman"/>
                <w:color w:val="000000"/>
                <w:sz w:val="20"/>
                <w:szCs w:val="20"/>
              </w:rPr>
            </w:pPr>
            <w:r>
              <w:rPr>
                <w:rFonts w:ascii="Times New Roman" w:hAnsi="Times New Roman"/>
                <w:sz w:val="20"/>
                <w:szCs w:val="20"/>
              </w:rPr>
              <w:t>2,5 %</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C10EAAC" w14:textId="77777777" w:rsidR="0017587A" w:rsidRDefault="00B84FD2">
            <w:pPr>
              <w:jc w:val="center"/>
              <w:rPr>
                <w:rFonts w:ascii="Times New Roman" w:hAnsi="Times New Roman"/>
                <w:color w:val="000000"/>
                <w:sz w:val="20"/>
                <w:szCs w:val="20"/>
              </w:rPr>
            </w:pPr>
            <w:r>
              <w:rPr>
                <w:rFonts w:ascii="Times New Roman" w:hAnsi="Times New Roman"/>
                <w:sz w:val="20"/>
                <w:szCs w:val="20"/>
              </w:rPr>
              <w:t>+4,1 %</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0079522" w14:textId="77777777" w:rsidR="0017587A" w:rsidRDefault="00B84FD2">
            <w:pPr>
              <w:jc w:val="center"/>
              <w:rPr>
                <w:rFonts w:ascii="Times New Roman" w:hAnsi="Times New Roman"/>
                <w:color w:val="000000"/>
                <w:sz w:val="20"/>
                <w:szCs w:val="20"/>
              </w:rPr>
            </w:pPr>
            <w:r>
              <w:rPr>
                <w:rFonts w:ascii="Times New Roman" w:hAnsi="Times New Roman"/>
                <w:sz w:val="20"/>
                <w:szCs w:val="20"/>
              </w:rPr>
              <w:t>+7,6 %</w:t>
            </w:r>
          </w:p>
        </w:tc>
        <w:tc>
          <w:tcPr>
            <w:tcW w:w="539" w:type="pct"/>
            <w:tcBorders>
              <w:top w:val="nil"/>
              <w:left w:val="nil"/>
              <w:bottom w:val="double" w:sz="4" w:space="0" w:color="auto"/>
              <w:right w:val="double" w:sz="4" w:space="0" w:color="auto"/>
            </w:tcBorders>
            <w:vAlign w:val="center"/>
          </w:tcPr>
          <w:p w14:paraId="6DF13295" w14:textId="77777777" w:rsidR="0017587A" w:rsidRDefault="00B84FD2">
            <w:pPr>
              <w:jc w:val="center"/>
              <w:rPr>
                <w:rFonts w:ascii="Times New Roman" w:hAnsi="Times New Roman"/>
                <w:color w:val="000000"/>
                <w:sz w:val="20"/>
                <w:szCs w:val="20"/>
              </w:rPr>
            </w:pPr>
            <w:r>
              <w:rPr>
                <w:rFonts w:ascii="Times New Roman" w:hAnsi="Times New Roman"/>
                <w:sz w:val="20"/>
                <w:szCs w:val="20"/>
              </w:rPr>
              <w:t>+4,7 %</w:t>
            </w:r>
          </w:p>
        </w:tc>
        <w:tc>
          <w:tcPr>
            <w:tcW w:w="539" w:type="pct"/>
            <w:tcBorders>
              <w:top w:val="nil"/>
              <w:left w:val="nil"/>
              <w:bottom w:val="double" w:sz="4" w:space="0" w:color="auto"/>
              <w:right w:val="double" w:sz="4" w:space="0" w:color="auto"/>
            </w:tcBorders>
            <w:vAlign w:val="center"/>
          </w:tcPr>
          <w:p w14:paraId="592E7A6F" w14:textId="77777777" w:rsidR="0017587A" w:rsidRDefault="00B84FD2">
            <w:pPr>
              <w:jc w:val="center"/>
              <w:rPr>
                <w:rFonts w:ascii="Times New Roman" w:hAnsi="Times New Roman"/>
                <w:color w:val="000000"/>
                <w:sz w:val="20"/>
                <w:szCs w:val="20"/>
              </w:rPr>
            </w:pPr>
            <w:r>
              <w:rPr>
                <w:rFonts w:ascii="Times New Roman" w:hAnsi="Times New Roman"/>
                <w:sz w:val="20"/>
                <w:szCs w:val="20"/>
              </w:rPr>
              <w:t>+4 %</w:t>
            </w:r>
          </w:p>
        </w:tc>
        <w:tc>
          <w:tcPr>
            <w:tcW w:w="537" w:type="pct"/>
            <w:tcBorders>
              <w:top w:val="nil"/>
              <w:left w:val="nil"/>
              <w:bottom w:val="double" w:sz="4" w:space="0" w:color="auto"/>
              <w:right w:val="double" w:sz="4" w:space="0" w:color="auto"/>
            </w:tcBorders>
          </w:tcPr>
          <w:p w14:paraId="671BDB59" w14:textId="77777777" w:rsidR="0017587A" w:rsidRDefault="0017587A">
            <w:pPr>
              <w:jc w:val="center"/>
              <w:rPr>
                <w:rFonts w:ascii="Times New Roman" w:hAnsi="Times New Roman"/>
                <w:color w:val="000000"/>
                <w:sz w:val="20"/>
                <w:szCs w:val="20"/>
              </w:rPr>
            </w:pPr>
          </w:p>
        </w:tc>
      </w:tr>
      <w:tr w:rsidR="0017587A" w14:paraId="6DF9E924" w14:textId="77777777" w:rsidTr="00294A8C">
        <w:trPr>
          <w:trHeight w:val="68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59D3A9B" w14:textId="77777777" w:rsidR="0017587A" w:rsidRDefault="00E2275C">
            <w:pPr>
              <w:jc w:val="center"/>
              <w:rPr>
                <w:rFonts w:ascii="Times New Roman" w:hAnsi="Times New Roman"/>
                <w:b/>
                <w:bCs/>
                <w:color w:val="000000"/>
                <w:sz w:val="20"/>
                <w:szCs w:val="20"/>
              </w:rPr>
            </w:pPr>
            <w:r>
              <w:rPr>
                <w:rFonts w:ascii="Times New Roman" w:hAnsi="Times New Roman"/>
                <w:b/>
                <w:bCs/>
                <w:sz w:val="20"/>
                <w:szCs w:val="20"/>
              </w:rPr>
              <w:br/>
              <w:t>Gratis tilldelning (EU-28 + EES-/Eftastaterna)</w:t>
            </w:r>
            <w:r>
              <w:rPr>
                <w:rStyle w:val="FootnoteReference"/>
                <w:sz w:val="20"/>
                <w:szCs w:val="20"/>
              </w:rPr>
              <w:footnoteReference w:id="52"/>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BDE361C" w14:textId="77777777" w:rsidR="0017587A" w:rsidRDefault="00E2275C">
            <w:pPr>
              <w:jc w:val="center"/>
              <w:rPr>
                <w:rFonts w:ascii="Times New Roman" w:hAnsi="Times New Roman"/>
                <w:color w:val="000000"/>
                <w:sz w:val="20"/>
                <w:szCs w:val="20"/>
              </w:rPr>
            </w:pPr>
            <w:r>
              <w:rPr>
                <w:rFonts w:ascii="Times New Roman" w:hAnsi="Times New Roman"/>
                <w:sz w:val="20"/>
                <w:szCs w:val="20"/>
              </w:rPr>
              <w:t>32,4</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6CE95EE" w14:textId="77777777" w:rsidR="0017587A" w:rsidRDefault="00E2275C">
            <w:pPr>
              <w:jc w:val="center"/>
              <w:rPr>
                <w:rFonts w:ascii="Times New Roman" w:hAnsi="Times New Roman"/>
                <w:color w:val="000000"/>
                <w:sz w:val="20"/>
                <w:szCs w:val="20"/>
              </w:rPr>
            </w:pPr>
            <w:r>
              <w:rPr>
                <w:rFonts w:ascii="Times New Roman" w:hAnsi="Times New Roman"/>
                <w:sz w:val="20"/>
                <w:szCs w:val="20"/>
              </w:rPr>
              <w:t>32,4</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E5AA96C" w14:textId="77777777" w:rsidR="0017587A" w:rsidRDefault="00E2275C">
            <w:pPr>
              <w:jc w:val="center"/>
              <w:rPr>
                <w:rFonts w:ascii="Times New Roman" w:hAnsi="Times New Roman"/>
                <w:color w:val="000000"/>
                <w:sz w:val="20"/>
                <w:szCs w:val="20"/>
              </w:rPr>
            </w:pPr>
            <w:r>
              <w:rPr>
                <w:rFonts w:ascii="Times New Roman" w:hAnsi="Times New Roman"/>
                <w:sz w:val="20"/>
                <w:szCs w:val="20"/>
              </w:rPr>
              <w:t>32,1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7226589" w14:textId="77777777" w:rsidR="0017587A" w:rsidRDefault="00E2275C">
            <w:pPr>
              <w:jc w:val="center"/>
              <w:rPr>
                <w:rFonts w:ascii="Times New Roman" w:hAnsi="Times New Roman"/>
                <w:color w:val="000000"/>
                <w:sz w:val="20"/>
                <w:szCs w:val="20"/>
              </w:rPr>
            </w:pPr>
            <w:r>
              <w:rPr>
                <w:rFonts w:ascii="Times New Roman" w:hAnsi="Times New Roman"/>
                <w:sz w:val="20"/>
                <w:szCs w:val="20"/>
              </w:rPr>
              <w:t>32,0</w:t>
            </w:r>
          </w:p>
        </w:tc>
        <w:tc>
          <w:tcPr>
            <w:tcW w:w="539" w:type="pct"/>
            <w:tcBorders>
              <w:top w:val="nil"/>
              <w:left w:val="nil"/>
              <w:bottom w:val="double" w:sz="4" w:space="0" w:color="auto"/>
              <w:right w:val="double" w:sz="4" w:space="0" w:color="auto"/>
            </w:tcBorders>
            <w:vAlign w:val="center"/>
          </w:tcPr>
          <w:p w14:paraId="4D9DEF51" w14:textId="77777777" w:rsidR="0017587A" w:rsidRDefault="00E2275C">
            <w:pPr>
              <w:jc w:val="center"/>
              <w:rPr>
                <w:rFonts w:ascii="Times New Roman" w:hAnsi="Times New Roman"/>
                <w:color w:val="000000"/>
                <w:sz w:val="20"/>
                <w:szCs w:val="20"/>
              </w:rPr>
            </w:pPr>
            <w:r>
              <w:rPr>
                <w:rFonts w:ascii="Times New Roman" w:hAnsi="Times New Roman"/>
                <w:sz w:val="20"/>
                <w:szCs w:val="20"/>
              </w:rPr>
              <w:t>33,1</w:t>
            </w:r>
          </w:p>
        </w:tc>
        <w:tc>
          <w:tcPr>
            <w:tcW w:w="539" w:type="pct"/>
            <w:tcBorders>
              <w:top w:val="nil"/>
              <w:left w:val="nil"/>
              <w:bottom w:val="double" w:sz="4" w:space="0" w:color="auto"/>
              <w:right w:val="double" w:sz="4" w:space="0" w:color="auto"/>
            </w:tcBorders>
            <w:vAlign w:val="center"/>
          </w:tcPr>
          <w:p w14:paraId="3EF2D942" w14:textId="77777777" w:rsidR="0017587A" w:rsidRDefault="00E2275C">
            <w:pPr>
              <w:jc w:val="center"/>
              <w:rPr>
                <w:rFonts w:ascii="Times New Roman" w:hAnsi="Times New Roman"/>
                <w:color w:val="000000"/>
                <w:sz w:val="20"/>
                <w:szCs w:val="20"/>
              </w:rPr>
            </w:pPr>
            <w:r>
              <w:rPr>
                <w:rFonts w:ascii="Times New Roman" w:hAnsi="Times New Roman"/>
                <w:sz w:val="20"/>
                <w:szCs w:val="20"/>
              </w:rPr>
              <w:t>31,2</w:t>
            </w:r>
          </w:p>
        </w:tc>
        <w:tc>
          <w:tcPr>
            <w:tcW w:w="537" w:type="pct"/>
            <w:tcBorders>
              <w:top w:val="nil"/>
              <w:left w:val="nil"/>
              <w:bottom w:val="double" w:sz="4" w:space="0" w:color="auto"/>
              <w:right w:val="double" w:sz="4" w:space="0" w:color="auto"/>
            </w:tcBorders>
            <w:vAlign w:val="center"/>
          </w:tcPr>
          <w:p w14:paraId="058582DC" w14:textId="77777777" w:rsidR="0017587A" w:rsidRDefault="00E2275C">
            <w:pPr>
              <w:jc w:val="center"/>
              <w:rPr>
                <w:rFonts w:ascii="Times New Roman" w:hAnsi="Times New Roman"/>
                <w:color w:val="000000"/>
                <w:sz w:val="20"/>
                <w:szCs w:val="20"/>
                <w:highlight w:val="yellow"/>
              </w:rPr>
            </w:pPr>
            <w:r>
              <w:rPr>
                <w:rFonts w:ascii="Times New Roman" w:hAnsi="Times New Roman"/>
                <w:sz w:val="20"/>
                <w:szCs w:val="20"/>
              </w:rPr>
              <w:t>31,2</w:t>
            </w:r>
            <w:r>
              <w:rPr>
                <w:rStyle w:val="FootnoteReference"/>
                <w:rFonts w:ascii="Times New Roman" w:hAnsi="Times New Roman"/>
                <w:sz w:val="20"/>
                <w:szCs w:val="20"/>
              </w:rPr>
              <w:footnoteReference w:id="53"/>
            </w:r>
          </w:p>
        </w:tc>
      </w:tr>
      <w:tr w:rsidR="0017587A" w14:paraId="602D96FE" w14:textId="77777777" w:rsidTr="00294A8C">
        <w:trPr>
          <w:trHeight w:val="79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7720543" w14:textId="77777777" w:rsidR="0017587A" w:rsidRDefault="00E2275C">
            <w:pPr>
              <w:jc w:val="center"/>
              <w:rPr>
                <w:rFonts w:ascii="Times New Roman" w:hAnsi="Times New Roman"/>
                <w:b/>
                <w:bCs/>
                <w:color w:val="000000"/>
                <w:sz w:val="20"/>
                <w:szCs w:val="20"/>
              </w:rPr>
            </w:pPr>
            <w:r>
              <w:rPr>
                <w:rFonts w:ascii="Times New Roman" w:hAnsi="Times New Roman"/>
                <w:b/>
                <w:bCs/>
                <w:sz w:val="20"/>
                <w:szCs w:val="20"/>
              </w:rPr>
              <w:t>Gratis tilldelning från den särskilda reserven för snabbväxande operatörer och nya aktörer</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tcPr>
          <w:p w14:paraId="5C40A67E" w14:textId="77777777" w:rsidR="0017587A" w:rsidRDefault="00E2275C">
            <w:pPr>
              <w:jc w:val="center"/>
              <w:rPr>
                <w:rFonts w:ascii="Times New Roman" w:hAnsi="Times New Roman"/>
                <w:color w:val="000000"/>
                <w:sz w:val="20"/>
                <w:szCs w:val="20"/>
              </w:rPr>
            </w:pPr>
            <w:r>
              <w:rPr>
                <w:rFonts w:ascii="Times New Roman" w:hAnsi="Times New Roman"/>
                <w:sz w:val="20"/>
                <w:szCs w:val="20"/>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tcPr>
          <w:p w14:paraId="374010BB" w14:textId="77777777" w:rsidR="0017587A" w:rsidRDefault="00E2275C">
            <w:pPr>
              <w:jc w:val="center"/>
              <w:rPr>
                <w:rFonts w:ascii="Times New Roman" w:hAnsi="Times New Roman"/>
                <w:color w:val="000000"/>
                <w:sz w:val="20"/>
                <w:szCs w:val="20"/>
              </w:rPr>
            </w:pPr>
            <w:r>
              <w:rPr>
                <w:rFonts w:ascii="Times New Roman" w:hAnsi="Times New Roman"/>
                <w:sz w:val="20"/>
                <w:szCs w:val="20"/>
              </w:rPr>
              <w:t>0</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tcPr>
          <w:p w14:paraId="2FCEB16C" w14:textId="77777777" w:rsidR="0017587A" w:rsidRDefault="00E2275C">
            <w:pPr>
              <w:jc w:val="center"/>
              <w:rPr>
                <w:rFonts w:ascii="Times New Roman" w:hAnsi="Times New Roman"/>
                <w:color w:val="000000"/>
                <w:sz w:val="20"/>
                <w:szCs w:val="20"/>
              </w:rPr>
            </w:pPr>
            <w:r>
              <w:rPr>
                <w:rFonts w:ascii="Times New Roman" w:hAnsi="Times New Roman"/>
                <w:sz w:val="20"/>
                <w:szCs w:val="20"/>
              </w:rPr>
              <w:t>0</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tcPr>
          <w:p w14:paraId="27794DC2" w14:textId="77777777" w:rsidR="0017587A" w:rsidRDefault="00E2275C">
            <w:pPr>
              <w:jc w:val="center"/>
              <w:rPr>
                <w:rFonts w:ascii="Times New Roman" w:hAnsi="Times New Roman"/>
                <w:color w:val="000000"/>
                <w:sz w:val="20"/>
                <w:szCs w:val="20"/>
              </w:rPr>
            </w:pPr>
            <w:r>
              <w:rPr>
                <w:rFonts w:ascii="Times New Roman" w:hAnsi="Times New Roman"/>
                <w:sz w:val="20"/>
                <w:szCs w:val="20"/>
              </w:rPr>
              <w:t>0</w:t>
            </w:r>
          </w:p>
        </w:tc>
        <w:tc>
          <w:tcPr>
            <w:tcW w:w="539" w:type="pct"/>
            <w:tcBorders>
              <w:top w:val="nil"/>
              <w:left w:val="nil"/>
              <w:bottom w:val="double" w:sz="4" w:space="0" w:color="auto"/>
              <w:right w:val="double" w:sz="4" w:space="0" w:color="auto"/>
            </w:tcBorders>
            <w:vAlign w:val="center"/>
          </w:tcPr>
          <w:p w14:paraId="73A8D6ED" w14:textId="77777777" w:rsidR="0017587A" w:rsidRDefault="00E2275C">
            <w:pPr>
              <w:jc w:val="center"/>
              <w:rPr>
                <w:rFonts w:ascii="Times New Roman" w:hAnsi="Times New Roman"/>
                <w:color w:val="000000"/>
                <w:sz w:val="20"/>
                <w:szCs w:val="20"/>
              </w:rPr>
            </w:pPr>
            <w:r>
              <w:rPr>
                <w:rFonts w:ascii="Times New Roman" w:hAnsi="Times New Roman"/>
                <w:sz w:val="20"/>
                <w:szCs w:val="20"/>
              </w:rPr>
              <w:t>1,1</w:t>
            </w:r>
          </w:p>
        </w:tc>
        <w:tc>
          <w:tcPr>
            <w:tcW w:w="539" w:type="pct"/>
            <w:tcBorders>
              <w:top w:val="nil"/>
              <w:left w:val="nil"/>
              <w:bottom w:val="double" w:sz="4" w:space="0" w:color="auto"/>
              <w:right w:val="double" w:sz="4" w:space="0" w:color="auto"/>
            </w:tcBorders>
            <w:vAlign w:val="center"/>
          </w:tcPr>
          <w:p w14:paraId="2F4A3EEE" w14:textId="77777777" w:rsidR="0017587A" w:rsidRDefault="00E2275C">
            <w:pPr>
              <w:jc w:val="center"/>
              <w:rPr>
                <w:rFonts w:ascii="Times New Roman" w:hAnsi="Times New Roman"/>
                <w:color w:val="000000"/>
                <w:sz w:val="20"/>
                <w:szCs w:val="20"/>
              </w:rPr>
            </w:pPr>
            <w:r>
              <w:rPr>
                <w:rFonts w:ascii="Times New Roman" w:hAnsi="Times New Roman"/>
                <w:sz w:val="20"/>
                <w:szCs w:val="20"/>
              </w:rPr>
              <w:t>1,1</w:t>
            </w:r>
          </w:p>
        </w:tc>
        <w:tc>
          <w:tcPr>
            <w:tcW w:w="537" w:type="pct"/>
            <w:tcBorders>
              <w:top w:val="nil"/>
              <w:left w:val="nil"/>
              <w:bottom w:val="double" w:sz="4" w:space="0" w:color="auto"/>
              <w:right w:val="double" w:sz="4" w:space="0" w:color="auto"/>
            </w:tcBorders>
            <w:vAlign w:val="center"/>
          </w:tcPr>
          <w:p w14:paraId="4E5CFB9D" w14:textId="77777777" w:rsidR="0017587A" w:rsidRDefault="00E2275C">
            <w:pPr>
              <w:jc w:val="center"/>
              <w:rPr>
                <w:rFonts w:ascii="Times New Roman" w:hAnsi="Times New Roman"/>
                <w:color w:val="000000"/>
                <w:sz w:val="20"/>
                <w:szCs w:val="20"/>
              </w:rPr>
            </w:pPr>
            <w:r>
              <w:rPr>
                <w:rFonts w:ascii="Times New Roman" w:hAnsi="Times New Roman"/>
                <w:sz w:val="20"/>
                <w:szCs w:val="20"/>
              </w:rPr>
              <w:t>1,1</w:t>
            </w:r>
          </w:p>
        </w:tc>
      </w:tr>
      <w:tr w:rsidR="0017587A" w14:paraId="76FB81C0" w14:textId="77777777" w:rsidTr="002802C4">
        <w:trPr>
          <w:trHeight w:val="34"/>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500669C3" w14:textId="77777777" w:rsidR="0017587A" w:rsidRDefault="00E2275C">
            <w:pPr>
              <w:jc w:val="center"/>
              <w:rPr>
                <w:rFonts w:ascii="Times New Roman" w:hAnsi="Times New Roman"/>
                <w:b/>
                <w:bCs/>
                <w:color w:val="000000"/>
                <w:sz w:val="20"/>
                <w:szCs w:val="20"/>
              </w:rPr>
            </w:pPr>
            <w:r>
              <w:rPr>
                <w:rFonts w:ascii="Times New Roman" w:hAnsi="Times New Roman"/>
                <w:b/>
                <w:bCs/>
                <w:sz w:val="20"/>
                <w:szCs w:val="20"/>
              </w:rPr>
              <w:t>Volymer auktionerade utsläppsrätter</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1142F5D" w14:textId="77777777" w:rsidR="0017587A" w:rsidRDefault="00E2275C">
            <w:pPr>
              <w:jc w:val="center"/>
              <w:rPr>
                <w:rFonts w:ascii="Times New Roman" w:hAnsi="Times New Roman"/>
                <w:color w:val="000000"/>
                <w:sz w:val="20"/>
                <w:szCs w:val="20"/>
              </w:rPr>
            </w:pPr>
            <w:r>
              <w:rPr>
                <w:rFonts w:ascii="Times New Roman" w:hAnsi="Times New Roman"/>
                <w:sz w:val="20"/>
                <w:szCs w:val="20"/>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E69CE3E" w14:textId="77777777" w:rsidR="0017587A" w:rsidRDefault="00E2275C">
            <w:pPr>
              <w:jc w:val="center"/>
              <w:rPr>
                <w:rFonts w:ascii="Times New Roman" w:hAnsi="Times New Roman"/>
                <w:color w:val="000000"/>
                <w:sz w:val="20"/>
                <w:szCs w:val="20"/>
              </w:rPr>
            </w:pPr>
            <w:r>
              <w:rPr>
                <w:rFonts w:ascii="Times New Roman" w:hAnsi="Times New Roman"/>
                <w:sz w:val="20"/>
                <w:szCs w:val="20"/>
              </w:rPr>
              <w:t>9,3</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C19D0A0" w14:textId="77777777" w:rsidR="0017587A" w:rsidRDefault="00E2275C">
            <w:pPr>
              <w:jc w:val="center"/>
              <w:rPr>
                <w:rFonts w:ascii="Times New Roman" w:hAnsi="Times New Roman"/>
                <w:color w:val="000000"/>
                <w:sz w:val="20"/>
                <w:szCs w:val="20"/>
              </w:rPr>
            </w:pPr>
            <w:r>
              <w:rPr>
                <w:rFonts w:ascii="Times New Roman" w:hAnsi="Times New Roman"/>
                <w:sz w:val="20"/>
                <w:szCs w:val="20"/>
              </w:rPr>
              <w:t>16,4</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5657B7D" w14:textId="77777777" w:rsidR="0017587A" w:rsidRDefault="00E2275C">
            <w:pPr>
              <w:jc w:val="center"/>
              <w:rPr>
                <w:rFonts w:ascii="Times New Roman" w:hAnsi="Times New Roman"/>
                <w:color w:val="000000"/>
                <w:sz w:val="20"/>
                <w:szCs w:val="20"/>
              </w:rPr>
            </w:pPr>
            <w:r>
              <w:rPr>
                <w:rFonts w:ascii="Times New Roman" w:hAnsi="Times New Roman"/>
                <w:sz w:val="20"/>
                <w:szCs w:val="20"/>
              </w:rPr>
              <w:t>5,9</w:t>
            </w:r>
          </w:p>
        </w:tc>
        <w:tc>
          <w:tcPr>
            <w:tcW w:w="539" w:type="pct"/>
            <w:tcBorders>
              <w:top w:val="nil"/>
              <w:left w:val="nil"/>
              <w:bottom w:val="double" w:sz="4" w:space="0" w:color="auto"/>
              <w:right w:val="double" w:sz="4" w:space="0" w:color="auto"/>
            </w:tcBorders>
            <w:vAlign w:val="center"/>
          </w:tcPr>
          <w:p w14:paraId="013F63CC" w14:textId="77777777" w:rsidR="0017587A" w:rsidRDefault="00E2275C">
            <w:pPr>
              <w:jc w:val="center"/>
              <w:rPr>
                <w:rFonts w:ascii="Times New Roman" w:hAnsi="Times New Roman"/>
                <w:color w:val="000000"/>
                <w:sz w:val="20"/>
                <w:szCs w:val="20"/>
              </w:rPr>
            </w:pPr>
            <w:r>
              <w:rPr>
                <w:rFonts w:ascii="Times New Roman" w:hAnsi="Times New Roman"/>
                <w:sz w:val="20"/>
                <w:szCs w:val="20"/>
              </w:rPr>
              <w:t>4,7</w:t>
            </w:r>
          </w:p>
        </w:tc>
        <w:tc>
          <w:tcPr>
            <w:tcW w:w="539" w:type="pct"/>
            <w:tcBorders>
              <w:top w:val="nil"/>
              <w:left w:val="nil"/>
              <w:bottom w:val="double" w:sz="4" w:space="0" w:color="auto"/>
              <w:right w:val="double" w:sz="4" w:space="0" w:color="auto"/>
            </w:tcBorders>
            <w:vAlign w:val="center"/>
          </w:tcPr>
          <w:p w14:paraId="77E44679" w14:textId="77777777" w:rsidR="0017587A" w:rsidRDefault="00E2275C">
            <w:pPr>
              <w:jc w:val="center"/>
              <w:rPr>
                <w:rFonts w:ascii="Times New Roman" w:hAnsi="Times New Roman"/>
                <w:color w:val="000000"/>
                <w:sz w:val="20"/>
                <w:szCs w:val="20"/>
              </w:rPr>
            </w:pPr>
            <w:r>
              <w:rPr>
                <w:rFonts w:ascii="Times New Roman" w:hAnsi="Times New Roman"/>
                <w:sz w:val="20"/>
                <w:szCs w:val="20"/>
              </w:rPr>
              <w:t>5,6</w:t>
            </w:r>
          </w:p>
        </w:tc>
        <w:tc>
          <w:tcPr>
            <w:tcW w:w="537" w:type="pct"/>
            <w:tcBorders>
              <w:top w:val="nil"/>
              <w:left w:val="nil"/>
              <w:bottom w:val="double" w:sz="4" w:space="0" w:color="auto"/>
              <w:right w:val="double" w:sz="4" w:space="0" w:color="auto"/>
            </w:tcBorders>
            <w:vAlign w:val="center"/>
          </w:tcPr>
          <w:p w14:paraId="0B708719" w14:textId="77777777" w:rsidR="0017587A" w:rsidRDefault="00E2275C">
            <w:pPr>
              <w:jc w:val="center"/>
              <w:rPr>
                <w:rFonts w:ascii="Times New Roman" w:hAnsi="Times New Roman"/>
                <w:color w:val="000000"/>
                <w:sz w:val="20"/>
                <w:szCs w:val="20"/>
              </w:rPr>
            </w:pPr>
            <w:r>
              <w:rPr>
                <w:rFonts w:ascii="Times New Roman" w:hAnsi="Times New Roman"/>
                <w:sz w:val="20"/>
                <w:szCs w:val="20"/>
              </w:rPr>
              <w:t>2,0</w:t>
            </w:r>
            <w:r>
              <w:rPr>
                <w:rStyle w:val="FootnoteReference"/>
                <w:rFonts w:ascii="Times New Roman" w:hAnsi="Times New Roman"/>
                <w:sz w:val="20"/>
                <w:szCs w:val="20"/>
              </w:rPr>
              <w:footnoteReference w:id="54"/>
            </w:r>
          </w:p>
        </w:tc>
      </w:tr>
    </w:tbl>
    <w:p w14:paraId="29ADA161" w14:textId="77777777" w:rsidR="0017587A" w:rsidRDefault="00526348">
      <w:pPr>
        <w:jc w:val="both"/>
        <w:rPr>
          <w:rFonts w:ascii="Times New Roman" w:hAnsi="Times New Roman"/>
          <w:sz w:val="18"/>
          <w:szCs w:val="18"/>
        </w:rPr>
      </w:pPr>
      <w:r>
        <w:rPr>
          <w:rFonts w:ascii="Times New Roman" w:hAnsi="Times New Roman"/>
          <w:sz w:val="18"/>
          <w:szCs w:val="18"/>
        </w:rPr>
        <w:t>Källor: EUTL, GD Klimatpolitik och EEX.</w:t>
      </w:r>
    </w:p>
    <w:p w14:paraId="0514DF2F" w14:textId="77777777" w:rsidR="0017587A" w:rsidRDefault="00C95B98">
      <w:pPr>
        <w:jc w:val="both"/>
        <w:rPr>
          <w:rFonts w:ascii="Times New Roman" w:hAnsi="Times New Roman"/>
          <w:sz w:val="24"/>
          <w:szCs w:val="24"/>
        </w:rPr>
      </w:pPr>
      <w:r>
        <w:rPr>
          <w:rFonts w:ascii="Times New Roman" w:hAnsi="Times New Roman"/>
        </w:rPr>
        <w:t>Under 2013 antogs beslutet</w:t>
      </w:r>
      <w:r>
        <w:rPr>
          <w:rFonts w:ascii="Times New Roman" w:hAnsi="Times New Roman"/>
          <w:vertAlign w:val="superscript"/>
        </w:rPr>
        <w:footnoteReference w:id="55"/>
      </w:r>
      <w:r>
        <w:rPr>
          <w:rFonts w:ascii="Times New Roman" w:hAnsi="Times New Roman"/>
        </w:rPr>
        <w:t xml:space="preserve"> att begränsa skyldigheterna när det gäller klimatförändringar till enbart flygningar inom EES. Luftfartssektorns efterlevnad sköts upp för 2012 och 2013. De senarelagda volymerna utsläppsrätter för 2012 auktionerades alltså 2014, medan efterlevnaden avseende luftfartens utsläpp 2013 och 2014 genomfördes under januari–april 2015.</w:t>
      </w:r>
    </w:p>
    <w:p w14:paraId="0CC2B27E" w14:textId="77777777" w:rsidR="0017587A" w:rsidRDefault="00AE6522">
      <w:pPr>
        <w:jc w:val="both"/>
        <w:rPr>
          <w:rFonts w:ascii="Times New Roman" w:hAnsi="Times New Roman"/>
          <w:sz w:val="24"/>
          <w:szCs w:val="24"/>
        </w:rPr>
      </w:pPr>
      <w:r>
        <w:rPr>
          <w:rFonts w:ascii="Times New Roman" w:hAnsi="Times New Roman"/>
        </w:rPr>
        <w:t>I juni 2018 antog Icao de Corsiabaserade standardbestämmelserna och rekommendationerna</w:t>
      </w:r>
      <w:r>
        <w:rPr>
          <w:rStyle w:val="FootnoteReference"/>
          <w:rFonts w:ascii="Times New Roman" w:hAnsi="Times New Roman"/>
        </w:rPr>
        <w:footnoteReference w:id="56"/>
      </w:r>
      <w:r>
        <w:rPr>
          <w:rFonts w:ascii="Times New Roman" w:hAnsi="Times New Roman"/>
        </w:rPr>
        <w:t>. I dessa samt i genomförandevillkoren fastställs Corsias funktion. Viktiga genomförandevillkor, till exempel berättigade enheter och ramen för alternativa bränslen, har dock inte antagits än. EU och dess medlemsstater har erkänt och gett stöd till Icaos formella antagande av standardbestämmelserna och rekommendationerna och har följt Icaos förfaranden för att anmäla befintliga skillnader</w:t>
      </w:r>
      <w:r>
        <w:rPr>
          <w:rStyle w:val="FootnoteReference"/>
          <w:rFonts w:ascii="Times New Roman" w:hAnsi="Times New Roman"/>
        </w:rPr>
        <w:footnoteReference w:id="57"/>
      </w:r>
      <w:r>
        <w:rPr>
          <w:rFonts w:ascii="Times New Roman" w:hAnsi="Times New Roman"/>
        </w:rPr>
        <w:t xml:space="preserve"> mellan relevant EU-lagstiftning och Corsia. Från och med den 1 januari 2019 måste luftfartygsoperatörer övervaka och kontrollera sina utsläpp även för Corsia. Ramen för övervakning, rapportering och verifiering inom EU:s utsläppshandelssystem har reviderats så att det införs en rättsligt bindande skyldighet i detta avseende (se kapitel 6.1).  Med hjälp av en sådan integrerad strategi i de båda instrumenten minimeras den administrativa bördan.</w:t>
      </w:r>
    </w:p>
    <w:p w14:paraId="244649E4" w14:textId="77777777" w:rsidR="0017587A" w:rsidRDefault="00A52F4C">
      <w:pPr>
        <w:pStyle w:val="Heading1"/>
        <w:spacing w:before="0" w:after="200"/>
      </w:pPr>
      <w:bookmarkStart w:id="20" w:name="_Toc23755277"/>
      <w:r>
        <w:t>5. MARKNADSÖVERSIKT</w:t>
      </w:r>
      <w:bookmarkEnd w:id="20"/>
    </w:p>
    <w:p w14:paraId="378D798F" w14:textId="77777777" w:rsidR="0017587A" w:rsidRDefault="00E71363">
      <w:pPr>
        <w:jc w:val="both"/>
        <w:rPr>
          <w:rFonts w:ascii="Times New Roman" w:hAnsi="Times New Roman"/>
          <w:sz w:val="24"/>
          <w:szCs w:val="24"/>
        </w:rPr>
      </w:pPr>
      <w:r>
        <w:rPr>
          <w:rFonts w:ascii="Times New Roman" w:hAnsi="Times New Roman"/>
          <w:noProof/>
          <w:lang w:val="en-GB" w:eastAsia="en-GB"/>
        </w:rPr>
        <mc:AlternateContent>
          <mc:Choice Requires="wps">
            <w:drawing>
              <wp:inline distT="0" distB="0" distL="0" distR="0" wp14:anchorId="45945B53" wp14:editId="67804AC1">
                <wp:extent cx="5731510" cy="5675282"/>
                <wp:effectExtent l="0" t="0" r="21590" b="2095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675282"/>
                        </a:xfrm>
                        <a:prstGeom prst="rect">
                          <a:avLst/>
                        </a:prstGeom>
                        <a:solidFill>
                          <a:sysClr val="window" lastClr="FFFFFF">
                            <a:lumMod val="85000"/>
                          </a:sysClr>
                        </a:solidFill>
                        <a:ln w="12700">
                          <a:solidFill>
                            <a:srgbClr val="000000"/>
                          </a:solidFill>
                          <a:miter lim="800000"/>
                          <a:headEnd/>
                          <a:tailEnd/>
                        </a:ln>
                      </wps:spPr>
                      <wps:txbx>
                        <w:txbxContent>
                          <w:p w14:paraId="149792CA" w14:textId="2F69B695" w:rsidR="0017587A" w:rsidRDefault="00516F65">
                            <w:pPr>
                              <w:jc w:val="both"/>
                              <w:rPr>
                                <w:rFonts w:ascii="Times New Roman" w:hAnsi="Times New Roman"/>
                                <w:sz w:val="24"/>
                                <w:szCs w:val="24"/>
                              </w:rPr>
                            </w:pPr>
                            <w:r>
                              <w:rPr>
                                <w:rFonts w:ascii="Times New Roman" w:hAnsi="Times New Roman"/>
                              </w:rPr>
                              <w:t xml:space="preserve">Enligt det reviderade direktivet om marknader för finansiella instrument* (Mifid II) klassificeras utsläppsrätter som finansiella instrument från och med den 3 januari 2018. Detta innebär att de regler som är tillämpliga på traditionella finansiella marknader (de som omfattar handel med koldioxidderivat på ledande plattformar eller </w:t>
                            </w:r>
                            <w:r>
                              <w:rPr>
                                <w:rFonts w:ascii="Times New Roman" w:hAnsi="Times New Roman"/>
                                <w:i/>
                                <w:iCs/>
                              </w:rPr>
                              <w:t>over-the-counter</w:t>
                            </w:r>
                            <w:r>
                              <w:rPr>
                                <w:rFonts w:ascii="Times New Roman" w:hAnsi="Times New Roman"/>
                              </w:rPr>
                              <w:t xml:space="preserve"> (OTC) också ska tillämpas på spotsegmentet av den sekundära koldioxidmarknaden (transaktioner i utsläppsrätter för omedelbar leverans på den sekundära marknaden). Detta segment får därmed samma ställning som derivatmarknaden när det gäller transparens, investerarskydd och integritet. Tillsynen på den primära marknaden omfattas fortfarande av auktioneringsförordningen, utom frågor som handlar om marknadsmissbruk.</w:t>
                            </w:r>
                          </w:p>
                          <w:p w14:paraId="15E713A5" w14:textId="77777777" w:rsidR="0017587A" w:rsidRDefault="00516F65">
                            <w:pPr>
                              <w:jc w:val="both"/>
                              <w:rPr>
                                <w:rFonts w:ascii="Times New Roman" w:hAnsi="Times New Roman"/>
                                <w:sz w:val="24"/>
                                <w:szCs w:val="24"/>
                              </w:rPr>
                            </w:pPr>
                            <w:r>
                              <w:rPr>
                                <w:rFonts w:ascii="Times New Roman" w:hAnsi="Times New Roman"/>
                              </w:rPr>
                              <w:t>Dessutom är andra delar av lagstiftningen om finansiella marknader tillämpliga genom hänvisningar till Mifid II-definitioner av finansiella instrument. Detta gäller särskilt förordningen om marknadsmissbruk**, som omfattar transaktioner och beteenden som berör utsläppsrätter både på primära och på sekundära marknader. På samma sätt kommer en hänvisning till Mifid II i direktivet om bekämpning av penningtvätt*** att göra det obligatoriskt för koldioxidhandlare med tillstånd enligt Mifid att göra kundkontroller på den sekundära spotmarknaden för utsläppsrätter. ****</w:t>
                            </w:r>
                          </w:p>
                          <w:p w14:paraId="5CE966A0" w14:textId="77777777" w:rsidR="0017587A" w:rsidRDefault="00516F65">
                            <w:pPr>
                              <w:jc w:val="both"/>
                              <w:rPr>
                                <w:rFonts w:ascii="Times New Roman" w:hAnsi="Times New Roman"/>
                                <w:sz w:val="18"/>
                                <w:szCs w:val="18"/>
                              </w:rPr>
                            </w:pPr>
                            <w:r>
                              <w:rPr>
                                <w:rFonts w:ascii="Times New Roman" w:hAnsi="Times New Roman"/>
                                <w:sz w:val="18"/>
                                <w:szCs w:val="18"/>
                              </w:rPr>
                              <w:t xml:space="preserve">* Europaparlamentets och rådets direktiv 2014/65/EU av den 15 maj 2014 om marknader för finansiella instrument och om ändring av direktiv 2002/92/EG och av direktiv 2011/61/EU. </w:t>
                            </w:r>
                          </w:p>
                          <w:p w14:paraId="0112DF1F" w14:textId="77777777" w:rsidR="0017587A" w:rsidRDefault="00516F65">
                            <w:pPr>
                              <w:jc w:val="both"/>
                              <w:rPr>
                                <w:rFonts w:ascii="Times New Roman" w:hAnsi="Times New Roman"/>
                                <w:sz w:val="18"/>
                                <w:szCs w:val="18"/>
                              </w:rPr>
                            </w:pPr>
                            <w:r>
                              <w:rPr>
                                <w:rFonts w:ascii="Times New Roman" w:hAnsi="Times New Roman"/>
                                <w:sz w:val="18"/>
                                <w:szCs w:val="18"/>
                              </w:rPr>
                              <w:t>** Europaparlamentets och rådets förordning (EU) nr 596/2014 av den 16 april 2014 om marknadsmissbruk (marknadsmissbruksförordning) och om upphävande av Europaparlamentets och rådets direktiv 2003/6/EG och kommissionens direktiv 2003/124/EG, 2003/125/EG och 2004/72/EG.</w:t>
                            </w:r>
                          </w:p>
                          <w:p w14:paraId="4C065751" w14:textId="77777777" w:rsidR="0017587A" w:rsidRDefault="00516F65">
                            <w:pPr>
                              <w:jc w:val="both"/>
                              <w:rPr>
                                <w:rFonts w:ascii="Times New Roman" w:hAnsi="Times New Roman"/>
                                <w:sz w:val="18"/>
                                <w:szCs w:val="18"/>
                              </w:rPr>
                            </w:pPr>
                            <w:r>
                              <w:rPr>
                                <w:rFonts w:ascii="Times New Roman" w:hAnsi="Times New Roman"/>
                                <w:sz w:val="18"/>
                                <w:szCs w:val="18"/>
                              </w:rPr>
                              <w:t xml:space="preserve">*** Europaparlamentets och rådets direktiv (EU) 2015/849 av den 20 maj 2015 om åtgärder för att förhindra att det finansiella systemet används för penningtvätt eller finansiering av terrorism, om ändring av Europaparlamentets och rådets förordning (EU) nr 648/2012 och om upphävande av Europaparlamentets och rådets direktiv 2005/60/EG och kommissionens direktiv 2006/70/EG. </w:t>
                            </w:r>
                          </w:p>
                          <w:p w14:paraId="2A509AF7" w14:textId="77777777" w:rsidR="0017587A" w:rsidRDefault="00516F65">
                            <w:pPr>
                              <w:jc w:val="both"/>
                              <w:rPr>
                                <w:rFonts w:ascii="Times New Roman" w:hAnsi="Times New Roman"/>
                                <w:sz w:val="18"/>
                                <w:szCs w:val="18"/>
                              </w:rPr>
                            </w:pPr>
                            <w:r>
                              <w:rPr>
                                <w:rFonts w:ascii="Times New Roman" w:hAnsi="Times New Roman"/>
                                <w:sz w:val="18"/>
                                <w:szCs w:val="18"/>
                              </w:rPr>
                              <w:t>**** Kundkontroller är redan obligatoriska på den primära marknaden och på den sekundära marknaden för utsläppsrättsderivat.</w:t>
                            </w:r>
                          </w:p>
                        </w:txbxContent>
                      </wps:txbx>
                      <wps:bodyPr rot="0" vert="horz" wrap="square" lIns="91440" tIns="45720" rIns="91440" bIns="45720" anchor="t" anchorCtr="0">
                        <a:noAutofit/>
                      </wps:bodyPr>
                    </wps:wsp>
                  </a:graphicData>
                </a:graphic>
              </wp:inline>
            </w:drawing>
          </mc:Choice>
          <mc:Fallback>
            <w:pict>
              <v:shape w14:anchorId="45945B53" id="_x0000_s1038" type="#_x0000_t202" style="width:451.3pt;height:44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" fillcolor="#d9d9d9" strokeweight="1pt">
                <v:textbox>
                  <w:txbxContent>
                    <w:p w14:paraId="149792CA" w14:textId="2F69B695" w:rsidR="0017587A" w:rsidRDefault="00516F65">
                      <w:pPr>
                        <w:jc w:val="both"/>
                        <w:rPr>
                          <w:rFonts w:ascii="Times New Roman" w:hAnsi="Times New Roman"/>
                          <w:sz w:val="24"/>
                          <w:szCs w:val="24"/>
                        </w:rPr>
                      </w:pPr>
                      <w:r>
                        <w:rPr>
                          <w:rFonts w:ascii="Times New Roman" w:hAnsi="Times New Roman"/>
                        </w:rPr>
                        <w:t xml:space="preserve">Enligt det reviderade direktivet om marknader för finansiella instrument* (Mifid II) klassificeras utsläppsrätter som finansiella instrument från och med den 3 januari 2018. Detta innebär att de regler som är tillämpliga på traditionella finansiella marknader (de som omfattar handel med koldioxidderivat på ledande plattformar eller </w:t>
                      </w:r>
                      <w:r>
                        <w:rPr>
                          <w:rFonts w:ascii="Times New Roman" w:hAnsi="Times New Roman"/>
                          <w:i/>
                          <w:iCs/>
                        </w:rPr>
                        <w:t>over-the-counter</w:t>
                      </w:r>
                      <w:r>
                        <w:rPr>
                          <w:rFonts w:ascii="Times New Roman" w:hAnsi="Times New Roman"/>
                        </w:rPr>
                        <w:t xml:space="preserve"> (OTC) också ska tillämpas på spotsegmentet av den sekundära koldioxidmarknaden (transaktioner i utsläppsrätter för omedelbar leverans på den sekundära marknaden). Detta segment får därmed samma ställning som derivatmarknaden när det gäller transparens, investerarskydd och integritet. Tillsynen på den primära marknaden omfattas fortfarande av auktioneringsförordningen, utom frågor som handlar om marknadsmissbruk.</w:t>
                      </w:r>
                    </w:p>
                    <w:p w14:paraId="15E713A5" w14:textId="77777777" w:rsidR="0017587A" w:rsidRDefault="00516F65">
                      <w:pPr>
                        <w:jc w:val="both"/>
                        <w:rPr>
                          <w:rFonts w:ascii="Times New Roman" w:hAnsi="Times New Roman"/>
                          <w:sz w:val="24"/>
                          <w:szCs w:val="24"/>
                        </w:rPr>
                      </w:pPr>
                      <w:r>
                        <w:rPr>
                          <w:rFonts w:ascii="Times New Roman" w:hAnsi="Times New Roman"/>
                        </w:rPr>
                        <w:t>Dessutom är andra delar av lagstiftningen om finansiella marknader tillämpliga genom hänvisningar till Mifid II-definitioner av finansiella instrument. Detta gäller särskilt förordningen om marknadsmissbruk**, som omfattar transaktioner och beteenden som berör utsläppsrätter både på primära och på sekundära marknader. På samma sätt kommer en hänvisning till Mifid II i direktivet om bekämpning av penningtvätt*** att göra det obligatoriskt för koldioxidhandlare med tillstånd enligt Mifid att göra kundkontroller på den sekundära spotmarknaden för utsläppsrätter. ****</w:t>
                      </w:r>
                    </w:p>
                    <w:p w14:paraId="5CE966A0" w14:textId="77777777" w:rsidR="0017587A" w:rsidRDefault="00516F65">
                      <w:pPr>
                        <w:jc w:val="both"/>
                        <w:rPr>
                          <w:rFonts w:ascii="Times New Roman" w:hAnsi="Times New Roman"/>
                          <w:sz w:val="18"/>
                          <w:szCs w:val="18"/>
                        </w:rPr>
                      </w:pPr>
                      <w:r>
                        <w:rPr>
                          <w:rFonts w:ascii="Times New Roman" w:hAnsi="Times New Roman"/>
                          <w:sz w:val="18"/>
                          <w:szCs w:val="18"/>
                        </w:rPr>
                        <w:t xml:space="preserve">* Europaparlamentets och rådets direktiv 2014/65/EU av den 15 maj 2014 om marknader för finansiella instrument och om ändring av direktiv 2002/92/EG och av direktiv 2011/61/EU. </w:t>
                      </w:r>
                    </w:p>
                    <w:p w14:paraId="0112DF1F" w14:textId="77777777" w:rsidR="0017587A" w:rsidRDefault="00516F65">
                      <w:pPr>
                        <w:jc w:val="both"/>
                        <w:rPr>
                          <w:rFonts w:ascii="Times New Roman" w:hAnsi="Times New Roman"/>
                          <w:sz w:val="18"/>
                          <w:szCs w:val="18"/>
                        </w:rPr>
                      </w:pPr>
                      <w:r>
                        <w:rPr>
                          <w:rFonts w:ascii="Times New Roman" w:hAnsi="Times New Roman"/>
                          <w:sz w:val="18"/>
                          <w:szCs w:val="18"/>
                        </w:rPr>
                        <w:t>** Europaparlamentets och rådets förordning (EU) nr 596/2014 av den 16 april 2014 om marknadsmissbruk (marknadsmissbruksförordning) och om upphävande av Europaparlamentets och rådets direktiv 2003/6/EG och kommissionens direktiv 2003/124/EG, 2003/125/EG och 2004/72/EG.</w:t>
                      </w:r>
                    </w:p>
                    <w:p w14:paraId="4C065751" w14:textId="77777777" w:rsidR="0017587A" w:rsidRDefault="00516F65">
                      <w:pPr>
                        <w:jc w:val="both"/>
                        <w:rPr>
                          <w:rFonts w:ascii="Times New Roman" w:hAnsi="Times New Roman"/>
                          <w:sz w:val="18"/>
                          <w:szCs w:val="18"/>
                        </w:rPr>
                      </w:pPr>
                      <w:r>
                        <w:rPr>
                          <w:rFonts w:ascii="Times New Roman" w:hAnsi="Times New Roman"/>
                          <w:sz w:val="18"/>
                          <w:szCs w:val="18"/>
                        </w:rPr>
                        <w:t xml:space="preserve">*** Europaparlamentets och rådets direktiv (EU) 2015/849 av den 20 maj 2015 om åtgärder för att förhindra att det finansiella systemet används för penningtvätt eller finansiering av terrorism, om ändring av Europaparlamentets och rådets förordning (EU) nr 648/2012 och om upphävande av Europaparlamentets och rådets direktiv 2005/60/EG och kommissionens direktiv 2006/70/EG. </w:t>
                      </w:r>
                    </w:p>
                    <w:p w14:paraId="2A509AF7" w14:textId="77777777" w:rsidR="0017587A" w:rsidRDefault="00516F65">
                      <w:pPr>
                        <w:jc w:val="both"/>
                        <w:rPr>
                          <w:rFonts w:ascii="Times New Roman" w:hAnsi="Times New Roman"/>
                          <w:sz w:val="18"/>
                          <w:szCs w:val="18"/>
                        </w:rPr>
                      </w:pPr>
                      <w:r>
                        <w:rPr>
                          <w:rFonts w:ascii="Times New Roman" w:hAnsi="Times New Roman"/>
                          <w:sz w:val="18"/>
                          <w:szCs w:val="18"/>
                        </w:rPr>
                        <w:t>**** Kundkontroller är redan obligatoriska på den primära marknaden och på den sekundära marknaden för utsläppsrättsderivat.</w:t>
                      </w:r>
                    </w:p>
                  </w:txbxContent>
                </v:textbox>
                <w10:anchorlock/>
              </v:shape>
            </w:pict>
          </mc:Fallback>
        </mc:AlternateContent>
      </w:r>
    </w:p>
    <w:p w14:paraId="497D3299" w14:textId="4A833F78" w:rsidR="0017587A" w:rsidRDefault="00D3027D">
      <w:pPr>
        <w:jc w:val="both"/>
        <w:rPr>
          <w:rFonts w:ascii="Times New Roman" w:hAnsi="Times New Roman"/>
          <w:sz w:val="24"/>
          <w:szCs w:val="24"/>
        </w:rPr>
      </w:pPr>
      <w:r>
        <w:rPr>
          <w:rFonts w:ascii="Times New Roman" w:hAnsi="Times New Roman"/>
        </w:rPr>
        <w:t>Efter reformen av EU:s utsläppshandelssystem för fas 4 har ett antal marknadsdeltagare, till exempel större finansaktörer och mäklare, anslutit sig till marknaden på nytt. Antalet deltagare med rätt att ge anbud i auktioner på den gemensamma auktionsplattformen ökade från 73 (i januari 2018) till 79 (i december 2018). Den övervägande majoriteten deltagare var verksamhetsutövare (73 %) medan resten utgjordes av värdepappersföretag och kreditinstitut (19 %) samt personer som inte omfattas av Mifidkraven (8 %).</w:t>
      </w:r>
      <w:r>
        <w:rPr>
          <w:rStyle w:val="FootnoteReference"/>
          <w:rFonts w:ascii="Times New Roman" w:hAnsi="Times New Roman"/>
        </w:rPr>
        <w:footnoteReference w:id="58"/>
      </w:r>
      <w:r>
        <w:rPr>
          <w:rFonts w:ascii="Times New Roman" w:hAnsi="Times New Roman"/>
        </w:rPr>
        <w:t xml:space="preserve"> Detta kan jämföras med slutet av 2012, när auktionerna började, då det fanns 42 deltagare som var behöriga att lämna anbud i auktionerna, varav 67 % var verksamhetsutövare, 26 % värdepappersföretag och kreditinstitut samt 7 % icke-finansiella mellanhänder.</w:t>
      </w:r>
      <w:r>
        <w:rPr>
          <w:rFonts w:ascii="Times New Roman" w:hAnsi="Times New Roman"/>
          <w:vertAlign w:val="superscript"/>
        </w:rPr>
        <w:footnoteReference w:id="59"/>
      </w:r>
    </w:p>
    <w:p w14:paraId="630AF4A4" w14:textId="77777777" w:rsidR="0017587A" w:rsidRDefault="00E71363">
      <w:pPr>
        <w:jc w:val="both"/>
        <w:rPr>
          <w:rFonts w:ascii="Times New Roman" w:hAnsi="Times New Roman"/>
          <w:sz w:val="24"/>
          <w:szCs w:val="24"/>
        </w:rPr>
      </w:pPr>
      <w:r>
        <w:rPr>
          <w:rFonts w:ascii="Times New Roman" w:hAnsi="Times New Roman"/>
        </w:rPr>
        <w:t>Enligt de befintliga bestämmelserna om marknadsmissbruk ansvarar de nationella behöriga myndigheterna</w:t>
      </w:r>
      <w:r>
        <w:rPr>
          <w:rFonts w:ascii="Times New Roman" w:hAnsi="Times New Roman"/>
          <w:vertAlign w:val="superscript"/>
        </w:rPr>
        <w:footnoteReference w:id="60"/>
      </w:r>
      <w:r>
        <w:rPr>
          <w:rFonts w:ascii="Times New Roman" w:hAnsi="Times New Roman"/>
        </w:rPr>
        <w:t xml:space="preserve"> för att övervaka marknaden, med avseende på såväl auktioner som sekundärmarknaden. På europeisk nivå samordnas deras verksamhet av Europeiska värdepappers- och marknadsmyndigheten (Esma), liksom är fallet med andra finansiella instrument. </w:t>
      </w:r>
    </w:p>
    <w:p w14:paraId="36582859" w14:textId="45636C6F" w:rsidR="0017587A" w:rsidRDefault="00E71363">
      <w:pPr>
        <w:jc w:val="both"/>
        <w:rPr>
          <w:rFonts w:ascii="Times New Roman" w:hAnsi="Times New Roman"/>
          <w:sz w:val="24"/>
          <w:szCs w:val="24"/>
        </w:rPr>
      </w:pPr>
      <w:r>
        <w:rPr>
          <w:rFonts w:ascii="Times New Roman" w:hAnsi="Times New Roman"/>
        </w:rPr>
        <w:t xml:space="preserve">De nationella behöriga myndigheterna har befogenhet att påföra korrigerande åtgärder eller sanktioner om de beslutar att ett visst beteende utgör marknadsmissbruk. För att de ska kunna utöva sin marknadstillsyn fastställs en rad rapporterings- och öppenhetsmekanismer i finansmarknadslagstiftningen vilka är tillämpliga på handelsplatser och värdepappersföretag. Rapporteringskraven innebär bland annat att handelsplatser och värdepappersföretag måste lämna utförliga uppgifter till de behöriga myndigheterna om transaktioner med utsläppsrätter eller derivat av sådana som genomförs på handelsplatserna och </w:t>
      </w:r>
      <w:r>
        <w:rPr>
          <w:rFonts w:ascii="Times New Roman" w:hAnsi="Times New Roman"/>
          <w:i/>
          <w:iCs/>
        </w:rPr>
        <w:t>over-the-counter</w:t>
      </w:r>
      <w:r>
        <w:rPr>
          <w:rFonts w:ascii="Times New Roman" w:hAnsi="Times New Roman"/>
        </w:rPr>
        <w:t xml:space="preserve"> (OTC).</w:t>
      </w:r>
      <w:r>
        <w:rPr>
          <w:rFonts w:ascii="Times New Roman" w:hAnsi="Times New Roman"/>
          <w:vertAlign w:val="superscript"/>
        </w:rPr>
        <w:footnoteReference w:id="61"/>
      </w:r>
      <w:r>
        <w:rPr>
          <w:rFonts w:ascii="Times New Roman" w:hAnsi="Times New Roman"/>
        </w:rPr>
        <w:t xml:space="preserve"> Rapporteringskraven innefattar även en skyldighet för handelsplatser och värdepappersföretag att förse de behöriga myndigheterna med positionsuppgifter beträffande utsläppsrätterna.</w:t>
      </w:r>
      <w:r>
        <w:rPr>
          <w:rFonts w:ascii="Times New Roman" w:hAnsi="Times New Roman"/>
          <w:vertAlign w:val="superscript"/>
        </w:rPr>
        <w:footnoteReference w:id="62"/>
      </w:r>
      <w:r>
        <w:rPr>
          <w:rFonts w:ascii="Times New Roman" w:hAnsi="Times New Roman"/>
        </w:rPr>
        <w:t xml:space="preserve"> Öppenhetskraven innebär bland annat att handelsplatser och värdepappersföretag ska offentliggöra handelsuppgifter</w:t>
      </w:r>
      <w:r>
        <w:rPr>
          <w:rStyle w:val="FootnoteReference"/>
          <w:rFonts w:ascii="Times New Roman" w:hAnsi="Times New Roman"/>
        </w:rPr>
        <w:footnoteReference w:id="63"/>
      </w:r>
      <w:r>
        <w:rPr>
          <w:rFonts w:ascii="Times New Roman" w:hAnsi="Times New Roman"/>
        </w:rPr>
        <w:t xml:space="preserve"> och positionsuppgifter aggregerade per vecka</w:t>
      </w:r>
      <w:r>
        <w:rPr>
          <w:rFonts w:ascii="Times New Roman" w:hAnsi="Times New Roman"/>
          <w:vertAlign w:val="superscript"/>
        </w:rPr>
        <w:footnoteReference w:id="64"/>
      </w:r>
      <w:r>
        <w:rPr>
          <w:rFonts w:ascii="Times New Roman" w:hAnsi="Times New Roman"/>
        </w:rPr>
        <w:t>.</w:t>
      </w:r>
    </w:p>
    <w:p w14:paraId="6F109FF7" w14:textId="77777777" w:rsidR="0017587A" w:rsidRDefault="0017587A">
      <w:pPr>
        <w:jc w:val="both"/>
        <w:rPr>
          <w:rFonts w:ascii="Times New Roman" w:hAnsi="Times New Roman"/>
          <w:sz w:val="24"/>
          <w:szCs w:val="24"/>
        </w:rPr>
      </w:pPr>
    </w:p>
    <w:p w14:paraId="6BD5CB6D" w14:textId="77777777" w:rsidR="0017587A" w:rsidRDefault="0017587A">
      <w:pPr>
        <w:jc w:val="both"/>
        <w:rPr>
          <w:rFonts w:ascii="Times New Roman" w:hAnsi="Times New Roman"/>
          <w:sz w:val="24"/>
          <w:szCs w:val="24"/>
        </w:rPr>
      </w:pPr>
    </w:p>
    <w:p w14:paraId="03EA08D1" w14:textId="77777777" w:rsidR="0017587A" w:rsidRDefault="0017587A">
      <w:pPr>
        <w:jc w:val="both"/>
        <w:rPr>
          <w:rFonts w:ascii="Times New Roman" w:hAnsi="Times New Roman"/>
          <w:sz w:val="24"/>
          <w:szCs w:val="24"/>
        </w:rPr>
      </w:pPr>
    </w:p>
    <w:p w14:paraId="4460E2E9" w14:textId="77777777" w:rsidR="0017587A" w:rsidRDefault="0017587A">
      <w:pPr>
        <w:jc w:val="both"/>
        <w:rPr>
          <w:rFonts w:ascii="Times New Roman" w:hAnsi="Times New Roman"/>
          <w:sz w:val="24"/>
          <w:szCs w:val="24"/>
        </w:rPr>
      </w:pPr>
    </w:p>
    <w:p w14:paraId="53EDEC32" w14:textId="77777777" w:rsidR="0017587A" w:rsidRDefault="00A52F4C">
      <w:pPr>
        <w:pStyle w:val="Heading2"/>
        <w:spacing w:before="0" w:after="200"/>
      </w:pPr>
      <w:bookmarkStart w:id="21" w:name="_Toc23755278"/>
      <w:r>
        <w:rPr>
          <w:i w:val="0"/>
        </w:rPr>
        <w:t>5.1. Utsläppsrätternas rättsliga egenskaper och skattebehandling</w:t>
      </w:r>
      <w:bookmarkEnd w:id="21"/>
    </w:p>
    <w:p w14:paraId="698B150D" w14:textId="77777777" w:rsidR="0017587A" w:rsidRDefault="003A348D">
      <w:pPr>
        <w:jc w:val="both"/>
        <w:rPr>
          <w:rFonts w:ascii="Times New Roman" w:hAnsi="Times New Roman"/>
          <w:sz w:val="24"/>
          <w:szCs w:val="24"/>
        </w:rPr>
      </w:pPr>
      <w:r>
        <w:rPr>
          <w:noProof/>
          <w:lang w:val="en-GB" w:eastAsia="en-GB"/>
        </w:rPr>
        <mc:AlternateContent>
          <mc:Choice Requires="wps">
            <w:drawing>
              <wp:inline distT="0" distB="0" distL="0" distR="0" wp14:anchorId="3FC0B284" wp14:editId="5E8D5B13">
                <wp:extent cx="5705856" cy="1590261"/>
                <wp:effectExtent l="0" t="0" r="28575" b="1016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56" cy="1590261"/>
                        </a:xfrm>
                        <a:prstGeom prst="rect">
                          <a:avLst/>
                        </a:prstGeom>
                        <a:solidFill>
                          <a:schemeClr val="bg1">
                            <a:lumMod val="85000"/>
                          </a:schemeClr>
                        </a:solidFill>
                        <a:ln w="12700">
                          <a:solidFill>
                            <a:srgbClr val="000000"/>
                          </a:solidFill>
                          <a:miter lim="800000"/>
                          <a:headEnd/>
                          <a:tailEnd/>
                        </a:ln>
                      </wps:spPr>
                      <wps:txbx>
                        <w:txbxContent>
                          <w:p w14:paraId="01E0FE8C" w14:textId="256E6143" w:rsidR="0017587A" w:rsidRDefault="00516F65">
                            <w:pPr>
                              <w:jc w:val="both"/>
                              <w:rPr>
                                <w:rFonts w:ascii="Times New Roman" w:hAnsi="Times New Roman"/>
                              </w:rPr>
                            </w:pPr>
                            <w:r>
                              <w:rPr>
                                <w:rFonts w:ascii="Times New Roman" w:hAnsi="Times New Roman"/>
                              </w:rPr>
                              <w:t>Utsläppsrätters rättsliga egenskaper och deras skattebehandling varierar mellan länderna, eftersom dessa båda aspekter inte fastställs i direktivet om EU:s utsläppshandelssystem. Länderna är skyldiga att årligen rapportera om de nationella system som rör utsläppsrätternas rättsliga egenskaper och deras skattebehandling i sina artikel 21</w:t>
                            </w:r>
                            <w:r>
                              <w:rPr>
                                <w:rFonts w:ascii="Times New Roman" w:hAnsi="Times New Roman"/>
                              </w:rPr>
                              <w:noBreakHyphen/>
                              <w:t>rapporter. Trots den bristande harmoniseringen i detta avseende skapar den nuvarande rättsliga ramen den rättsliga grund som krävs för en mogen, transparent och likvid koldioxidmarknad samtidigt som den säkerställer marknadens stabilitet och integritet.</w:t>
                            </w:r>
                          </w:p>
                        </w:txbxContent>
                      </wps:txbx>
                      <wps:bodyPr rot="0" vert="horz" wrap="square" lIns="91440" tIns="45720" rIns="91440" bIns="45720" anchor="t" anchorCtr="0">
                        <a:noAutofit/>
                      </wps:bodyPr>
                    </wps:wsp>
                  </a:graphicData>
                </a:graphic>
              </wp:inline>
            </w:drawing>
          </mc:Choice>
          <mc:Fallback>
            <w:pict>
              <v:shape w14:anchorId="3FC0B284" id="_x0000_s1039" type="#_x0000_t202" style="width:449.3pt;height:1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" fillcolor="#d8d8d8 [2732]" strokeweight="1pt">
                <v:textbox>
                  <w:txbxContent>
                    <w:p w14:paraId="01E0FE8C" w14:textId="256E6143" w:rsidR="0017587A" w:rsidRDefault="00516F65">
                      <w:pPr>
                        <w:jc w:val="both"/>
                        <w:rPr>
                          <w:rFonts w:ascii="Times New Roman" w:hAnsi="Times New Roman"/>
                        </w:rPr>
                      </w:pPr>
                      <w:r>
                        <w:rPr>
                          <w:rFonts w:ascii="Times New Roman" w:hAnsi="Times New Roman"/>
                        </w:rPr>
                        <w:t>Utsläppsrätters rättsliga egenskaper och deras skattebehandling varierar mellan länderna, eftersom dessa båda aspekter inte fastställs i direktivet om EU:s utsläppshandelssystem. Länderna är skyldiga att årligen rapportera om de nationella system som rör utsläppsrätternas rättsliga egenskaper och deras skattebehandling i sina artikel 21</w:t>
                      </w:r>
                      <w:r>
                        <w:rPr>
                          <w:rFonts w:ascii="Times New Roman" w:hAnsi="Times New Roman"/>
                        </w:rPr>
                        <w:noBreakHyphen/>
                        <w:t>rapporter. Trots den bristande harmoniseringen i detta avseende skapar den nuvarande rättsliga ramen den rättsliga grund som krävs för en mogen, transparent och likvid koldioxidmarknad samtidigt som den säkerställer marknadens stabilitet och integritet.</w:t>
                      </w:r>
                    </w:p>
                  </w:txbxContent>
                </v:textbox>
                <w10:anchorlock/>
              </v:shape>
            </w:pict>
          </mc:Fallback>
        </mc:AlternateContent>
      </w:r>
    </w:p>
    <w:p w14:paraId="17B37A3A" w14:textId="77777777" w:rsidR="0017587A" w:rsidRDefault="000836BF">
      <w:pPr>
        <w:jc w:val="both"/>
        <w:rPr>
          <w:rFonts w:ascii="Times New Roman" w:eastAsia="Times New Roman" w:hAnsi="Times New Roman"/>
          <w:bCs/>
          <w:sz w:val="24"/>
          <w:szCs w:val="24"/>
        </w:rPr>
      </w:pPr>
      <w:r>
        <w:rPr>
          <w:rFonts w:ascii="Times New Roman" w:hAnsi="Times New Roman"/>
        </w:rPr>
        <w:t>Till följd av en rekommendation från Europeiska revisionsrätten inledde kommissionen i juli 2019 en studie</w:t>
      </w:r>
      <w:r>
        <w:rPr>
          <w:rStyle w:val="FootnoteReference"/>
          <w:rFonts w:ascii="Times New Roman" w:hAnsi="Times New Roman"/>
        </w:rPr>
        <w:footnoteReference w:id="65"/>
      </w:r>
      <w:r>
        <w:rPr>
          <w:rFonts w:ascii="Times New Roman" w:hAnsi="Times New Roman"/>
        </w:rPr>
        <w:t xml:space="preserve"> av utsläppsrätternas rättsliga status. I studien, som utfördes av en oberoende konsult, identifierades inga praktiska problem kopplade till avsaknaden av en definition av utsläppsrätternas rättsliga status.</w:t>
      </w:r>
      <w:r>
        <w:rPr>
          <w:rFonts w:ascii="Times New Roman" w:hAnsi="Times New Roman"/>
          <w:bCs/>
        </w:rPr>
        <w:t xml:space="preserve"> I studien konstaterades det att en harmoniserad definition inte skulle leda till större rättssäkerhet eller nödvändigtvis påverka koldioxidmarknadens likviditet. </w:t>
      </w:r>
      <w:r>
        <w:rPr>
          <w:rFonts w:ascii="Times New Roman" w:hAnsi="Times New Roman"/>
          <w:sz w:val="16"/>
          <w:szCs w:val="16"/>
        </w:rPr>
        <w:t>Inga lagstiftningsinitiativ rekommenderades i studien, men det angavs att verksamhetsutövare bör få tillgång till information, rådgivning, utbildning och kapacitetsbyggande eftersom utsläppsrätterna klassificeras som finansiella instrument enligt Mifid II</w:t>
      </w:r>
      <w:r>
        <w:rPr>
          <w:rFonts w:ascii="Times New Roman" w:eastAsia="Times New Roman" w:hAnsi="Times New Roman"/>
          <w:bCs/>
          <w:vertAlign w:val="superscript"/>
        </w:rPr>
        <w:footnoteReference w:id="66"/>
      </w:r>
      <w:r>
        <w:rPr>
          <w:rFonts w:ascii="Times New Roman" w:hAnsi="Times New Roman"/>
          <w:sz w:val="16"/>
          <w:szCs w:val="16"/>
        </w:rPr>
        <w:t>.</w:t>
      </w:r>
      <w:r>
        <w:rPr>
          <w:rFonts w:ascii="Times New Roman" w:hAnsi="Times New Roman"/>
          <w:bCs/>
        </w:rPr>
        <w:t xml:space="preserve"> </w:t>
      </w:r>
    </w:p>
    <w:p w14:paraId="5B64C920" w14:textId="77777777" w:rsidR="0017587A" w:rsidRDefault="003A348D">
      <w:pPr>
        <w:jc w:val="both"/>
        <w:rPr>
          <w:rFonts w:ascii="Times New Roman" w:hAnsi="Times New Roman"/>
          <w:sz w:val="24"/>
          <w:szCs w:val="24"/>
        </w:rPr>
      </w:pPr>
      <w:r>
        <w:rPr>
          <w:rFonts w:ascii="Times New Roman" w:hAnsi="Times New Roman"/>
        </w:rPr>
        <w:t>När det gäller skattebehandlingen av utsläppsrätterna rapporterar tre länder att moms tas ut på utfärdande av utsläppsrätter. För transaktioner med utsläppsrätter på den sekundära marknaden tas moms däremot ut i 27 deltagande länder. En majoritet av länderna anger att de tillämpar förfarandet för omvänd betalningsskyldighet på inhemska transaktioner som berör utsläppsrätter. Undantaget med omvänd betalningsskyldighet innebär att ansvaret för att betala momsen flyttas från säljaren till köparen av en vara eller en tjänst och är ett effektivt skydd mot momsbedrägerier. I november 2018 beslutades det att medlemsstaterna kunde tillämpa undantaget ända fram till den 30 juni 2022.</w:t>
      </w:r>
      <w:r>
        <w:rPr>
          <w:rStyle w:val="FootnoteReference"/>
          <w:rFonts w:ascii="Times New Roman" w:hAnsi="Times New Roman"/>
        </w:rPr>
        <w:footnoteReference w:id="67"/>
      </w:r>
      <w:r>
        <w:rPr>
          <w:rFonts w:ascii="Times New Roman" w:hAnsi="Times New Roman"/>
        </w:rPr>
        <w:t xml:space="preserve"> Medlemsstaterna uppmuntras att fortsätta att tillämpa förfarandet för omvänd betalningsskyldighet för att ge ett fortsatt tillräckligt skydd för koldioxidmarknaden.</w:t>
      </w:r>
    </w:p>
    <w:p w14:paraId="4484CA75" w14:textId="77777777" w:rsidR="0017587A" w:rsidRDefault="00A52F4C">
      <w:pPr>
        <w:pStyle w:val="Heading1"/>
        <w:spacing w:before="0" w:after="200"/>
      </w:pPr>
      <w:bookmarkStart w:id="22" w:name="_Toc23755279"/>
      <w:r>
        <w:t>6. ÖVERVAKNING, RAPPORTERING OCH VERIFIERING AV UTSLÄPP</w:t>
      </w:r>
      <w:bookmarkEnd w:id="22"/>
    </w:p>
    <w:p w14:paraId="3557D1AE" w14:textId="77777777" w:rsidR="0017587A" w:rsidRDefault="00123B11">
      <w:pPr>
        <w:jc w:val="both"/>
      </w:pPr>
      <w:r>
        <w:rPr>
          <w:noProof/>
          <w:lang w:val="en-GB" w:eastAsia="en-GB"/>
        </w:rPr>
        <mc:AlternateContent>
          <mc:Choice Requires="wps">
            <w:drawing>
              <wp:inline distT="0" distB="0" distL="0" distR="0" wp14:anchorId="6FEBE208" wp14:editId="474B4FF5">
                <wp:extent cx="5731510" cy="5664054"/>
                <wp:effectExtent l="0" t="0" r="21590" b="1333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664054"/>
                        </a:xfrm>
                        <a:prstGeom prst="rect">
                          <a:avLst/>
                        </a:prstGeom>
                        <a:solidFill>
                          <a:sysClr val="window" lastClr="FFFFFF">
                            <a:lumMod val="85000"/>
                          </a:sysClr>
                        </a:solidFill>
                        <a:ln w="12700">
                          <a:solidFill>
                            <a:srgbClr val="000000"/>
                          </a:solidFill>
                          <a:miter lim="800000"/>
                          <a:headEnd/>
                          <a:tailEnd/>
                        </a:ln>
                      </wps:spPr>
                      <wps:txbx>
                        <w:txbxContent>
                          <w:p w14:paraId="0B23F245" w14:textId="77777777" w:rsidR="0017587A" w:rsidRDefault="00516F65">
                            <w:pPr>
                              <w:jc w:val="both"/>
                              <w:rPr>
                                <w:rFonts w:ascii="Times New Roman" w:hAnsi="Times New Roman"/>
                              </w:rPr>
                            </w:pPr>
                            <w:r>
                              <w:rPr>
                                <w:rFonts w:ascii="Times New Roman" w:hAnsi="Times New Roman"/>
                              </w:rPr>
                              <w:t>Kraven på övervakning, rapportering och verifiering i EU:s utsläppshandelssystem harmoniseras i förordningen om övervakning och rapportering* och förordningen om ackreditering och verifiering**.</w:t>
                            </w:r>
                          </w:p>
                          <w:p w14:paraId="7D11E6D4" w14:textId="77777777" w:rsidR="0017587A" w:rsidRDefault="00516F65">
                            <w:pPr>
                              <w:jc w:val="both"/>
                              <w:rPr>
                                <w:rFonts w:ascii="Times New Roman" w:hAnsi="Times New Roman"/>
                                <w:sz w:val="24"/>
                                <w:szCs w:val="24"/>
                              </w:rPr>
                            </w:pPr>
                            <w:r>
                              <w:rPr>
                                <w:rFonts w:ascii="Times New Roman" w:hAnsi="Times New Roman"/>
                              </w:rPr>
                              <w:t>Övervakningssystemet i EU:s utsläppshandelssystem är utformat som ett antal ”byggklossar” som ger verksamhetsutövarna stor flexibilitet för att skapa kostnadseffektivitet och samtidigt uppnå hög tillförlitlighet i uppgifterna om de utsläpp som övervakas. Därför tillåts flera övervakningsmetoder (”beräkningsbaserade” eller ”mätningsbaserade” och i undantagsfall ”alternativa metoder”). Metoderna får kombineras för enskilda delar av en anläggning. När det gäller luftfartygsoperatörer är endast beräkningsbaserade metoder genomförbara, där bränsleförbrukningen är den centrala parameter som ska fastställas för de flygningar som omfattas av EU:s utsläppshandelssystem. Kravet på att anläggningar och luftfartygsoperatörer ska ha en övervakningsplan som är godkänd av den behöriga myndigheten på grundval av förordningen om övervakning och rapportering förhindrar att övervakningsmetoderna väljs godtyckligt och varierar över tid.</w:t>
                            </w:r>
                          </w:p>
                          <w:p w14:paraId="32D141D6" w14:textId="77777777" w:rsidR="0017587A" w:rsidRDefault="00516F65">
                            <w:pPr>
                              <w:jc w:val="both"/>
                              <w:rPr>
                                <w:rFonts w:ascii="Times New Roman" w:hAnsi="Times New Roman"/>
                                <w:sz w:val="24"/>
                                <w:szCs w:val="24"/>
                              </w:rPr>
                            </w:pPr>
                            <w:r>
                              <w:rPr>
                                <w:rFonts w:ascii="Times New Roman" w:hAnsi="Times New Roman"/>
                              </w:rPr>
                              <w:t xml:space="preserve">Genom förordningen om ackreditering och verifiering för fas 3 och därefter har det införts en EU-omfattande harmoniserad metod för ackrediteringen av kontrollörer. Kontrollörer som är en juridisk person måste ackrediteras av ett nationellt ackrediteringsorgan för att kunna utföra kontroller i enlighet med förordningen. Detta enhetliga ackrediteringssystem innebär att kontrollörer genom ömsesidigt erkännande kan arbeta i alla deltagande länder och på så sätt dra full nytta av den inre marknaden och bidra till tillräcklig kapacitet generellt. </w:t>
                            </w:r>
                          </w:p>
                          <w:p w14:paraId="20D77B19" w14:textId="77777777" w:rsidR="0017587A" w:rsidRDefault="00516F65">
                            <w:pPr>
                              <w:rPr>
                                <w:rFonts w:ascii="Times New Roman" w:hAnsi="Times New Roman"/>
                                <w:sz w:val="20"/>
                                <w:szCs w:val="20"/>
                              </w:rPr>
                            </w:pPr>
                            <w:r>
                              <w:rPr>
                                <w:rFonts w:ascii="Times New Roman" w:hAnsi="Times New Roman"/>
                                <w:sz w:val="20"/>
                                <w:szCs w:val="20"/>
                              </w:rPr>
                              <w:t>* Kommissionens förordning (EU) nr 601/2012 av den 21 juni 2012 om övervakning och rapportering av växthusgasutsläpp i enlighet med Europaparlamentets och rådets direktiv 2003/87/EG (EUT L 181, 12.7.2012, s. 30).</w:t>
                            </w:r>
                          </w:p>
                          <w:p w14:paraId="059A2515" w14:textId="77777777" w:rsidR="0017587A" w:rsidRDefault="00516F65">
                            <w:pPr>
                              <w:rPr>
                                <w:rFonts w:ascii="Times New Roman" w:hAnsi="Times New Roman"/>
                                <w:sz w:val="20"/>
                                <w:szCs w:val="20"/>
                              </w:rPr>
                            </w:pPr>
                            <w:r>
                              <w:rPr>
                                <w:rFonts w:ascii="Times New Roman" w:hAnsi="Times New Roman"/>
                                <w:sz w:val="20"/>
                                <w:szCs w:val="20"/>
                              </w:rPr>
                              <w:t>** Kommissionens förordning (EU) nr 600/2012 av den 21 juni 2012 om verifiering av rapporter om utsläpp av växthusgaser och tonkilometer och ackreditering av kontrollörer i enlighet med Europaparlamentets och rådets direktiv 2003/87/EG (EUT L 181, 12.7.2012, s. 1).</w:t>
                            </w:r>
                          </w:p>
                          <w:p w14:paraId="058D568C" w14:textId="77777777" w:rsidR="0017587A" w:rsidRDefault="0017587A">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6FEBE208" id="_x0000_s1040" type="#_x0000_t202" style="width:451.3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" fillcolor="#d9d9d9" strokeweight="1pt">
                <v:textbox>
                  <w:txbxContent>
                    <w:p w14:paraId="0B23F245" w14:textId="77777777" w:rsidR="0017587A" w:rsidRDefault="00516F65">
                      <w:pPr>
                        <w:jc w:val="both"/>
                        <w:rPr>
                          <w:rFonts w:ascii="Times New Roman" w:hAnsi="Times New Roman"/>
                        </w:rPr>
                      </w:pPr>
                      <w:r>
                        <w:rPr>
                          <w:rFonts w:ascii="Times New Roman" w:hAnsi="Times New Roman"/>
                        </w:rPr>
                        <w:t>Kraven på övervakning, rapportering och verifiering i EU:s utsläppshandelssystem harmoniseras i förordningen om övervakning och rapportering* och förordningen om ackreditering och verifiering**.</w:t>
                      </w:r>
                    </w:p>
                    <w:p w14:paraId="7D11E6D4" w14:textId="77777777" w:rsidR="0017587A" w:rsidRDefault="00516F65">
                      <w:pPr>
                        <w:jc w:val="both"/>
                        <w:rPr>
                          <w:rFonts w:ascii="Times New Roman" w:hAnsi="Times New Roman"/>
                          <w:sz w:val="24"/>
                          <w:szCs w:val="24"/>
                        </w:rPr>
                      </w:pPr>
                      <w:r>
                        <w:rPr>
                          <w:rFonts w:ascii="Times New Roman" w:hAnsi="Times New Roman"/>
                        </w:rPr>
                        <w:t>Övervakningssystemet i EU:s utsläppshandelssystem är utformat som ett antal ”byggklossar” som ger verksamhetsutövarna stor flexibilitet för att skapa kostnadseffektivitet och samtidigt uppnå hög tillförlitlighet i uppgifterna om de utsläpp som övervakas. Därför tillåts flera övervakningsmetoder (”beräkningsbaserade” eller ”mätningsbaserade” och i undantagsfall ”alternativa metoder”). Metoderna får kombineras för enskilda delar av en anläggning. När det gäller luftfartygsoperatörer är endast beräkningsbaserade metoder genomförbara, där bränsleförbrukningen är den centrala parameter som ska fastställas för de flygningar som omfattas av EU:s utsläppshandelssystem. Kravet på att anläggningar och luftfartygsoperatörer ska ha en övervakningsplan som är godkänd av den behöriga myndigheten på grundval av förordningen om övervakning och rapportering förhindrar att övervakningsmetoderna väljs godtyckligt och varierar över tid.</w:t>
                      </w:r>
                    </w:p>
                    <w:p w14:paraId="32D141D6" w14:textId="77777777" w:rsidR="0017587A" w:rsidRDefault="00516F65">
                      <w:pPr>
                        <w:jc w:val="both"/>
                        <w:rPr>
                          <w:rFonts w:ascii="Times New Roman" w:hAnsi="Times New Roman"/>
                          <w:sz w:val="24"/>
                          <w:szCs w:val="24"/>
                        </w:rPr>
                      </w:pPr>
                      <w:r>
                        <w:rPr>
                          <w:rFonts w:ascii="Times New Roman" w:hAnsi="Times New Roman"/>
                        </w:rPr>
                        <w:t xml:space="preserve">Genom förordningen om ackreditering och verifiering för fas 3 och därefter har det införts en EU-omfattande harmoniserad metod för ackrediteringen av kontrollörer. Kontrollörer som är en juridisk person måste ackrediteras av ett nationellt ackrediteringsorgan för att kunna utföra kontroller i enlighet med förordningen. Detta enhetliga ackrediteringssystem innebär att kontrollörer genom ömsesidigt erkännande kan arbeta i alla deltagande länder och på så sätt dra full nytta av den inre marknaden och bidra till tillräcklig kapacitet generellt. </w:t>
                      </w:r>
                    </w:p>
                    <w:p w14:paraId="20D77B19" w14:textId="77777777" w:rsidR="0017587A" w:rsidRDefault="00516F65">
                      <w:pPr>
                        <w:rPr>
                          <w:rFonts w:ascii="Times New Roman" w:hAnsi="Times New Roman"/>
                          <w:sz w:val="20"/>
                          <w:szCs w:val="20"/>
                        </w:rPr>
                      </w:pPr>
                      <w:r>
                        <w:rPr>
                          <w:rFonts w:ascii="Times New Roman" w:hAnsi="Times New Roman"/>
                          <w:sz w:val="20"/>
                          <w:szCs w:val="20"/>
                        </w:rPr>
                        <w:t>* Kommissionens förordning (EU) nr 601/2012 av den 21 juni 2012 om övervakning och rapportering av växthusgasutsläpp i enlighet med Europaparlamentets och rådets direktiv 2003/87/EG (EUT L 181, 12.7.2012, s. 30).</w:t>
                      </w:r>
                    </w:p>
                    <w:p w14:paraId="059A2515" w14:textId="77777777" w:rsidR="0017587A" w:rsidRDefault="00516F65">
                      <w:pPr>
                        <w:rPr>
                          <w:rFonts w:ascii="Times New Roman" w:hAnsi="Times New Roman"/>
                          <w:sz w:val="20"/>
                          <w:szCs w:val="20"/>
                        </w:rPr>
                      </w:pPr>
                      <w:r>
                        <w:rPr>
                          <w:rFonts w:ascii="Times New Roman" w:hAnsi="Times New Roman"/>
                          <w:sz w:val="20"/>
                          <w:szCs w:val="20"/>
                        </w:rPr>
                        <w:t>** Kommissionens förordning (EU) nr 600/2012 av den 21 juni 2012 om verifiering av rapporter om utsläpp av växthusgaser och tonkilometer och ackreditering av kontrollörer i enlighet med Europaparlamentets och rådets direktiv 2003/87/EG (EUT L 181, 12.7.2012, s. 1).</w:t>
                      </w:r>
                    </w:p>
                    <w:p w14:paraId="058D568C" w14:textId="77777777" w:rsidR="0017587A" w:rsidRDefault="0017587A">
                      <w:pPr>
                        <w:rPr>
                          <w:rFonts w:ascii="Times New Roman" w:hAnsi="Times New Roman"/>
                          <w:sz w:val="24"/>
                          <w:szCs w:val="24"/>
                        </w:rPr>
                      </w:pPr>
                    </w:p>
                  </w:txbxContent>
                </v:textbox>
                <w10:anchorlock/>
              </v:shape>
            </w:pict>
          </mc:Fallback>
        </mc:AlternateContent>
      </w:r>
    </w:p>
    <w:p w14:paraId="0513DEA0" w14:textId="77777777" w:rsidR="0017587A" w:rsidRDefault="00235970">
      <w:pPr>
        <w:rPr>
          <w:rFonts w:ascii="Times New Roman" w:hAnsi="Times New Roman"/>
          <w:b/>
          <w:bCs/>
          <w:iCs/>
          <w:sz w:val="24"/>
          <w:szCs w:val="24"/>
        </w:rPr>
      </w:pPr>
      <w:r>
        <w:rPr>
          <w:rFonts w:ascii="Times New Roman" w:hAnsi="Times New Roman"/>
          <w:b/>
          <w:bCs/>
          <w:iCs/>
        </w:rPr>
        <w:t>6.1.  Allmän utveckling</w:t>
      </w:r>
    </w:p>
    <w:p w14:paraId="66504E81" w14:textId="77777777" w:rsidR="0017587A" w:rsidRDefault="00123B11">
      <w:pPr>
        <w:jc w:val="both"/>
        <w:rPr>
          <w:rFonts w:ascii="Times New Roman" w:hAnsi="Times New Roman"/>
          <w:sz w:val="24"/>
          <w:szCs w:val="24"/>
        </w:rPr>
      </w:pPr>
      <w:r>
        <w:rPr>
          <w:rFonts w:ascii="Times New Roman" w:hAnsi="Times New Roman"/>
        </w:rPr>
        <w:t xml:space="preserve">Erfarenheten från genomförandet av förordningen om övervakning och rapportering samt förordningen om ackreditering och verifiering har visat att reglerna behöver förbättras, förtydligas och förenklas ytterligare för att främja harmonisering, minska den administrativa bördan för operatörerna och de deltagande länderna och effektivisera systemet ytterligare. </w:t>
      </w:r>
    </w:p>
    <w:p w14:paraId="31E0956A" w14:textId="77777777" w:rsidR="0017587A" w:rsidRDefault="00B13763">
      <w:pPr>
        <w:jc w:val="both"/>
        <w:rPr>
          <w:rFonts w:ascii="Times New Roman" w:hAnsi="Times New Roman"/>
          <w:sz w:val="24"/>
          <w:szCs w:val="24"/>
        </w:rPr>
      </w:pPr>
      <w:r>
        <w:rPr>
          <w:rFonts w:ascii="Times New Roman" w:hAnsi="Times New Roman"/>
        </w:rPr>
        <w:t>I februari 2017 inleddes ett samråd med de deltagande länderna inför en uppdatering av dessa två förordningar i syfte att förbereda för fas 4 i EU:s utsläppshandelssystem och förbättra och förenkla processerna för övervakning, rapportering, verifiering och ackreditering. Den första uppdateringen gjordes 2018. För att ha ett verifieringssystem på plats för datainsamling beträffande gratis tilldelning 2019 och ett uppdaterat system för övervakning, rapportering, verifiering och ackreditering innan datainsamlingen inleds för Corsia (se kapitel 4) började de reviderade versionerna av förordningen om övervakning och rapportering</w:t>
      </w:r>
      <w:r>
        <w:rPr>
          <w:rFonts w:ascii="Times New Roman" w:hAnsi="Times New Roman"/>
          <w:vertAlign w:val="superscript"/>
        </w:rPr>
        <w:footnoteReference w:id="68"/>
      </w:r>
      <w:r>
        <w:rPr>
          <w:rFonts w:ascii="Times New Roman" w:hAnsi="Times New Roman"/>
        </w:rPr>
        <w:t xml:space="preserve"> samt förordningen om ackreditering och verifiering</w:t>
      </w:r>
      <w:r>
        <w:rPr>
          <w:rFonts w:ascii="Times New Roman" w:hAnsi="Times New Roman"/>
          <w:vertAlign w:val="superscript"/>
        </w:rPr>
        <w:footnoteReference w:id="69"/>
      </w:r>
      <w:r>
        <w:rPr>
          <w:rFonts w:ascii="Times New Roman" w:hAnsi="Times New Roman"/>
        </w:rPr>
        <w:t xml:space="preserve"> att tillämpas den 1 januari 2019. Ytterligare arbete och samråd pågår för att slutföra processen med att revidera systemet i tillräckligt god tid innan fas 4 inleds.</w:t>
      </w:r>
    </w:p>
    <w:p w14:paraId="0FD0C23A" w14:textId="77777777" w:rsidR="0017587A" w:rsidRDefault="00A97B86">
      <w:pPr>
        <w:jc w:val="both"/>
        <w:rPr>
          <w:rFonts w:ascii="Times New Roman" w:hAnsi="Times New Roman"/>
          <w:sz w:val="24"/>
          <w:szCs w:val="24"/>
        </w:rPr>
      </w:pPr>
      <w:r>
        <w:rPr>
          <w:rFonts w:ascii="Times New Roman" w:hAnsi="Times New Roman"/>
        </w:rPr>
        <w:t>Efterlevnadssystemet har effektiviserats genom att förordningen om övervakning och rapportering ger länderna möjlighet att göra elektronisk rapportering obligatorisk. Under 2019 rapporterade 17 deltagande länder att de använde elektroniska mallar eller särskilda filformat för övervakningsplaner, utsläppsrapporter, verifieringsrapporter och/eller förbättringsrapporter med utgångspunkt i de minimikrav som kommissionen fastställt. 13 deltagande länder rapporterade att de använder någon form av automatiskt it-system för rapportering enligt EU:s utsläppshandelssystem.</w:t>
      </w:r>
    </w:p>
    <w:p w14:paraId="56B7DFD2" w14:textId="77777777" w:rsidR="0017587A" w:rsidRDefault="00235970">
      <w:pPr>
        <w:jc w:val="both"/>
        <w:rPr>
          <w:rFonts w:ascii="Times New Roman" w:hAnsi="Times New Roman"/>
          <w:b/>
          <w:bCs/>
          <w:iCs/>
          <w:sz w:val="24"/>
          <w:szCs w:val="24"/>
        </w:rPr>
      </w:pPr>
      <w:r>
        <w:rPr>
          <w:rFonts w:ascii="Times New Roman" w:hAnsi="Times New Roman"/>
          <w:b/>
          <w:bCs/>
          <w:iCs/>
        </w:rPr>
        <w:t>6.2. Övervakningen i praktiken</w:t>
      </w:r>
    </w:p>
    <w:p w14:paraId="67125055" w14:textId="77777777" w:rsidR="0017587A" w:rsidRDefault="00123B11">
      <w:pPr>
        <w:jc w:val="both"/>
        <w:rPr>
          <w:rFonts w:ascii="Times New Roman" w:hAnsi="Times New Roman"/>
          <w:sz w:val="24"/>
          <w:szCs w:val="24"/>
        </w:rPr>
      </w:pPr>
      <w:r>
        <w:rPr>
          <w:rFonts w:ascii="Times New Roman" w:hAnsi="Times New Roman"/>
        </w:rPr>
        <w:t>Enligt de artikel 21-rapporter som har lämnats 2019 använder de flesta anläggningar den beräkningsbaserade metoden.</w:t>
      </w:r>
      <w:r>
        <w:rPr>
          <w:rFonts w:ascii="Times New Roman" w:hAnsi="Times New Roman"/>
          <w:vertAlign w:val="superscript"/>
        </w:rPr>
        <w:footnoteReference w:id="70"/>
      </w:r>
      <w:r>
        <w:rPr>
          <w:rFonts w:ascii="Times New Roman" w:hAnsi="Times New Roman"/>
        </w:rPr>
        <w:t xml:space="preserve"> Endast 182 anläggningar (1,7 %) i 23 länder uppgavs använda system för kontinuerlig mätning av utsläpp. Dessa var mest frekventa i Tyskland, Frankrike och Tjeckien. Antalet länder är oförändrat jämfört med förra året, men totalt är det tre fler anläggningar som använder denna metod.</w:t>
      </w:r>
    </w:p>
    <w:p w14:paraId="44A0ACF0" w14:textId="77777777" w:rsidR="0017587A" w:rsidRDefault="00123B11">
      <w:pPr>
        <w:jc w:val="both"/>
        <w:rPr>
          <w:rFonts w:ascii="Times New Roman" w:hAnsi="Times New Roman"/>
          <w:sz w:val="24"/>
          <w:szCs w:val="24"/>
        </w:rPr>
      </w:pPr>
      <w:r>
        <w:rPr>
          <w:rFonts w:ascii="Times New Roman" w:hAnsi="Times New Roman"/>
        </w:rPr>
        <w:t>Endast 11 länder angav att alternativa metoder används av sammanlagt 38 anläggningar som omfattade omkring 2,6 miljoner ton koldioxidekvivalenter (jämfört med 3,4 miljoner ton föregående år). En anläggning i Nederländerna svarar för 31 % av de totala utsläpp som rapporterades där alternativa metoder används.</w:t>
      </w:r>
    </w:p>
    <w:p w14:paraId="631747C8" w14:textId="77777777" w:rsidR="0017587A" w:rsidRDefault="00123B11">
      <w:pPr>
        <w:jc w:val="both"/>
        <w:rPr>
          <w:rFonts w:ascii="Times New Roman" w:hAnsi="Times New Roman"/>
          <w:sz w:val="24"/>
          <w:szCs w:val="24"/>
        </w:rPr>
      </w:pPr>
      <w:r>
        <w:rPr>
          <w:rFonts w:ascii="Times New Roman" w:hAnsi="Times New Roman"/>
        </w:rPr>
        <w:t>Det stora flertalet anläggningar uppfyller kraven för miniminivåerna</w:t>
      </w:r>
      <w:r>
        <w:rPr>
          <w:rFonts w:ascii="Times New Roman" w:hAnsi="Times New Roman"/>
          <w:vertAlign w:val="superscript"/>
        </w:rPr>
        <w:footnoteReference w:id="71"/>
      </w:r>
      <w:r>
        <w:rPr>
          <w:rFonts w:ascii="Times New Roman" w:hAnsi="Times New Roman"/>
        </w:rPr>
        <w:t xml:space="preserve"> i förordningen om övervakning och rapportering. Endast 97 anläggningar i kategori C (jämfört med 106 stycken föregående år), det vill säga 13,4 %, angavs avvika i fråga om minst en parameter från kravet på att de högsta nivåerna ska tillämpas för de viktigaste bränsle-/materialmängderna. Dessa avvikelser är endast tillåtna om verksamhetsutövaren visar att den högsta nivån inte är tekniskt möjlig eller leder till orimliga kostnader. Om dessa villkor inte längre gäller måste verksamhetsutövarna förbättra sina övervakningssystem. Under 2013 angavs det att 16 % av anläggningarna i kategori C inte tillämpade de högsta nivåerna på ett eller annat sätt. Således har det skett en förbättring av tillämpningen av de högsta nivåerna för anläggningar i kategori C sedan fas 3 inleddes.</w:t>
      </w:r>
    </w:p>
    <w:p w14:paraId="0F29A045" w14:textId="77777777" w:rsidR="0017587A" w:rsidRDefault="00123B11">
      <w:pPr>
        <w:jc w:val="both"/>
        <w:rPr>
          <w:rFonts w:ascii="Times New Roman" w:hAnsi="Times New Roman"/>
          <w:sz w:val="24"/>
          <w:szCs w:val="24"/>
        </w:rPr>
      </w:pPr>
      <w:r>
        <w:rPr>
          <w:rFonts w:ascii="Times New Roman" w:hAnsi="Times New Roman"/>
        </w:rPr>
        <w:t>På liknande sätt visar rapporterna från 22 deltagande länder att totalt 19 % av anläggningarna i kategori B avviker från standardkraven om övervakning och rapportering i något avseende jämfört med 21 % föregående år och 22 % året dessförinnan. Även detta tyder på en stadig förbättring av antalet anläggningar som uppfyller de högsta nivåkraven.</w:t>
      </w:r>
    </w:p>
    <w:p w14:paraId="4AF63E06" w14:textId="77777777" w:rsidR="0017587A" w:rsidRDefault="00235970">
      <w:pPr>
        <w:jc w:val="both"/>
        <w:rPr>
          <w:rFonts w:ascii="Times New Roman" w:hAnsi="Times New Roman"/>
          <w:b/>
          <w:bCs/>
          <w:iCs/>
          <w:sz w:val="24"/>
          <w:szCs w:val="24"/>
        </w:rPr>
      </w:pPr>
      <w:r>
        <w:rPr>
          <w:rFonts w:ascii="Times New Roman" w:hAnsi="Times New Roman"/>
          <w:b/>
          <w:bCs/>
          <w:iCs/>
        </w:rPr>
        <w:t>6.3. Ackrediterad verifiering</w:t>
      </w:r>
    </w:p>
    <w:p w14:paraId="63B6468B" w14:textId="77777777" w:rsidR="0017587A" w:rsidRDefault="00123B11">
      <w:pPr>
        <w:jc w:val="both"/>
        <w:rPr>
          <w:rFonts w:ascii="Times New Roman" w:hAnsi="Times New Roman"/>
          <w:sz w:val="24"/>
          <w:szCs w:val="24"/>
        </w:rPr>
      </w:pPr>
      <w:r>
        <w:rPr>
          <w:rFonts w:ascii="Times New Roman" w:hAnsi="Times New Roman"/>
        </w:rPr>
        <w:t>Det totala antalet kontrollörer angavs inte i artikel 21-rapporterna. Det europeiska ackrediteringssamarbetet (EA) tillhandahåller dock en central länk till relevanta nationella ackrediteringsorgan och deras förteckningar över kontrollörer som har ackrediterats inom EU:s utsläppshandelssystem.</w:t>
      </w:r>
      <w:r>
        <w:rPr>
          <w:rFonts w:ascii="Times New Roman" w:hAnsi="Times New Roman"/>
          <w:vertAlign w:val="superscript"/>
        </w:rPr>
        <w:footnoteReference w:id="72"/>
      </w:r>
      <w:r>
        <w:rPr>
          <w:rFonts w:ascii="Times New Roman" w:hAnsi="Times New Roman"/>
        </w:rPr>
        <w:t xml:space="preserve">       </w:t>
      </w:r>
    </w:p>
    <w:p w14:paraId="62BD1E95" w14:textId="77777777" w:rsidR="0017587A" w:rsidRDefault="00123B11">
      <w:pPr>
        <w:jc w:val="both"/>
        <w:rPr>
          <w:rFonts w:ascii="Times New Roman" w:hAnsi="Times New Roman"/>
          <w:sz w:val="24"/>
          <w:szCs w:val="24"/>
        </w:rPr>
      </w:pPr>
      <w:r>
        <w:rPr>
          <w:rFonts w:ascii="Times New Roman" w:hAnsi="Times New Roman"/>
        </w:rPr>
        <w:t>Det ömsesidiga erkännandet av kontrollörer mellan de deltagande länderna fungerar väl: 24 länder angav att minst en utländsk kontrollör är verksam inom deras territorium.</w:t>
      </w:r>
    </w:p>
    <w:p w14:paraId="0C4B1D0A" w14:textId="77777777" w:rsidR="0017587A" w:rsidRDefault="00123B11">
      <w:pPr>
        <w:jc w:val="both"/>
        <w:rPr>
          <w:rFonts w:ascii="Times New Roman" w:hAnsi="Times New Roman"/>
          <w:sz w:val="24"/>
          <w:szCs w:val="24"/>
        </w:rPr>
      </w:pPr>
      <w:r>
        <w:rPr>
          <w:rFonts w:ascii="Times New Roman" w:hAnsi="Times New Roman"/>
        </w:rPr>
        <w:t xml:space="preserve">Kontrollörernas efterlevnad av förordningen om ackreditering och verifiering konstateras vara god. Polen rapporterade att ackrediteringen hade upphävts för en kontrollör, medan inget land rapporterade att ackrediteringen hade återkallats under 2018. Detta ska jämföras med en upphävd och tre återkallade ackrediteringar under 2017. Tyskland, Frankrike och Polen rapporterade att omfattningen för två, en respektive tre kontrollörers ackreditering hade begränsats under 2018, jämfört med för två kontrollörer från Polen 2017. </w:t>
      </w:r>
    </w:p>
    <w:p w14:paraId="38A5B31E" w14:textId="77777777" w:rsidR="0017587A" w:rsidRDefault="00123B11">
      <w:pPr>
        <w:jc w:val="both"/>
        <w:rPr>
          <w:rFonts w:ascii="Times New Roman" w:hAnsi="Times New Roman"/>
          <w:sz w:val="24"/>
          <w:szCs w:val="24"/>
        </w:rPr>
      </w:pPr>
      <w:r>
        <w:rPr>
          <w:rFonts w:ascii="Times New Roman" w:hAnsi="Times New Roman"/>
        </w:rPr>
        <w:t>Tio länder rapporterade inkomna klagomål på kontrollörerna under året (ett mer än föregående år). Det totala antalet klagomål (71) minskade dock med 14 %. Av de mottagna klagomålen uppgavs 93 % vara lösta (andelen var 95 % det föregående året). Tio länder rapporterade bristande efterlevnad hos kontrollörerna i fråga om informationsutbytet mellan de nationella ackrediteringsorganen och de behöriga myndigheterna (jämfört med tolv föregående år).</w:t>
      </w:r>
    </w:p>
    <w:p w14:paraId="47D55F5D" w14:textId="77777777" w:rsidR="0017587A" w:rsidRDefault="00235970">
      <w:pPr>
        <w:pStyle w:val="Heading1"/>
        <w:spacing w:before="0" w:after="200"/>
      </w:pPr>
      <w:bookmarkStart w:id="23" w:name="_Toc23755280"/>
      <w:r>
        <w:t>7. ÖVERSIKT ÖVER ADMINISTRATIVA ORDNINGAR</w:t>
      </w:r>
      <w:bookmarkEnd w:id="23"/>
      <w:r>
        <w:t xml:space="preserve"> </w:t>
      </w:r>
    </w:p>
    <w:p w14:paraId="5FB847FA" w14:textId="77777777" w:rsidR="0017587A" w:rsidRDefault="00310AEE">
      <w:r>
        <w:rPr>
          <w:noProof/>
          <w:lang w:val="en-GB" w:eastAsia="en-GB"/>
        </w:rPr>
        <mc:AlternateContent>
          <mc:Choice Requires="wps">
            <w:drawing>
              <wp:inline distT="0" distB="0" distL="0" distR="0" wp14:anchorId="2F473801" wp14:editId="5A3C5B93">
                <wp:extent cx="5731510" cy="752420"/>
                <wp:effectExtent l="0" t="0" r="21590" b="1016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52420"/>
                        </a:xfrm>
                        <a:prstGeom prst="rect">
                          <a:avLst/>
                        </a:prstGeom>
                        <a:solidFill>
                          <a:sysClr val="window" lastClr="FFFFFF">
                            <a:lumMod val="85000"/>
                          </a:sysClr>
                        </a:solidFill>
                        <a:ln w="12700">
                          <a:solidFill>
                            <a:srgbClr val="000000"/>
                          </a:solidFill>
                          <a:miter lim="800000"/>
                          <a:headEnd/>
                          <a:tailEnd/>
                        </a:ln>
                      </wps:spPr>
                      <wps:txbx>
                        <w:txbxContent>
                          <w:p w14:paraId="544754EC" w14:textId="77777777" w:rsidR="0017587A" w:rsidRDefault="00516F65">
                            <w:pPr>
                              <w:jc w:val="both"/>
                              <w:rPr>
                                <w:rFonts w:ascii="Times New Roman" w:hAnsi="Times New Roman"/>
                              </w:rPr>
                            </w:pPr>
                            <w:r>
                              <w:rPr>
                                <w:rFonts w:ascii="Times New Roman" w:hAnsi="Times New Roman"/>
                              </w:rPr>
                              <w:t xml:space="preserve">De länder som deltar i EU:s utsläppshandelssystem använder olika metoder när det gäller vilka behöriga myndigheter som är ansvariga för att tillämpa systemet. I vissa länder deltar flera lokala myndigheter, medan andra har mycket mer centraliserade system. </w:t>
                            </w:r>
                          </w:p>
                          <w:p w14:paraId="4F91C7C9" w14:textId="77777777" w:rsidR="0017587A" w:rsidRDefault="0017587A">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2F473801" id="_x0000_s1041" type="#_x0000_t202" style="width:451.3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" fillcolor="#d9d9d9" strokeweight="1pt">
                <v:textbox>
                  <w:txbxContent>
                    <w:p w14:paraId="544754EC" w14:textId="77777777" w:rsidR="0017587A" w:rsidRDefault="00516F65">
                      <w:pPr>
                        <w:jc w:val="both"/>
                        <w:rPr>
                          <w:rFonts w:ascii="Times New Roman" w:hAnsi="Times New Roman"/>
                        </w:rPr>
                      </w:pPr>
                      <w:r>
                        <w:rPr>
                          <w:rFonts w:ascii="Times New Roman" w:hAnsi="Times New Roman"/>
                        </w:rPr>
                        <w:t xml:space="preserve">De länder som deltar i EU:s utsläppshandelssystem använder olika metoder när det gäller vilka behöriga myndigheter som är ansvariga för att tillämpa systemet. I vissa länder deltar flera lokala myndigheter, medan andra har mycket mer centraliserade system. </w:t>
                      </w:r>
                    </w:p>
                    <w:p w14:paraId="4F91C7C9" w14:textId="77777777" w:rsidR="0017587A" w:rsidRDefault="0017587A">
                      <w:pPr>
                        <w:jc w:val="both"/>
                        <w:rPr>
                          <w:rFonts w:ascii="Times New Roman" w:hAnsi="Times New Roman"/>
                          <w:sz w:val="24"/>
                          <w:szCs w:val="24"/>
                        </w:rPr>
                      </w:pPr>
                    </w:p>
                  </w:txbxContent>
                </v:textbox>
                <w10:anchorlock/>
              </v:shape>
            </w:pict>
          </mc:Fallback>
        </mc:AlternateContent>
      </w:r>
    </w:p>
    <w:p w14:paraId="3BAE2FD1" w14:textId="77777777" w:rsidR="0017587A" w:rsidRDefault="00310AEE">
      <w:pPr>
        <w:jc w:val="both"/>
        <w:rPr>
          <w:rFonts w:ascii="Times New Roman" w:hAnsi="Times New Roman"/>
          <w:sz w:val="24"/>
          <w:szCs w:val="24"/>
        </w:rPr>
      </w:pPr>
      <w:r>
        <w:rPr>
          <w:rFonts w:ascii="Times New Roman" w:hAnsi="Times New Roman"/>
        </w:rPr>
        <w:t>Enligt de artikel 21-rapporter som lämnades 2019 var i genomsnitt fem behöriga myndigheter delaktiga i tillämpningen av EU:s utsläppshandelssystem i varje land.</w:t>
      </w:r>
      <w:r>
        <w:rPr>
          <w:rFonts w:ascii="Times New Roman" w:hAnsi="Times New Roman"/>
          <w:vertAlign w:val="superscript"/>
        </w:rPr>
        <w:footnoteReference w:id="73"/>
      </w:r>
      <w:r>
        <w:rPr>
          <w:rFonts w:ascii="Times New Roman" w:hAnsi="Times New Roman"/>
        </w:rPr>
        <w:t xml:space="preserve"> När det gäller samordningen mellan myndigheterna används olika verktyg, såsom rättsliga instrument för central förvaltning av övervakningsplaner (i 14 länder), bindande instruktioner och vägledning från en central behörig myndighet till lokala myndigheter (i tio länder) och regelbundna möten med arbetsgrupper eller möten mellan myndigheter (i 15 länder). Sju länder angav att de inte använde sig av några sådana verktyg. </w:t>
      </w:r>
    </w:p>
    <w:p w14:paraId="246D3148" w14:textId="77777777" w:rsidR="0017587A" w:rsidRDefault="00310AEE">
      <w:pPr>
        <w:jc w:val="both"/>
        <w:rPr>
          <w:rFonts w:ascii="Times New Roman" w:hAnsi="Times New Roman"/>
          <w:sz w:val="24"/>
          <w:szCs w:val="24"/>
        </w:rPr>
      </w:pPr>
      <w:r>
        <w:rPr>
          <w:rFonts w:ascii="Times New Roman" w:hAnsi="Times New Roman"/>
        </w:rPr>
        <w:t>När det gäller administrativa avgifter som länderna tar ut (för tillståndsgivning och godkända övervakningsplaner) angav 13 länder 2019 att de inte tar ut några avgifter för verksamhetsutövare (Cypern, Estland, Grekland, Irland, Lettland, Liechtenstein, Litauen, Luxemburg, Malta, Nederländerna, Slovakien, Sverige och Tyskland). Detta är ett land mindre än förra året. Luftfartygsoperatörer betalar inga avgifter i 15 länder (Belgien, Cypern, Estland, Grekland, Lettland, Liechtenstein, Litauen, Luxemburg, Malta, Nederländerna, Slovakien, Spanien, Sverige, Tjeckien och Tyskland), vilket också är oförändrat jämfört med föregående år. Avgifterna varierar kraftigt mellan länder och typer av tjänster, från 5 till 6 913,31 euro för tillstånd och godkännanden av övervakningsplaner för anläggningar och från 5 till 2 400 euro för samma slags tjänst för luftfartygsoperatörer.</w:t>
      </w:r>
    </w:p>
    <w:p w14:paraId="0C084E28" w14:textId="49182CD6" w:rsidR="0017587A" w:rsidRDefault="00310AEE">
      <w:pPr>
        <w:jc w:val="both"/>
        <w:rPr>
          <w:rFonts w:ascii="Times New Roman" w:hAnsi="Times New Roman"/>
          <w:sz w:val="24"/>
          <w:szCs w:val="24"/>
        </w:rPr>
      </w:pPr>
      <w:r>
        <w:rPr>
          <w:rFonts w:ascii="Times New Roman" w:hAnsi="Times New Roman"/>
        </w:rPr>
        <w:t xml:space="preserve">De deltagande ländernas administrativa organisation för utsläppshandel är i stort sett effektiv. Kommunikationen och utbytet av bästa metoder, bland annat genom regelefterlevnadsforumet för EU:s utsläppshandelssystem och den årliga efterlevnadskonferensen för EU:s utsläppshandelssystem, bör fortsätta att förbättras och uppmuntras. </w:t>
      </w:r>
    </w:p>
    <w:p w14:paraId="35AB1472" w14:textId="77777777" w:rsidR="0017587A" w:rsidRDefault="00235970">
      <w:pPr>
        <w:pStyle w:val="Heading1"/>
        <w:spacing w:before="0" w:after="200"/>
      </w:pPr>
      <w:bookmarkStart w:id="24" w:name="_Toc23755281"/>
      <w:r>
        <w:t>8. EFTERLEVNAD OCH VERKSTÄLLANDE</w:t>
      </w:r>
      <w:bookmarkEnd w:id="24"/>
      <w:r>
        <w:t xml:space="preserve"> </w:t>
      </w:r>
    </w:p>
    <w:p w14:paraId="7F3C30ED" w14:textId="77777777" w:rsidR="0017587A" w:rsidRDefault="00310AEE">
      <w:r>
        <w:rPr>
          <w:noProof/>
          <w:lang w:val="en-GB" w:eastAsia="en-GB"/>
        </w:rPr>
        <mc:AlternateContent>
          <mc:Choice Requires="wps">
            <w:drawing>
              <wp:inline distT="0" distB="0" distL="0" distR="0" wp14:anchorId="5891EEBE" wp14:editId="7180CEC7">
                <wp:extent cx="5731510" cy="950976"/>
                <wp:effectExtent l="0" t="0" r="21590" b="2095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50976"/>
                        </a:xfrm>
                        <a:prstGeom prst="rect">
                          <a:avLst/>
                        </a:prstGeom>
                        <a:solidFill>
                          <a:sysClr val="window" lastClr="FFFFFF">
                            <a:lumMod val="85000"/>
                          </a:sysClr>
                        </a:solidFill>
                        <a:ln w="12700">
                          <a:solidFill>
                            <a:srgbClr val="000000"/>
                          </a:solidFill>
                          <a:miter lim="800000"/>
                          <a:headEnd/>
                          <a:tailEnd/>
                        </a:ln>
                      </wps:spPr>
                      <wps:txbx>
                        <w:txbxContent>
                          <w:p w14:paraId="6F3EC678" w14:textId="77777777" w:rsidR="0017587A" w:rsidRDefault="00516F65">
                            <w:pPr>
                              <w:jc w:val="both"/>
                              <w:rPr>
                                <w:rFonts w:ascii="Times New Roman" w:hAnsi="Times New Roman"/>
                              </w:rPr>
                            </w:pPr>
                            <w:r>
                              <w:rPr>
                                <w:rFonts w:ascii="Times New Roman" w:hAnsi="Times New Roman"/>
                              </w:rPr>
                              <w:t>Enligt direktivet om EU:s utsläppshandelssystem ska det tas ut en ”avgift för överskridande utsläpp” på 100 euro (indexerat) för varje ton koldioxid som släpps ut och för vilket det inte har överlämnats en utsläppsrätt i tid. Andra sanktioner vid bristande tillämpning av EU:s utsläppshandelssystem tillämpas i enlighet med nationella bestämmelser i länderna i fråga.</w:t>
                            </w:r>
                          </w:p>
                          <w:p w14:paraId="5650CE85" w14:textId="77777777" w:rsidR="0017587A" w:rsidRDefault="0017587A">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5891EEBE" id="_x0000_s1042" type="#_x0000_t202" style="width:451.3pt;height:7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" fillcolor="#d9d9d9" strokeweight="1pt">
                <v:textbox>
                  <w:txbxContent>
                    <w:p w14:paraId="6F3EC678" w14:textId="77777777" w:rsidR="0017587A" w:rsidRDefault="00516F65">
                      <w:pPr>
                        <w:jc w:val="both"/>
                        <w:rPr>
                          <w:rFonts w:ascii="Times New Roman" w:hAnsi="Times New Roman"/>
                        </w:rPr>
                      </w:pPr>
                      <w:r>
                        <w:rPr>
                          <w:rFonts w:ascii="Times New Roman" w:hAnsi="Times New Roman"/>
                        </w:rPr>
                        <w:t>Enligt direktivet om EU:s utsläppshandelssystem ska det tas ut en ”avgift för överskridande utsläpp” på 100 euro (indexerat) för varje ton koldioxid som släpps ut och för vilket det inte har överlämnats en utsläppsrätt i tid. Andra sanktioner vid bristande tillämpning av EU:s utsläppshandelssystem tillämpas i enlighet med nationella bestämmelser i länderna i fråga.</w:t>
                      </w:r>
                    </w:p>
                    <w:p w14:paraId="5650CE85" w14:textId="77777777" w:rsidR="0017587A" w:rsidRDefault="0017587A">
                      <w:pPr>
                        <w:jc w:val="both"/>
                        <w:rPr>
                          <w:rFonts w:ascii="Times New Roman" w:hAnsi="Times New Roman"/>
                          <w:sz w:val="24"/>
                          <w:szCs w:val="24"/>
                        </w:rPr>
                      </w:pPr>
                    </w:p>
                  </w:txbxContent>
                </v:textbox>
                <w10:anchorlock/>
              </v:shape>
            </w:pict>
          </mc:Fallback>
        </mc:AlternateContent>
      </w:r>
    </w:p>
    <w:p w14:paraId="432DFA4B" w14:textId="77777777" w:rsidR="0017587A" w:rsidRDefault="00310AEE">
      <w:pPr>
        <w:spacing w:after="120"/>
        <w:jc w:val="both"/>
        <w:rPr>
          <w:rFonts w:ascii="Times New Roman" w:eastAsia="Times New Roman" w:hAnsi="Times New Roman"/>
          <w:sz w:val="24"/>
          <w:szCs w:val="24"/>
        </w:rPr>
      </w:pPr>
      <w:r>
        <w:rPr>
          <w:rFonts w:ascii="Times New Roman" w:hAnsi="Times New Roman"/>
        </w:rPr>
        <w:t>EU:s utsläppshandelssystem har en mycket hög grad av regelefterlevnad: varje år omfattas ungefär 99 % av utsläppen av det erforderliga antalet utsläppsrätter överlämnade i tid. Under 2018 hade mindre än 0,5 % av de anläggningar som rapporterade utsläpp underlåtit att överlämna utsläppsrätter för alla sina utsläpp när tidsfristen gick ut den 30 april 2019. Inom luftfartssektorn följdes reglerna av luftfartygsoperatörer som stod för 99,1 % av de utsläpp från luftfarten som omfattas av systemet. De operatörer som inte följde reglerna var vanligtvis små eller hade upphört med sin verksamhet 2018.</w:t>
      </w:r>
    </w:p>
    <w:p w14:paraId="55E7F55F" w14:textId="77777777" w:rsidR="0017587A" w:rsidRDefault="00310AEE">
      <w:pPr>
        <w:jc w:val="both"/>
        <w:rPr>
          <w:rFonts w:ascii="Times New Roman" w:eastAsia="Times New Roman" w:hAnsi="Times New Roman"/>
          <w:sz w:val="24"/>
          <w:szCs w:val="24"/>
        </w:rPr>
      </w:pPr>
      <w:r>
        <w:rPr>
          <w:rFonts w:ascii="Times New Roman" w:hAnsi="Times New Roman"/>
        </w:rPr>
        <w:t xml:space="preserve">De behöriga myndigheterna gör fortsatt olika efterlevnadskontroller av de årliga utsläppsrapporterna. Utifrån uppgifterna i de artikel 21-rapporter som lämnades in 2019 kontrollerade alla deltagande länder 100 % av de årliga utsläppsrapporterna för att se att de var fullständiga och internt konsekventa (utom Belgien, 31 %, Spanien, 95 %, Frankrike, 99 %, och Sverige, 1 %). Rapporterna visar också att i genomsnitt i länderna genomgick nästan 80 % av rapporterna kontroller av överensstämmelse med övervakningsplanerna (alla förutom Kroatien) och att nästan 75 % kontrollerades mot tilldelningsuppgifter (alla länder utom Finland, Ungern, Malta, Norge och Sverige). 24 länder angav att de också dubbelkontrollerar mot andra uppgifter. </w:t>
      </w:r>
    </w:p>
    <w:p w14:paraId="3EBD2D74" w14:textId="77777777" w:rsidR="0017587A" w:rsidRDefault="00310AEE">
      <w:pPr>
        <w:jc w:val="both"/>
        <w:rPr>
          <w:rFonts w:ascii="Times New Roman" w:eastAsia="Times New Roman" w:hAnsi="Times New Roman"/>
          <w:sz w:val="24"/>
          <w:szCs w:val="24"/>
        </w:rPr>
      </w:pPr>
      <w:r>
        <w:rPr>
          <w:rFonts w:ascii="Times New Roman" w:hAnsi="Times New Roman"/>
        </w:rPr>
        <w:t>Behöriga myndigheter i tolv länder gjorde försiktiga uppskattningar beträffande de uppgifter som saknades för 57 anläggningar (cirka 0,5 % av det totala antalet anläggningar), liknande de som gjordes för 52 anläggningar (0,5 %) 2017 och 57 anläggningar (0,5 %) 2016. De rapporterade utsläppen från dessa anläggningar var 11,2 miljoner ton koldioxid under 2018 (jämfört med 2,8 miljoner ton 2017) och cirka 0,7 % av de totala utsläppen (jämfört med 0,2 % under 2017). De vanligaste skälen till de försiktiga uppskattningarna var att utsläppsrapporter saknades per den 31 mars eller att utsläppsrapporterna inte helt uppfyllde kraven i förordningen om övervakning och rapportering och förordningen om ackreditering och verifiering.</w:t>
      </w:r>
    </w:p>
    <w:p w14:paraId="7A85A336" w14:textId="77777777" w:rsidR="0017587A" w:rsidRDefault="00310AEE">
      <w:pPr>
        <w:jc w:val="both"/>
        <w:rPr>
          <w:rFonts w:ascii="Times New Roman" w:eastAsia="Times New Roman" w:hAnsi="Times New Roman"/>
          <w:sz w:val="24"/>
          <w:szCs w:val="24"/>
        </w:rPr>
      </w:pPr>
      <w:r>
        <w:rPr>
          <w:rFonts w:ascii="Times New Roman" w:hAnsi="Times New Roman"/>
        </w:rPr>
        <w:t xml:space="preserve">På luftfartsområdet rapporterades försiktiga uppskattningar på grund av saknade uppgifter av sju länder, avseende 31 luftfartygsoperatörer (4,7 % av det totala antalet) och 4,7 % av utsläppen från luftfarten. </w:t>
      </w:r>
    </w:p>
    <w:p w14:paraId="73D35A48" w14:textId="77777777" w:rsidR="0017587A" w:rsidRDefault="00310AEE">
      <w:pPr>
        <w:jc w:val="both"/>
        <w:rPr>
          <w:rFonts w:ascii="Times New Roman" w:eastAsia="Times New Roman" w:hAnsi="Times New Roman"/>
          <w:sz w:val="24"/>
          <w:szCs w:val="24"/>
        </w:rPr>
      </w:pPr>
      <w:r>
        <w:rPr>
          <w:rFonts w:ascii="Times New Roman" w:hAnsi="Times New Roman"/>
        </w:rPr>
        <w:t>De behöriga myndigheternas kontroller är också viktiga för att komplettera kontrollörernas arbete. För 2018 bekräftade alla länder att de utför ytterligare kontroller av anläggningar. De flesta länderna har liknande tillvägagångssätt när det gäller luftfartygsoperatörer (utom Cypern, Estland, Grekland, Italien och Liechtenstein). De flesta länder (alla utom Grekland, Italien, Luxemburg och Malta) rapporterade att de hade gjort kontroller på plats vid anläggningar under 2018.</w:t>
      </w:r>
    </w:p>
    <w:p w14:paraId="0E3B6C2D" w14:textId="77777777" w:rsidR="0017587A" w:rsidRDefault="00310AEE">
      <w:pPr>
        <w:spacing w:after="120"/>
        <w:jc w:val="both"/>
        <w:rPr>
          <w:rFonts w:ascii="Times New Roman" w:eastAsia="Times New Roman" w:hAnsi="Times New Roman"/>
          <w:sz w:val="24"/>
          <w:szCs w:val="24"/>
        </w:rPr>
      </w:pPr>
      <w:r>
        <w:rPr>
          <w:rFonts w:ascii="Times New Roman" w:hAnsi="Times New Roman"/>
        </w:rPr>
        <w:t xml:space="preserve">För 2018 rapporterades tillämpning av avgifter för överskridande utsläpp för 36 anläggningar i tio länder (en i Belgien, två i Tjeckien, en i Frankrike, två i Irland, fem i Italien, en i Nederländerna, två i Polen, sju i Portugal, fyra i Rumänien och elva i Storbritannien). På luftfartsområdet rapporterades tillämpning av avgifter för överskridande utsläpp för 26 luftfartygsoperatörer (två i Tyskland, en i Frankrike, nio i Italien, en i Lettland, en i Nederländerna, åtta i Portugal, en i Slovenien och tre i Storbritannien). </w:t>
      </w:r>
    </w:p>
    <w:p w14:paraId="18B1C31B" w14:textId="77777777" w:rsidR="0017587A" w:rsidRDefault="00310AEE">
      <w:pPr>
        <w:spacing w:after="120"/>
        <w:jc w:val="both"/>
        <w:rPr>
          <w:rFonts w:ascii="Times New Roman" w:eastAsia="Times New Roman" w:hAnsi="Times New Roman"/>
          <w:sz w:val="24"/>
          <w:szCs w:val="24"/>
        </w:rPr>
      </w:pPr>
      <w:r>
        <w:rPr>
          <w:rFonts w:ascii="Times New Roman" w:hAnsi="Times New Roman"/>
        </w:rPr>
        <w:t>Tolv länder bekräftade att påföljder (utöver avgifter för överskridande utsläpp) tillgreps under 2018. Inga fängelsestraff har rapporterats, men 36 anläggningar och 26 luftfartygsoperatörer ålades böter eller erhöll formella underrättelser och slutliga varningsskrivelser med ett totalt ekonomiskt värde på 5,4 miljoner euro</w:t>
      </w:r>
      <w:r>
        <w:rPr>
          <w:rStyle w:val="FootnoteReference"/>
          <w:rFonts w:ascii="Times New Roman" w:eastAsia="Times New Roman" w:hAnsi="Times New Roman"/>
        </w:rPr>
        <w:footnoteReference w:id="74"/>
      </w:r>
      <w:r>
        <w:rPr>
          <w:rFonts w:ascii="Times New Roman" w:hAnsi="Times New Roman"/>
        </w:rPr>
        <w:t xml:space="preserve">. </w:t>
      </w:r>
    </w:p>
    <w:p w14:paraId="7696A498" w14:textId="77777777" w:rsidR="0017587A" w:rsidRDefault="00310AEE">
      <w:pPr>
        <w:spacing w:after="120"/>
        <w:jc w:val="both"/>
        <w:rPr>
          <w:rFonts w:ascii="Times New Roman" w:eastAsia="Times New Roman" w:hAnsi="Times New Roman"/>
          <w:sz w:val="24"/>
          <w:szCs w:val="24"/>
        </w:rPr>
      </w:pPr>
      <w:r>
        <w:rPr>
          <w:rFonts w:ascii="Times New Roman" w:hAnsi="Times New Roman"/>
        </w:rPr>
        <w:t xml:space="preserve">De vanligaste rapporterade överträdelserna 2018 var underlåtenhet att följa en godkänd övervakningsplan (nio fall), avsaknad av tillstånd (åtta fall), underlåtenhet att uppfylla tillståndsvillkor (sex fall) och underlåtenhet att lämna in en verifierad årlig utsläppsrapport inom tidsfristen (fem fall). </w:t>
      </w:r>
    </w:p>
    <w:p w14:paraId="0C35477E" w14:textId="77777777" w:rsidR="0017587A" w:rsidRDefault="00310AEE">
      <w:pPr>
        <w:spacing w:after="120"/>
        <w:jc w:val="both"/>
        <w:rPr>
          <w:rFonts w:ascii="Times New Roman" w:eastAsia="Times New Roman" w:hAnsi="Times New Roman"/>
          <w:sz w:val="24"/>
          <w:szCs w:val="24"/>
        </w:rPr>
      </w:pPr>
      <w:r>
        <w:rPr>
          <w:rFonts w:ascii="Times New Roman" w:hAnsi="Times New Roman"/>
        </w:rPr>
        <w:t>Såsom rapporterades det föregående året inleddes en femte verifieringsomgång för EU:s utsläppshandelssystem i början av 2018, i syfte att upptäcka problem med efterlevnaden av EU:s utsläppshandelssystem hos de deltagande länderna och hjälpa dem att förbättra sitt genomförande av detta. Verifieringen kommer att avslutas i slutet av 2019.</w:t>
      </w:r>
    </w:p>
    <w:p w14:paraId="73047261" w14:textId="77777777" w:rsidR="0017587A" w:rsidRDefault="0017587A">
      <w:pPr>
        <w:spacing w:after="120"/>
        <w:jc w:val="both"/>
        <w:rPr>
          <w:rFonts w:ascii="Times New Roman" w:eastAsia="Times New Roman" w:hAnsi="Times New Roman"/>
          <w:sz w:val="24"/>
          <w:szCs w:val="24"/>
        </w:rPr>
      </w:pPr>
    </w:p>
    <w:p w14:paraId="0CA4E9A1" w14:textId="77777777" w:rsidR="0017587A" w:rsidRDefault="00A52F4C">
      <w:pPr>
        <w:pStyle w:val="Heading1"/>
        <w:spacing w:before="0" w:after="200"/>
      </w:pPr>
      <w:bookmarkStart w:id="25" w:name="_Toc23755282"/>
      <w:r>
        <w:t>9. SLUTSATSER OCH UTSIKTER</w:t>
      </w:r>
      <w:bookmarkEnd w:id="25"/>
      <w:r>
        <w:t xml:space="preserve"> </w:t>
      </w:r>
    </w:p>
    <w:p w14:paraId="2DA378AA" w14:textId="77777777" w:rsidR="0017587A" w:rsidRDefault="00430B6B">
      <w:pPr>
        <w:spacing w:after="0"/>
        <w:jc w:val="both"/>
        <w:rPr>
          <w:rFonts w:ascii="Times New Roman" w:hAnsi="Times New Roman"/>
          <w:sz w:val="24"/>
          <w:szCs w:val="24"/>
        </w:rPr>
      </w:pPr>
      <w:r>
        <w:rPr>
          <w:rFonts w:ascii="Times New Roman" w:hAnsi="Times New Roman"/>
        </w:rPr>
        <w:t xml:space="preserve">År 2018 kännetecknades av stora framsteg när det gäller antagandet av genomförandebestämmelserna för fas 4 i EU:s utsläppshandelssystem. Under året antogs bestämmelser om koldioxidläckage, gratis tilldelning, auktionering, inrättandet av innovationsfonden samt övervakning, rapportering och verifiering. Intensivt arbete pågår med att slutföra de övriga genomförandebestämmelserna, som enligt planen ska antas före starten av nästa handelsperiod i januari 2021. </w:t>
      </w:r>
    </w:p>
    <w:p w14:paraId="7358EDEB" w14:textId="77777777" w:rsidR="0017587A" w:rsidRDefault="0017587A">
      <w:pPr>
        <w:spacing w:after="0"/>
        <w:jc w:val="both"/>
        <w:rPr>
          <w:rFonts w:ascii="Times New Roman" w:hAnsi="Times New Roman"/>
          <w:sz w:val="24"/>
          <w:szCs w:val="24"/>
        </w:rPr>
      </w:pPr>
    </w:p>
    <w:p w14:paraId="35AC3A3F" w14:textId="77777777" w:rsidR="0017587A" w:rsidRDefault="009D0411">
      <w:pPr>
        <w:spacing w:after="0"/>
        <w:jc w:val="both"/>
        <w:rPr>
          <w:rFonts w:ascii="Times New Roman" w:hAnsi="Times New Roman"/>
          <w:sz w:val="24"/>
          <w:szCs w:val="24"/>
        </w:rPr>
      </w:pPr>
      <w:r>
        <w:rPr>
          <w:rFonts w:ascii="Times New Roman" w:hAnsi="Times New Roman"/>
        </w:rPr>
        <w:t xml:space="preserve">Året kännetecknades även av betydligt minskade utsläpp från anläggningar som omfattas av EU:s utsläppshandelssystem. Minskningen på 4,1 % jämfört med 2017 drevs framför allt av el- och värmeproduktionssektorn, medan utsläppen från industrin endast minskade något. De verifierade utsläppen från luftfarten fortsatt dock att öka 2018, och ökningen  uppgick till 3,9 % jämfört med 2017.   </w:t>
      </w:r>
    </w:p>
    <w:p w14:paraId="2B434FB1" w14:textId="77777777" w:rsidR="0017587A" w:rsidRDefault="0017587A">
      <w:pPr>
        <w:spacing w:after="0"/>
        <w:jc w:val="both"/>
        <w:rPr>
          <w:rFonts w:ascii="Times New Roman" w:hAnsi="Times New Roman"/>
          <w:sz w:val="24"/>
          <w:szCs w:val="24"/>
        </w:rPr>
      </w:pPr>
    </w:p>
    <w:p w14:paraId="5054F3BF" w14:textId="77777777" w:rsidR="0017587A" w:rsidRDefault="00AA6C77">
      <w:pPr>
        <w:spacing w:after="0"/>
        <w:jc w:val="both"/>
        <w:rPr>
          <w:rFonts w:ascii="Times New Roman" w:hAnsi="Times New Roman"/>
          <w:sz w:val="24"/>
          <w:szCs w:val="24"/>
        </w:rPr>
      </w:pPr>
      <w:r>
        <w:rPr>
          <w:rFonts w:ascii="Times New Roman" w:hAnsi="Times New Roman"/>
        </w:rPr>
        <w:t xml:space="preserve">De lagstiftningsändringar som beslutats under senare år för att ta itu med överskottet av utsläppsrätter fortsätter att ge betydande resultat. Överskottsindikatorn för reserven för marknadsstabilitet offentliggjordes för tredje gången 2019, och tillsammans med 2017 års indikator ledde den till en minskning av auktionsvolymerna med nästan 40 % eller nära 397 miljoner utsläppsrätter 2019. Följaktligen kommer cirka 30 % färre utsläppsrätter att auktioneras under 2019 jämfört med 2018. </w:t>
      </w:r>
    </w:p>
    <w:p w14:paraId="6617B3EF" w14:textId="77777777" w:rsidR="0017587A" w:rsidRDefault="0017587A">
      <w:pPr>
        <w:spacing w:after="0"/>
        <w:jc w:val="both"/>
        <w:rPr>
          <w:rFonts w:ascii="Times New Roman" w:hAnsi="Times New Roman"/>
          <w:sz w:val="24"/>
          <w:szCs w:val="24"/>
        </w:rPr>
      </w:pPr>
    </w:p>
    <w:p w14:paraId="365ED7F4" w14:textId="77777777" w:rsidR="0017587A" w:rsidRDefault="00513F37">
      <w:pPr>
        <w:spacing w:after="0"/>
        <w:jc w:val="both"/>
        <w:rPr>
          <w:rFonts w:ascii="Times New Roman" w:hAnsi="Times New Roman"/>
          <w:sz w:val="24"/>
          <w:szCs w:val="24"/>
        </w:rPr>
      </w:pPr>
      <w:r>
        <w:rPr>
          <w:rFonts w:ascii="Times New Roman" w:hAnsi="Times New Roman"/>
        </w:rPr>
        <w:t xml:space="preserve">Den positiva utvecklingen i dessa avseenden har ingett ökat förtroende hos marknadsaktörerna och lett till en fortsatt förstärkt prissignal för koldioxid. Det högre priset på utsläppsrätter medförde en väsentlig ökning av medlemsstaternas totala auktionsintäkter, och under 2018 var de totala intäkterna mer än dubbelt så stora som intäkterna från 2017. </w:t>
      </w:r>
    </w:p>
    <w:p w14:paraId="6F8F7657" w14:textId="77777777" w:rsidR="0017587A" w:rsidRDefault="0017587A">
      <w:pPr>
        <w:spacing w:after="0"/>
        <w:jc w:val="both"/>
        <w:rPr>
          <w:rFonts w:ascii="Times New Roman" w:hAnsi="Times New Roman"/>
          <w:sz w:val="24"/>
          <w:szCs w:val="24"/>
        </w:rPr>
      </w:pPr>
    </w:p>
    <w:p w14:paraId="6DBBEB7A" w14:textId="77777777" w:rsidR="0017587A" w:rsidRDefault="008A5D9B">
      <w:pPr>
        <w:spacing w:after="0"/>
        <w:jc w:val="both"/>
        <w:rPr>
          <w:rFonts w:ascii="Times New Roman" w:hAnsi="Times New Roman"/>
          <w:sz w:val="24"/>
          <w:szCs w:val="24"/>
        </w:rPr>
      </w:pPr>
      <w:r>
        <w:rPr>
          <w:rFonts w:ascii="Times New Roman" w:hAnsi="Times New Roman"/>
        </w:rPr>
        <w:t xml:space="preserve">Under 2018 var efterlevnadsgraden av EU:s utsläppshandelssystem fortsatt mycket hög – mer än 99 % för såväl fasta anläggningar som luftfartygsoperatörer. Strukturen för EU:s utsläppshandelssystem har förblivit stabil, och den administrativa organisationen hos medlemsländerna har visat sig vara effektiv. </w:t>
      </w:r>
    </w:p>
    <w:p w14:paraId="5D459B88" w14:textId="77777777" w:rsidR="0017587A" w:rsidRDefault="0017587A">
      <w:pPr>
        <w:spacing w:after="0"/>
        <w:jc w:val="both"/>
        <w:rPr>
          <w:rFonts w:ascii="Times New Roman" w:hAnsi="Times New Roman"/>
          <w:sz w:val="24"/>
          <w:szCs w:val="24"/>
        </w:rPr>
      </w:pPr>
    </w:p>
    <w:p w14:paraId="526CA61E" w14:textId="77777777" w:rsidR="0017587A" w:rsidRDefault="00AA6C77">
      <w:pPr>
        <w:spacing w:after="0"/>
        <w:jc w:val="both"/>
        <w:rPr>
          <w:rFonts w:ascii="Times New Roman" w:hAnsi="Times New Roman"/>
          <w:sz w:val="24"/>
          <w:szCs w:val="24"/>
        </w:rPr>
      </w:pPr>
      <w:r>
        <w:rPr>
          <w:rFonts w:ascii="Times New Roman" w:hAnsi="Times New Roman"/>
        </w:rPr>
        <w:t>Kommissionen kommer att fortsätta att övervaka den europeiska koldioxidmarknaden och lämna nästa rapport i slutet av 2020.</w:t>
      </w:r>
    </w:p>
    <w:p w14:paraId="2D2DB473" w14:textId="77777777" w:rsidR="0017587A" w:rsidRDefault="0017587A">
      <w:pPr>
        <w:spacing w:after="0"/>
        <w:jc w:val="both"/>
        <w:rPr>
          <w:rFonts w:ascii="Times New Roman" w:hAnsi="Times New Roman"/>
          <w:sz w:val="24"/>
          <w:szCs w:val="24"/>
        </w:rPr>
      </w:pPr>
    </w:p>
    <w:p w14:paraId="4D707AAA" w14:textId="77777777" w:rsidR="0017587A" w:rsidRDefault="0017587A">
      <w:pPr>
        <w:spacing w:after="0"/>
        <w:jc w:val="both"/>
        <w:rPr>
          <w:rFonts w:ascii="Times New Roman" w:hAnsi="Times New Roman"/>
          <w:sz w:val="24"/>
          <w:szCs w:val="24"/>
        </w:rPr>
      </w:pPr>
    </w:p>
    <w:p w14:paraId="6F1EB242" w14:textId="77777777" w:rsidR="0017587A" w:rsidRDefault="0017587A">
      <w:pPr>
        <w:spacing w:after="0"/>
        <w:jc w:val="both"/>
        <w:rPr>
          <w:rFonts w:ascii="Times New Roman" w:hAnsi="Times New Roman"/>
          <w:sz w:val="24"/>
          <w:szCs w:val="24"/>
        </w:rPr>
      </w:pPr>
    </w:p>
    <w:p w14:paraId="07A97A67" w14:textId="77777777" w:rsidR="0017587A" w:rsidRDefault="0017587A">
      <w:pPr>
        <w:spacing w:after="0"/>
        <w:jc w:val="both"/>
        <w:rPr>
          <w:rFonts w:ascii="Times New Roman" w:hAnsi="Times New Roman"/>
          <w:sz w:val="24"/>
          <w:szCs w:val="24"/>
        </w:rPr>
      </w:pPr>
    </w:p>
    <w:p w14:paraId="0BC96E9A" w14:textId="77777777" w:rsidR="0017587A" w:rsidRDefault="0017587A">
      <w:pPr>
        <w:spacing w:after="0"/>
        <w:jc w:val="both"/>
        <w:rPr>
          <w:rFonts w:ascii="Times New Roman" w:hAnsi="Times New Roman"/>
          <w:sz w:val="24"/>
          <w:szCs w:val="24"/>
        </w:rPr>
      </w:pPr>
    </w:p>
    <w:p w14:paraId="49A4D1BA" w14:textId="77777777" w:rsidR="0017587A" w:rsidRDefault="0017587A">
      <w:pPr>
        <w:spacing w:after="0"/>
        <w:jc w:val="both"/>
        <w:rPr>
          <w:rFonts w:ascii="Times New Roman" w:hAnsi="Times New Roman"/>
          <w:sz w:val="24"/>
          <w:szCs w:val="24"/>
        </w:rPr>
      </w:pPr>
    </w:p>
    <w:p w14:paraId="530EA6DC" w14:textId="77777777" w:rsidR="0017587A" w:rsidRDefault="0017587A">
      <w:pPr>
        <w:spacing w:after="0"/>
        <w:jc w:val="both"/>
        <w:rPr>
          <w:rFonts w:ascii="Times New Roman" w:hAnsi="Times New Roman"/>
          <w:sz w:val="24"/>
          <w:szCs w:val="24"/>
        </w:rPr>
      </w:pPr>
    </w:p>
    <w:p w14:paraId="74241B0A" w14:textId="77777777" w:rsidR="0017587A" w:rsidRDefault="0017587A">
      <w:pPr>
        <w:spacing w:after="0"/>
        <w:jc w:val="both"/>
        <w:rPr>
          <w:rFonts w:ascii="Times New Roman" w:hAnsi="Times New Roman"/>
          <w:sz w:val="24"/>
          <w:szCs w:val="24"/>
        </w:rPr>
      </w:pPr>
    </w:p>
    <w:p w14:paraId="282E35A9" w14:textId="77777777" w:rsidR="0017587A" w:rsidRDefault="0017587A">
      <w:pPr>
        <w:spacing w:after="0"/>
        <w:jc w:val="both"/>
        <w:rPr>
          <w:rFonts w:ascii="Times New Roman" w:hAnsi="Times New Roman"/>
          <w:sz w:val="24"/>
          <w:szCs w:val="24"/>
        </w:rPr>
      </w:pPr>
    </w:p>
    <w:p w14:paraId="0FCD64F2" w14:textId="77777777" w:rsidR="0017587A" w:rsidRDefault="0017587A">
      <w:pPr>
        <w:spacing w:after="0"/>
        <w:jc w:val="both"/>
        <w:rPr>
          <w:rFonts w:ascii="Times New Roman" w:hAnsi="Times New Roman"/>
          <w:sz w:val="24"/>
          <w:szCs w:val="24"/>
        </w:rPr>
      </w:pPr>
    </w:p>
    <w:p w14:paraId="55A65581" w14:textId="77777777" w:rsidR="0017587A" w:rsidRDefault="0017587A">
      <w:pPr>
        <w:spacing w:after="0"/>
        <w:jc w:val="both"/>
        <w:rPr>
          <w:rFonts w:ascii="Times New Roman" w:hAnsi="Times New Roman"/>
          <w:sz w:val="24"/>
          <w:szCs w:val="24"/>
        </w:rPr>
      </w:pPr>
    </w:p>
    <w:p w14:paraId="692B1B8A" w14:textId="77777777" w:rsidR="0017587A" w:rsidRDefault="0017587A">
      <w:pPr>
        <w:spacing w:after="0"/>
        <w:jc w:val="both"/>
        <w:rPr>
          <w:rFonts w:ascii="Times New Roman" w:hAnsi="Times New Roman"/>
          <w:sz w:val="24"/>
          <w:szCs w:val="24"/>
        </w:rPr>
      </w:pPr>
    </w:p>
    <w:p w14:paraId="35CC69A1" w14:textId="77777777" w:rsidR="0017587A" w:rsidRDefault="0017587A">
      <w:pPr>
        <w:spacing w:after="0"/>
        <w:jc w:val="both"/>
        <w:rPr>
          <w:rFonts w:ascii="Times New Roman" w:hAnsi="Times New Roman"/>
          <w:sz w:val="24"/>
          <w:szCs w:val="24"/>
        </w:rPr>
      </w:pPr>
    </w:p>
    <w:p w14:paraId="7DFD1FEC" w14:textId="77777777" w:rsidR="0017587A" w:rsidRDefault="0017587A">
      <w:pPr>
        <w:spacing w:after="0"/>
        <w:jc w:val="both"/>
        <w:rPr>
          <w:rStyle w:val="Heading1Char"/>
          <w:rFonts w:eastAsia="Calibri"/>
        </w:rPr>
      </w:pPr>
    </w:p>
    <w:p w14:paraId="72BEAA26" w14:textId="77777777" w:rsidR="0017587A" w:rsidRDefault="0017587A">
      <w:pPr>
        <w:spacing w:after="0"/>
        <w:jc w:val="both"/>
        <w:rPr>
          <w:rFonts w:ascii="Times New Roman" w:hAnsi="Times New Roman"/>
          <w:sz w:val="24"/>
          <w:szCs w:val="24"/>
        </w:rPr>
      </w:pPr>
    </w:p>
    <w:p w14:paraId="1792791B" w14:textId="77777777" w:rsidR="0017587A" w:rsidRDefault="0017587A">
      <w:pPr>
        <w:jc w:val="both"/>
        <w:rPr>
          <w:rStyle w:val="Heading1Char"/>
          <w:rFonts w:eastAsia="Calibri"/>
        </w:rPr>
      </w:pPr>
    </w:p>
    <w:p w14:paraId="693CB9AD" w14:textId="77777777" w:rsidR="0017587A" w:rsidRDefault="0017587A">
      <w:pPr>
        <w:jc w:val="both"/>
        <w:rPr>
          <w:rStyle w:val="Heading1Char"/>
          <w:rFonts w:eastAsia="Calibri"/>
        </w:rPr>
      </w:pPr>
    </w:p>
    <w:p w14:paraId="59AC1CE1" w14:textId="77777777" w:rsidR="0017587A" w:rsidRDefault="0017587A">
      <w:pPr>
        <w:jc w:val="both"/>
        <w:rPr>
          <w:rStyle w:val="Heading1Char"/>
          <w:rFonts w:eastAsia="Calibri"/>
        </w:rPr>
      </w:pPr>
    </w:p>
    <w:p w14:paraId="3ADCC752" w14:textId="77777777" w:rsidR="0017587A" w:rsidRDefault="0017587A">
      <w:pPr>
        <w:jc w:val="both"/>
        <w:rPr>
          <w:rStyle w:val="Heading1Char"/>
          <w:rFonts w:eastAsia="Calibri"/>
        </w:rPr>
      </w:pPr>
    </w:p>
    <w:p w14:paraId="42D757A0" w14:textId="77777777" w:rsidR="0017587A" w:rsidRDefault="0017587A">
      <w:pPr>
        <w:jc w:val="both"/>
        <w:rPr>
          <w:rStyle w:val="Heading1Char"/>
          <w:rFonts w:eastAsia="Calibri"/>
        </w:rPr>
      </w:pPr>
    </w:p>
    <w:p w14:paraId="5A496FDD" w14:textId="77777777" w:rsidR="0017587A" w:rsidRDefault="0017587A">
      <w:pPr>
        <w:jc w:val="both"/>
        <w:rPr>
          <w:rStyle w:val="Heading1Char"/>
          <w:rFonts w:eastAsia="Calibri"/>
        </w:rPr>
      </w:pPr>
    </w:p>
    <w:p w14:paraId="4E5549DA" w14:textId="77777777" w:rsidR="0017587A" w:rsidRDefault="0017587A">
      <w:pPr>
        <w:jc w:val="both"/>
        <w:rPr>
          <w:rStyle w:val="Heading1Char"/>
          <w:rFonts w:eastAsia="Calibri"/>
        </w:rPr>
      </w:pPr>
    </w:p>
    <w:p w14:paraId="38FEFE7F" w14:textId="77777777" w:rsidR="0017587A" w:rsidRDefault="0017587A">
      <w:pPr>
        <w:jc w:val="both"/>
        <w:rPr>
          <w:rStyle w:val="Heading1Char"/>
          <w:rFonts w:eastAsia="Calibri"/>
        </w:rPr>
      </w:pPr>
    </w:p>
    <w:p w14:paraId="297620DC" w14:textId="77777777" w:rsidR="0017587A" w:rsidRDefault="0017587A">
      <w:pPr>
        <w:jc w:val="both"/>
        <w:rPr>
          <w:rStyle w:val="Heading1Char"/>
          <w:rFonts w:eastAsia="Calibri"/>
        </w:rPr>
      </w:pPr>
    </w:p>
    <w:p w14:paraId="33D75FC7" w14:textId="77777777" w:rsidR="0017587A" w:rsidRDefault="003A348D">
      <w:pPr>
        <w:jc w:val="both"/>
        <w:rPr>
          <w:rFonts w:ascii="Times New Roman" w:hAnsi="Times New Roman"/>
          <w:b/>
          <w:bCs/>
          <w:kern w:val="32"/>
          <w:sz w:val="24"/>
          <w:szCs w:val="32"/>
        </w:rPr>
      </w:pPr>
      <w:bookmarkStart w:id="26" w:name="_Toc23755283"/>
      <w:r>
        <w:rPr>
          <w:rStyle w:val="Heading1Char"/>
          <w:rFonts w:eastAsia="Calibri"/>
        </w:rPr>
        <w:t>BILAGA</w:t>
      </w:r>
      <w:bookmarkEnd w:id="26"/>
      <w:r>
        <w:rPr>
          <w:rFonts w:ascii="Times New Roman" w:hAnsi="Times New Roman"/>
        </w:rPr>
        <w:t xml:space="preserve"> </w:t>
      </w:r>
    </w:p>
    <w:p w14:paraId="6882368C" w14:textId="77777777" w:rsidR="0017587A" w:rsidRDefault="003A348D">
      <w:pPr>
        <w:rPr>
          <w:rFonts w:ascii="Times New Roman" w:hAnsi="Times New Roman"/>
          <w:b/>
        </w:rPr>
      </w:pPr>
      <w:r>
        <w:rPr>
          <w:rFonts w:ascii="Times New Roman" w:hAnsi="Times New Roman"/>
          <w:b/>
        </w:rPr>
        <w:t>Tillägg 1</w:t>
      </w:r>
    </w:p>
    <w:p w14:paraId="66739038" w14:textId="77777777" w:rsidR="0017587A" w:rsidRDefault="003A348D">
      <w:pPr>
        <w:keepNext/>
        <w:rPr>
          <w:rFonts w:ascii="Times New Roman" w:hAnsi="Times New Roman"/>
          <w:b/>
          <w:bCs/>
          <w:sz w:val="20"/>
          <w:szCs w:val="20"/>
        </w:rPr>
      </w:pPr>
      <w:r>
        <w:rPr>
          <w:rFonts w:ascii="Times New Roman" w:hAnsi="Times New Roman"/>
          <w:b/>
          <w:bCs/>
          <w:sz w:val="20"/>
          <w:szCs w:val="20"/>
        </w:rPr>
        <w:t xml:space="preserve">Tabell 1.1: Antal gratis utsläppsrätter som har tilldelats för modernisering av elsektorn </w:t>
      </w:r>
    </w:p>
    <w:tbl>
      <w:tblPr>
        <w:tblW w:w="92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957"/>
        <w:gridCol w:w="1339"/>
        <w:gridCol w:w="1458"/>
        <w:gridCol w:w="1458"/>
        <w:gridCol w:w="1339"/>
        <w:gridCol w:w="1342"/>
        <w:gridCol w:w="1348"/>
      </w:tblGrid>
      <w:tr w:rsidR="0017587A" w14:paraId="63294F16" w14:textId="77777777" w:rsidTr="002802C4">
        <w:trPr>
          <w:trHeight w:val="373"/>
          <w:jc w:val="center"/>
        </w:trPr>
        <w:tc>
          <w:tcPr>
            <w:tcW w:w="957" w:type="dxa"/>
            <w:shd w:val="clear" w:color="auto" w:fill="FFFFFF" w:themeFill="background1"/>
            <w:noWrap/>
          </w:tcPr>
          <w:p w14:paraId="7A709BBE" w14:textId="77777777" w:rsidR="0017587A" w:rsidRDefault="0017587A">
            <w:pPr>
              <w:spacing w:after="0"/>
              <w:jc w:val="center"/>
              <w:rPr>
                <w:rFonts w:ascii="Times New Roman" w:hAnsi="Times New Roman"/>
                <w:b/>
                <w:sz w:val="20"/>
                <w:szCs w:val="20"/>
              </w:rPr>
            </w:pPr>
          </w:p>
        </w:tc>
        <w:tc>
          <w:tcPr>
            <w:tcW w:w="8284" w:type="dxa"/>
            <w:gridSpan w:val="6"/>
            <w:shd w:val="clear" w:color="auto" w:fill="FFFFFF" w:themeFill="background1"/>
            <w:noWrap/>
          </w:tcPr>
          <w:p w14:paraId="4D13BB56" w14:textId="77777777" w:rsidR="0017587A" w:rsidRDefault="0017587A">
            <w:pPr>
              <w:spacing w:after="0"/>
              <w:jc w:val="center"/>
              <w:rPr>
                <w:rFonts w:ascii="Times New Roman" w:hAnsi="Times New Roman"/>
                <w:b/>
                <w:sz w:val="20"/>
                <w:szCs w:val="20"/>
              </w:rPr>
            </w:pPr>
          </w:p>
          <w:p w14:paraId="0906C111" w14:textId="77777777" w:rsidR="0017587A" w:rsidRDefault="001D7CEB">
            <w:pPr>
              <w:spacing w:after="0"/>
              <w:jc w:val="center"/>
              <w:rPr>
                <w:rFonts w:ascii="Times New Roman" w:hAnsi="Times New Roman"/>
                <w:b/>
                <w:sz w:val="20"/>
                <w:szCs w:val="20"/>
              </w:rPr>
            </w:pPr>
            <w:r>
              <w:rPr>
                <w:rFonts w:ascii="Times New Roman" w:hAnsi="Times New Roman"/>
                <w:b/>
                <w:sz w:val="20"/>
                <w:szCs w:val="20"/>
              </w:rPr>
              <w:t>Antal gratis utsläppsrätter som har begärts av medlemsstaterna i enlighet med artikel 10c</w:t>
            </w:r>
          </w:p>
        </w:tc>
      </w:tr>
      <w:tr w:rsidR="0017587A" w14:paraId="6D341873" w14:textId="77777777" w:rsidTr="002802C4">
        <w:trPr>
          <w:trHeight w:val="273"/>
          <w:jc w:val="center"/>
        </w:trPr>
        <w:tc>
          <w:tcPr>
            <w:tcW w:w="957" w:type="dxa"/>
            <w:shd w:val="clear" w:color="auto" w:fill="FFFFFF" w:themeFill="background1"/>
            <w:noWrap/>
            <w:hideMark/>
          </w:tcPr>
          <w:p w14:paraId="42CBFBBF"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Medlemsstat</w:t>
            </w:r>
          </w:p>
        </w:tc>
        <w:tc>
          <w:tcPr>
            <w:tcW w:w="1339" w:type="dxa"/>
            <w:shd w:val="clear" w:color="auto" w:fill="FFFFFF" w:themeFill="background1"/>
            <w:noWrap/>
            <w:hideMark/>
          </w:tcPr>
          <w:p w14:paraId="2685B8C9"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2013</w:t>
            </w:r>
          </w:p>
        </w:tc>
        <w:tc>
          <w:tcPr>
            <w:tcW w:w="1458" w:type="dxa"/>
            <w:shd w:val="clear" w:color="auto" w:fill="FFFFFF" w:themeFill="background1"/>
          </w:tcPr>
          <w:p w14:paraId="730ECE29"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2014</w:t>
            </w:r>
          </w:p>
        </w:tc>
        <w:tc>
          <w:tcPr>
            <w:tcW w:w="1458" w:type="dxa"/>
            <w:shd w:val="clear" w:color="auto" w:fill="FFFFFF" w:themeFill="background1"/>
          </w:tcPr>
          <w:p w14:paraId="1A07DE41"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2015</w:t>
            </w:r>
          </w:p>
        </w:tc>
        <w:tc>
          <w:tcPr>
            <w:tcW w:w="1339" w:type="dxa"/>
            <w:shd w:val="clear" w:color="auto" w:fill="FFFFFF" w:themeFill="background1"/>
          </w:tcPr>
          <w:p w14:paraId="3AE611B2"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2016</w:t>
            </w:r>
          </w:p>
        </w:tc>
        <w:tc>
          <w:tcPr>
            <w:tcW w:w="1342" w:type="dxa"/>
            <w:shd w:val="clear" w:color="auto" w:fill="FFFFFF" w:themeFill="background1"/>
          </w:tcPr>
          <w:p w14:paraId="2741A857"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2017</w:t>
            </w:r>
          </w:p>
        </w:tc>
        <w:tc>
          <w:tcPr>
            <w:tcW w:w="1344" w:type="dxa"/>
            <w:shd w:val="clear" w:color="auto" w:fill="FFFFFF" w:themeFill="background1"/>
          </w:tcPr>
          <w:p w14:paraId="1CE3E0CF"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2018</w:t>
            </w:r>
          </w:p>
        </w:tc>
      </w:tr>
      <w:tr w:rsidR="0017587A" w14:paraId="7517D06C" w14:textId="77777777" w:rsidTr="002802C4">
        <w:trPr>
          <w:trHeight w:val="241"/>
          <w:jc w:val="center"/>
        </w:trPr>
        <w:tc>
          <w:tcPr>
            <w:tcW w:w="957" w:type="dxa"/>
            <w:shd w:val="clear" w:color="auto" w:fill="FFFFFF" w:themeFill="background1"/>
            <w:noWrap/>
            <w:hideMark/>
          </w:tcPr>
          <w:p w14:paraId="029AD6E9"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BG</w:t>
            </w:r>
          </w:p>
        </w:tc>
        <w:tc>
          <w:tcPr>
            <w:tcW w:w="1339" w:type="dxa"/>
            <w:shd w:val="clear" w:color="auto" w:fill="FFFFFF" w:themeFill="background1"/>
            <w:noWrap/>
            <w:hideMark/>
          </w:tcPr>
          <w:p w14:paraId="0933681D" w14:textId="77777777" w:rsidR="0017587A" w:rsidRDefault="001D7CEB">
            <w:pPr>
              <w:spacing w:after="0"/>
              <w:jc w:val="center"/>
              <w:rPr>
                <w:rFonts w:ascii="Times New Roman" w:hAnsi="Times New Roman"/>
                <w:sz w:val="14"/>
                <w:szCs w:val="14"/>
              </w:rPr>
            </w:pPr>
            <w:r>
              <w:rPr>
                <w:rFonts w:ascii="Times New Roman" w:hAnsi="Times New Roman"/>
                <w:sz w:val="14"/>
                <w:szCs w:val="14"/>
              </w:rPr>
              <w:t>11 009 416</w:t>
            </w:r>
          </w:p>
        </w:tc>
        <w:tc>
          <w:tcPr>
            <w:tcW w:w="1458" w:type="dxa"/>
            <w:tcBorders>
              <w:bottom w:val="single" w:sz="4" w:space="0" w:color="auto"/>
            </w:tcBorders>
            <w:shd w:val="clear" w:color="auto" w:fill="FFFFFF" w:themeFill="background1"/>
          </w:tcPr>
          <w:p w14:paraId="142DCE3F" w14:textId="77777777" w:rsidR="0017587A" w:rsidRDefault="001D7CEB">
            <w:pPr>
              <w:spacing w:after="0"/>
              <w:jc w:val="center"/>
              <w:rPr>
                <w:rFonts w:ascii="Times New Roman" w:hAnsi="Times New Roman"/>
                <w:sz w:val="14"/>
                <w:szCs w:val="14"/>
              </w:rPr>
            </w:pPr>
            <w:r>
              <w:rPr>
                <w:rFonts w:ascii="Times New Roman" w:hAnsi="Times New Roman"/>
                <w:sz w:val="14"/>
                <w:szCs w:val="14"/>
              </w:rPr>
              <w:t>9 779 243</w:t>
            </w:r>
          </w:p>
        </w:tc>
        <w:tc>
          <w:tcPr>
            <w:tcW w:w="1458" w:type="dxa"/>
            <w:shd w:val="clear" w:color="auto" w:fill="FFFFFF" w:themeFill="background1"/>
          </w:tcPr>
          <w:p w14:paraId="3C4E09B7" w14:textId="77777777" w:rsidR="0017587A" w:rsidRDefault="001D7CEB">
            <w:pPr>
              <w:jc w:val="center"/>
              <w:rPr>
                <w:rFonts w:ascii="Times New Roman" w:hAnsi="Times New Roman"/>
                <w:sz w:val="14"/>
                <w:szCs w:val="14"/>
              </w:rPr>
            </w:pPr>
            <w:r>
              <w:rPr>
                <w:rFonts w:ascii="Times New Roman" w:hAnsi="Times New Roman"/>
                <w:sz w:val="14"/>
                <w:szCs w:val="14"/>
              </w:rPr>
              <w:t>8 259 680</w:t>
            </w:r>
          </w:p>
        </w:tc>
        <w:tc>
          <w:tcPr>
            <w:tcW w:w="1339" w:type="dxa"/>
            <w:shd w:val="clear" w:color="auto" w:fill="FFFFFF" w:themeFill="background1"/>
            <w:vAlign w:val="bottom"/>
          </w:tcPr>
          <w:p w14:paraId="18D77CF9" w14:textId="77777777" w:rsidR="0017587A" w:rsidRDefault="001D7CEB">
            <w:pPr>
              <w:jc w:val="center"/>
              <w:rPr>
                <w:rFonts w:ascii="Times New Roman" w:hAnsi="Times New Roman"/>
                <w:sz w:val="14"/>
                <w:szCs w:val="14"/>
              </w:rPr>
            </w:pPr>
            <w:r>
              <w:rPr>
                <w:rFonts w:ascii="Times New Roman" w:hAnsi="Times New Roman"/>
                <w:sz w:val="14"/>
                <w:szCs w:val="14"/>
              </w:rPr>
              <w:t>6 593 238</w:t>
            </w:r>
          </w:p>
        </w:tc>
        <w:tc>
          <w:tcPr>
            <w:tcW w:w="1342" w:type="dxa"/>
            <w:shd w:val="clear" w:color="auto" w:fill="FFFFFF" w:themeFill="background1"/>
          </w:tcPr>
          <w:p w14:paraId="1DE22331" w14:textId="77777777" w:rsidR="0017587A" w:rsidRDefault="001D7CEB">
            <w:pPr>
              <w:jc w:val="center"/>
              <w:rPr>
                <w:rFonts w:ascii="Times New Roman" w:hAnsi="Times New Roman"/>
                <w:color w:val="000000"/>
                <w:sz w:val="14"/>
                <w:szCs w:val="14"/>
              </w:rPr>
            </w:pPr>
            <w:r>
              <w:rPr>
                <w:rFonts w:ascii="Times New Roman" w:hAnsi="Times New Roman"/>
                <w:sz w:val="14"/>
                <w:szCs w:val="14"/>
              </w:rPr>
              <w:t>3 812 436</w:t>
            </w:r>
          </w:p>
        </w:tc>
        <w:tc>
          <w:tcPr>
            <w:tcW w:w="1344" w:type="dxa"/>
            <w:shd w:val="clear" w:color="auto" w:fill="FFFFFF" w:themeFill="background1"/>
          </w:tcPr>
          <w:p w14:paraId="076CD443" w14:textId="77777777" w:rsidR="0017587A" w:rsidRDefault="001D7CEB">
            <w:pPr>
              <w:jc w:val="center"/>
              <w:rPr>
                <w:rFonts w:ascii="Times New Roman" w:hAnsi="Times New Roman"/>
                <w:color w:val="000000"/>
                <w:sz w:val="14"/>
                <w:szCs w:val="14"/>
              </w:rPr>
            </w:pPr>
            <w:r>
              <w:rPr>
                <w:rFonts w:ascii="Times New Roman" w:hAnsi="Times New Roman"/>
                <w:sz w:val="14"/>
                <w:szCs w:val="14"/>
              </w:rPr>
              <w:t>2 471 297</w:t>
            </w:r>
          </w:p>
        </w:tc>
      </w:tr>
      <w:tr w:rsidR="0017587A" w14:paraId="34919F87" w14:textId="77777777" w:rsidTr="002802C4">
        <w:trPr>
          <w:trHeight w:val="185"/>
          <w:jc w:val="center"/>
        </w:trPr>
        <w:tc>
          <w:tcPr>
            <w:tcW w:w="957" w:type="dxa"/>
            <w:shd w:val="clear" w:color="auto" w:fill="FFFFFF" w:themeFill="background1"/>
            <w:noWrap/>
            <w:hideMark/>
          </w:tcPr>
          <w:p w14:paraId="2DA3C761"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CY</w:t>
            </w:r>
          </w:p>
        </w:tc>
        <w:tc>
          <w:tcPr>
            <w:tcW w:w="1339" w:type="dxa"/>
            <w:tcBorders>
              <w:right w:val="single" w:sz="4" w:space="0" w:color="auto"/>
            </w:tcBorders>
            <w:shd w:val="clear" w:color="auto" w:fill="FFFFFF" w:themeFill="background1"/>
            <w:noWrap/>
            <w:hideMark/>
          </w:tcPr>
          <w:p w14:paraId="7F24AFB9" w14:textId="77777777" w:rsidR="0017587A" w:rsidRDefault="001D7CEB">
            <w:pPr>
              <w:spacing w:after="0"/>
              <w:jc w:val="center"/>
              <w:rPr>
                <w:rFonts w:ascii="Times New Roman" w:hAnsi="Times New Roman"/>
                <w:sz w:val="14"/>
                <w:szCs w:val="14"/>
              </w:rPr>
            </w:pPr>
            <w:r>
              <w:rPr>
                <w:rFonts w:ascii="Times New Roman" w:hAnsi="Times New Roman"/>
                <w:sz w:val="14"/>
                <w:szCs w:val="14"/>
              </w:rPr>
              <w:t>2 519 077</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tcPr>
          <w:p w14:paraId="3D764418" w14:textId="77777777" w:rsidR="0017587A" w:rsidRDefault="001D7CEB">
            <w:pPr>
              <w:spacing w:after="0"/>
              <w:jc w:val="center"/>
              <w:rPr>
                <w:rFonts w:ascii="Times New Roman" w:hAnsi="Times New Roman"/>
                <w:sz w:val="14"/>
                <w:szCs w:val="14"/>
              </w:rPr>
            </w:pPr>
            <w:r>
              <w:rPr>
                <w:rFonts w:ascii="Times New Roman" w:hAnsi="Times New Roman"/>
                <w:sz w:val="14"/>
                <w:szCs w:val="14"/>
              </w:rPr>
              <w:t>2 195 195</w:t>
            </w:r>
          </w:p>
        </w:tc>
        <w:tc>
          <w:tcPr>
            <w:tcW w:w="1458" w:type="dxa"/>
            <w:tcBorders>
              <w:left w:val="single" w:sz="4" w:space="0" w:color="auto"/>
            </w:tcBorders>
            <w:shd w:val="clear" w:color="auto" w:fill="FFFFFF" w:themeFill="background1"/>
          </w:tcPr>
          <w:p w14:paraId="7D1F182B" w14:textId="77777777" w:rsidR="0017587A" w:rsidRDefault="001D7CEB">
            <w:pPr>
              <w:jc w:val="center"/>
              <w:rPr>
                <w:rFonts w:ascii="Times New Roman" w:hAnsi="Times New Roman"/>
                <w:sz w:val="14"/>
                <w:szCs w:val="14"/>
              </w:rPr>
            </w:pPr>
            <w:r>
              <w:rPr>
                <w:rFonts w:ascii="Times New Roman" w:hAnsi="Times New Roman"/>
                <w:sz w:val="14"/>
                <w:szCs w:val="14"/>
              </w:rPr>
              <w:t>1 907 302</w:t>
            </w:r>
          </w:p>
        </w:tc>
        <w:tc>
          <w:tcPr>
            <w:tcW w:w="1339" w:type="dxa"/>
            <w:shd w:val="clear" w:color="auto" w:fill="FFFFFF" w:themeFill="background1"/>
            <w:vAlign w:val="bottom"/>
          </w:tcPr>
          <w:p w14:paraId="2CEF2674" w14:textId="77777777" w:rsidR="0017587A" w:rsidRDefault="001D7CEB">
            <w:pPr>
              <w:jc w:val="center"/>
              <w:rPr>
                <w:rFonts w:ascii="Times New Roman" w:hAnsi="Times New Roman"/>
                <w:sz w:val="14"/>
                <w:szCs w:val="14"/>
              </w:rPr>
            </w:pPr>
            <w:r>
              <w:rPr>
                <w:rFonts w:ascii="Times New Roman" w:hAnsi="Times New Roman"/>
                <w:sz w:val="14"/>
                <w:szCs w:val="14"/>
              </w:rPr>
              <w:t>1 583 420</w:t>
            </w:r>
          </w:p>
        </w:tc>
        <w:tc>
          <w:tcPr>
            <w:tcW w:w="1342" w:type="dxa"/>
            <w:shd w:val="clear" w:color="auto" w:fill="FFFFFF" w:themeFill="background1"/>
          </w:tcPr>
          <w:p w14:paraId="6DA2FB4B" w14:textId="77777777" w:rsidR="0017587A" w:rsidRDefault="001D7CEB">
            <w:pPr>
              <w:jc w:val="center"/>
              <w:rPr>
                <w:rFonts w:ascii="Times New Roman" w:hAnsi="Times New Roman"/>
                <w:color w:val="000000"/>
                <w:sz w:val="14"/>
                <w:szCs w:val="14"/>
              </w:rPr>
            </w:pPr>
            <w:r>
              <w:rPr>
                <w:rFonts w:ascii="Times New Roman" w:hAnsi="Times New Roman"/>
                <w:sz w:val="14"/>
                <w:szCs w:val="14"/>
              </w:rPr>
              <w:t>1 259 538</w:t>
            </w:r>
          </w:p>
        </w:tc>
        <w:tc>
          <w:tcPr>
            <w:tcW w:w="1344" w:type="dxa"/>
            <w:shd w:val="clear" w:color="auto" w:fill="FFFFFF" w:themeFill="background1"/>
          </w:tcPr>
          <w:p w14:paraId="208F4D35" w14:textId="77777777" w:rsidR="0017587A" w:rsidRDefault="001D7CEB">
            <w:pPr>
              <w:jc w:val="center"/>
              <w:rPr>
                <w:rFonts w:ascii="Times New Roman" w:hAnsi="Times New Roman"/>
                <w:color w:val="000000"/>
                <w:sz w:val="14"/>
                <w:szCs w:val="14"/>
              </w:rPr>
            </w:pPr>
            <w:r>
              <w:rPr>
                <w:rFonts w:ascii="Times New Roman" w:hAnsi="Times New Roman"/>
                <w:sz w:val="14"/>
                <w:szCs w:val="14"/>
              </w:rPr>
              <w:t>935 657</w:t>
            </w:r>
          </w:p>
        </w:tc>
      </w:tr>
      <w:tr w:rsidR="0017587A" w14:paraId="1E702A0D" w14:textId="77777777" w:rsidTr="002802C4">
        <w:trPr>
          <w:trHeight w:val="185"/>
          <w:jc w:val="center"/>
        </w:trPr>
        <w:tc>
          <w:tcPr>
            <w:tcW w:w="957" w:type="dxa"/>
            <w:shd w:val="clear" w:color="auto" w:fill="FFFFFF" w:themeFill="background1"/>
            <w:noWrap/>
            <w:hideMark/>
          </w:tcPr>
          <w:p w14:paraId="51A1DD80"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CZ</w:t>
            </w:r>
          </w:p>
        </w:tc>
        <w:tc>
          <w:tcPr>
            <w:tcW w:w="1339" w:type="dxa"/>
            <w:shd w:val="clear" w:color="auto" w:fill="FFFFFF" w:themeFill="background1"/>
            <w:noWrap/>
            <w:hideMark/>
          </w:tcPr>
          <w:p w14:paraId="49BB6113" w14:textId="77777777" w:rsidR="0017587A" w:rsidRDefault="001D7CEB">
            <w:pPr>
              <w:spacing w:after="0"/>
              <w:jc w:val="center"/>
              <w:rPr>
                <w:rFonts w:ascii="Times New Roman" w:hAnsi="Times New Roman"/>
                <w:sz w:val="14"/>
                <w:szCs w:val="14"/>
              </w:rPr>
            </w:pPr>
            <w:r>
              <w:rPr>
                <w:rFonts w:ascii="Times New Roman" w:hAnsi="Times New Roman"/>
                <w:sz w:val="14"/>
                <w:szCs w:val="14"/>
              </w:rPr>
              <w:t>25 285 353</w:t>
            </w:r>
          </w:p>
        </w:tc>
        <w:tc>
          <w:tcPr>
            <w:tcW w:w="1458" w:type="dxa"/>
            <w:tcBorders>
              <w:top w:val="single" w:sz="4" w:space="0" w:color="auto"/>
            </w:tcBorders>
            <w:shd w:val="clear" w:color="auto" w:fill="FFFFFF" w:themeFill="background1"/>
          </w:tcPr>
          <w:p w14:paraId="3487ED1F" w14:textId="77777777" w:rsidR="0017587A" w:rsidRDefault="001D7CEB">
            <w:pPr>
              <w:spacing w:after="0"/>
              <w:jc w:val="center"/>
              <w:rPr>
                <w:rFonts w:ascii="Times New Roman" w:hAnsi="Times New Roman"/>
                <w:sz w:val="14"/>
                <w:szCs w:val="14"/>
              </w:rPr>
            </w:pPr>
            <w:r>
              <w:rPr>
                <w:rFonts w:ascii="Times New Roman" w:hAnsi="Times New Roman"/>
                <w:sz w:val="14"/>
                <w:szCs w:val="14"/>
              </w:rPr>
              <w:t>22 383 398</w:t>
            </w:r>
          </w:p>
        </w:tc>
        <w:tc>
          <w:tcPr>
            <w:tcW w:w="1458" w:type="dxa"/>
            <w:shd w:val="clear" w:color="auto" w:fill="FFFFFF" w:themeFill="background1"/>
          </w:tcPr>
          <w:p w14:paraId="5DA08238" w14:textId="77777777" w:rsidR="0017587A" w:rsidRDefault="001D7CEB">
            <w:pPr>
              <w:jc w:val="center"/>
              <w:rPr>
                <w:rFonts w:ascii="Times New Roman" w:hAnsi="Times New Roman"/>
                <w:sz w:val="14"/>
                <w:szCs w:val="14"/>
              </w:rPr>
            </w:pPr>
            <w:r>
              <w:rPr>
                <w:rFonts w:ascii="Times New Roman" w:hAnsi="Times New Roman"/>
                <w:sz w:val="14"/>
                <w:szCs w:val="14"/>
              </w:rPr>
              <w:t>20 623 005</w:t>
            </w:r>
          </w:p>
        </w:tc>
        <w:tc>
          <w:tcPr>
            <w:tcW w:w="1339" w:type="dxa"/>
            <w:shd w:val="clear" w:color="auto" w:fill="FFFFFF" w:themeFill="background1"/>
            <w:vAlign w:val="bottom"/>
          </w:tcPr>
          <w:p w14:paraId="71B094E1" w14:textId="77777777" w:rsidR="0017587A" w:rsidRDefault="001D7CEB">
            <w:pPr>
              <w:jc w:val="center"/>
              <w:rPr>
                <w:rFonts w:ascii="Times New Roman" w:hAnsi="Times New Roman"/>
                <w:sz w:val="14"/>
                <w:szCs w:val="14"/>
              </w:rPr>
            </w:pPr>
            <w:r>
              <w:rPr>
                <w:rFonts w:ascii="Times New Roman" w:hAnsi="Times New Roman"/>
                <w:sz w:val="14"/>
                <w:szCs w:val="14"/>
              </w:rPr>
              <w:t>15 831 329</w:t>
            </w:r>
          </w:p>
        </w:tc>
        <w:tc>
          <w:tcPr>
            <w:tcW w:w="1342" w:type="dxa"/>
            <w:shd w:val="clear" w:color="auto" w:fill="FFFFFF" w:themeFill="background1"/>
          </w:tcPr>
          <w:p w14:paraId="1E4C6337" w14:textId="77777777" w:rsidR="0017587A" w:rsidRDefault="001D7CEB">
            <w:pPr>
              <w:jc w:val="center"/>
              <w:rPr>
                <w:rFonts w:ascii="Times New Roman" w:hAnsi="Times New Roman"/>
                <w:color w:val="000000"/>
                <w:sz w:val="14"/>
                <w:szCs w:val="14"/>
              </w:rPr>
            </w:pPr>
            <w:r>
              <w:rPr>
                <w:rFonts w:ascii="Times New Roman" w:hAnsi="Times New Roman"/>
                <w:sz w:val="14"/>
                <w:szCs w:val="14"/>
              </w:rPr>
              <w:t>11 681 994</w:t>
            </w:r>
          </w:p>
        </w:tc>
        <w:tc>
          <w:tcPr>
            <w:tcW w:w="1344" w:type="dxa"/>
            <w:shd w:val="clear" w:color="auto" w:fill="FFFFFF" w:themeFill="background1"/>
          </w:tcPr>
          <w:p w14:paraId="738708F9" w14:textId="77777777" w:rsidR="0017587A" w:rsidRDefault="001D7CEB">
            <w:pPr>
              <w:jc w:val="center"/>
              <w:rPr>
                <w:rFonts w:ascii="Times New Roman" w:hAnsi="Times New Roman"/>
                <w:color w:val="000000"/>
                <w:sz w:val="14"/>
                <w:szCs w:val="14"/>
              </w:rPr>
            </w:pPr>
            <w:r>
              <w:rPr>
                <w:rFonts w:ascii="Times New Roman" w:hAnsi="Times New Roman"/>
                <w:sz w:val="14"/>
                <w:szCs w:val="14"/>
              </w:rPr>
              <w:t>7 661 840</w:t>
            </w:r>
          </w:p>
        </w:tc>
      </w:tr>
      <w:tr w:rsidR="0017587A" w14:paraId="5D6AF422" w14:textId="77777777" w:rsidTr="002802C4">
        <w:trPr>
          <w:trHeight w:val="185"/>
          <w:jc w:val="center"/>
        </w:trPr>
        <w:tc>
          <w:tcPr>
            <w:tcW w:w="957" w:type="dxa"/>
            <w:shd w:val="clear" w:color="auto" w:fill="FFFFFF" w:themeFill="background1"/>
            <w:noWrap/>
            <w:hideMark/>
          </w:tcPr>
          <w:p w14:paraId="5009F649"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EE</w:t>
            </w:r>
          </w:p>
        </w:tc>
        <w:tc>
          <w:tcPr>
            <w:tcW w:w="1339" w:type="dxa"/>
            <w:shd w:val="clear" w:color="auto" w:fill="FFFFFF" w:themeFill="background1"/>
            <w:noWrap/>
            <w:hideMark/>
          </w:tcPr>
          <w:p w14:paraId="293A25E3" w14:textId="77777777" w:rsidR="0017587A" w:rsidRDefault="001D7CEB">
            <w:pPr>
              <w:spacing w:after="0"/>
              <w:jc w:val="center"/>
              <w:rPr>
                <w:rFonts w:ascii="Times New Roman" w:hAnsi="Times New Roman"/>
                <w:sz w:val="14"/>
                <w:szCs w:val="14"/>
              </w:rPr>
            </w:pPr>
            <w:r>
              <w:rPr>
                <w:rFonts w:ascii="Times New Roman" w:hAnsi="Times New Roman"/>
                <w:sz w:val="14"/>
                <w:szCs w:val="14"/>
              </w:rPr>
              <w:t>5 135 166</w:t>
            </w:r>
          </w:p>
        </w:tc>
        <w:tc>
          <w:tcPr>
            <w:tcW w:w="1458" w:type="dxa"/>
            <w:shd w:val="clear" w:color="auto" w:fill="FFFFFF" w:themeFill="background1"/>
          </w:tcPr>
          <w:p w14:paraId="36CC475D" w14:textId="77777777" w:rsidR="0017587A" w:rsidRDefault="001D7CEB">
            <w:pPr>
              <w:spacing w:after="0"/>
              <w:jc w:val="center"/>
              <w:rPr>
                <w:rFonts w:ascii="Times New Roman" w:hAnsi="Times New Roman"/>
                <w:sz w:val="14"/>
                <w:szCs w:val="14"/>
              </w:rPr>
            </w:pPr>
            <w:r>
              <w:rPr>
                <w:rFonts w:ascii="Times New Roman" w:hAnsi="Times New Roman"/>
                <w:sz w:val="14"/>
                <w:szCs w:val="14"/>
              </w:rPr>
              <w:t>4 401 568</w:t>
            </w:r>
          </w:p>
        </w:tc>
        <w:tc>
          <w:tcPr>
            <w:tcW w:w="1458" w:type="dxa"/>
            <w:shd w:val="clear" w:color="auto" w:fill="FFFFFF" w:themeFill="background1"/>
          </w:tcPr>
          <w:p w14:paraId="55DA82B7" w14:textId="77777777" w:rsidR="0017587A" w:rsidRDefault="001D7CEB">
            <w:pPr>
              <w:jc w:val="center"/>
              <w:rPr>
                <w:rFonts w:ascii="Times New Roman" w:hAnsi="Times New Roman"/>
                <w:sz w:val="14"/>
                <w:szCs w:val="14"/>
              </w:rPr>
            </w:pPr>
            <w:r>
              <w:rPr>
                <w:rFonts w:ascii="Times New Roman" w:hAnsi="Times New Roman"/>
                <w:sz w:val="14"/>
                <w:szCs w:val="14"/>
              </w:rPr>
              <w:t>3 667 975</w:t>
            </w:r>
          </w:p>
        </w:tc>
        <w:tc>
          <w:tcPr>
            <w:tcW w:w="1339" w:type="dxa"/>
            <w:shd w:val="clear" w:color="auto" w:fill="FFFFFF" w:themeFill="background1"/>
            <w:vAlign w:val="bottom"/>
          </w:tcPr>
          <w:p w14:paraId="3AD58EB5" w14:textId="77777777" w:rsidR="0017587A" w:rsidRDefault="001D7CEB">
            <w:pPr>
              <w:jc w:val="center"/>
              <w:rPr>
                <w:rFonts w:ascii="Times New Roman" w:hAnsi="Times New Roman"/>
                <w:sz w:val="14"/>
                <w:szCs w:val="14"/>
              </w:rPr>
            </w:pPr>
            <w:r>
              <w:rPr>
                <w:rFonts w:ascii="Times New Roman" w:hAnsi="Times New Roman"/>
                <w:sz w:val="14"/>
                <w:szCs w:val="14"/>
              </w:rPr>
              <w:t>2 934 380</w:t>
            </w:r>
          </w:p>
        </w:tc>
        <w:tc>
          <w:tcPr>
            <w:tcW w:w="1342" w:type="dxa"/>
            <w:shd w:val="clear" w:color="auto" w:fill="FFFFFF" w:themeFill="background1"/>
          </w:tcPr>
          <w:p w14:paraId="2DD082A2" w14:textId="77777777" w:rsidR="0017587A" w:rsidRDefault="001D7CEB">
            <w:pPr>
              <w:jc w:val="center"/>
              <w:rPr>
                <w:rFonts w:ascii="Times New Roman" w:hAnsi="Times New Roman"/>
                <w:color w:val="000000"/>
                <w:sz w:val="14"/>
                <w:szCs w:val="14"/>
              </w:rPr>
            </w:pPr>
            <w:r>
              <w:rPr>
                <w:rFonts w:ascii="Times New Roman" w:hAnsi="Times New Roman"/>
                <w:sz w:val="14"/>
                <w:szCs w:val="14"/>
              </w:rPr>
              <w:t>2 055 614</w:t>
            </w:r>
          </w:p>
        </w:tc>
        <w:tc>
          <w:tcPr>
            <w:tcW w:w="1344" w:type="dxa"/>
            <w:shd w:val="clear" w:color="auto" w:fill="FFFFFF" w:themeFill="background1"/>
          </w:tcPr>
          <w:p w14:paraId="33304244" w14:textId="77777777" w:rsidR="0017587A" w:rsidRDefault="001D7CEB">
            <w:pPr>
              <w:jc w:val="center"/>
              <w:rPr>
                <w:rFonts w:ascii="Times New Roman" w:hAnsi="Times New Roman"/>
                <w:color w:val="000000"/>
                <w:sz w:val="14"/>
                <w:szCs w:val="14"/>
              </w:rPr>
            </w:pPr>
            <w:r>
              <w:rPr>
                <w:rFonts w:ascii="Times New Roman" w:hAnsi="Times New Roman"/>
                <w:sz w:val="14"/>
                <w:szCs w:val="14"/>
              </w:rPr>
              <w:t>38 939</w:t>
            </w:r>
          </w:p>
        </w:tc>
      </w:tr>
      <w:tr w:rsidR="0017587A" w14:paraId="2375AF4D" w14:textId="77777777" w:rsidTr="002802C4">
        <w:trPr>
          <w:trHeight w:val="223"/>
          <w:jc w:val="center"/>
        </w:trPr>
        <w:tc>
          <w:tcPr>
            <w:tcW w:w="957" w:type="dxa"/>
            <w:shd w:val="clear" w:color="auto" w:fill="FFFFFF" w:themeFill="background1"/>
            <w:noWrap/>
            <w:hideMark/>
          </w:tcPr>
          <w:p w14:paraId="6B24967D"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HU</w:t>
            </w:r>
          </w:p>
        </w:tc>
        <w:tc>
          <w:tcPr>
            <w:tcW w:w="1339" w:type="dxa"/>
            <w:shd w:val="clear" w:color="auto" w:fill="FFFFFF" w:themeFill="background1"/>
            <w:noWrap/>
            <w:hideMark/>
          </w:tcPr>
          <w:p w14:paraId="75AE26F4" w14:textId="77777777" w:rsidR="0017587A" w:rsidRDefault="001D7CEB">
            <w:pPr>
              <w:spacing w:after="0"/>
              <w:jc w:val="center"/>
              <w:rPr>
                <w:rFonts w:ascii="Times New Roman" w:hAnsi="Times New Roman"/>
                <w:sz w:val="14"/>
                <w:szCs w:val="14"/>
              </w:rPr>
            </w:pPr>
            <w:r>
              <w:rPr>
                <w:rFonts w:ascii="Times New Roman" w:hAnsi="Times New Roman"/>
                <w:sz w:val="14"/>
                <w:szCs w:val="14"/>
              </w:rPr>
              <w:t>7 047 255</w:t>
            </w:r>
            <w:r>
              <w:rPr>
                <w:rFonts w:ascii="Times New Roman" w:hAnsi="Times New Roman"/>
                <w:sz w:val="14"/>
                <w:szCs w:val="14"/>
                <w:vertAlign w:val="superscript"/>
              </w:rPr>
              <w:footnoteReference w:id="75"/>
            </w:r>
          </w:p>
        </w:tc>
        <w:tc>
          <w:tcPr>
            <w:tcW w:w="1458" w:type="dxa"/>
            <w:shd w:val="clear" w:color="auto" w:fill="FFFFFF" w:themeFill="background1"/>
          </w:tcPr>
          <w:p w14:paraId="35194E0F" w14:textId="77777777" w:rsidR="0017587A" w:rsidRDefault="001D7CEB">
            <w:pPr>
              <w:spacing w:after="0"/>
              <w:jc w:val="center"/>
              <w:rPr>
                <w:rFonts w:ascii="Times New Roman" w:hAnsi="Times New Roman"/>
                <w:sz w:val="14"/>
                <w:szCs w:val="14"/>
              </w:rPr>
            </w:pPr>
            <w:r>
              <w:rPr>
                <w:rFonts w:ascii="Times New Roman" w:hAnsi="Times New Roman"/>
                <w:sz w:val="14"/>
                <w:szCs w:val="14"/>
              </w:rPr>
              <w:t>i.u.</w:t>
            </w:r>
          </w:p>
        </w:tc>
        <w:tc>
          <w:tcPr>
            <w:tcW w:w="1458" w:type="dxa"/>
            <w:shd w:val="clear" w:color="auto" w:fill="FFFFFF" w:themeFill="background1"/>
          </w:tcPr>
          <w:p w14:paraId="26D47330" w14:textId="77777777" w:rsidR="0017587A" w:rsidRDefault="001D7CEB">
            <w:pPr>
              <w:jc w:val="center"/>
              <w:rPr>
                <w:rFonts w:ascii="Times New Roman" w:hAnsi="Times New Roman"/>
                <w:sz w:val="14"/>
                <w:szCs w:val="14"/>
              </w:rPr>
            </w:pPr>
            <w:r>
              <w:rPr>
                <w:rFonts w:ascii="Times New Roman" w:hAnsi="Times New Roman"/>
                <w:sz w:val="14"/>
                <w:szCs w:val="14"/>
              </w:rPr>
              <w:t>i.u.</w:t>
            </w:r>
          </w:p>
        </w:tc>
        <w:tc>
          <w:tcPr>
            <w:tcW w:w="1339" w:type="dxa"/>
            <w:shd w:val="clear" w:color="auto" w:fill="FFFFFF" w:themeFill="background1"/>
            <w:vAlign w:val="bottom"/>
          </w:tcPr>
          <w:p w14:paraId="3F53B4D4" w14:textId="77777777" w:rsidR="0017587A" w:rsidRDefault="001D7CEB">
            <w:pPr>
              <w:jc w:val="center"/>
              <w:rPr>
                <w:rFonts w:ascii="Times New Roman" w:hAnsi="Times New Roman"/>
                <w:sz w:val="14"/>
                <w:szCs w:val="14"/>
              </w:rPr>
            </w:pPr>
            <w:r>
              <w:rPr>
                <w:rFonts w:ascii="Times New Roman" w:hAnsi="Times New Roman"/>
                <w:sz w:val="14"/>
                <w:szCs w:val="14"/>
              </w:rPr>
              <w:t>i.u.</w:t>
            </w:r>
          </w:p>
        </w:tc>
        <w:tc>
          <w:tcPr>
            <w:tcW w:w="1342" w:type="dxa"/>
            <w:shd w:val="clear" w:color="auto" w:fill="FFFFFF" w:themeFill="background1"/>
          </w:tcPr>
          <w:p w14:paraId="094D124B" w14:textId="77777777" w:rsidR="0017587A" w:rsidRDefault="001D7CEB">
            <w:pPr>
              <w:jc w:val="center"/>
              <w:rPr>
                <w:rFonts w:ascii="Times New Roman" w:hAnsi="Times New Roman"/>
                <w:color w:val="000000"/>
                <w:sz w:val="14"/>
                <w:szCs w:val="14"/>
              </w:rPr>
            </w:pPr>
            <w:r>
              <w:rPr>
                <w:rFonts w:ascii="Times New Roman" w:hAnsi="Times New Roman"/>
                <w:sz w:val="14"/>
                <w:szCs w:val="14"/>
              </w:rPr>
              <w:t>i.u.</w:t>
            </w:r>
          </w:p>
        </w:tc>
        <w:tc>
          <w:tcPr>
            <w:tcW w:w="1344" w:type="dxa"/>
            <w:shd w:val="clear" w:color="auto" w:fill="FFFFFF" w:themeFill="background1"/>
          </w:tcPr>
          <w:p w14:paraId="6CC38296" w14:textId="77777777" w:rsidR="0017587A" w:rsidRDefault="001D7CEB">
            <w:pPr>
              <w:jc w:val="center"/>
              <w:rPr>
                <w:rFonts w:ascii="Times New Roman" w:hAnsi="Times New Roman"/>
                <w:color w:val="000000"/>
                <w:sz w:val="14"/>
                <w:szCs w:val="14"/>
              </w:rPr>
            </w:pPr>
            <w:r>
              <w:rPr>
                <w:rFonts w:ascii="Times New Roman" w:hAnsi="Times New Roman"/>
                <w:sz w:val="14"/>
                <w:szCs w:val="14"/>
              </w:rPr>
              <w:t>i.u.</w:t>
            </w:r>
          </w:p>
        </w:tc>
      </w:tr>
      <w:tr w:rsidR="0017587A" w14:paraId="6D2529A9" w14:textId="77777777" w:rsidTr="002802C4">
        <w:trPr>
          <w:trHeight w:val="185"/>
          <w:jc w:val="center"/>
        </w:trPr>
        <w:tc>
          <w:tcPr>
            <w:tcW w:w="957" w:type="dxa"/>
            <w:shd w:val="clear" w:color="auto" w:fill="FFFFFF" w:themeFill="background1"/>
            <w:noWrap/>
            <w:hideMark/>
          </w:tcPr>
          <w:p w14:paraId="74D2EBB8"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LT</w:t>
            </w:r>
          </w:p>
        </w:tc>
        <w:tc>
          <w:tcPr>
            <w:tcW w:w="1339" w:type="dxa"/>
            <w:shd w:val="clear" w:color="auto" w:fill="FFFFFF" w:themeFill="background1"/>
            <w:noWrap/>
            <w:hideMark/>
          </w:tcPr>
          <w:p w14:paraId="5AA9EE60" w14:textId="77777777" w:rsidR="0017587A" w:rsidRDefault="001D7CEB">
            <w:pPr>
              <w:spacing w:after="0"/>
              <w:jc w:val="center"/>
              <w:rPr>
                <w:rFonts w:ascii="Times New Roman" w:hAnsi="Times New Roman"/>
                <w:sz w:val="14"/>
                <w:szCs w:val="14"/>
              </w:rPr>
            </w:pPr>
            <w:r>
              <w:rPr>
                <w:rFonts w:ascii="Times New Roman" w:hAnsi="Times New Roman"/>
                <w:sz w:val="14"/>
                <w:szCs w:val="14"/>
              </w:rPr>
              <w:t>322 449</w:t>
            </w:r>
          </w:p>
        </w:tc>
        <w:tc>
          <w:tcPr>
            <w:tcW w:w="1458" w:type="dxa"/>
            <w:shd w:val="clear" w:color="auto" w:fill="FFFFFF" w:themeFill="background1"/>
          </w:tcPr>
          <w:p w14:paraId="442AAE85" w14:textId="77777777" w:rsidR="0017587A" w:rsidRDefault="001D7CEB">
            <w:pPr>
              <w:spacing w:after="0"/>
              <w:jc w:val="center"/>
              <w:rPr>
                <w:rFonts w:ascii="Times New Roman" w:hAnsi="Times New Roman"/>
                <w:sz w:val="14"/>
                <w:szCs w:val="14"/>
              </w:rPr>
            </w:pPr>
            <w:r>
              <w:rPr>
                <w:rFonts w:ascii="Times New Roman" w:hAnsi="Times New Roman"/>
                <w:sz w:val="14"/>
                <w:szCs w:val="14"/>
              </w:rPr>
              <w:t>297 113</w:t>
            </w:r>
          </w:p>
        </w:tc>
        <w:tc>
          <w:tcPr>
            <w:tcW w:w="1458" w:type="dxa"/>
            <w:shd w:val="clear" w:color="auto" w:fill="FFFFFF" w:themeFill="background1"/>
          </w:tcPr>
          <w:p w14:paraId="3475EF65" w14:textId="77777777" w:rsidR="0017587A" w:rsidRDefault="001D7CEB">
            <w:pPr>
              <w:jc w:val="center"/>
              <w:rPr>
                <w:rFonts w:ascii="Times New Roman" w:hAnsi="Times New Roman"/>
                <w:sz w:val="14"/>
                <w:szCs w:val="14"/>
              </w:rPr>
            </w:pPr>
            <w:r>
              <w:rPr>
                <w:rFonts w:ascii="Times New Roman" w:hAnsi="Times New Roman"/>
                <w:sz w:val="14"/>
                <w:szCs w:val="14"/>
              </w:rPr>
              <w:t>269 475</w:t>
            </w:r>
          </w:p>
        </w:tc>
        <w:tc>
          <w:tcPr>
            <w:tcW w:w="1339" w:type="dxa"/>
            <w:shd w:val="clear" w:color="auto" w:fill="FFFFFF" w:themeFill="background1"/>
            <w:vAlign w:val="bottom"/>
          </w:tcPr>
          <w:p w14:paraId="2B6DCFAF" w14:textId="77777777" w:rsidR="0017587A" w:rsidRDefault="001D7CEB">
            <w:pPr>
              <w:jc w:val="center"/>
              <w:rPr>
                <w:rFonts w:ascii="Times New Roman" w:hAnsi="Times New Roman"/>
                <w:sz w:val="14"/>
                <w:szCs w:val="14"/>
              </w:rPr>
            </w:pPr>
            <w:r>
              <w:rPr>
                <w:rFonts w:ascii="Times New Roman" w:hAnsi="Times New Roman"/>
                <w:sz w:val="14"/>
                <w:szCs w:val="14"/>
              </w:rPr>
              <w:t>237 230</w:t>
            </w:r>
          </w:p>
        </w:tc>
        <w:tc>
          <w:tcPr>
            <w:tcW w:w="1342" w:type="dxa"/>
            <w:shd w:val="clear" w:color="auto" w:fill="FFFFFF" w:themeFill="background1"/>
          </w:tcPr>
          <w:p w14:paraId="2EC525D2" w14:textId="77777777" w:rsidR="0017587A" w:rsidRDefault="001D7CEB">
            <w:pPr>
              <w:jc w:val="center"/>
              <w:rPr>
                <w:rFonts w:ascii="Times New Roman" w:hAnsi="Times New Roman"/>
                <w:color w:val="000000"/>
                <w:sz w:val="14"/>
                <w:szCs w:val="14"/>
              </w:rPr>
            </w:pPr>
            <w:r>
              <w:rPr>
                <w:rFonts w:ascii="Times New Roman" w:hAnsi="Times New Roman"/>
                <w:sz w:val="14"/>
                <w:szCs w:val="14"/>
              </w:rPr>
              <w:t>200 379</w:t>
            </w:r>
          </w:p>
        </w:tc>
        <w:tc>
          <w:tcPr>
            <w:tcW w:w="1344" w:type="dxa"/>
            <w:shd w:val="clear" w:color="auto" w:fill="FFFFFF" w:themeFill="background1"/>
          </w:tcPr>
          <w:p w14:paraId="5C48BA6F" w14:textId="77777777" w:rsidR="0017587A" w:rsidRDefault="001D7CEB">
            <w:pPr>
              <w:jc w:val="center"/>
              <w:rPr>
                <w:rFonts w:ascii="Times New Roman" w:hAnsi="Times New Roman"/>
                <w:color w:val="000000"/>
                <w:sz w:val="14"/>
                <w:szCs w:val="14"/>
              </w:rPr>
            </w:pPr>
            <w:r>
              <w:rPr>
                <w:rFonts w:ascii="Times New Roman" w:hAnsi="Times New Roman"/>
                <w:sz w:val="14"/>
                <w:szCs w:val="14"/>
              </w:rPr>
              <w:t>158 922</w:t>
            </w:r>
          </w:p>
        </w:tc>
      </w:tr>
      <w:tr w:rsidR="0017587A" w14:paraId="41284CCC" w14:textId="77777777" w:rsidTr="002802C4">
        <w:trPr>
          <w:trHeight w:val="185"/>
          <w:jc w:val="center"/>
        </w:trPr>
        <w:tc>
          <w:tcPr>
            <w:tcW w:w="957" w:type="dxa"/>
            <w:shd w:val="clear" w:color="auto" w:fill="FFFFFF" w:themeFill="background1"/>
            <w:noWrap/>
            <w:hideMark/>
          </w:tcPr>
          <w:p w14:paraId="45BC2378"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PL</w:t>
            </w:r>
          </w:p>
        </w:tc>
        <w:tc>
          <w:tcPr>
            <w:tcW w:w="1339" w:type="dxa"/>
            <w:shd w:val="clear" w:color="auto" w:fill="FFFFFF" w:themeFill="background1"/>
            <w:noWrap/>
            <w:hideMark/>
          </w:tcPr>
          <w:p w14:paraId="5DA97BCC" w14:textId="77777777" w:rsidR="0017587A" w:rsidRDefault="001D7CEB">
            <w:pPr>
              <w:spacing w:after="0"/>
              <w:jc w:val="center"/>
              <w:rPr>
                <w:rFonts w:ascii="Times New Roman" w:hAnsi="Times New Roman"/>
                <w:sz w:val="14"/>
                <w:szCs w:val="14"/>
              </w:rPr>
            </w:pPr>
            <w:r>
              <w:rPr>
                <w:rFonts w:ascii="Times New Roman" w:hAnsi="Times New Roman"/>
                <w:sz w:val="14"/>
                <w:szCs w:val="14"/>
              </w:rPr>
              <w:t>65 992 703</w:t>
            </w:r>
          </w:p>
        </w:tc>
        <w:tc>
          <w:tcPr>
            <w:tcW w:w="1458" w:type="dxa"/>
            <w:shd w:val="clear" w:color="auto" w:fill="FFFFFF" w:themeFill="background1"/>
          </w:tcPr>
          <w:p w14:paraId="49FF2CB5" w14:textId="77777777" w:rsidR="0017587A" w:rsidRDefault="001D7CEB">
            <w:pPr>
              <w:spacing w:after="0"/>
              <w:jc w:val="center"/>
              <w:rPr>
                <w:rFonts w:ascii="Times New Roman" w:hAnsi="Times New Roman"/>
                <w:sz w:val="14"/>
                <w:szCs w:val="14"/>
              </w:rPr>
            </w:pPr>
            <w:r>
              <w:rPr>
                <w:rFonts w:ascii="Times New Roman" w:hAnsi="Times New Roman"/>
                <w:sz w:val="14"/>
                <w:szCs w:val="14"/>
              </w:rPr>
              <w:t>52 920 889</w:t>
            </w:r>
          </w:p>
        </w:tc>
        <w:tc>
          <w:tcPr>
            <w:tcW w:w="1458" w:type="dxa"/>
            <w:shd w:val="clear" w:color="auto" w:fill="FFFFFF" w:themeFill="background1"/>
          </w:tcPr>
          <w:p w14:paraId="5D62EF4C" w14:textId="77777777" w:rsidR="0017587A" w:rsidRDefault="001D7CEB">
            <w:pPr>
              <w:jc w:val="center"/>
              <w:rPr>
                <w:rFonts w:ascii="Times New Roman" w:hAnsi="Times New Roman"/>
                <w:sz w:val="14"/>
                <w:szCs w:val="14"/>
              </w:rPr>
            </w:pPr>
            <w:r>
              <w:rPr>
                <w:rFonts w:ascii="Times New Roman" w:hAnsi="Times New Roman"/>
                <w:sz w:val="14"/>
                <w:szCs w:val="14"/>
              </w:rPr>
              <w:t>43 594 320</w:t>
            </w:r>
          </w:p>
        </w:tc>
        <w:tc>
          <w:tcPr>
            <w:tcW w:w="1339" w:type="dxa"/>
            <w:shd w:val="clear" w:color="auto" w:fill="FFFFFF" w:themeFill="background1"/>
            <w:vAlign w:val="bottom"/>
          </w:tcPr>
          <w:p w14:paraId="378324C1" w14:textId="77777777" w:rsidR="0017587A" w:rsidRDefault="001D7CEB">
            <w:pPr>
              <w:jc w:val="center"/>
              <w:rPr>
                <w:rFonts w:ascii="Times New Roman" w:hAnsi="Times New Roman"/>
                <w:sz w:val="14"/>
                <w:szCs w:val="14"/>
              </w:rPr>
            </w:pPr>
            <w:r>
              <w:rPr>
                <w:rFonts w:ascii="Times New Roman" w:hAnsi="Times New Roman"/>
                <w:sz w:val="14"/>
                <w:szCs w:val="14"/>
              </w:rPr>
              <w:t>31 621 148</w:t>
            </w:r>
          </w:p>
        </w:tc>
        <w:tc>
          <w:tcPr>
            <w:tcW w:w="1342" w:type="dxa"/>
            <w:shd w:val="clear" w:color="auto" w:fill="FFFFFF" w:themeFill="background1"/>
          </w:tcPr>
          <w:p w14:paraId="3D25DA67" w14:textId="77777777" w:rsidR="0017587A" w:rsidRDefault="001D7CEB">
            <w:pPr>
              <w:jc w:val="center"/>
              <w:rPr>
                <w:rFonts w:ascii="Times New Roman" w:hAnsi="Times New Roman"/>
                <w:color w:val="000000"/>
                <w:sz w:val="14"/>
                <w:szCs w:val="14"/>
              </w:rPr>
            </w:pPr>
            <w:r>
              <w:rPr>
                <w:rFonts w:ascii="Times New Roman" w:hAnsi="Times New Roman"/>
                <w:sz w:val="14"/>
                <w:szCs w:val="14"/>
              </w:rPr>
              <w:t>21 752 908</w:t>
            </w:r>
          </w:p>
        </w:tc>
        <w:tc>
          <w:tcPr>
            <w:tcW w:w="1344" w:type="dxa"/>
            <w:shd w:val="clear" w:color="auto" w:fill="FFFFFF" w:themeFill="background1"/>
          </w:tcPr>
          <w:p w14:paraId="70387689" w14:textId="77777777" w:rsidR="0017587A" w:rsidRDefault="001D7CEB">
            <w:pPr>
              <w:jc w:val="center"/>
              <w:rPr>
                <w:rFonts w:ascii="Times New Roman" w:hAnsi="Times New Roman"/>
                <w:color w:val="000000"/>
                <w:sz w:val="14"/>
                <w:szCs w:val="14"/>
              </w:rPr>
            </w:pPr>
            <w:r>
              <w:rPr>
                <w:rFonts w:ascii="Times New Roman" w:hAnsi="Times New Roman"/>
                <w:sz w:val="14"/>
                <w:szCs w:val="14"/>
              </w:rPr>
              <w:t>31 942 281</w:t>
            </w:r>
          </w:p>
        </w:tc>
      </w:tr>
      <w:tr w:rsidR="0017587A" w14:paraId="587678EA" w14:textId="77777777" w:rsidTr="002802C4">
        <w:trPr>
          <w:trHeight w:val="312"/>
          <w:jc w:val="center"/>
        </w:trPr>
        <w:tc>
          <w:tcPr>
            <w:tcW w:w="957" w:type="dxa"/>
            <w:shd w:val="clear" w:color="auto" w:fill="FFFFFF" w:themeFill="background1"/>
            <w:noWrap/>
            <w:hideMark/>
          </w:tcPr>
          <w:p w14:paraId="4216FEA8"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RO</w:t>
            </w:r>
          </w:p>
        </w:tc>
        <w:tc>
          <w:tcPr>
            <w:tcW w:w="1339" w:type="dxa"/>
            <w:shd w:val="clear" w:color="auto" w:fill="FFFFFF" w:themeFill="background1"/>
            <w:noWrap/>
            <w:hideMark/>
          </w:tcPr>
          <w:p w14:paraId="073456FD" w14:textId="77777777" w:rsidR="0017587A" w:rsidRDefault="001D7CEB">
            <w:pPr>
              <w:spacing w:after="0"/>
              <w:jc w:val="center"/>
              <w:rPr>
                <w:rFonts w:ascii="Times New Roman" w:hAnsi="Times New Roman"/>
                <w:sz w:val="14"/>
                <w:szCs w:val="14"/>
              </w:rPr>
            </w:pPr>
            <w:r>
              <w:rPr>
                <w:rFonts w:ascii="Times New Roman" w:hAnsi="Times New Roman"/>
                <w:sz w:val="14"/>
                <w:szCs w:val="14"/>
              </w:rPr>
              <w:t>15 748 011</w:t>
            </w:r>
          </w:p>
        </w:tc>
        <w:tc>
          <w:tcPr>
            <w:tcW w:w="1458" w:type="dxa"/>
            <w:shd w:val="clear" w:color="auto" w:fill="FFFFFF" w:themeFill="background1"/>
          </w:tcPr>
          <w:p w14:paraId="7DF9E739" w14:textId="77777777" w:rsidR="0017587A" w:rsidRDefault="001D7CEB">
            <w:pPr>
              <w:spacing w:after="0"/>
              <w:jc w:val="center"/>
              <w:rPr>
                <w:rFonts w:ascii="Times New Roman" w:hAnsi="Times New Roman"/>
                <w:sz w:val="14"/>
                <w:szCs w:val="14"/>
              </w:rPr>
            </w:pPr>
            <w:r>
              <w:rPr>
                <w:rFonts w:ascii="Times New Roman" w:hAnsi="Times New Roman"/>
                <w:sz w:val="14"/>
                <w:szCs w:val="14"/>
              </w:rPr>
              <w:t>8 591 461</w:t>
            </w:r>
          </w:p>
        </w:tc>
        <w:tc>
          <w:tcPr>
            <w:tcW w:w="1458" w:type="dxa"/>
            <w:shd w:val="clear" w:color="auto" w:fill="FFFFFF" w:themeFill="background1"/>
          </w:tcPr>
          <w:p w14:paraId="77286233" w14:textId="77777777" w:rsidR="0017587A" w:rsidRDefault="001D7CEB">
            <w:pPr>
              <w:jc w:val="center"/>
              <w:rPr>
                <w:rFonts w:ascii="Times New Roman" w:hAnsi="Times New Roman"/>
                <w:sz w:val="14"/>
                <w:szCs w:val="14"/>
              </w:rPr>
            </w:pPr>
            <w:r>
              <w:rPr>
                <w:rFonts w:ascii="Times New Roman" w:hAnsi="Times New Roman"/>
                <w:sz w:val="14"/>
                <w:szCs w:val="14"/>
              </w:rPr>
              <w:t>9 210 797</w:t>
            </w:r>
          </w:p>
        </w:tc>
        <w:tc>
          <w:tcPr>
            <w:tcW w:w="1339" w:type="dxa"/>
            <w:shd w:val="clear" w:color="auto" w:fill="FFFFFF" w:themeFill="background1"/>
            <w:vAlign w:val="bottom"/>
          </w:tcPr>
          <w:p w14:paraId="634C3F54" w14:textId="77777777" w:rsidR="0017587A" w:rsidRDefault="001D7CEB">
            <w:pPr>
              <w:jc w:val="center"/>
              <w:rPr>
                <w:rFonts w:ascii="Times New Roman" w:hAnsi="Times New Roman"/>
                <w:sz w:val="14"/>
                <w:szCs w:val="14"/>
              </w:rPr>
            </w:pPr>
            <w:r>
              <w:rPr>
                <w:rFonts w:ascii="Times New Roman" w:hAnsi="Times New Roman"/>
                <w:sz w:val="14"/>
                <w:szCs w:val="14"/>
              </w:rPr>
              <w:t>7 189 961</w:t>
            </w:r>
          </w:p>
        </w:tc>
        <w:tc>
          <w:tcPr>
            <w:tcW w:w="1342" w:type="dxa"/>
            <w:shd w:val="clear" w:color="auto" w:fill="FFFFFF" w:themeFill="background1"/>
          </w:tcPr>
          <w:p w14:paraId="7F265CA4" w14:textId="77777777" w:rsidR="0017587A" w:rsidRDefault="001D7CEB">
            <w:pPr>
              <w:jc w:val="center"/>
              <w:rPr>
                <w:rFonts w:ascii="Times New Roman" w:hAnsi="Times New Roman"/>
                <w:color w:val="000000"/>
                <w:sz w:val="14"/>
                <w:szCs w:val="14"/>
              </w:rPr>
            </w:pPr>
            <w:r>
              <w:rPr>
                <w:rFonts w:ascii="Times New Roman" w:hAnsi="Times New Roman"/>
                <w:sz w:val="14"/>
                <w:szCs w:val="14"/>
              </w:rPr>
              <w:t>6 222 255</w:t>
            </w:r>
          </w:p>
        </w:tc>
        <w:tc>
          <w:tcPr>
            <w:tcW w:w="1344" w:type="dxa"/>
            <w:shd w:val="clear" w:color="auto" w:fill="FFFFFF" w:themeFill="background1"/>
          </w:tcPr>
          <w:p w14:paraId="7DBD0BB1" w14:textId="77777777" w:rsidR="0017587A" w:rsidRDefault="001D7CEB">
            <w:pPr>
              <w:jc w:val="center"/>
              <w:rPr>
                <w:rFonts w:ascii="Times New Roman" w:hAnsi="Times New Roman"/>
                <w:color w:val="000000"/>
                <w:sz w:val="14"/>
                <w:szCs w:val="14"/>
              </w:rPr>
            </w:pPr>
            <w:r>
              <w:rPr>
                <w:rFonts w:ascii="Times New Roman" w:hAnsi="Times New Roman"/>
                <w:sz w:val="14"/>
                <w:szCs w:val="14"/>
              </w:rPr>
              <w:t>3 778 439</w:t>
            </w:r>
          </w:p>
        </w:tc>
      </w:tr>
      <w:tr w:rsidR="0017587A" w14:paraId="5A3000D7" w14:textId="77777777" w:rsidTr="002802C4">
        <w:trPr>
          <w:trHeight w:val="257"/>
          <w:jc w:val="center"/>
        </w:trPr>
        <w:tc>
          <w:tcPr>
            <w:tcW w:w="957" w:type="dxa"/>
            <w:shd w:val="clear" w:color="auto" w:fill="FFFFFF" w:themeFill="background1"/>
            <w:noWrap/>
          </w:tcPr>
          <w:p w14:paraId="54098D56" w14:textId="77777777" w:rsidR="0017587A" w:rsidRDefault="001D7CEB">
            <w:pPr>
              <w:spacing w:after="0"/>
              <w:jc w:val="center"/>
              <w:rPr>
                <w:rFonts w:ascii="Times New Roman" w:hAnsi="Times New Roman"/>
                <w:b/>
                <w:sz w:val="14"/>
                <w:szCs w:val="14"/>
              </w:rPr>
            </w:pPr>
            <w:r>
              <w:rPr>
                <w:rFonts w:ascii="Times New Roman" w:hAnsi="Times New Roman"/>
                <w:b/>
                <w:sz w:val="14"/>
                <w:szCs w:val="14"/>
              </w:rPr>
              <w:t>Summa</w:t>
            </w:r>
          </w:p>
        </w:tc>
        <w:tc>
          <w:tcPr>
            <w:tcW w:w="1339" w:type="dxa"/>
            <w:shd w:val="clear" w:color="auto" w:fill="FFFFFF" w:themeFill="background1"/>
            <w:noWrap/>
          </w:tcPr>
          <w:p w14:paraId="0D7FFE67" w14:textId="77777777" w:rsidR="0017587A" w:rsidRDefault="001D7CEB">
            <w:pPr>
              <w:spacing w:after="0"/>
              <w:jc w:val="center"/>
              <w:rPr>
                <w:rFonts w:ascii="Times New Roman" w:hAnsi="Times New Roman"/>
                <w:sz w:val="14"/>
                <w:szCs w:val="14"/>
              </w:rPr>
            </w:pPr>
            <w:r>
              <w:rPr>
                <w:rFonts w:ascii="Times New Roman" w:hAnsi="Times New Roman"/>
                <w:sz w:val="14"/>
                <w:szCs w:val="14"/>
              </w:rPr>
              <w:t>133 059 430</w:t>
            </w:r>
          </w:p>
          <w:p w14:paraId="024F66F3" w14:textId="77777777" w:rsidR="0017587A" w:rsidRDefault="0017587A">
            <w:pPr>
              <w:spacing w:after="0"/>
              <w:jc w:val="center"/>
              <w:rPr>
                <w:rFonts w:ascii="Times New Roman" w:hAnsi="Times New Roman"/>
                <w:sz w:val="14"/>
                <w:szCs w:val="14"/>
              </w:rPr>
            </w:pPr>
          </w:p>
        </w:tc>
        <w:tc>
          <w:tcPr>
            <w:tcW w:w="1458" w:type="dxa"/>
            <w:shd w:val="clear" w:color="auto" w:fill="FFFFFF" w:themeFill="background1"/>
          </w:tcPr>
          <w:p w14:paraId="3B2D2E3A" w14:textId="77777777" w:rsidR="0017587A" w:rsidRDefault="001D7CEB">
            <w:pPr>
              <w:spacing w:after="0"/>
              <w:jc w:val="center"/>
              <w:rPr>
                <w:rFonts w:ascii="Times New Roman" w:hAnsi="Times New Roman"/>
                <w:sz w:val="14"/>
                <w:szCs w:val="14"/>
              </w:rPr>
            </w:pPr>
            <w:r>
              <w:rPr>
                <w:rFonts w:ascii="Times New Roman" w:hAnsi="Times New Roman"/>
                <w:sz w:val="14"/>
                <w:szCs w:val="14"/>
              </w:rPr>
              <w:t>100 568 867</w:t>
            </w:r>
          </w:p>
        </w:tc>
        <w:tc>
          <w:tcPr>
            <w:tcW w:w="1458" w:type="dxa"/>
            <w:shd w:val="clear" w:color="auto" w:fill="FFFFFF" w:themeFill="background1"/>
          </w:tcPr>
          <w:p w14:paraId="4F533885" w14:textId="77777777" w:rsidR="0017587A" w:rsidRDefault="001D7CEB">
            <w:pPr>
              <w:spacing w:after="0"/>
              <w:jc w:val="center"/>
              <w:rPr>
                <w:rFonts w:ascii="Times New Roman" w:hAnsi="Times New Roman"/>
                <w:sz w:val="14"/>
                <w:szCs w:val="14"/>
              </w:rPr>
            </w:pPr>
            <w:r>
              <w:rPr>
                <w:rFonts w:ascii="Times New Roman" w:hAnsi="Times New Roman"/>
                <w:sz w:val="14"/>
                <w:szCs w:val="14"/>
              </w:rPr>
              <w:t>87 532 554</w:t>
            </w:r>
          </w:p>
        </w:tc>
        <w:tc>
          <w:tcPr>
            <w:tcW w:w="1339" w:type="dxa"/>
            <w:shd w:val="clear" w:color="auto" w:fill="FFFFFF" w:themeFill="background1"/>
          </w:tcPr>
          <w:p w14:paraId="46AC21CE" w14:textId="77777777" w:rsidR="0017587A" w:rsidRDefault="001D7CEB">
            <w:pPr>
              <w:spacing w:after="0"/>
              <w:jc w:val="center"/>
              <w:rPr>
                <w:rFonts w:ascii="Times New Roman" w:hAnsi="Times New Roman"/>
                <w:sz w:val="14"/>
                <w:szCs w:val="14"/>
              </w:rPr>
            </w:pPr>
            <w:r>
              <w:rPr>
                <w:rFonts w:ascii="Times New Roman" w:hAnsi="Times New Roman"/>
                <w:sz w:val="14"/>
                <w:szCs w:val="14"/>
              </w:rPr>
              <w:t>65 990 706</w:t>
            </w:r>
          </w:p>
        </w:tc>
        <w:tc>
          <w:tcPr>
            <w:tcW w:w="1342" w:type="dxa"/>
            <w:shd w:val="clear" w:color="auto" w:fill="FFFFFF" w:themeFill="background1"/>
          </w:tcPr>
          <w:p w14:paraId="5499AD5B" w14:textId="77777777" w:rsidR="0017587A" w:rsidRDefault="001D7CEB">
            <w:pPr>
              <w:spacing w:after="0"/>
              <w:jc w:val="center"/>
              <w:rPr>
                <w:rFonts w:ascii="Times New Roman" w:hAnsi="Times New Roman"/>
                <w:sz w:val="14"/>
                <w:szCs w:val="14"/>
              </w:rPr>
            </w:pPr>
            <w:r>
              <w:rPr>
                <w:rFonts w:ascii="Times New Roman" w:hAnsi="Times New Roman"/>
                <w:sz w:val="14"/>
                <w:szCs w:val="14"/>
              </w:rPr>
              <w:t>46 985 124</w:t>
            </w:r>
          </w:p>
        </w:tc>
        <w:tc>
          <w:tcPr>
            <w:tcW w:w="1344" w:type="dxa"/>
            <w:shd w:val="clear" w:color="auto" w:fill="FFFFFF" w:themeFill="background1"/>
          </w:tcPr>
          <w:p w14:paraId="269C6DE0" w14:textId="77777777" w:rsidR="0017587A" w:rsidRDefault="00A67F00">
            <w:pPr>
              <w:spacing w:after="0"/>
              <w:jc w:val="center"/>
              <w:rPr>
                <w:rFonts w:ascii="Times New Roman" w:hAnsi="Times New Roman"/>
                <w:sz w:val="14"/>
                <w:szCs w:val="14"/>
              </w:rPr>
            </w:pPr>
            <w:r>
              <w:rPr>
                <w:rFonts w:ascii="Times New Roman" w:hAnsi="Times New Roman"/>
                <w:sz w:val="14"/>
                <w:szCs w:val="14"/>
              </w:rPr>
              <w:t>46 987 375</w:t>
            </w:r>
          </w:p>
        </w:tc>
      </w:tr>
    </w:tbl>
    <w:p w14:paraId="7E9D2978" w14:textId="77777777" w:rsidR="0017587A" w:rsidRDefault="00526348">
      <w:pPr>
        <w:spacing w:line="240" w:lineRule="auto"/>
        <w:contextualSpacing/>
        <w:jc w:val="both"/>
        <w:rPr>
          <w:rFonts w:ascii="Times New Roman" w:hAnsi="Times New Roman"/>
          <w:sz w:val="18"/>
          <w:szCs w:val="18"/>
        </w:rPr>
      </w:pPr>
      <w:r>
        <w:rPr>
          <w:rFonts w:ascii="Times New Roman" w:hAnsi="Times New Roman"/>
          <w:sz w:val="18"/>
          <w:szCs w:val="18"/>
        </w:rPr>
        <w:t>Källa: GD Klimatpolitik</w:t>
      </w:r>
    </w:p>
    <w:p w14:paraId="6E4CD9FA" w14:textId="77777777" w:rsidR="0017587A" w:rsidRDefault="0017587A">
      <w:pPr>
        <w:spacing w:line="240" w:lineRule="auto"/>
        <w:contextualSpacing/>
        <w:jc w:val="both"/>
        <w:rPr>
          <w:rFonts w:ascii="Times New Roman" w:hAnsi="Times New Roman"/>
          <w:sz w:val="18"/>
          <w:szCs w:val="18"/>
        </w:rPr>
      </w:pPr>
    </w:p>
    <w:p w14:paraId="15532F8E" w14:textId="77777777" w:rsidR="0017587A" w:rsidRDefault="003A348D">
      <w:pPr>
        <w:spacing w:line="240" w:lineRule="auto"/>
        <w:jc w:val="both"/>
        <w:rPr>
          <w:rFonts w:ascii="Times New Roman" w:hAnsi="Times New Roman"/>
          <w:b/>
          <w:sz w:val="20"/>
          <w:szCs w:val="20"/>
        </w:rPr>
      </w:pPr>
      <w:r>
        <w:rPr>
          <w:rFonts w:ascii="Times New Roman" w:hAnsi="Times New Roman"/>
          <w:b/>
          <w:sz w:val="20"/>
          <w:szCs w:val="20"/>
        </w:rPr>
        <w:t>Tabell 1.2: Maximalt antal gratis utsläppsrätter per år med undantag från full auktionering för el- och värmeproduktion</w:t>
      </w:r>
    </w:p>
    <w:tbl>
      <w:tblPr>
        <w:tblW w:w="93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86"/>
        <w:gridCol w:w="1123"/>
        <w:gridCol w:w="997"/>
        <w:gridCol w:w="997"/>
        <w:gridCol w:w="997"/>
        <w:gridCol w:w="997"/>
        <w:gridCol w:w="997"/>
        <w:gridCol w:w="997"/>
        <w:gridCol w:w="1111"/>
        <w:gridCol w:w="11"/>
      </w:tblGrid>
      <w:tr w:rsidR="0017587A" w14:paraId="4E23C48E" w14:textId="77777777" w:rsidTr="002802C4">
        <w:trPr>
          <w:trHeight w:val="610"/>
          <w:jc w:val="center"/>
        </w:trPr>
        <w:tc>
          <w:tcPr>
            <w:tcW w:w="1086" w:type="dxa"/>
            <w:vMerge w:val="restart"/>
          </w:tcPr>
          <w:p w14:paraId="33540512" w14:textId="77777777" w:rsidR="0017587A" w:rsidRDefault="003A348D">
            <w:pPr>
              <w:spacing w:after="0"/>
              <w:jc w:val="center"/>
              <w:rPr>
                <w:rFonts w:ascii="Times New Roman" w:hAnsi="Times New Roman"/>
                <w:b/>
                <w:sz w:val="20"/>
                <w:szCs w:val="20"/>
              </w:rPr>
            </w:pPr>
            <w:r>
              <w:rPr>
                <w:rFonts w:ascii="Times New Roman" w:hAnsi="Times New Roman"/>
                <w:b/>
                <w:sz w:val="20"/>
                <w:szCs w:val="20"/>
              </w:rPr>
              <w:t>Medlemsstat</w:t>
            </w:r>
          </w:p>
        </w:tc>
        <w:tc>
          <w:tcPr>
            <w:tcW w:w="8227" w:type="dxa"/>
            <w:gridSpan w:val="9"/>
          </w:tcPr>
          <w:p w14:paraId="39535D01" w14:textId="77777777" w:rsidR="0017587A" w:rsidRDefault="003A348D">
            <w:pPr>
              <w:spacing w:after="0"/>
              <w:jc w:val="center"/>
              <w:rPr>
                <w:rFonts w:ascii="Times New Roman" w:hAnsi="Times New Roman"/>
                <w:b/>
                <w:sz w:val="20"/>
                <w:szCs w:val="20"/>
              </w:rPr>
            </w:pPr>
            <w:r>
              <w:rPr>
                <w:rFonts w:ascii="Times New Roman" w:hAnsi="Times New Roman"/>
                <w:b/>
                <w:sz w:val="20"/>
                <w:szCs w:val="20"/>
              </w:rPr>
              <w:t>Högsta antal utsläppsrätter per år</w:t>
            </w:r>
          </w:p>
        </w:tc>
      </w:tr>
      <w:tr w:rsidR="0017587A" w14:paraId="05BD9ECA" w14:textId="77777777" w:rsidTr="002802C4">
        <w:trPr>
          <w:gridAfter w:val="1"/>
          <w:wAfter w:w="11" w:type="dxa"/>
          <w:trHeight w:val="446"/>
          <w:jc w:val="center"/>
        </w:trPr>
        <w:tc>
          <w:tcPr>
            <w:tcW w:w="1086" w:type="dxa"/>
            <w:vMerge/>
          </w:tcPr>
          <w:p w14:paraId="4D386995" w14:textId="77777777" w:rsidR="0017587A" w:rsidRDefault="0017587A">
            <w:pPr>
              <w:spacing w:after="0"/>
              <w:jc w:val="center"/>
              <w:rPr>
                <w:rFonts w:ascii="Times New Roman" w:hAnsi="Times New Roman"/>
                <w:b/>
                <w:sz w:val="14"/>
                <w:szCs w:val="18"/>
              </w:rPr>
            </w:pPr>
          </w:p>
        </w:tc>
        <w:tc>
          <w:tcPr>
            <w:tcW w:w="1123" w:type="dxa"/>
          </w:tcPr>
          <w:p w14:paraId="0837457C" w14:textId="77777777" w:rsidR="0017587A" w:rsidRDefault="003A348D">
            <w:pPr>
              <w:spacing w:after="0"/>
              <w:jc w:val="center"/>
              <w:rPr>
                <w:rFonts w:ascii="Times New Roman" w:hAnsi="Times New Roman"/>
                <w:b/>
                <w:sz w:val="14"/>
                <w:szCs w:val="18"/>
              </w:rPr>
            </w:pPr>
            <w:r>
              <w:rPr>
                <w:rFonts w:ascii="Times New Roman" w:hAnsi="Times New Roman"/>
                <w:b/>
                <w:sz w:val="14"/>
                <w:szCs w:val="18"/>
              </w:rPr>
              <w:t>2013</w:t>
            </w:r>
          </w:p>
        </w:tc>
        <w:tc>
          <w:tcPr>
            <w:tcW w:w="997" w:type="dxa"/>
          </w:tcPr>
          <w:p w14:paraId="4B715D0B" w14:textId="77777777" w:rsidR="0017587A" w:rsidRDefault="003A348D">
            <w:pPr>
              <w:spacing w:after="0"/>
              <w:jc w:val="center"/>
              <w:rPr>
                <w:rFonts w:ascii="Times New Roman" w:hAnsi="Times New Roman"/>
                <w:b/>
                <w:sz w:val="14"/>
                <w:szCs w:val="18"/>
              </w:rPr>
            </w:pPr>
            <w:r>
              <w:rPr>
                <w:rFonts w:ascii="Times New Roman" w:hAnsi="Times New Roman"/>
                <w:b/>
                <w:sz w:val="14"/>
                <w:szCs w:val="18"/>
              </w:rPr>
              <w:t>2014</w:t>
            </w:r>
          </w:p>
        </w:tc>
        <w:tc>
          <w:tcPr>
            <w:tcW w:w="997" w:type="dxa"/>
          </w:tcPr>
          <w:p w14:paraId="570B5546" w14:textId="77777777" w:rsidR="0017587A" w:rsidRDefault="003A348D">
            <w:pPr>
              <w:spacing w:after="0"/>
              <w:jc w:val="center"/>
              <w:rPr>
                <w:rFonts w:ascii="Times New Roman" w:hAnsi="Times New Roman"/>
                <w:b/>
                <w:sz w:val="14"/>
                <w:szCs w:val="18"/>
              </w:rPr>
            </w:pPr>
            <w:r>
              <w:rPr>
                <w:rFonts w:ascii="Times New Roman" w:hAnsi="Times New Roman"/>
                <w:b/>
                <w:sz w:val="14"/>
                <w:szCs w:val="18"/>
              </w:rPr>
              <w:t>2015</w:t>
            </w:r>
          </w:p>
        </w:tc>
        <w:tc>
          <w:tcPr>
            <w:tcW w:w="997" w:type="dxa"/>
          </w:tcPr>
          <w:p w14:paraId="68D335F2" w14:textId="77777777" w:rsidR="0017587A" w:rsidRDefault="003A348D">
            <w:pPr>
              <w:spacing w:after="0"/>
              <w:jc w:val="center"/>
              <w:rPr>
                <w:rFonts w:ascii="Times New Roman" w:hAnsi="Times New Roman"/>
                <w:b/>
                <w:sz w:val="14"/>
                <w:szCs w:val="18"/>
              </w:rPr>
            </w:pPr>
            <w:r>
              <w:rPr>
                <w:rFonts w:ascii="Times New Roman" w:hAnsi="Times New Roman"/>
                <w:b/>
                <w:sz w:val="14"/>
                <w:szCs w:val="18"/>
              </w:rPr>
              <w:t>2016</w:t>
            </w:r>
          </w:p>
        </w:tc>
        <w:tc>
          <w:tcPr>
            <w:tcW w:w="997" w:type="dxa"/>
          </w:tcPr>
          <w:p w14:paraId="09C964C0" w14:textId="77777777" w:rsidR="0017587A" w:rsidRDefault="003A348D">
            <w:pPr>
              <w:spacing w:after="0"/>
              <w:jc w:val="center"/>
              <w:rPr>
                <w:rFonts w:ascii="Times New Roman" w:hAnsi="Times New Roman"/>
                <w:b/>
                <w:sz w:val="14"/>
                <w:szCs w:val="18"/>
              </w:rPr>
            </w:pPr>
            <w:r>
              <w:rPr>
                <w:rFonts w:ascii="Times New Roman" w:hAnsi="Times New Roman"/>
                <w:b/>
                <w:sz w:val="14"/>
                <w:szCs w:val="18"/>
              </w:rPr>
              <w:t>2017</w:t>
            </w:r>
          </w:p>
        </w:tc>
        <w:tc>
          <w:tcPr>
            <w:tcW w:w="997" w:type="dxa"/>
          </w:tcPr>
          <w:p w14:paraId="0E2AD971" w14:textId="77777777" w:rsidR="0017587A" w:rsidRDefault="003A348D">
            <w:pPr>
              <w:spacing w:after="0"/>
              <w:ind w:right="317"/>
              <w:jc w:val="center"/>
              <w:rPr>
                <w:rFonts w:ascii="Times New Roman" w:hAnsi="Times New Roman"/>
                <w:b/>
                <w:sz w:val="14"/>
                <w:szCs w:val="18"/>
              </w:rPr>
            </w:pPr>
            <w:r>
              <w:rPr>
                <w:rFonts w:ascii="Times New Roman" w:hAnsi="Times New Roman"/>
                <w:b/>
                <w:sz w:val="14"/>
                <w:szCs w:val="18"/>
              </w:rPr>
              <w:t>2018</w:t>
            </w:r>
          </w:p>
        </w:tc>
        <w:tc>
          <w:tcPr>
            <w:tcW w:w="997" w:type="dxa"/>
          </w:tcPr>
          <w:p w14:paraId="1CE486AA" w14:textId="77777777" w:rsidR="0017587A" w:rsidRDefault="003A348D">
            <w:pPr>
              <w:spacing w:after="0"/>
              <w:jc w:val="center"/>
              <w:rPr>
                <w:rFonts w:ascii="Times New Roman" w:hAnsi="Times New Roman"/>
                <w:b/>
                <w:sz w:val="14"/>
                <w:szCs w:val="18"/>
              </w:rPr>
            </w:pPr>
            <w:r>
              <w:rPr>
                <w:rFonts w:ascii="Times New Roman" w:hAnsi="Times New Roman"/>
                <w:b/>
                <w:sz w:val="14"/>
                <w:szCs w:val="18"/>
              </w:rPr>
              <w:t>2019</w:t>
            </w:r>
          </w:p>
        </w:tc>
        <w:tc>
          <w:tcPr>
            <w:tcW w:w="1111" w:type="dxa"/>
          </w:tcPr>
          <w:p w14:paraId="060EED98" w14:textId="77777777" w:rsidR="0017587A" w:rsidRDefault="003A348D">
            <w:pPr>
              <w:spacing w:after="0"/>
              <w:jc w:val="center"/>
              <w:rPr>
                <w:rFonts w:ascii="Times New Roman" w:hAnsi="Times New Roman"/>
                <w:b/>
                <w:sz w:val="14"/>
                <w:szCs w:val="18"/>
              </w:rPr>
            </w:pPr>
            <w:r>
              <w:rPr>
                <w:rFonts w:ascii="Times New Roman" w:hAnsi="Times New Roman"/>
                <w:b/>
                <w:sz w:val="14"/>
                <w:szCs w:val="18"/>
              </w:rPr>
              <w:t>Summa</w:t>
            </w:r>
          </w:p>
        </w:tc>
      </w:tr>
      <w:tr w:rsidR="0017587A" w14:paraId="43F649E7" w14:textId="77777777" w:rsidTr="002802C4">
        <w:trPr>
          <w:gridAfter w:val="1"/>
          <w:wAfter w:w="11" w:type="dxa"/>
          <w:trHeight w:val="304"/>
          <w:jc w:val="center"/>
        </w:trPr>
        <w:tc>
          <w:tcPr>
            <w:tcW w:w="1086" w:type="dxa"/>
          </w:tcPr>
          <w:p w14:paraId="56815232" w14:textId="77777777" w:rsidR="0017587A" w:rsidRDefault="003A348D">
            <w:pPr>
              <w:spacing w:after="0"/>
              <w:jc w:val="center"/>
              <w:rPr>
                <w:rFonts w:ascii="Times New Roman" w:hAnsi="Times New Roman"/>
                <w:sz w:val="14"/>
                <w:szCs w:val="18"/>
              </w:rPr>
            </w:pPr>
            <w:r>
              <w:rPr>
                <w:rFonts w:ascii="Times New Roman" w:hAnsi="Times New Roman"/>
                <w:sz w:val="14"/>
                <w:szCs w:val="18"/>
              </w:rPr>
              <w:t>BG</w:t>
            </w:r>
          </w:p>
        </w:tc>
        <w:tc>
          <w:tcPr>
            <w:tcW w:w="1123" w:type="dxa"/>
          </w:tcPr>
          <w:p w14:paraId="3A3B2573" w14:textId="77777777" w:rsidR="0017587A" w:rsidRDefault="003A348D">
            <w:pPr>
              <w:spacing w:after="0"/>
              <w:jc w:val="center"/>
              <w:rPr>
                <w:rFonts w:ascii="Times New Roman" w:hAnsi="Times New Roman"/>
                <w:sz w:val="14"/>
                <w:szCs w:val="18"/>
              </w:rPr>
            </w:pPr>
            <w:r>
              <w:rPr>
                <w:rFonts w:ascii="Times New Roman" w:hAnsi="Times New Roman"/>
                <w:sz w:val="14"/>
                <w:szCs w:val="18"/>
              </w:rPr>
              <w:t>13 542 000</w:t>
            </w:r>
          </w:p>
        </w:tc>
        <w:tc>
          <w:tcPr>
            <w:tcW w:w="997" w:type="dxa"/>
          </w:tcPr>
          <w:p w14:paraId="0A188C17" w14:textId="77777777" w:rsidR="0017587A" w:rsidRDefault="003A348D">
            <w:pPr>
              <w:spacing w:after="0"/>
              <w:jc w:val="center"/>
              <w:rPr>
                <w:rFonts w:ascii="Times New Roman" w:hAnsi="Times New Roman"/>
                <w:sz w:val="14"/>
                <w:szCs w:val="18"/>
              </w:rPr>
            </w:pPr>
            <w:r>
              <w:rPr>
                <w:rFonts w:ascii="Times New Roman" w:hAnsi="Times New Roman"/>
                <w:sz w:val="14"/>
                <w:szCs w:val="18"/>
              </w:rPr>
              <w:t>11 607 428</w:t>
            </w:r>
          </w:p>
        </w:tc>
        <w:tc>
          <w:tcPr>
            <w:tcW w:w="997" w:type="dxa"/>
          </w:tcPr>
          <w:p w14:paraId="6AC303A1" w14:textId="77777777" w:rsidR="0017587A" w:rsidRDefault="003A348D">
            <w:pPr>
              <w:spacing w:after="0"/>
              <w:jc w:val="center"/>
              <w:rPr>
                <w:rFonts w:ascii="Times New Roman" w:hAnsi="Times New Roman"/>
                <w:sz w:val="14"/>
                <w:szCs w:val="18"/>
              </w:rPr>
            </w:pPr>
            <w:r>
              <w:rPr>
                <w:rFonts w:ascii="Times New Roman" w:hAnsi="Times New Roman"/>
                <w:sz w:val="14"/>
                <w:szCs w:val="18"/>
              </w:rPr>
              <w:t>9 672 857</w:t>
            </w:r>
          </w:p>
        </w:tc>
        <w:tc>
          <w:tcPr>
            <w:tcW w:w="997" w:type="dxa"/>
          </w:tcPr>
          <w:p w14:paraId="566F16F2" w14:textId="77777777" w:rsidR="0017587A" w:rsidRDefault="003A348D">
            <w:pPr>
              <w:spacing w:after="0"/>
              <w:jc w:val="center"/>
              <w:rPr>
                <w:rFonts w:ascii="Times New Roman" w:hAnsi="Times New Roman"/>
                <w:sz w:val="14"/>
                <w:szCs w:val="18"/>
              </w:rPr>
            </w:pPr>
            <w:r>
              <w:rPr>
                <w:rFonts w:ascii="Times New Roman" w:hAnsi="Times New Roman"/>
                <w:sz w:val="14"/>
                <w:szCs w:val="18"/>
              </w:rPr>
              <w:t>7 738 286</w:t>
            </w:r>
          </w:p>
        </w:tc>
        <w:tc>
          <w:tcPr>
            <w:tcW w:w="997" w:type="dxa"/>
          </w:tcPr>
          <w:p w14:paraId="7ED02B7C" w14:textId="77777777" w:rsidR="0017587A" w:rsidRDefault="003A348D">
            <w:pPr>
              <w:spacing w:after="0"/>
              <w:jc w:val="center"/>
              <w:rPr>
                <w:rFonts w:ascii="Times New Roman" w:hAnsi="Times New Roman"/>
                <w:sz w:val="14"/>
                <w:szCs w:val="18"/>
              </w:rPr>
            </w:pPr>
            <w:r>
              <w:rPr>
                <w:rFonts w:ascii="Times New Roman" w:hAnsi="Times New Roman"/>
                <w:sz w:val="14"/>
                <w:szCs w:val="18"/>
              </w:rPr>
              <w:t>5 803 714</w:t>
            </w:r>
          </w:p>
        </w:tc>
        <w:tc>
          <w:tcPr>
            <w:tcW w:w="997" w:type="dxa"/>
          </w:tcPr>
          <w:p w14:paraId="132131A1" w14:textId="77777777" w:rsidR="0017587A" w:rsidRDefault="003A348D">
            <w:pPr>
              <w:spacing w:after="0"/>
              <w:jc w:val="center"/>
              <w:rPr>
                <w:rFonts w:ascii="Times New Roman" w:hAnsi="Times New Roman"/>
                <w:sz w:val="14"/>
                <w:szCs w:val="18"/>
              </w:rPr>
            </w:pPr>
            <w:r>
              <w:rPr>
                <w:rFonts w:ascii="Times New Roman" w:hAnsi="Times New Roman"/>
                <w:sz w:val="14"/>
                <w:szCs w:val="18"/>
              </w:rPr>
              <w:t>3 869 143</w:t>
            </w:r>
          </w:p>
        </w:tc>
        <w:tc>
          <w:tcPr>
            <w:tcW w:w="997" w:type="dxa"/>
          </w:tcPr>
          <w:p w14:paraId="7B79B172" w14:textId="77777777" w:rsidR="0017587A" w:rsidRDefault="003A348D">
            <w:pPr>
              <w:spacing w:after="0"/>
              <w:jc w:val="center"/>
              <w:rPr>
                <w:rFonts w:ascii="Times New Roman" w:hAnsi="Times New Roman"/>
                <w:sz w:val="14"/>
                <w:szCs w:val="18"/>
              </w:rPr>
            </w:pPr>
            <w:r>
              <w:rPr>
                <w:rFonts w:ascii="Times New Roman" w:hAnsi="Times New Roman"/>
                <w:sz w:val="14"/>
                <w:szCs w:val="18"/>
              </w:rPr>
              <w:t>1 934 571</w:t>
            </w:r>
          </w:p>
        </w:tc>
        <w:tc>
          <w:tcPr>
            <w:tcW w:w="1111" w:type="dxa"/>
          </w:tcPr>
          <w:p w14:paraId="069958F4" w14:textId="77777777" w:rsidR="0017587A" w:rsidRDefault="003A348D">
            <w:pPr>
              <w:spacing w:after="0"/>
              <w:jc w:val="center"/>
              <w:rPr>
                <w:rFonts w:ascii="Times New Roman" w:hAnsi="Times New Roman"/>
                <w:sz w:val="14"/>
                <w:szCs w:val="18"/>
              </w:rPr>
            </w:pPr>
            <w:r>
              <w:rPr>
                <w:rFonts w:ascii="Times New Roman" w:hAnsi="Times New Roman"/>
                <w:sz w:val="14"/>
                <w:szCs w:val="18"/>
              </w:rPr>
              <w:t>54 167 999</w:t>
            </w:r>
          </w:p>
        </w:tc>
      </w:tr>
      <w:tr w:rsidR="0017587A" w14:paraId="486A666C" w14:textId="77777777" w:rsidTr="002802C4">
        <w:trPr>
          <w:gridAfter w:val="1"/>
          <w:wAfter w:w="11" w:type="dxa"/>
          <w:trHeight w:val="304"/>
          <w:jc w:val="center"/>
        </w:trPr>
        <w:tc>
          <w:tcPr>
            <w:tcW w:w="1086" w:type="dxa"/>
          </w:tcPr>
          <w:p w14:paraId="5A7E04C6" w14:textId="77777777" w:rsidR="0017587A" w:rsidRDefault="003A348D">
            <w:pPr>
              <w:spacing w:after="0"/>
              <w:jc w:val="center"/>
              <w:rPr>
                <w:rFonts w:ascii="Times New Roman" w:hAnsi="Times New Roman"/>
                <w:sz w:val="14"/>
                <w:szCs w:val="18"/>
              </w:rPr>
            </w:pPr>
            <w:r>
              <w:rPr>
                <w:rFonts w:ascii="Times New Roman" w:hAnsi="Times New Roman"/>
                <w:sz w:val="14"/>
                <w:szCs w:val="18"/>
              </w:rPr>
              <w:t>CY</w:t>
            </w:r>
          </w:p>
        </w:tc>
        <w:tc>
          <w:tcPr>
            <w:tcW w:w="1123" w:type="dxa"/>
          </w:tcPr>
          <w:p w14:paraId="2F8A0250" w14:textId="77777777" w:rsidR="0017587A" w:rsidRDefault="003A348D">
            <w:pPr>
              <w:spacing w:after="0"/>
              <w:jc w:val="center"/>
              <w:rPr>
                <w:rFonts w:ascii="Times New Roman" w:hAnsi="Times New Roman"/>
                <w:sz w:val="14"/>
                <w:szCs w:val="18"/>
              </w:rPr>
            </w:pPr>
            <w:r>
              <w:rPr>
                <w:rFonts w:ascii="Times New Roman" w:hAnsi="Times New Roman"/>
                <w:sz w:val="14"/>
                <w:szCs w:val="18"/>
              </w:rPr>
              <w:t>2 519 077</w:t>
            </w:r>
          </w:p>
        </w:tc>
        <w:tc>
          <w:tcPr>
            <w:tcW w:w="997" w:type="dxa"/>
          </w:tcPr>
          <w:p w14:paraId="5C877D7E" w14:textId="77777777" w:rsidR="0017587A" w:rsidRDefault="003A348D">
            <w:pPr>
              <w:spacing w:after="0"/>
              <w:jc w:val="center"/>
              <w:rPr>
                <w:rFonts w:ascii="Times New Roman" w:hAnsi="Times New Roman"/>
                <w:sz w:val="14"/>
                <w:szCs w:val="18"/>
              </w:rPr>
            </w:pPr>
            <w:r>
              <w:rPr>
                <w:rFonts w:ascii="Times New Roman" w:hAnsi="Times New Roman"/>
                <w:sz w:val="14"/>
                <w:szCs w:val="18"/>
              </w:rPr>
              <w:t>2 195 195</w:t>
            </w:r>
          </w:p>
        </w:tc>
        <w:tc>
          <w:tcPr>
            <w:tcW w:w="997" w:type="dxa"/>
          </w:tcPr>
          <w:p w14:paraId="54E64116" w14:textId="77777777" w:rsidR="0017587A" w:rsidRDefault="003A348D">
            <w:pPr>
              <w:spacing w:after="0"/>
              <w:jc w:val="center"/>
              <w:rPr>
                <w:rFonts w:ascii="Times New Roman" w:hAnsi="Times New Roman"/>
                <w:sz w:val="14"/>
                <w:szCs w:val="18"/>
              </w:rPr>
            </w:pPr>
            <w:r>
              <w:rPr>
                <w:rFonts w:ascii="Times New Roman" w:hAnsi="Times New Roman"/>
                <w:sz w:val="14"/>
                <w:szCs w:val="18"/>
              </w:rPr>
              <w:t>1 907 302</w:t>
            </w:r>
          </w:p>
        </w:tc>
        <w:tc>
          <w:tcPr>
            <w:tcW w:w="997" w:type="dxa"/>
          </w:tcPr>
          <w:p w14:paraId="205BBB91" w14:textId="77777777" w:rsidR="0017587A" w:rsidRDefault="003A348D">
            <w:pPr>
              <w:spacing w:after="0"/>
              <w:jc w:val="center"/>
              <w:rPr>
                <w:rFonts w:ascii="Times New Roman" w:hAnsi="Times New Roman"/>
                <w:sz w:val="14"/>
                <w:szCs w:val="18"/>
              </w:rPr>
            </w:pPr>
            <w:r>
              <w:rPr>
                <w:rFonts w:ascii="Times New Roman" w:hAnsi="Times New Roman"/>
                <w:sz w:val="14"/>
                <w:szCs w:val="18"/>
              </w:rPr>
              <w:t>1 583 420</w:t>
            </w:r>
          </w:p>
        </w:tc>
        <w:tc>
          <w:tcPr>
            <w:tcW w:w="997" w:type="dxa"/>
          </w:tcPr>
          <w:p w14:paraId="7A376398" w14:textId="77777777" w:rsidR="0017587A" w:rsidRDefault="003A348D">
            <w:pPr>
              <w:spacing w:after="0"/>
              <w:jc w:val="center"/>
              <w:rPr>
                <w:rFonts w:ascii="Times New Roman" w:hAnsi="Times New Roman"/>
                <w:sz w:val="14"/>
                <w:szCs w:val="18"/>
              </w:rPr>
            </w:pPr>
            <w:r>
              <w:rPr>
                <w:rFonts w:ascii="Times New Roman" w:hAnsi="Times New Roman"/>
                <w:sz w:val="14"/>
                <w:szCs w:val="18"/>
              </w:rPr>
              <w:t>1 259 538</w:t>
            </w:r>
          </w:p>
        </w:tc>
        <w:tc>
          <w:tcPr>
            <w:tcW w:w="997" w:type="dxa"/>
          </w:tcPr>
          <w:p w14:paraId="39F4A7B8" w14:textId="77777777" w:rsidR="0017587A" w:rsidRDefault="003A348D">
            <w:pPr>
              <w:spacing w:after="0"/>
              <w:jc w:val="center"/>
              <w:rPr>
                <w:rFonts w:ascii="Times New Roman" w:hAnsi="Times New Roman"/>
                <w:sz w:val="14"/>
                <w:szCs w:val="18"/>
              </w:rPr>
            </w:pPr>
            <w:r>
              <w:rPr>
                <w:rFonts w:ascii="Times New Roman" w:hAnsi="Times New Roman"/>
                <w:sz w:val="14"/>
                <w:szCs w:val="18"/>
              </w:rPr>
              <w:t>935 657</w:t>
            </w:r>
          </w:p>
        </w:tc>
        <w:tc>
          <w:tcPr>
            <w:tcW w:w="997" w:type="dxa"/>
          </w:tcPr>
          <w:p w14:paraId="79D30E17" w14:textId="77777777" w:rsidR="0017587A" w:rsidRDefault="003A348D">
            <w:pPr>
              <w:spacing w:after="0"/>
              <w:jc w:val="center"/>
              <w:rPr>
                <w:rFonts w:ascii="Times New Roman" w:hAnsi="Times New Roman"/>
                <w:sz w:val="14"/>
                <w:szCs w:val="18"/>
              </w:rPr>
            </w:pPr>
            <w:r>
              <w:rPr>
                <w:rFonts w:ascii="Times New Roman" w:hAnsi="Times New Roman"/>
                <w:sz w:val="14"/>
                <w:szCs w:val="18"/>
              </w:rPr>
              <w:t>575 789</w:t>
            </w:r>
          </w:p>
        </w:tc>
        <w:tc>
          <w:tcPr>
            <w:tcW w:w="1111" w:type="dxa"/>
          </w:tcPr>
          <w:p w14:paraId="30D076CD" w14:textId="77777777" w:rsidR="0017587A" w:rsidRDefault="003A348D">
            <w:pPr>
              <w:spacing w:after="0"/>
              <w:jc w:val="center"/>
              <w:rPr>
                <w:rFonts w:ascii="Times New Roman" w:hAnsi="Times New Roman"/>
                <w:sz w:val="14"/>
                <w:szCs w:val="18"/>
              </w:rPr>
            </w:pPr>
            <w:r>
              <w:rPr>
                <w:rFonts w:ascii="Times New Roman" w:hAnsi="Times New Roman"/>
                <w:sz w:val="14"/>
                <w:szCs w:val="18"/>
              </w:rPr>
              <w:t>10 975 978</w:t>
            </w:r>
          </w:p>
        </w:tc>
      </w:tr>
      <w:tr w:rsidR="0017587A" w14:paraId="41ED66FD" w14:textId="77777777" w:rsidTr="002802C4">
        <w:trPr>
          <w:gridAfter w:val="1"/>
          <w:wAfter w:w="11" w:type="dxa"/>
          <w:trHeight w:val="304"/>
          <w:jc w:val="center"/>
        </w:trPr>
        <w:tc>
          <w:tcPr>
            <w:tcW w:w="1086" w:type="dxa"/>
          </w:tcPr>
          <w:p w14:paraId="34E80FCE" w14:textId="77777777" w:rsidR="0017587A" w:rsidRDefault="003A348D">
            <w:pPr>
              <w:spacing w:after="0"/>
              <w:jc w:val="center"/>
              <w:rPr>
                <w:rFonts w:ascii="Times New Roman" w:hAnsi="Times New Roman"/>
                <w:sz w:val="14"/>
                <w:szCs w:val="18"/>
              </w:rPr>
            </w:pPr>
            <w:r>
              <w:rPr>
                <w:rFonts w:ascii="Times New Roman" w:hAnsi="Times New Roman"/>
                <w:sz w:val="14"/>
                <w:szCs w:val="18"/>
              </w:rPr>
              <w:t>CZ</w:t>
            </w:r>
          </w:p>
        </w:tc>
        <w:tc>
          <w:tcPr>
            <w:tcW w:w="1123" w:type="dxa"/>
          </w:tcPr>
          <w:p w14:paraId="45B3321E" w14:textId="77777777" w:rsidR="0017587A" w:rsidRDefault="003A348D">
            <w:pPr>
              <w:spacing w:after="0"/>
              <w:jc w:val="center"/>
              <w:rPr>
                <w:rFonts w:ascii="Times New Roman" w:hAnsi="Times New Roman"/>
                <w:sz w:val="14"/>
                <w:szCs w:val="18"/>
              </w:rPr>
            </w:pPr>
            <w:r>
              <w:rPr>
                <w:rFonts w:ascii="Times New Roman" w:hAnsi="Times New Roman"/>
                <w:sz w:val="14"/>
                <w:szCs w:val="18"/>
              </w:rPr>
              <w:t>26 916 667</w:t>
            </w:r>
          </w:p>
        </w:tc>
        <w:tc>
          <w:tcPr>
            <w:tcW w:w="997" w:type="dxa"/>
          </w:tcPr>
          <w:p w14:paraId="06969267" w14:textId="77777777" w:rsidR="0017587A" w:rsidRDefault="003A348D">
            <w:pPr>
              <w:spacing w:after="0"/>
              <w:jc w:val="center"/>
              <w:rPr>
                <w:rFonts w:ascii="Times New Roman" w:hAnsi="Times New Roman"/>
                <w:sz w:val="14"/>
                <w:szCs w:val="18"/>
              </w:rPr>
            </w:pPr>
            <w:r>
              <w:rPr>
                <w:rFonts w:ascii="Times New Roman" w:hAnsi="Times New Roman"/>
                <w:sz w:val="14"/>
                <w:szCs w:val="18"/>
              </w:rPr>
              <w:t>23 071 429</w:t>
            </w:r>
          </w:p>
        </w:tc>
        <w:tc>
          <w:tcPr>
            <w:tcW w:w="997" w:type="dxa"/>
          </w:tcPr>
          <w:p w14:paraId="597B234D" w14:textId="77777777" w:rsidR="0017587A" w:rsidRDefault="003A348D">
            <w:pPr>
              <w:spacing w:after="0"/>
              <w:jc w:val="center"/>
              <w:rPr>
                <w:rFonts w:ascii="Times New Roman" w:hAnsi="Times New Roman"/>
                <w:sz w:val="14"/>
                <w:szCs w:val="18"/>
              </w:rPr>
            </w:pPr>
            <w:r>
              <w:rPr>
                <w:rFonts w:ascii="Times New Roman" w:hAnsi="Times New Roman"/>
                <w:sz w:val="14"/>
                <w:szCs w:val="18"/>
              </w:rPr>
              <w:t>19 226 191</w:t>
            </w:r>
          </w:p>
        </w:tc>
        <w:tc>
          <w:tcPr>
            <w:tcW w:w="997" w:type="dxa"/>
          </w:tcPr>
          <w:p w14:paraId="64062F6A" w14:textId="77777777" w:rsidR="0017587A" w:rsidRDefault="003A348D">
            <w:pPr>
              <w:spacing w:after="0"/>
              <w:jc w:val="center"/>
              <w:rPr>
                <w:rFonts w:ascii="Times New Roman" w:hAnsi="Times New Roman"/>
                <w:sz w:val="14"/>
                <w:szCs w:val="18"/>
              </w:rPr>
            </w:pPr>
            <w:r>
              <w:rPr>
                <w:rFonts w:ascii="Times New Roman" w:hAnsi="Times New Roman"/>
                <w:sz w:val="14"/>
                <w:szCs w:val="18"/>
              </w:rPr>
              <w:t>15 380 953</w:t>
            </w:r>
          </w:p>
        </w:tc>
        <w:tc>
          <w:tcPr>
            <w:tcW w:w="997" w:type="dxa"/>
          </w:tcPr>
          <w:p w14:paraId="5C55EBAB" w14:textId="77777777" w:rsidR="0017587A" w:rsidRDefault="003A348D">
            <w:pPr>
              <w:spacing w:after="0"/>
              <w:jc w:val="center"/>
              <w:rPr>
                <w:rFonts w:ascii="Times New Roman" w:hAnsi="Times New Roman"/>
                <w:sz w:val="14"/>
                <w:szCs w:val="18"/>
              </w:rPr>
            </w:pPr>
            <w:r>
              <w:rPr>
                <w:rFonts w:ascii="Times New Roman" w:hAnsi="Times New Roman"/>
                <w:sz w:val="14"/>
                <w:szCs w:val="18"/>
              </w:rPr>
              <w:t>11 535 714</w:t>
            </w:r>
          </w:p>
        </w:tc>
        <w:tc>
          <w:tcPr>
            <w:tcW w:w="997" w:type="dxa"/>
          </w:tcPr>
          <w:p w14:paraId="673EEA1E" w14:textId="77777777" w:rsidR="0017587A" w:rsidRDefault="003A348D">
            <w:pPr>
              <w:spacing w:after="0"/>
              <w:jc w:val="center"/>
              <w:rPr>
                <w:rFonts w:ascii="Times New Roman" w:hAnsi="Times New Roman"/>
                <w:sz w:val="14"/>
                <w:szCs w:val="18"/>
              </w:rPr>
            </w:pPr>
            <w:r>
              <w:rPr>
                <w:rFonts w:ascii="Times New Roman" w:hAnsi="Times New Roman"/>
                <w:sz w:val="14"/>
                <w:szCs w:val="18"/>
              </w:rPr>
              <w:t>7 690 476</w:t>
            </w:r>
          </w:p>
        </w:tc>
        <w:tc>
          <w:tcPr>
            <w:tcW w:w="997" w:type="dxa"/>
          </w:tcPr>
          <w:p w14:paraId="73A8696C" w14:textId="77777777" w:rsidR="0017587A" w:rsidRDefault="003A348D">
            <w:pPr>
              <w:spacing w:after="0"/>
              <w:jc w:val="center"/>
              <w:rPr>
                <w:rFonts w:ascii="Times New Roman" w:hAnsi="Times New Roman"/>
                <w:sz w:val="14"/>
                <w:szCs w:val="18"/>
              </w:rPr>
            </w:pPr>
            <w:r>
              <w:rPr>
                <w:rFonts w:ascii="Times New Roman" w:hAnsi="Times New Roman"/>
                <w:sz w:val="14"/>
                <w:szCs w:val="18"/>
              </w:rPr>
              <w:t>3 845 238</w:t>
            </w:r>
          </w:p>
        </w:tc>
        <w:tc>
          <w:tcPr>
            <w:tcW w:w="1111" w:type="dxa"/>
          </w:tcPr>
          <w:p w14:paraId="1EE13CFD" w14:textId="77777777" w:rsidR="0017587A" w:rsidRDefault="003A348D">
            <w:pPr>
              <w:spacing w:after="0"/>
              <w:jc w:val="center"/>
              <w:rPr>
                <w:rFonts w:ascii="Times New Roman" w:hAnsi="Times New Roman"/>
                <w:sz w:val="14"/>
                <w:szCs w:val="18"/>
              </w:rPr>
            </w:pPr>
            <w:r>
              <w:rPr>
                <w:rFonts w:ascii="Times New Roman" w:hAnsi="Times New Roman"/>
                <w:sz w:val="14"/>
                <w:szCs w:val="18"/>
              </w:rPr>
              <w:t>107 666 668</w:t>
            </w:r>
          </w:p>
        </w:tc>
      </w:tr>
      <w:tr w:rsidR="0017587A" w14:paraId="36B5AD73" w14:textId="77777777" w:rsidTr="002802C4">
        <w:trPr>
          <w:gridAfter w:val="1"/>
          <w:wAfter w:w="11" w:type="dxa"/>
          <w:trHeight w:val="304"/>
          <w:jc w:val="center"/>
        </w:trPr>
        <w:tc>
          <w:tcPr>
            <w:tcW w:w="1086" w:type="dxa"/>
          </w:tcPr>
          <w:p w14:paraId="4B94D0C6" w14:textId="77777777" w:rsidR="0017587A" w:rsidRDefault="003A348D">
            <w:pPr>
              <w:spacing w:after="0"/>
              <w:jc w:val="center"/>
              <w:rPr>
                <w:rFonts w:ascii="Times New Roman" w:hAnsi="Times New Roman"/>
                <w:sz w:val="14"/>
                <w:szCs w:val="18"/>
              </w:rPr>
            </w:pPr>
            <w:r>
              <w:rPr>
                <w:rFonts w:ascii="Times New Roman" w:hAnsi="Times New Roman"/>
                <w:sz w:val="14"/>
                <w:szCs w:val="18"/>
              </w:rPr>
              <w:t>EE</w:t>
            </w:r>
          </w:p>
        </w:tc>
        <w:tc>
          <w:tcPr>
            <w:tcW w:w="1123" w:type="dxa"/>
          </w:tcPr>
          <w:p w14:paraId="271A261B" w14:textId="77777777" w:rsidR="0017587A" w:rsidRDefault="003A348D">
            <w:pPr>
              <w:spacing w:after="0"/>
              <w:jc w:val="center"/>
              <w:rPr>
                <w:rFonts w:ascii="Times New Roman" w:hAnsi="Times New Roman"/>
                <w:sz w:val="14"/>
                <w:szCs w:val="18"/>
              </w:rPr>
            </w:pPr>
            <w:r>
              <w:rPr>
                <w:rFonts w:ascii="Times New Roman" w:hAnsi="Times New Roman"/>
                <w:sz w:val="14"/>
                <w:szCs w:val="18"/>
              </w:rPr>
              <w:t>5 288 827</w:t>
            </w:r>
          </w:p>
        </w:tc>
        <w:tc>
          <w:tcPr>
            <w:tcW w:w="997" w:type="dxa"/>
          </w:tcPr>
          <w:p w14:paraId="31349C0C" w14:textId="77777777" w:rsidR="0017587A" w:rsidRDefault="003A348D">
            <w:pPr>
              <w:spacing w:after="0"/>
              <w:jc w:val="center"/>
              <w:rPr>
                <w:rFonts w:ascii="Times New Roman" w:hAnsi="Times New Roman"/>
                <w:sz w:val="14"/>
                <w:szCs w:val="18"/>
              </w:rPr>
            </w:pPr>
            <w:r>
              <w:rPr>
                <w:rFonts w:ascii="Times New Roman" w:hAnsi="Times New Roman"/>
                <w:sz w:val="14"/>
                <w:szCs w:val="18"/>
              </w:rPr>
              <w:t>4 533 280</w:t>
            </w:r>
          </w:p>
        </w:tc>
        <w:tc>
          <w:tcPr>
            <w:tcW w:w="997" w:type="dxa"/>
          </w:tcPr>
          <w:p w14:paraId="4A5341B7" w14:textId="77777777" w:rsidR="0017587A" w:rsidRDefault="003A348D">
            <w:pPr>
              <w:spacing w:after="0"/>
              <w:jc w:val="center"/>
              <w:rPr>
                <w:rFonts w:ascii="Times New Roman" w:hAnsi="Times New Roman"/>
                <w:sz w:val="14"/>
                <w:szCs w:val="18"/>
              </w:rPr>
            </w:pPr>
            <w:r>
              <w:rPr>
                <w:rFonts w:ascii="Times New Roman" w:hAnsi="Times New Roman"/>
                <w:sz w:val="14"/>
                <w:szCs w:val="18"/>
              </w:rPr>
              <w:t>3 777 733</w:t>
            </w:r>
          </w:p>
        </w:tc>
        <w:tc>
          <w:tcPr>
            <w:tcW w:w="997" w:type="dxa"/>
          </w:tcPr>
          <w:p w14:paraId="770CDCA6" w14:textId="77777777" w:rsidR="0017587A" w:rsidRDefault="003A348D">
            <w:pPr>
              <w:spacing w:after="0"/>
              <w:jc w:val="center"/>
              <w:rPr>
                <w:rFonts w:ascii="Times New Roman" w:hAnsi="Times New Roman"/>
                <w:sz w:val="14"/>
                <w:szCs w:val="18"/>
              </w:rPr>
            </w:pPr>
            <w:r>
              <w:rPr>
                <w:rFonts w:ascii="Times New Roman" w:hAnsi="Times New Roman"/>
                <w:sz w:val="14"/>
                <w:szCs w:val="18"/>
              </w:rPr>
              <w:t>3 022 187</w:t>
            </w:r>
          </w:p>
        </w:tc>
        <w:tc>
          <w:tcPr>
            <w:tcW w:w="997" w:type="dxa"/>
          </w:tcPr>
          <w:p w14:paraId="4379BDF9" w14:textId="77777777" w:rsidR="0017587A" w:rsidRDefault="003A348D">
            <w:pPr>
              <w:spacing w:after="0"/>
              <w:jc w:val="center"/>
              <w:rPr>
                <w:rFonts w:ascii="Times New Roman" w:hAnsi="Times New Roman"/>
                <w:sz w:val="14"/>
                <w:szCs w:val="18"/>
              </w:rPr>
            </w:pPr>
            <w:r>
              <w:rPr>
                <w:rFonts w:ascii="Times New Roman" w:hAnsi="Times New Roman"/>
                <w:sz w:val="14"/>
                <w:szCs w:val="18"/>
              </w:rPr>
              <w:t>2 266 640</w:t>
            </w:r>
          </w:p>
        </w:tc>
        <w:tc>
          <w:tcPr>
            <w:tcW w:w="997" w:type="dxa"/>
          </w:tcPr>
          <w:p w14:paraId="3079C210" w14:textId="77777777" w:rsidR="0017587A" w:rsidRDefault="003A348D">
            <w:pPr>
              <w:spacing w:after="0"/>
              <w:jc w:val="center"/>
              <w:rPr>
                <w:rFonts w:ascii="Times New Roman" w:hAnsi="Times New Roman"/>
                <w:sz w:val="14"/>
                <w:szCs w:val="18"/>
              </w:rPr>
            </w:pPr>
            <w:r>
              <w:rPr>
                <w:rFonts w:ascii="Times New Roman" w:hAnsi="Times New Roman"/>
                <w:sz w:val="14"/>
                <w:szCs w:val="18"/>
              </w:rPr>
              <w:t>1 511 093</w:t>
            </w:r>
          </w:p>
        </w:tc>
        <w:tc>
          <w:tcPr>
            <w:tcW w:w="997" w:type="dxa"/>
          </w:tcPr>
          <w:p w14:paraId="4A16BA07" w14:textId="77777777" w:rsidR="0017587A" w:rsidRDefault="003A348D">
            <w:pPr>
              <w:spacing w:after="0"/>
              <w:jc w:val="center"/>
              <w:rPr>
                <w:rFonts w:ascii="Times New Roman" w:hAnsi="Times New Roman"/>
                <w:sz w:val="14"/>
                <w:szCs w:val="18"/>
              </w:rPr>
            </w:pPr>
            <w:r>
              <w:rPr>
                <w:rFonts w:ascii="Times New Roman" w:hAnsi="Times New Roman"/>
                <w:sz w:val="14"/>
                <w:szCs w:val="18"/>
              </w:rPr>
              <w:t>755 547</w:t>
            </w:r>
          </w:p>
        </w:tc>
        <w:tc>
          <w:tcPr>
            <w:tcW w:w="1111" w:type="dxa"/>
          </w:tcPr>
          <w:p w14:paraId="64EB6CB1" w14:textId="77777777" w:rsidR="0017587A" w:rsidRDefault="003A348D">
            <w:pPr>
              <w:spacing w:after="0"/>
              <w:jc w:val="center"/>
              <w:rPr>
                <w:rFonts w:ascii="Times New Roman" w:hAnsi="Times New Roman"/>
                <w:sz w:val="14"/>
                <w:szCs w:val="18"/>
              </w:rPr>
            </w:pPr>
            <w:r>
              <w:rPr>
                <w:rFonts w:ascii="Times New Roman" w:hAnsi="Times New Roman"/>
                <w:sz w:val="14"/>
                <w:szCs w:val="18"/>
              </w:rPr>
              <w:t>21 155 307</w:t>
            </w:r>
          </w:p>
        </w:tc>
      </w:tr>
      <w:tr w:rsidR="0017587A" w14:paraId="6F551BC8" w14:textId="77777777" w:rsidTr="002802C4">
        <w:trPr>
          <w:gridAfter w:val="1"/>
          <w:wAfter w:w="11" w:type="dxa"/>
          <w:trHeight w:val="304"/>
          <w:jc w:val="center"/>
        </w:trPr>
        <w:tc>
          <w:tcPr>
            <w:tcW w:w="1086" w:type="dxa"/>
          </w:tcPr>
          <w:p w14:paraId="72CBE4DF" w14:textId="77777777" w:rsidR="0017587A" w:rsidRDefault="003A348D">
            <w:pPr>
              <w:spacing w:after="0"/>
              <w:jc w:val="center"/>
              <w:rPr>
                <w:rFonts w:ascii="Times New Roman" w:hAnsi="Times New Roman"/>
                <w:sz w:val="14"/>
                <w:szCs w:val="18"/>
              </w:rPr>
            </w:pPr>
            <w:r>
              <w:rPr>
                <w:rFonts w:ascii="Times New Roman" w:hAnsi="Times New Roman"/>
                <w:sz w:val="14"/>
                <w:szCs w:val="18"/>
              </w:rPr>
              <w:t>HU</w:t>
            </w:r>
          </w:p>
        </w:tc>
        <w:tc>
          <w:tcPr>
            <w:tcW w:w="1123" w:type="dxa"/>
          </w:tcPr>
          <w:p w14:paraId="131845E3" w14:textId="77777777" w:rsidR="0017587A" w:rsidRDefault="003A348D">
            <w:pPr>
              <w:spacing w:after="0"/>
              <w:jc w:val="center"/>
              <w:rPr>
                <w:rFonts w:ascii="Times New Roman" w:hAnsi="Times New Roman"/>
                <w:sz w:val="14"/>
                <w:szCs w:val="18"/>
              </w:rPr>
            </w:pPr>
            <w:r>
              <w:rPr>
                <w:rFonts w:ascii="Times New Roman" w:hAnsi="Times New Roman"/>
                <w:sz w:val="14"/>
                <w:szCs w:val="18"/>
              </w:rPr>
              <w:t>7 047 255</w:t>
            </w:r>
          </w:p>
        </w:tc>
        <w:tc>
          <w:tcPr>
            <w:tcW w:w="997" w:type="dxa"/>
          </w:tcPr>
          <w:p w14:paraId="253DC725" w14:textId="77777777" w:rsidR="0017587A" w:rsidRDefault="003A348D">
            <w:pPr>
              <w:spacing w:after="0"/>
              <w:jc w:val="center"/>
              <w:rPr>
                <w:rFonts w:ascii="Times New Roman" w:hAnsi="Times New Roman"/>
                <w:sz w:val="14"/>
                <w:szCs w:val="18"/>
              </w:rPr>
            </w:pPr>
            <w:r>
              <w:rPr>
                <w:rFonts w:ascii="Times New Roman" w:hAnsi="Times New Roman"/>
                <w:sz w:val="14"/>
                <w:szCs w:val="18"/>
              </w:rPr>
              <w:t>0</w:t>
            </w:r>
          </w:p>
        </w:tc>
        <w:tc>
          <w:tcPr>
            <w:tcW w:w="997" w:type="dxa"/>
          </w:tcPr>
          <w:p w14:paraId="4E0D9A53" w14:textId="77777777" w:rsidR="0017587A" w:rsidRDefault="003A348D">
            <w:pPr>
              <w:spacing w:after="0"/>
              <w:jc w:val="center"/>
              <w:rPr>
                <w:rFonts w:ascii="Times New Roman" w:hAnsi="Times New Roman"/>
                <w:sz w:val="14"/>
                <w:szCs w:val="18"/>
              </w:rPr>
            </w:pPr>
            <w:r>
              <w:rPr>
                <w:rFonts w:ascii="Times New Roman" w:hAnsi="Times New Roman"/>
                <w:sz w:val="14"/>
                <w:szCs w:val="18"/>
              </w:rPr>
              <w:t>0</w:t>
            </w:r>
          </w:p>
        </w:tc>
        <w:tc>
          <w:tcPr>
            <w:tcW w:w="997" w:type="dxa"/>
          </w:tcPr>
          <w:p w14:paraId="7AE651B8" w14:textId="77777777" w:rsidR="0017587A" w:rsidRDefault="003A348D">
            <w:pPr>
              <w:spacing w:after="0"/>
              <w:jc w:val="center"/>
              <w:rPr>
                <w:rFonts w:ascii="Times New Roman" w:hAnsi="Times New Roman"/>
                <w:sz w:val="14"/>
                <w:szCs w:val="18"/>
              </w:rPr>
            </w:pPr>
            <w:r>
              <w:rPr>
                <w:rFonts w:ascii="Times New Roman" w:hAnsi="Times New Roman"/>
                <w:sz w:val="14"/>
                <w:szCs w:val="18"/>
              </w:rPr>
              <w:t>0</w:t>
            </w:r>
          </w:p>
        </w:tc>
        <w:tc>
          <w:tcPr>
            <w:tcW w:w="997" w:type="dxa"/>
          </w:tcPr>
          <w:p w14:paraId="70D9EB70" w14:textId="77777777" w:rsidR="0017587A" w:rsidRDefault="003A348D">
            <w:pPr>
              <w:spacing w:after="0"/>
              <w:jc w:val="center"/>
              <w:rPr>
                <w:rFonts w:ascii="Times New Roman" w:hAnsi="Times New Roman"/>
                <w:sz w:val="14"/>
                <w:szCs w:val="18"/>
              </w:rPr>
            </w:pPr>
            <w:r>
              <w:rPr>
                <w:rFonts w:ascii="Times New Roman" w:hAnsi="Times New Roman"/>
                <w:sz w:val="14"/>
                <w:szCs w:val="18"/>
              </w:rPr>
              <w:t>0</w:t>
            </w:r>
          </w:p>
        </w:tc>
        <w:tc>
          <w:tcPr>
            <w:tcW w:w="997" w:type="dxa"/>
          </w:tcPr>
          <w:p w14:paraId="732A2198" w14:textId="77777777" w:rsidR="0017587A" w:rsidRDefault="003A348D">
            <w:pPr>
              <w:spacing w:after="0"/>
              <w:jc w:val="center"/>
              <w:rPr>
                <w:rFonts w:ascii="Times New Roman" w:hAnsi="Times New Roman"/>
                <w:sz w:val="14"/>
                <w:szCs w:val="18"/>
              </w:rPr>
            </w:pPr>
            <w:r>
              <w:rPr>
                <w:rFonts w:ascii="Times New Roman" w:hAnsi="Times New Roman"/>
                <w:sz w:val="14"/>
                <w:szCs w:val="18"/>
              </w:rPr>
              <w:t>0</w:t>
            </w:r>
          </w:p>
        </w:tc>
        <w:tc>
          <w:tcPr>
            <w:tcW w:w="997" w:type="dxa"/>
          </w:tcPr>
          <w:p w14:paraId="3257B270" w14:textId="77777777" w:rsidR="0017587A" w:rsidRDefault="003A348D">
            <w:pPr>
              <w:spacing w:after="0"/>
              <w:jc w:val="center"/>
              <w:rPr>
                <w:rFonts w:ascii="Times New Roman" w:hAnsi="Times New Roman"/>
                <w:sz w:val="14"/>
                <w:szCs w:val="18"/>
              </w:rPr>
            </w:pPr>
            <w:r>
              <w:rPr>
                <w:rFonts w:ascii="Times New Roman" w:hAnsi="Times New Roman"/>
                <w:sz w:val="14"/>
                <w:szCs w:val="18"/>
              </w:rPr>
              <w:t>0</w:t>
            </w:r>
          </w:p>
        </w:tc>
        <w:tc>
          <w:tcPr>
            <w:tcW w:w="1111" w:type="dxa"/>
          </w:tcPr>
          <w:p w14:paraId="69655404" w14:textId="77777777" w:rsidR="0017587A" w:rsidRDefault="003A348D">
            <w:pPr>
              <w:spacing w:after="0"/>
              <w:jc w:val="center"/>
              <w:rPr>
                <w:rFonts w:ascii="Times New Roman" w:hAnsi="Times New Roman"/>
                <w:sz w:val="14"/>
                <w:szCs w:val="18"/>
              </w:rPr>
            </w:pPr>
            <w:r>
              <w:rPr>
                <w:rFonts w:ascii="Times New Roman" w:hAnsi="Times New Roman"/>
                <w:sz w:val="14"/>
                <w:szCs w:val="18"/>
              </w:rPr>
              <w:t>7 047 255</w:t>
            </w:r>
          </w:p>
        </w:tc>
      </w:tr>
      <w:tr w:rsidR="0017587A" w14:paraId="2E3622AE" w14:textId="77777777" w:rsidTr="002802C4">
        <w:trPr>
          <w:gridAfter w:val="1"/>
          <w:wAfter w:w="11" w:type="dxa"/>
          <w:trHeight w:val="304"/>
          <w:jc w:val="center"/>
        </w:trPr>
        <w:tc>
          <w:tcPr>
            <w:tcW w:w="1086" w:type="dxa"/>
          </w:tcPr>
          <w:p w14:paraId="2F17AAF0" w14:textId="77777777" w:rsidR="0017587A" w:rsidRDefault="003A348D">
            <w:pPr>
              <w:spacing w:after="0"/>
              <w:jc w:val="center"/>
              <w:rPr>
                <w:rFonts w:ascii="Times New Roman" w:hAnsi="Times New Roman"/>
                <w:sz w:val="14"/>
                <w:szCs w:val="18"/>
              </w:rPr>
            </w:pPr>
            <w:r>
              <w:rPr>
                <w:rFonts w:ascii="Times New Roman" w:hAnsi="Times New Roman"/>
                <w:sz w:val="14"/>
                <w:szCs w:val="18"/>
              </w:rPr>
              <w:t>LT</w:t>
            </w:r>
          </w:p>
        </w:tc>
        <w:tc>
          <w:tcPr>
            <w:tcW w:w="1123" w:type="dxa"/>
          </w:tcPr>
          <w:p w14:paraId="3A058697"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582 373</w:t>
            </w:r>
          </w:p>
        </w:tc>
        <w:tc>
          <w:tcPr>
            <w:tcW w:w="997" w:type="dxa"/>
          </w:tcPr>
          <w:p w14:paraId="01091AB0"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536 615</w:t>
            </w:r>
          </w:p>
        </w:tc>
        <w:tc>
          <w:tcPr>
            <w:tcW w:w="997" w:type="dxa"/>
          </w:tcPr>
          <w:p w14:paraId="55517E85"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486 698</w:t>
            </w:r>
          </w:p>
        </w:tc>
        <w:tc>
          <w:tcPr>
            <w:tcW w:w="997" w:type="dxa"/>
          </w:tcPr>
          <w:p w14:paraId="326F9114"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428 460</w:t>
            </w:r>
          </w:p>
        </w:tc>
        <w:tc>
          <w:tcPr>
            <w:tcW w:w="997" w:type="dxa"/>
          </w:tcPr>
          <w:p w14:paraId="7D1D8C9F"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361 903</w:t>
            </w:r>
          </w:p>
        </w:tc>
        <w:tc>
          <w:tcPr>
            <w:tcW w:w="997" w:type="dxa"/>
          </w:tcPr>
          <w:p w14:paraId="71A8A03A"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287 027</w:t>
            </w:r>
          </w:p>
        </w:tc>
        <w:tc>
          <w:tcPr>
            <w:tcW w:w="997" w:type="dxa"/>
          </w:tcPr>
          <w:p w14:paraId="6D17C3A2"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170 552</w:t>
            </w:r>
          </w:p>
        </w:tc>
        <w:tc>
          <w:tcPr>
            <w:tcW w:w="1111" w:type="dxa"/>
          </w:tcPr>
          <w:p w14:paraId="43B913B7"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2 853 628</w:t>
            </w:r>
          </w:p>
        </w:tc>
      </w:tr>
      <w:tr w:rsidR="0017587A" w14:paraId="689262B3" w14:textId="77777777" w:rsidTr="002802C4">
        <w:trPr>
          <w:gridAfter w:val="1"/>
          <w:wAfter w:w="11" w:type="dxa"/>
          <w:trHeight w:val="304"/>
          <w:jc w:val="center"/>
        </w:trPr>
        <w:tc>
          <w:tcPr>
            <w:tcW w:w="1086" w:type="dxa"/>
          </w:tcPr>
          <w:p w14:paraId="6DDD46D3" w14:textId="77777777" w:rsidR="0017587A" w:rsidRDefault="003A348D">
            <w:pPr>
              <w:spacing w:after="0"/>
              <w:jc w:val="center"/>
              <w:rPr>
                <w:rFonts w:ascii="Times New Roman" w:hAnsi="Times New Roman"/>
                <w:sz w:val="14"/>
                <w:szCs w:val="18"/>
              </w:rPr>
            </w:pPr>
            <w:r>
              <w:rPr>
                <w:rFonts w:ascii="Times New Roman" w:hAnsi="Times New Roman"/>
                <w:sz w:val="14"/>
                <w:szCs w:val="18"/>
              </w:rPr>
              <w:t>PL</w:t>
            </w:r>
          </w:p>
        </w:tc>
        <w:tc>
          <w:tcPr>
            <w:tcW w:w="1123" w:type="dxa"/>
          </w:tcPr>
          <w:p w14:paraId="5CF2EFC8" w14:textId="77777777" w:rsidR="0017587A" w:rsidRDefault="003A348D">
            <w:pPr>
              <w:spacing w:after="0"/>
              <w:jc w:val="center"/>
              <w:rPr>
                <w:rFonts w:ascii="Times New Roman" w:hAnsi="Times New Roman"/>
                <w:sz w:val="14"/>
                <w:szCs w:val="18"/>
              </w:rPr>
            </w:pPr>
            <w:r>
              <w:rPr>
                <w:rFonts w:ascii="Times New Roman" w:hAnsi="Times New Roman"/>
                <w:sz w:val="14"/>
                <w:szCs w:val="18"/>
              </w:rPr>
              <w:t>77 816 756</w:t>
            </w:r>
          </w:p>
        </w:tc>
        <w:tc>
          <w:tcPr>
            <w:tcW w:w="997" w:type="dxa"/>
          </w:tcPr>
          <w:p w14:paraId="6EE5B17B" w14:textId="77777777" w:rsidR="0017587A" w:rsidRDefault="003A348D">
            <w:pPr>
              <w:spacing w:after="0"/>
              <w:jc w:val="center"/>
              <w:rPr>
                <w:rFonts w:ascii="Times New Roman" w:hAnsi="Times New Roman"/>
                <w:sz w:val="14"/>
                <w:szCs w:val="18"/>
              </w:rPr>
            </w:pPr>
            <w:r>
              <w:rPr>
                <w:rFonts w:ascii="Times New Roman" w:hAnsi="Times New Roman"/>
                <w:sz w:val="14"/>
                <w:szCs w:val="18"/>
              </w:rPr>
              <w:t>72 258 416</w:t>
            </w:r>
          </w:p>
        </w:tc>
        <w:tc>
          <w:tcPr>
            <w:tcW w:w="997" w:type="dxa"/>
          </w:tcPr>
          <w:p w14:paraId="7CD6B61D" w14:textId="77777777" w:rsidR="0017587A" w:rsidRDefault="003A348D">
            <w:pPr>
              <w:spacing w:after="0"/>
              <w:jc w:val="center"/>
              <w:rPr>
                <w:rFonts w:ascii="Times New Roman" w:hAnsi="Times New Roman"/>
                <w:sz w:val="14"/>
                <w:szCs w:val="18"/>
              </w:rPr>
            </w:pPr>
            <w:r>
              <w:rPr>
                <w:rFonts w:ascii="Times New Roman" w:hAnsi="Times New Roman"/>
                <w:sz w:val="14"/>
                <w:szCs w:val="18"/>
              </w:rPr>
              <w:t>66 700 076</w:t>
            </w:r>
          </w:p>
        </w:tc>
        <w:tc>
          <w:tcPr>
            <w:tcW w:w="997" w:type="dxa"/>
          </w:tcPr>
          <w:p w14:paraId="54156F3E" w14:textId="77777777" w:rsidR="0017587A" w:rsidRDefault="003A348D">
            <w:pPr>
              <w:spacing w:after="0"/>
              <w:jc w:val="center"/>
              <w:rPr>
                <w:rFonts w:ascii="Times New Roman" w:hAnsi="Times New Roman"/>
                <w:sz w:val="14"/>
                <w:szCs w:val="18"/>
              </w:rPr>
            </w:pPr>
            <w:r>
              <w:rPr>
                <w:rFonts w:ascii="Times New Roman" w:hAnsi="Times New Roman"/>
                <w:sz w:val="14"/>
                <w:szCs w:val="18"/>
              </w:rPr>
              <w:t>60 030 069</w:t>
            </w:r>
          </w:p>
        </w:tc>
        <w:tc>
          <w:tcPr>
            <w:tcW w:w="997" w:type="dxa"/>
          </w:tcPr>
          <w:p w14:paraId="55598F57" w14:textId="77777777" w:rsidR="0017587A" w:rsidRDefault="003A348D">
            <w:pPr>
              <w:spacing w:after="0"/>
              <w:jc w:val="center"/>
              <w:rPr>
                <w:rFonts w:ascii="Times New Roman" w:hAnsi="Times New Roman"/>
                <w:sz w:val="14"/>
                <w:szCs w:val="18"/>
              </w:rPr>
            </w:pPr>
            <w:r>
              <w:rPr>
                <w:rFonts w:ascii="Times New Roman" w:hAnsi="Times New Roman"/>
                <w:sz w:val="14"/>
                <w:szCs w:val="18"/>
              </w:rPr>
              <w:t>52 248 393</w:t>
            </w:r>
          </w:p>
        </w:tc>
        <w:tc>
          <w:tcPr>
            <w:tcW w:w="997" w:type="dxa"/>
          </w:tcPr>
          <w:p w14:paraId="67DCD312" w14:textId="77777777" w:rsidR="0017587A" w:rsidRDefault="003A348D">
            <w:pPr>
              <w:spacing w:after="0"/>
              <w:jc w:val="center"/>
              <w:rPr>
                <w:rFonts w:ascii="Times New Roman" w:hAnsi="Times New Roman"/>
                <w:sz w:val="14"/>
                <w:szCs w:val="18"/>
              </w:rPr>
            </w:pPr>
            <w:r>
              <w:rPr>
                <w:rFonts w:ascii="Times New Roman" w:hAnsi="Times New Roman"/>
                <w:sz w:val="14"/>
                <w:szCs w:val="18"/>
              </w:rPr>
              <w:t>43 355 049</w:t>
            </w:r>
          </w:p>
        </w:tc>
        <w:tc>
          <w:tcPr>
            <w:tcW w:w="997" w:type="dxa"/>
          </w:tcPr>
          <w:p w14:paraId="1D9A4AE8" w14:textId="77777777" w:rsidR="0017587A" w:rsidRDefault="003A348D">
            <w:pPr>
              <w:spacing w:after="0"/>
              <w:jc w:val="center"/>
              <w:rPr>
                <w:rFonts w:ascii="Times New Roman" w:hAnsi="Times New Roman"/>
                <w:sz w:val="14"/>
                <w:szCs w:val="18"/>
              </w:rPr>
            </w:pPr>
            <w:r>
              <w:rPr>
                <w:rFonts w:ascii="Times New Roman" w:hAnsi="Times New Roman"/>
                <w:sz w:val="14"/>
                <w:szCs w:val="18"/>
              </w:rPr>
              <w:t>32 238 370</w:t>
            </w:r>
          </w:p>
        </w:tc>
        <w:tc>
          <w:tcPr>
            <w:tcW w:w="1111" w:type="dxa"/>
          </w:tcPr>
          <w:p w14:paraId="4338794D" w14:textId="77777777" w:rsidR="0017587A" w:rsidRDefault="003A348D">
            <w:pPr>
              <w:spacing w:after="0"/>
              <w:jc w:val="center"/>
              <w:rPr>
                <w:rFonts w:ascii="Times New Roman" w:hAnsi="Times New Roman"/>
                <w:sz w:val="14"/>
                <w:szCs w:val="18"/>
              </w:rPr>
            </w:pPr>
            <w:r>
              <w:rPr>
                <w:rFonts w:ascii="Times New Roman" w:hAnsi="Times New Roman"/>
                <w:sz w:val="14"/>
                <w:szCs w:val="18"/>
              </w:rPr>
              <w:t>404 647 129</w:t>
            </w:r>
          </w:p>
        </w:tc>
      </w:tr>
      <w:tr w:rsidR="0017587A" w14:paraId="4CF10CF6" w14:textId="77777777" w:rsidTr="002802C4">
        <w:trPr>
          <w:gridAfter w:val="1"/>
          <w:wAfter w:w="11" w:type="dxa"/>
          <w:trHeight w:val="304"/>
          <w:jc w:val="center"/>
        </w:trPr>
        <w:tc>
          <w:tcPr>
            <w:tcW w:w="1086" w:type="dxa"/>
          </w:tcPr>
          <w:p w14:paraId="52E1642A" w14:textId="77777777" w:rsidR="0017587A" w:rsidRDefault="003A348D">
            <w:pPr>
              <w:spacing w:after="0"/>
              <w:jc w:val="center"/>
              <w:rPr>
                <w:rFonts w:ascii="Times New Roman" w:hAnsi="Times New Roman"/>
                <w:sz w:val="14"/>
                <w:szCs w:val="18"/>
              </w:rPr>
            </w:pPr>
            <w:r>
              <w:rPr>
                <w:rFonts w:ascii="Times New Roman" w:hAnsi="Times New Roman"/>
                <w:sz w:val="14"/>
                <w:szCs w:val="18"/>
              </w:rPr>
              <w:t>RO</w:t>
            </w:r>
          </w:p>
        </w:tc>
        <w:tc>
          <w:tcPr>
            <w:tcW w:w="1123" w:type="dxa"/>
          </w:tcPr>
          <w:p w14:paraId="2BCC71C1" w14:textId="77777777" w:rsidR="0017587A" w:rsidRDefault="003A348D">
            <w:pPr>
              <w:spacing w:after="0"/>
              <w:jc w:val="center"/>
              <w:rPr>
                <w:rFonts w:ascii="Times New Roman" w:hAnsi="Times New Roman"/>
                <w:sz w:val="14"/>
                <w:szCs w:val="18"/>
              </w:rPr>
            </w:pPr>
            <w:r>
              <w:rPr>
                <w:rFonts w:ascii="Times New Roman" w:hAnsi="Times New Roman"/>
                <w:sz w:val="14"/>
                <w:szCs w:val="18"/>
              </w:rPr>
              <w:t>17 852 479</w:t>
            </w:r>
          </w:p>
        </w:tc>
        <w:tc>
          <w:tcPr>
            <w:tcW w:w="997" w:type="dxa"/>
          </w:tcPr>
          <w:p w14:paraId="5D34D26D" w14:textId="77777777" w:rsidR="0017587A" w:rsidRDefault="003A348D">
            <w:pPr>
              <w:spacing w:after="0"/>
              <w:jc w:val="center"/>
              <w:rPr>
                <w:rFonts w:ascii="Times New Roman" w:hAnsi="Times New Roman"/>
                <w:sz w:val="14"/>
                <w:szCs w:val="18"/>
              </w:rPr>
            </w:pPr>
            <w:r>
              <w:rPr>
                <w:rFonts w:ascii="Times New Roman" w:hAnsi="Times New Roman"/>
                <w:sz w:val="14"/>
                <w:szCs w:val="18"/>
              </w:rPr>
              <w:t>15 302 125</w:t>
            </w:r>
          </w:p>
        </w:tc>
        <w:tc>
          <w:tcPr>
            <w:tcW w:w="997" w:type="dxa"/>
          </w:tcPr>
          <w:p w14:paraId="4E798D38" w14:textId="77777777" w:rsidR="0017587A" w:rsidRDefault="003A348D">
            <w:pPr>
              <w:spacing w:after="0"/>
              <w:jc w:val="center"/>
              <w:rPr>
                <w:rFonts w:ascii="Times New Roman" w:hAnsi="Times New Roman"/>
                <w:sz w:val="14"/>
                <w:szCs w:val="18"/>
              </w:rPr>
            </w:pPr>
            <w:r>
              <w:rPr>
                <w:rFonts w:ascii="Times New Roman" w:hAnsi="Times New Roman"/>
                <w:sz w:val="14"/>
                <w:szCs w:val="18"/>
              </w:rPr>
              <w:t>12 751 771</w:t>
            </w:r>
          </w:p>
        </w:tc>
        <w:tc>
          <w:tcPr>
            <w:tcW w:w="997" w:type="dxa"/>
          </w:tcPr>
          <w:p w14:paraId="282B6D38" w14:textId="77777777" w:rsidR="0017587A" w:rsidRDefault="003A348D">
            <w:pPr>
              <w:spacing w:after="0"/>
              <w:jc w:val="center"/>
              <w:rPr>
                <w:rFonts w:ascii="Times New Roman" w:hAnsi="Times New Roman"/>
                <w:sz w:val="14"/>
                <w:szCs w:val="18"/>
              </w:rPr>
            </w:pPr>
            <w:r>
              <w:rPr>
                <w:rFonts w:ascii="Times New Roman" w:hAnsi="Times New Roman"/>
                <w:sz w:val="14"/>
                <w:szCs w:val="18"/>
              </w:rPr>
              <w:t>10 201 417</w:t>
            </w:r>
          </w:p>
        </w:tc>
        <w:tc>
          <w:tcPr>
            <w:tcW w:w="997" w:type="dxa"/>
          </w:tcPr>
          <w:p w14:paraId="2509C8F3" w14:textId="77777777" w:rsidR="0017587A" w:rsidRDefault="003A348D">
            <w:pPr>
              <w:spacing w:after="0"/>
              <w:jc w:val="center"/>
              <w:rPr>
                <w:rFonts w:ascii="Times New Roman" w:hAnsi="Times New Roman"/>
                <w:sz w:val="14"/>
                <w:szCs w:val="18"/>
              </w:rPr>
            </w:pPr>
            <w:r>
              <w:rPr>
                <w:rFonts w:ascii="Times New Roman" w:hAnsi="Times New Roman"/>
                <w:sz w:val="14"/>
                <w:szCs w:val="18"/>
              </w:rPr>
              <w:t>7 651 063</w:t>
            </w:r>
          </w:p>
        </w:tc>
        <w:tc>
          <w:tcPr>
            <w:tcW w:w="997" w:type="dxa"/>
          </w:tcPr>
          <w:p w14:paraId="036ED052" w14:textId="77777777" w:rsidR="0017587A" w:rsidRDefault="003A348D">
            <w:pPr>
              <w:spacing w:after="0"/>
              <w:jc w:val="center"/>
              <w:rPr>
                <w:rFonts w:ascii="Times New Roman" w:hAnsi="Times New Roman"/>
                <w:sz w:val="14"/>
                <w:szCs w:val="18"/>
              </w:rPr>
            </w:pPr>
            <w:r>
              <w:rPr>
                <w:rFonts w:ascii="Times New Roman" w:hAnsi="Times New Roman"/>
                <w:sz w:val="14"/>
                <w:szCs w:val="18"/>
              </w:rPr>
              <w:t>5 100 708</w:t>
            </w:r>
          </w:p>
        </w:tc>
        <w:tc>
          <w:tcPr>
            <w:tcW w:w="997" w:type="dxa"/>
          </w:tcPr>
          <w:p w14:paraId="4D3A9C8D" w14:textId="77777777" w:rsidR="0017587A" w:rsidRDefault="003A348D">
            <w:pPr>
              <w:spacing w:after="0"/>
              <w:jc w:val="center"/>
              <w:rPr>
                <w:rFonts w:ascii="Times New Roman" w:hAnsi="Times New Roman"/>
                <w:sz w:val="14"/>
                <w:szCs w:val="18"/>
              </w:rPr>
            </w:pPr>
            <w:r>
              <w:rPr>
                <w:rFonts w:ascii="Times New Roman" w:hAnsi="Times New Roman"/>
                <w:sz w:val="14"/>
                <w:szCs w:val="18"/>
              </w:rPr>
              <w:t>2 550 354</w:t>
            </w:r>
          </w:p>
        </w:tc>
        <w:tc>
          <w:tcPr>
            <w:tcW w:w="1111" w:type="dxa"/>
          </w:tcPr>
          <w:p w14:paraId="5C94A0FE" w14:textId="77777777" w:rsidR="0017587A" w:rsidRDefault="003A348D">
            <w:pPr>
              <w:spacing w:after="0"/>
              <w:jc w:val="center"/>
              <w:rPr>
                <w:rFonts w:ascii="Times New Roman" w:hAnsi="Times New Roman"/>
                <w:sz w:val="14"/>
                <w:szCs w:val="18"/>
              </w:rPr>
            </w:pPr>
            <w:r>
              <w:rPr>
                <w:rFonts w:ascii="Times New Roman" w:hAnsi="Times New Roman"/>
                <w:sz w:val="14"/>
                <w:szCs w:val="18"/>
              </w:rPr>
              <w:t>71 409 917</w:t>
            </w:r>
          </w:p>
        </w:tc>
      </w:tr>
      <w:tr w:rsidR="0017587A" w14:paraId="45F12DF7" w14:textId="77777777" w:rsidTr="002802C4">
        <w:trPr>
          <w:gridAfter w:val="1"/>
          <w:wAfter w:w="11" w:type="dxa"/>
          <w:trHeight w:val="432"/>
          <w:jc w:val="center"/>
        </w:trPr>
        <w:tc>
          <w:tcPr>
            <w:tcW w:w="1086" w:type="dxa"/>
          </w:tcPr>
          <w:p w14:paraId="568B074B" w14:textId="77777777" w:rsidR="0017587A" w:rsidRDefault="003A348D">
            <w:pPr>
              <w:spacing w:after="0"/>
              <w:jc w:val="center"/>
              <w:rPr>
                <w:rFonts w:ascii="Times New Roman" w:hAnsi="Times New Roman"/>
                <w:b/>
                <w:sz w:val="14"/>
                <w:szCs w:val="18"/>
                <w:u w:val="single"/>
              </w:rPr>
            </w:pPr>
            <w:r>
              <w:rPr>
                <w:rFonts w:ascii="Times New Roman" w:hAnsi="Times New Roman"/>
                <w:b/>
                <w:sz w:val="14"/>
                <w:szCs w:val="18"/>
                <w:u w:val="single"/>
              </w:rPr>
              <w:t>Summa</w:t>
            </w:r>
          </w:p>
        </w:tc>
        <w:tc>
          <w:tcPr>
            <w:tcW w:w="1123" w:type="dxa"/>
          </w:tcPr>
          <w:p w14:paraId="2EA39E7D"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151 565 434</w:t>
            </w:r>
          </w:p>
        </w:tc>
        <w:tc>
          <w:tcPr>
            <w:tcW w:w="997" w:type="dxa"/>
          </w:tcPr>
          <w:p w14:paraId="5603FDDF"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129 504 488</w:t>
            </w:r>
          </w:p>
        </w:tc>
        <w:tc>
          <w:tcPr>
            <w:tcW w:w="997" w:type="dxa"/>
          </w:tcPr>
          <w:p w14:paraId="722F3365"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114 522 628</w:t>
            </w:r>
          </w:p>
        </w:tc>
        <w:tc>
          <w:tcPr>
            <w:tcW w:w="997" w:type="dxa"/>
          </w:tcPr>
          <w:p w14:paraId="17D38C4D"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98 384 792</w:t>
            </w:r>
          </w:p>
        </w:tc>
        <w:tc>
          <w:tcPr>
            <w:tcW w:w="997" w:type="dxa"/>
          </w:tcPr>
          <w:p w14:paraId="29BA1AF3"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81 126 965</w:t>
            </w:r>
          </w:p>
        </w:tc>
        <w:tc>
          <w:tcPr>
            <w:tcW w:w="997" w:type="dxa"/>
          </w:tcPr>
          <w:p w14:paraId="63A89FDC"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62 749 153</w:t>
            </w:r>
          </w:p>
        </w:tc>
        <w:tc>
          <w:tcPr>
            <w:tcW w:w="997" w:type="dxa"/>
          </w:tcPr>
          <w:p w14:paraId="5709B4FB"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42 070 421</w:t>
            </w:r>
          </w:p>
        </w:tc>
        <w:tc>
          <w:tcPr>
            <w:tcW w:w="1111" w:type="dxa"/>
          </w:tcPr>
          <w:p w14:paraId="2A70D6E7" w14:textId="77777777" w:rsidR="0017587A" w:rsidRDefault="003A348D">
            <w:pPr>
              <w:spacing w:after="0"/>
              <w:jc w:val="center"/>
              <w:rPr>
                <w:rFonts w:ascii="Times New Roman" w:hAnsi="Times New Roman"/>
                <w:sz w:val="14"/>
                <w:szCs w:val="18"/>
                <w:highlight w:val="yellow"/>
              </w:rPr>
            </w:pPr>
            <w:r>
              <w:rPr>
                <w:rFonts w:ascii="Times New Roman" w:hAnsi="Times New Roman"/>
                <w:sz w:val="14"/>
                <w:szCs w:val="18"/>
              </w:rPr>
              <w:t>679 923 881</w:t>
            </w:r>
          </w:p>
        </w:tc>
      </w:tr>
    </w:tbl>
    <w:p w14:paraId="507D3299" w14:textId="77777777" w:rsidR="0017587A" w:rsidRDefault="00526348">
      <w:pPr>
        <w:rPr>
          <w:rFonts w:ascii="Times New Roman" w:hAnsi="Times New Roman"/>
          <w:sz w:val="18"/>
          <w:szCs w:val="18"/>
        </w:rPr>
      </w:pPr>
      <w:r>
        <w:rPr>
          <w:rFonts w:ascii="Times New Roman" w:hAnsi="Times New Roman"/>
          <w:sz w:val="18"/>
          <w:szCs w:val="18"/>
        </w:rPr>
        <w:t>Källa: GD Klimatpolitik</w:t>
      </w:r>
    </w:p>
    <w:p w14:paraId="6E0AF790" w14:textId="77777777" w:rsidR="0017587A" w:rsidRDefault="0017587A">
      <w:pPr>
        <w:rPr>
          <w:rFonts w:ascii="Times New Roman" w:hAnsi="Times New Roman"/>
          <w:b/>
          <w:sz w:val="20"/>
          <w:szCs w:val="20"/>
        </w:rPr>
      </w:pPr>
    </w:p>
    <w:p w14:paraId="35C8434D" w14:textId="77777777" w:rsidR="0017587A" w:rsidRDefault="0017587A">
      <w:pPr>
        <w:rPr>
          <w:rFonts w:ascii="Times New Roman" w:hAnsi="Times New Roman"/>
          <w:b/>
          <w:sz w:val="20"/>
          <w:szCs w:val="20"/>
        </w:rPr>
      </w:pPr>
    </w:p>
    <w:p w14:paraId="5ECAC1B4" w14:textId="77777777" w:rsidR="0017587A" w:rsidRDefault="0017587A">
      <w:pPr>
        <w:rPr>
          <w:rFonts w:ascii="Times New Roman" w:hAnsi="Times New Roman"/>
          <w:b/>
          <w:sz w:val="20"/>
          <w:szCs w:val="20"/>
        </w:rPr>
      </w:pPr>
    </w:p>
    <w:p w14:paraId="23760357" w14:textId="77777777" w:rsidR="0017587A" w:rsidRDefault="007708E7">
      <w:pPr>
        <w:rPr>
          <w:rFonts w:ascii="Times New Roman" w:hAnsi="Times New Roman"/>
          <w:b/>
          <w:sz w:val="20"/>
          <w:szCs w:val="20"/>
        </w:rPr>
      </w:pPr>
      <w:r>
        <w:rPr>
          <w:rFonts w:ascii="Times New Roman" w:hAnsi="Times New Roman"/>
          <w:b/>
          <w:sz w:val="20"/>
          <w:szCs w:val="20"/>
        </w:rPr>
        <w:t>Tabell 1.3: Antal outnyttjade gratis utsläppsrätter inom ramen för undantaget från fullständig auktionering för el- och värmeproduktion vilka har auktionerats eller ska auktionerats enligt planen under 2013–2020</w:t>
      </w:r>
      <w:r>
        <w:rPr>
          <w:rStyle w:val="FootnoteReference"/>
          <w:rFonts w:ascii="Times New Roman" w:hAnsi="Times New Roman"/>
          <w:b/>
          <w:sz w:val="20"/>
          <w:szCs w:val="20"/>
        </w:rPr>
        <w:footnoteReference w:id="76"/>
      </w:r>
    </w:p>
    <w:tbl>
      <w:tblPr>
        <w:tblW w:w="9042" w:type="dxa"/>
        <w:tblInd w:w="85" w:type="dxa"/>
        <w:tblLook w:val="04A0" w:firstRow="1" w:lastRow="0" w:firstColumn="1" w:lastColumn="0" w:noHBand="0" w:noVBand="1"/>
      </w:tblPr>
      <w:tblGrid>
        <w:gridCol w:w="1926"/>
        <w:gridCol w:w="1135"/>
        <w:gridCol w:w="1135"/>
        <w:gridCol w:w="1135"/>
        <w:gridCol w:w="1135"/>
        <w:gridCol w:w="1288"/>
        <w:gridCol w:w="1288"/>
      </w:tblGrid>
      <w:tr w:rsidR="0017587A" w14:paraId="7AF23450" w14:textId="77777777" w:rsidTr="007708E7">
        <w:trPr>
          <w:trHeight w:val="330"/>
        </w:trPr>
        <w:tc>
          <w:tcPr>
            <w:tcW w:w="9042" w:type="dxa"/>
            <w:gridSpan w:val="7"/>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16AD822"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 xml:space="preserve">Auktionerade outnyttjade utsläppsrätter enligt artikel 10c </w:t>
            </w:r>
          </w:p>
        </w:tc>
      </w:tr>
      <w:tr w:rsidR="0017587A" w14:paraId="3CCBB46A"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38CDE876"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Medlemsstat</w:t>
            </w:r>
          </w:p>
        </w:tc>
        <w:tc>
          <w:tcPr>
            <w:tcW w:w="1135" w:type="dxa"/>
            <w:tcBorders>
              <w:top w:val="nil"/>
              <w:left w:val="nil"/>
              <w:bottom w:val="double" w:sz="6" w:space="0" w:color="auto"/>
              <w:right w:val="double" w:sz="6" w:space="0" w:color="auto"/>
            </w:tcBorders>
            <w:shd w:val="clear" w:color="auto" w:fill="auto"/>
            <w:noWrap/>
            <w:vAlign w:val="center"/>
            <w:hideMark/>
          </w:tcPr>
          <w:p w14:paraId="4E5BBE93"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2015</w:t>
            </w:r>
          </w:p>
        </w:tc>
        <w:tc>
          <w:tcPr>
            <w:tcW w:w="1135" w:type="dxa"/>
            <w:tcBorders>
              <w:top w:val="nil"/>
              <w:left w:val="nil"/>
              <w:bottom w:val="double" w:sz="6" w:space="0" w:color="auto"/>
              <w:right w:val="double" w:sz="6" w:space="0" w:color="auto"/>
            </w:tcBorders>
            <w:shd w:val="clear" w:color="auto" w:fill="auto"/>
            <w:noWrap/>
            <w:vAlign w:val="center"/>
            <w:hideMark/>
          </w:tcPr>
          <w:p w14:paraId="30AAE0B9"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2016</w:t>
            </w:r>
          </w:p>
        </w:tc>
        <w:tc>
          <w:tcPr>
            <w:tcW w:w="1135" w:type="dxa"/>
            <w:tcBorders>
              <w:top w:val="nil"/>
              <w:left w:val="nil"/>
              <w:bottom w:val="double" w:sz="6" w:space="0" w:color="auto"/>
              <w:right w:val="double" w:sz="6" w:space="0" w:color="auto"/>
            </w:tcBorders>
            <w:shd w:val="clear" w:color="auto" w:fill="auto"/>
            <w:noWrap/>
            <w:vAlign w:val="center"/>
            <w:hideMark/>
          </w:tcPr>
          <w:p w14:paraId="267BF273"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2017</w:t>
            </w:r>
          </w:p>
        </w:tc>
        <w:tc>
          <w:tcPr>
            <w:tcW w:w="1135" w:type="dxa"/>
            <w:tcBorders>
              <w:top w:val="nil"/>
              <w:left w:val="nil"/>
              <w:bottom w:val="double" w:sz="6" w:space="0" w:color="auto"/>
              <w:right w:val="double" w:sz="6" w:space="0" w:color="auto"/>
            </w:tcBorders>
            <w:shd w:val="clear" w:color="auto" w:fill="auto"/>
            <w:noWrap/>
            <w:vAlign w:val="center"/>
            <w:hideMark/>
          </w:tcPr>
          <w:p w14:paraId="7C10E610"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2018</w:t>
            </w:r>
          </w:p>
        </w:tc>
        <w:tc>
          <w:tcPr>
            <w:tcW w:w="1288" w:type="dxa"/>
            <w:tcBorders>
              <w:top w:val="nil"/>
              <w:left w:val="nil"/>
              <w:bottom w:val="double" w:sz="6" w:space="0" w:color="auto"/>
              <w:right w:val="double" w:sz="6" w:space="0" w:color="auto"/>
            </w:tcBorders>
            <w:shd w:val="clear" w:color="auto" w:fill="auto"/>
            <w:noWrap/>
            <w:vAlign w:val="center"/>
            <w:hideMark/>
          </w:tcPr>
          <w:p w14:paraId="2F56EE2C"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2019</w:t>
            </w:r>
          </w:p>
        </w:tc>
        <w:tc>
          <w:tcPr>
            <w:tcW w:w="1288" w:type="dxa"/>
            <w:tcBorders>
              <w:top w:val="nil"/>
              <w:left w:val="nil"/>
              <w:bottom w:val="double" w:sz="6" w:space="0" w:color="auto"/>
              <w:right w:val="double" w:sz="6" w:space="0" w:color="auto"/>
            </w:tcBorders>
            <w:shd w:val="clear" w:color="auto" w:fill="auto"/>
            <w:noWrap/>
            <w:vAlign w:val="center"/>
            <w:hideMark/>
          </w:tcPr>
          <w:p w14:paraId="34FBD94A"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2020</w:t>
            </w:r>
          </w:p>
        </w:tc>
      </w:tr>
      <w:tr w:rsidR="0017587A" w14:paraId="52506049"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6DD519C0"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BG</w:t>
            </w:r>
          </w:p>
        </w:tc>
        <w:tc>
          <w:tcPr>
            <w:tcW w:w="1135" w:type="dxa"/>
            <w:tcBorders>
              <w:top w:val="nil"/>
              <w:left w:val="nil"/>
              <w:bottom w:val="double" w:sz="6" w:space="0" w:color="auto"/>
              <w:right w:val="double" w:sz="6" w:space="0" w:color="auto"/>
            </w:tcBorders>
            <w:shd w:val="clear" w:color="auto" w:fill="auto"/>
            <w:noWrap/>
            <w:vAlign w:val="center"/>
            <w:hideMark/>
          </w:tcPr>
          <w:p w14:paraId="2349D363"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5 444 169</w:t>
            </w:r>
          </w:p>
        </w:tc>
        <w:tc>
          <w:tcPr>
            <w:tcW w:w="1135" w:type="dxa"/>
            <w:tcBorders>
              <w:top w:val="nil"/>
              <w:left w:val="nil"/>
              <w:bottom w:val="double" w:sz="6" w:space="0" w:color="auto"/>
              <w:right w:val="double" w:sz="6" w:space="0" w:color="auto"/>
            </w:tcBorders>
            <w:shd w:val="clear" w:color="auto" w:fill="auto"/>
            <w:noWrap/>
            <w:vAlign w:val="center"/>
            <w:hideMark/>
          </w:tcPr>
          <w:p w14:paraId="623F4186"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1 461 360</w:t>
            </w:r>
          </w:p>
        </w:tc>
        <w:tc>
          <w:tcPr>
            <w:tcW w:w="1135" w:type="dxa"/>
            <w:tcBorders>
              <w:top w:val="nil"/>
              <w:left w:val="nil"/>
              <w:bottom w:val="double" w:sz="6" w:space="0" w:color="auto"/>
              <w:right w:val="double" w:sz="6" w:space="0" w:color="auto"/>
            </w:tcBorders>
            <w:shd w:val="clear" w:color="auto" w:fill="auto"/>
            <w:noWrap/>
            <w:vAlign w:val="center"/>
            <w:hideMark/>
          </w:tcPr>
          <w:p w14:paraId="2FC1933D"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920 823</w:t>
            </w:r>
          </w:p>
        </w:tc>
        <w:tc>
          <w:tcPr>
            <w:tcW w:w="1135" w:type="dxa"/>
            <w:tcBorders>
              <w:top w:val="nil"/>
              <w:left w:val="nil"/>
              <w:bottom w:val="double" w:sz="6" w:space="0" w:color="auto"/>
              <w:right w:val="double" w:sz="6" w:space="0" w:color="auto"/>
            </w:tcBorders>
            <w:shd w:val="clear" w:color="auto" w:fill="auto"/>
            <w:noWrap/>
            <w:vAlign w:val="center"/>
            <w:hideMark/>
          </w:tcPr>
          <w:p w14:paraId="303A51AB"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604 908</w:t>
            </w:r>
          </w:p>
        </w:tc>
        <w:tc>
          <w:tcPr>
            <w:tcW w:w="1288" w:type="dxa"/>
            <w:tcBorders>
              <w:top w:val="nil"/>
              <w:left w:val="nil"/>
              <w:bottom w:val="double" w:sz="6" w:space="0" w:color="auto"/>
              <w:right w:val="double" w:sz="6" w:space="0" w:color="auto"/>
            </w:tcBorders>
            <w:shd w:val="clear" w:color="auto" w:fill="auto"/>
            <w:noWrap/>
            <w:vAlign w:val="center"/>
            <w:hideMark/>
          </w:tcPr>
          <w:p w14:paraId="485BE40A"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1 386 372</w:t>
            </w:r>
          </w:p>
        </w:tc>
        <w:tc>
          <w:tcPr>
            <w:tcW w:w="1288" w:type="dxa"/>
            <w:tcBorders>
              <w:top w:val="nil"/>
              <w:left w:val="nil"/>
              <w:bottom w:val="double" w:sz="6" w:space="0" w:color="auto"/>
              <w:right w:val="double" w:sz="6" w:space="0" w:color="auto"/>
            </w:tcBorders>
            <w:shd w:val="clear" w:color="auto" w:fill="auto"/>
            <w:noWrap/>
            <w:vAlign w:val="center"/>
            <w:hideMark/>
          </w:tcPr>
          <w:p w14:paraId="08482216"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r>
      <w:tr w:rsidR="0017587A" w14:paraId="49CDF87F"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08AB67F"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CY</w:t>
            </w:r>
          </w:p>
        </w:tc>
        <w:tc>
          <w:tcPr>
            <w:tcW w:w="1135" w:type="dxa"/>
            <w:tcBorders>
              <w:top w:val="nil"/>
              <w:left w:val="nil"/>
              <w:bottom w:val="double" w:sz="6" w:space="0" w:color="auto"/>
              <w:right w:val="double" w:sz="6" w:space="0" w:color="auto"/>
            </w:tcBorders>
            <w:shd w:val="clear" w:color="auto" w:fill="auto"/>
            <w:noWrap/>
            <w:vAlign w:val="center"/>
            <w:hideMark/>
          </w:tcPr>
          <w:p w14:paraId="14880825"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41AD3D65"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2E19303F"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175CB196"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5A159305"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08B60441"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r>
      <w:tr w:rsidR="0017587A" w14:paraId="25CEBD87"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DC2F387"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CZ</w:t>
            </w:r>
          </w:p>
        </w:tc>
        <w:tc>
          <w:tcPr>
            <w:tcW w:w="1135" w:type="dxa"/>
            <w:tcBorders>
              <w:top w:val="nil"/>
              <w:left w:val="nil"/>
              <w:bottom w:val="double" w:sz="6" w:space="0" w:color="auto"/>
              <w:right w:val="double" w:sz="6" w:space="0" w:color="auto"/>
            </w:tcBorders>
            <w:shd w:val="clear" w:color="auto" w:fill="auto"/>
            <w:noWrap/>
            <w:vAlign w:val="center"/>
            <w:hideMark/>
          </w:tcPr>
          <w:p w14:paraId="3B05889D"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5E56D190"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90 694</w:t>
            </w:r>
          </w:p>
        </w:tc>
        <w:tc>
          <w:tcPr>
            <w:tcW w:w="1135" w:type="dxa"/>
            <w:tcBorders>
              <w:top w:val="nil"/>
              <w:left w:val="nil"/>
              <w:bottom w:val="double" w:sz="6" w:space="0" w:color="auto"/>
              <w:right w:val="double" w:sz="6" w:space="0" w:color="auto"/>
            </w:tcBorders>
            <w:shd w:val="clear" w:color="auto" w:fill="auto"/>
            <w:noWrap/>
            <w:vAlign w:val="center"/>
            <w:hideMark/>
          </w:tcPr>
          <w:p w14:paraId="43B27C0C"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77 741</w:t>
            </w:r>
          </w:p>
        </w:tc>
        <w:tc>
          <w:tcPr>
            <w:tcW w:w="1135" w:type="dxa"/>
            <w:tcBorders>
              <w:top w:val="nil"/>
              <w:left w:val="nil"/>
              <w:bottom w:val="double" w:sz="6" w:space="0" w:color="auto"/>
              <w:right w:val="double" w:sz="6" w:space="0" w:color="auto"/>
            </w:tcBorders>
            <w:shd w:val="clear" w:color="auto" w:fill="auto"/>
            <w:noWrap/>
            <w:vAlign w:val="center"/>
            <w:hideMark/>
          </w:tcPr>
          <w:p w14:paraId="314DA011"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66 740</w:t>
            </w:r>
          </w:p>
        </w:tc>
        <w:tc>
          <w:tcPr>
            <w:tcW w:w="1288" w:type="dxa"/>
            <w:tcBorders>
              <w:top w:val="nil"/>
              <w:left w:val="nil"/>
              <w:bottom w:val="double" w:sz="6" w:space="0" w:color="auto"/>
              <w:right w:val="double" w:sz="6" w:space="0" w:color="auto"/>
            </w:tcBorders>
            <w:shd w:val="clear" w:color="auto" w:fill="auto"/>
            <w:noWrap/>
            <w:vAlign w:val="center"/>
            <w:hideMark/>
          </w:tcPr>
          <w:p w14:paraId="0A027F80"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54 550</w:t>
            </w:r>
          </w:p>
        </w:tc>
        <w:tc>
          <w:tcPr>
            <w:tcW w:w="1288" w:type="dxa"/>
            <w:tcBorders>
              <w:top w:val="nil"/>
              <w:left w:val="nil"/>
              <w:bottom w:val="double" w:sz="6" w:space="0" w:color="auto"/>
              <w:right w:val="double" w:sz="6" w:space="0" w:color="auto"/>
            </w:tcBorders>
            <w:shd w:val="clear" w:color="auto" w:fill="auto"/>
            <w:noWrap/>
            <w:vAlign w:val="center"/>
            <w:hideMark/>
          </w:tcPr>
          <w:p w14:paraId="1CE20461"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80 295</w:t>
            </w:r>
          </w:p>
        </w:tc>
      </w:tr>
      <w:tr w:rsidR="0017587A" w14:paraId="7F676F58"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0749B80B"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EE</w:t>
            </w:r>
          </w:p>
        </w:tc>
        <w:tc>
          <w:tcPr>
            <w:tcW w:w="1135" w:type="dxa"/>
            <w:tcBorders>
              <w:top w:val="nil"/>
              <w:left w:val="nil"/>
              <w:bottom w:val="double" w:sz="6" w:space="0" w:color="auto"/>
              <w:right w:val="double" w:sz="6" w:space="0" w:color="auto"/>
            </w:tcBorders>
            <w:shd w:val="clear" w:color="auto" w:fill="auto"/>
            <w:noWrap/>
            <w:vAlign w:val="center"/>
            <w:hideMark/>
          </w:tcPr>
          <w:p w14:paraId="322622DD"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7C1439D8"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188 682</w:t>
            </w:r>
          </w:p>
        </w:tc>
        <w:tc>
          <w:tcPr>
            <w:tcW w:w="1135" w:type="dxa"/>
            <w:tcBorders>
              <w:top w:val="nil"/>
              <w:left w:val="nil"/>
              <w:bottom w:val="double" w:sz="6" w:space="0" w:color="auto"/>
              <w:right w:val="double" w:sz="6" w:space="0" w:color="auto"/>
            </w:tcBorders>
            <w:shd w:val="clear" w:color="auto" w:fill="auto"/>
            <w:noWrap/>
            <w:vAlign w:val="center"/>
            <w:hideMark/>
          </w:tcPr>
          <w:p w14:paraId="2EFC1133"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134 897</w:t>
            </w:r>
          </w:p>
        </w:tc>
        <w:tc>
          <w:tcPr>
            <w:tcW w:w="1135" w:type="dxa"/>
            <w:tcBorders>
              <w:top w:val="nil"/>
              <w:left w:val="nil"/>
              <w:bottom w:val="double" w:sz="6" w:space="0" w:color="auto"/>
              <w:right w:val="double" w:sz="6" w:space="0" w:color="auto"/>
            </w:tcBorders>
            <w:shd w:val="clear" w:color="auto" w:fill="auto"/>
            <w:noWrap/>
            <w:vAlign w:val="center"/>
            <w:hideMark/>
          </w:tcPr>
          <w:p w14:paraId="172CA394"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1 767 499</w:t>
            </w:r>
          </w:p>
        </w:tc>
        <w:tc>
          <w:tcPr>
            <w:tcW w:w="1288" w:type="dxa"/>
            <w:tcBorders>
              <w:top w:val="nil"/>
              <w:left w:val="nil"/>
              <w:bottom w:val="double" w:sz="6" w:space="0" w:color="auto"/>
              <w:right w:val="double" w:sz="6" w:space="0" w:color="auto"/>
            </w:tcBorders>
            <w:shd w:val="clear" w:color="auto" w:fill="auto"/>
            <w:noWrap/>
            <w:vAlign w:val="center"/>
            <w:hideMark/>
          </w:tcPr>
          <w:p w14:paraId="268C1446"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761 088</w:t>
            </w:r>
          </w:p>
        </w:tc>
        <w:tc>
          <w:tcPr>
            <w:tcW w:w="1288" w:type="dxa"/>
            <w:tcBorders>
              <w:top w:val="nil"/>
              <w:left w:val="nil"/>
              <w:bottom w:val="double" w:sz="6" w:space="0" w:color="auto"/>
              <w:right w:val="double" w:sz="6" w:space="0" w:color="auto"/>
            </w:tcBorders>
            <w:shd w:val="clear" w:color="auto" w:fill="auto"/>
            <w:noWrap/>
            <w:vAlign w:val="center"/>
            <w:hideMark/>
          </w:tcPr>
          <w:p w14:paraId="66F27B0C"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50 026</w:t>
            </w:r>
          </w:p>
        </w:tc>
      </w:tr>
      <w:tr w:rsidR="0017587A" w14:paraId="3B5F6919"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3E278A11"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LT</w:t>
            </w:r>
          </w:p>
        </w:tc>
        <w:tc>
          <w:tcPr>
            <w:tcW w:w="1135" w:type="dxa"/>
            <w:tcBorders>
              <w:top w:val="nil"/>
              <w:left w:val="nil"/>
              <w:bottom w:val="double" w:sz="6" w:space="0" w:color="auto"/>
              <w:right w:val="double" w:sz="6" w:space="0" w:color="auto"/>
            </w:tcBorders>
            <w:shd w:val="clear" w:color="auto" w:fill="auto"/>
            <w:noWrap/>
            <w:vAlign w:val="center"/>
            <w:hideMark/>
          </w:tcPr>
          <w:p w14:paraId="0DE874D6"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259 924</w:t>
            </w:r>
          </w:p>
        </w:tc>
        <w:tc>
          <w:tcPr>
            <w:tcW w:w="1135" w:type="dxa"/>
            <w:tcBorders>
              <w:top w:val="nil"/>
              <w:left w:val="nil"/>
              <w:bottom w:val="double" w:sz="6" w:space="0" w:color="auto"/>
              <w:right w:val="double" w:sz="6" w:space="0" w:color="auto"/>
            </w:tcBorders>
            <w:shd w:val="clear" w:color="auto" w:fill="auto"/>
            <w:noWrap/>
            <w:vAlign w:val="center"/>
            <w:hideMark/>
          </w:tcPr>
          <w:p w14:paraId="29D6F43C"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36646801"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456 725</w:t>
            </w:r>
          </w:p>
        </w:tc>
        <w:tc>
          <w:tcPr>
            <w:tcW w:w="1135" w:type="dxa"/>
            <w:tcBorders>
              <w:top w:val="nil"/>
              <w:left w:val="nil"/>
              <w:bottom w:val="double" w:sz="6" w:space="0" w:color="auto"/>
              <w:right w:val="double" w:sz="6" w:space="0" w:color="auto"/>
            </w:tcBorders>
            <w:shd w:val="clear" w:color="auto" w:fill="auto"/>
            <w:noWrap/>
            <w:vAlign w:val="center"/>
            <w:hideMark/>
          </w:tcPr>
          <w:p w14:paraId="44F6CFC5"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191 229</w:t>
            </w:r>
          </w:p>
        </w:tc>
        <w:tc>
          <w:tcPr>
            <w:tcW w:w="1288" w:type="dxa"/>
            <w:tcBorders>
              <w:top w:val="nil"/>
              <w:left w:val="nil"/>
              <w:bottom w:val="double" w:sz="6" w:space="0" w:color="auto"/>
              <w:right w:val="double" w:sz="6" w:space="0" w:color="auto"/>
            </w:tcBorders>
            <w:shd w:val="clear" w:color="auto" w:fill="auto"/>
            <w:noWrap/>
            <w:vAlign w:val="center"/>
            <w:hideMark/>
          </w:tcPr>
          <w:p w14:paraId="4B8D9780"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161 522</w:t>
            </w:r>
          </w:p>
        </w:tc>
        <w:tc>
          <w:tcPr>
            <w:tcW w:w="1288" w:type="dxa"/>
            <w:tcBorders>
              <w:top w:val="nil"/>
              <w:left w:val="nil"/>
              <w:bottom w:val="double" w:sz="6" w:space="0" w:color="auto"/>
              <w:right w:val="double" w:sz="6" w:space="0" w:color="auto"/>
            </w:tcBorders>
            <w:shd w:val="clear" w:color="auto" w:fill="auto"/>
            <w:noWrap/>
            <w:vAlign w:val="center"/>
            <w:hideMark/>
          </w:tcPr>
          <w:p w14:paraId="11F9E8A9"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128 105</w:t>
            </w:r>
          </w:p>
        </w:tc>
      </w:tr>
      <w:tr w:rsidR="0017587A" w14:paraId="6E5D041C" w14:textId="77777777" w:rsidTr="007708E7">
        <w:trPr>
          <w:trHeight w:val="405"/>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564FA56B"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PL</w:t>
            </w:r>
          </w:p>
        </w:tc>
        <w:tc>
          <w:tcPr>
            <w:tcW w:w="1135" w:type="dxa"/>
            <w:tcBorders>
              <w:top w:val="nil"/>
              <w:left w:val="nil"/>
              <w:bottom w:val="double" w:sz="6" w:space="0" w:color="auto"/>
              <w:right w:val="double" w:sz="6" w:space="0" w:color="auto"/>
            </w:tcBorders>
            <w:shd w:val="clear" w:color="auto" w:fill="auto"/>
            <w:noWrap/>
            <w:vAlign w:val="center"/>
            <w:hideMark/>
          </w:tcPr>
          <w:p w14:paraId="4889E2B2"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1 196</w:t>
            </w:r>
          </w:p>
        </w:tc>
        <w:tc>
          <w:tcPr>
            <w:tcW w:w="1135" w:type="dxa"/>
            <w:tcBorders>
              <w:top w:val="nil"/>
              <w:left w:val="nil"/>
              <w:bottom w:val="double" w:sz="6" w:space="0" w:color="auto"/>
              <w:right w:val="double" w:sz="6" w:space="0" w:color="auto"/>
            </w:tcBorders>
            <w:shd w:val="clear" w:color="auto" w:fill="auto"/>
            <w:noWrap/>
            <w:vAlign w:val="center"/>
            <w:hideMark/>
          </w:tcPr>
          <w:p w14:paraId="6CCAA4EC"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3525DEE8"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7 491</w:t>
            </w:r>
          </w:p>
        </w:tc>
        <w:tc>
          <w:tcPr>
            <w:tcW w:w="1135" w:type="dxa"/>
            <w:tcBorders>
              <w:top w:val="nil"/>
              <w:left w:val="nil"/>
              <w:bottom w:val="double" w:sz="6" w:space="0" w:color="auto"/>
              <w:right w:val="double" w:sz="6" w:space="0" w:color="auto"/>
            </w:tcBorders>
            <w:shd w:val="clear" w:color="auto" w:fill="auto"/>
            <w:noWrap/>
            <w:vAlign w:val="center"/>
            <w:hideMark/>
          </w:tcPr>
          <w:p w14:paraId="08E536C9"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5C7381F4"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55 800 000</w:t>
            </w:r>
          </w:p>
        </w:tc>
        <w:tc>
          <w:tcPr>
            <w:tcW w:w="1288" w:type="dxa"/>
            <w:tcBorders>
              <w:top w:val="nil"/>
              <w:left w:val="nil"/>
              <w:bottom w:val="double" w:sz="6" w:space="0" w:color="auto"/>
              <w:right w:val="double" w:sz="6" w:space="0" w:color="auto"/>
            </w:tcBorders>
            <w:shd w:val="clear" w:color="auto" w:fill="auto"/>
            <w:noWrap/>
            <w:vAlign w:val="center"/>
            <w:hideMark/>
          </w:tcPr>
          <w:p w14:paraId="564D4BAD"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49 520 000</w:t>
            </w:r>
          </w:p>
        </w:tc>
      </w:tr>
      <w:tr w:rsidR="0017587A" w14:paraId="0F2435B6"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0173A554"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RO</w:t>
            </w:r>
          </w:p>
        </w:tc>
        <w:tc>
          <w:tcPr>
            <w:tcW w:w="1135" w:type="dxa"/>
            <w:tcBorders>
              <w:top w:val="nil"/>
              <w:left w:val="nil"/>
              <w:bottom w:val="double" w:sz="6" w:space="0" w:color="auto"/>
              <w:right w:val="double" w:sz="6" w:space="0" w:color="auto"/>
            </w:tcBorders>
            <w:shd w:val="clear" w:color="auto" w:fill="auto"/>
            <w:noWrap/>
            <w:vAlign w:val="center"/>
            <w:hideMark/>
          </w:tcPr>
          <w:p w14:paraId="4C9A446F"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2 104 468</w:t>
            </w:r>
          </w:p>
        </w:tc>
        <w:tc>
          <w:tcPr>
            <w:tcW w:w="1135" w:type="dxa"/>
            <w:tcBorders>
              <w:top w:val="nil"/>
              <w:left w:val="nil"/>
              <w:bottom w:val="double" w:sz="6" w:space="0" w:color="auto"/>
              <w:right w:val="double" w:sz="6" w:space="0" w:color="auto"/>
            </w:tcBorders>
            <w:shd w:val="clear" w:color="auto" w:fill="auto"/>
            <w:noWrap/>
            <w:vAlign w:val="center"/>
            <w:hideMark/>
          </w:tcPr>
          <w:p w14:paraId="554023A7"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6 710 664</w:t>
            </w:r>
          </w:p>
        </w:tc>
        <w:tc>
          <w:tcPr>
            <w:tcW w:w="1135" w:type="dxa"/>
            <w:tcBorders>
              <w:top w:val="nil"/>
              <w:left w:val="nil"/>
              <w:bottom w:val="double" w:sz="6" w:space="0" w:color="auto"/>
              <w:right w:val="double" w:sz="6" w:space="0" w:color="auto"/>
            </w:tcBorders>
            <w:shd w:val="clear" w:color="auto" w:fill="auto"/>
            <w:noWrap/>
            <w:vAlign w:val="center"/>
            <w:hideMark/>
          </w:tcPr>
          <w:p w14:paraId="18A48DFE"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3 540 974</w:t>
            </w:r>
          </w:p>
        </w:tc>
        <w:tc>
          <w:tcPr>
            <w:tcW w:w="1135" w:type="dxa"/>
            <w:tcBorders>
              <w:top w:val="nil"/>
              <w:left w:val="nil"/>
              <w:bottom w:val="double" w:sz="6" w:space="0" w:color="auto"/>
              <w:right w:val="double" w:sz="6" w:space="0" w:color="auto"/>
            </w:tcBorders>
            <w:shd w:val="clear" w:color="auto" w:fill="auto"/>
            <w:noWrap/>
            <w:vAlign w:val="center"/>
            <w:hideMark/>
          </w:tcPr>
          <w:p w14:paraId="7BE81852"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3 011 456</w:t>
            </w:r>
          </w:p>
        </w:tc>
        <w:tc>
          <w:tcPr>
            <w:tcW w:w="1288" w:type="dxa"/>
            <w:tcBorders>
              <w:top w:val="nil"/>
              <w:left w:val="nil"/>
              <w:bottom w:val="double" w:sz="6" w:space="0" w:color="auto"/>
              <w:right w:val="double" w:sz="6" w:space="0" w:color="auto"/>
            </w:tcBorders>
            <w:shd w:val="clear" w:color="auto" w:fill="auto"/>
            <w:noWrap/>
            <w:vAlign w:val="center"/>
            <w:hideMark/>
          </w:tcPr>
          <w:p w14:paraId="11F9F3D5"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3D0BF78A"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r>
      <w:tr w:rsidR="0017587A" w14:paraId="23B118CF"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B2D5304" w14:textId="77777777" w:rsidR="0017587A" w:rsidRDefault="007708E7">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HU</w:t>
            </w:r>
          </w:p>
        </w:tc>
        <w:tc>
          <w:tcPr>
            <w:tcW w:w="1135" w:type="dxa"/>
            <w:tcBorders>
              <w:top w:val="nil"/>
              <w:left w:val="nil"/>
              <w:bottom w:val="double" w:sz="6" w:space="0" w:color="auto"/>
              <w:right w:val="double" w:sz="6" w:space="0" w:color="auto"/>
            </w:tcBorders>
            <w:shd w:val="clear" w:color="auto" w:fill="auto"/>
            <w:noWrap/>
            <w:vAlign w:val="center"/>
            <w:hideMark/>
          </w:tcPr>
          <w:p w14:paraId="14D6C0BC"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0DAC9E94"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324C42AC"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32A68F16"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3ACC0739"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403DF371" w14:textId="77777777" w:rsidR="0017587A" w:rsidRDefault="007708E7">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0</w:t>
            </w:r>
          </w:p>
        </w:tc>
      </w:tr>
    </w:tbl>
    <w:p w14:paraId="5C11801C" w14:textId="77777777" w:rsidR="0017587A" w:rsidRDefault="00526348">
      <w:pPr>
        <w:rPr>
          <w:rFonts w:ascii="Times New Roman" w:hAnsi="Times New Roman"/>
          <w:sz w:val="18"/>
          <w:szCs w:val="18"/>
        </w:rPr>
      </w:pPr>
      <w:r>
        <w:rPr>
          <w:rFonts w:ascii="Times New Roman" w:hAnsi="Times New Roman"/>
          <w:sz w:val="18"/>
          <w:szCs w:val="18"/>
        </w:rPr>
        <w:t>Källa: GD Klimatpolitik</w:t>
      </w:r>
    </w:p>
    <w:p w14:paraId="266C93E1" w14:textId="77777777" w:rsidR="0017587A" w:rsidRDefault="0017587A">
      <w:pPr>
        <w:rPr>
          <w:rFonts w:ascii="Times New Roman" w:hAnsi="Times New Roman"/>
          <w:b/>
        </w:rPr>
      </w:pPr>
    </w:p>
    <w:p w14:paraId="2E71F32F" w14:textId="77777777" w:rsidR="0017587A" w:rsidRDefault="003A348D">
      <w:pPr>
        <w:rPr>
          <w:rFonts w:ascii="Times New Roman" w:hAnsi="Times New Roman"/>
          <w:b/>
        </w:rPr>
      </w:pPr>
      <w:r>
        <w:rPr>
          <w:rFonts w:ascii="Times New Roman" w:hAnsi="Times New Roman"/>
          <w:b/>
        </w:rPr>
        <w:t>Tillägg 2</w:t>
      </w:r>
    </w:p>
    <w:p w14:paraId="648B20BF" w14:textId="77777777" w:rsidR="0017587A" w:rsidRDefault="003A348D">
      <w:pPr>
        <w:rPr>
          <w:rFonts w:ascii="Times New Roman" w:hAnsi="Times New Roman"/>
          <w:b/>
          <w:sz w:val="20"/>
          <w:szCs w:val="20"/>
        </w:rPr>
      </w:pPr>
      <w:r>
        <w:rPr>
          <w:rFonts w:ascii="Times New Roman" w:hAnsi="Times New Roman"/>
          <w:b/>
          <w:sz w:val="20"/>
          <w:szCs w:val="20"/>
        </w:rPr>
        <w:t>Figur 2.1: Antal budgivare i auktioner för allmänna utsläppsrätter från 2013 till den 30 juni 2019</w:t>
      </w:r>
    </w:p>
    <w:p w14:paraId="487434F3" w14:textId="77777777" w:rsidR="0017587A" w:rsidRDefault="006E0EB4">
      <w:pPr>
        <w:spacing w:after="0"/>
        <w:rPr>
          <w:b/>
          <w:color w:val="00B050"/>
          <w:sz w:val="24"/>
          <w:szCs w:val="24"/>
        </w:rPr>
      </w:pPr>
      <w:r>
        <w:rPr>
          <w:b/>
          <w:noProof/>
          <w:color w:val="00B050"/>
          <w:lang w:val="en-GB" w:eastAsia="en-GB"/>
        </w:rPr>
        <w:drawing>
          <wp:inline distT="0" distB="0" distL="0" distR="0" wp14:anchorId="7589ADBD" wp14:editId="3DDB18D5">
            <wp:extent cx="5908964" cy="29675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6383" cy="2976340"/>
                    </a:xfrm>
                    <a:prstGeom prst="rect">
                      <a:avLst/>
                    </a:prstGeom>
                    <a:noFill/>
                  </pic:spPr>
                </pic:pic>
              </a:graphicData>
            </a:graphic>
          </wp:inline>
        </w:drawing>
      </w:r>
    </w:p>
    <w:p w14:paraId="2D2027E5" w14:textId="77777777" w:rsidR="0017587A" w:rsidRDefault="00626D3C">
      <w:pPr>
        <w:spacing w:after="0"/>
        <w:rPr>
          <w:rFonts w:ascii="Times New Roman" w:hAnsi="Times New Roman"/>
          <w:color w:val="000000" w:themeColor="text1"/>
          <w:sz w:val="18"/>
          <w:szCs w:val="18"/>
        </w:rPr>
      </w:pPr>
      <w:r>
        <w:rPr>
          <w:rFonts w:ascii="Times New Roman" w:hAnsi="Times New Roman"/>
          <w:sz w:val="18"/>
          <w:szCs w:val="18"/>
        </w:rPr>
        <w:t>Källa: EEX</w:t>
      </w:r>
    </w:p>
    <w:p w14:paraId="45A738F5" w14:textId="77777777" w:rsidR="0017587A" w:rsidRDefault="002A6473">
      <w:pPr>
        <w:rPr>
          <w:b/>
        </w:rPr>
      </w:pPr>
      <w:r>
        <w:rPr>
          <w:b/>
          <w:sz w:val="32"/>
          <w:szCs w:val="32"/>
        </w:rPr>
        <w:t>.</w:t>
      </w:r>
      <w:r>
        <w:rPr>
          <w:rFonts w:ascii="Times New Roman" w:hAnsi="Times New Roman"/>
          <w:b/>
          <w:sz w:val="20"/>
          <w:szCs w:val="20"/>
        </w:rPr>
        <w:t xml:space="preserve"> </w:t>
      </w:r>
      <w:r>
        <w:rPr>
          <w:rFonts w:ascii="Times New Roman" w:hAnsi="Times New Roman"/>
          <w:sz w:val="20"/>
          <w:szCs w:val="20"/>
        </w:rPr>
        <w:t>Antal budgivare</w:t>
      </w:r>
      <w:r>
        <w:rPr>
          <w:b/>
        </w:rPr>
        <w:t xml:space="preserve"> </w:t>
      </w:r>
    </w:p>
    <w:p w14:paraId="3B40F4C2" w14:textId="77777777" w:rsidR="0017587A" w:rsidRDefault="0017587A">
      <w:pPr>
        <w:rPr>
          <w:b/>
        </w:rPr>
      </w:pPr>
    </w:p>
    <w:p w14:paraId="45FA8394" w14:textId="77777777" w:rsidR="0017587A" w:rsidRDefault="00CA734B">
      <w:pPr>
        <w:rPr>
          <w:rFonts w:ascii="Times New Roman" w:hAnsi="Times New Roman"/>
          <w:b/>
          <w:sz w:val="20"/>
          <w:szCs w:val="20"/>
          <w:highlight w:val="yellow"/>
        </w:rPr>
      </w:pPr>
      <w:r>
        <w:br w:type="page"/>
      </w:r>
    </w:p>
    <w:p w14:paraId="36969B15" w14:textId="77777777" w:rsidR="0017587A" w:rsidRDefault="0017587A">
      <w:pPr>
        <w:rPr>
          <w:rFonts w:ascii="Times New Roman" w:hAnsi="Times New Roman"/>
          <w:b/>
          <w:sz w:val="20"/>
          <w:szCs w:val="20"/>
          <w:highlight w:val="yellow"/>
        </w:rPr>
        <w:sectPr w:rsidR="0017587A" w:rsidSect="0069589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1"/>
          <w:cols w:space="720"/>
          <w:docGrid w:linePitch="360"/>
        </w:sectPr>
      </w:pPr>
    </w:p>
    <w:p w14:paraId="4AC8580F" w14:textId="77777777" w:rsidR="0017587A" w:rsidRDefault="00750C8E">
      <w:pPr>
        <w:rPr>
          <w:rFonts w:ascii="Times New Roman" w:hAnsi="Times New Roman"/>
          <w:b/>
          <w:sz w:val="20"/>
          <w:szCs w:val="20"/>
        </w:rPr>
      </w:pPr>
      <w:r>
        <w:rPr>
          <w:rFonts w:ascii="Times New Roman" w:hAnsi="Times New Roman"/>
          <w:b/>
          <w:sz w:val="20"/>
          <w:szCs w:val="20"/>
        </w:rPr>
        <w:t>Tabell 2.1: Medlemsstaternas auktioneringsintäkter under perioden 2012–2018</w:t>
      </w:r>
      <w:r>
        <w:rPr>
          <w:rStyle w:val="FootnoteReference"/>
          <w:rFonts w:ascii="Times New Roman" w:hAnsi="Times New Roman"/>
          <w:b/>
          <w:sz w:val="20"/>
          <w:szCs w:val="20"/>
        </w:rPr>
        <w:footnoteReference w:id="77"/>
      </w:r>
    </w:p>
    <w:tbl>
      <w:tblPr>
        <w:tblW w:w="14055" w:type="dxa"/>
        <w:tblInd w:w="-459" w:type="dxa"/>
        <w:tblLook w:val="04A0" w:firstRow="1" w:lastRow="0" w:firstColumn="1" w:lastColumn="0" w:noHBand="0" w:noVBand="1"/>
      </w:tblPr>
      <w:tblGrid>
        <w:gridCol w:w="1483"/>
        <w:gridCol w:w="1093"/>
        <w:gridCol w:w="1038"/>
        <w:gridCol w:w="892"/>
        <w:gridCol w:w="925"/>
        <w:gridCol w:w="892"/>
        <w:gridCol w:w="925"/>
        <w:gridCol w:w="910"/>
        <w:gridCol w:w="924"/>
        <w:gridCol w:w="892"/>
        <w:gridCol w:w="925"/>
        <w:gridCol w:w="910"/>
        <w:gridCol w:w="924"/>
        <w:gridCol w:w="966"/>
        <w:gridCol w:w="924"/>
      </w:tblGrid>
      <w:tr w:rsidR="0017587A" w14:paraId="3C749DE7" w14:textId="77777777" w:rsidTr="00516F65">
        <w:trPr>
          <w:trHeight w:val="319"/>
        </w:trPr>
        <w:tc>
          <w:tcPr>
            <w:tcW w:w="14055" w:type="dxa"/>
            <w:gridSpan w:val="15"/>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02E712B7" w14:textId="77777777" w:rsidR="0017587A" w:rsidRDefault="00696C1E">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 xml:space="preserve">                                        Intäkter från auktionering av utsläppsrätter 2012–2018 (miljoner euro)</w:t>
            </w:r>
          </w:p>
          <w:p w14:paraId="75C5B318" w14:textId="77777777" w:rsidR="0017587A" w:rsidRDefault="00696C1E">
            <w:pPr>
              <w:spacing w:after="0" w:line="240" w:lineRule="auto"/>
              <w:rPr>
                <w:rFonts w:ascii="Times New Roman" w:eastAsia="Times New Roman" w:hAnsi="Times New Roman"/>
                <w:color w:val="000000"/>
                <w:sz w:val="20"/>
                <w:szCs w:val="20"/>
              </w:rPr>
            </w:pPr>
            <w:r>
              <w:rPr>
                <w:rFonts w:ascii="Times New Roman" w:hAnsi="Times New Roman"/>
                <w:sz w:val="20"/>
                <w:szCs w:val="20"/>
              </w:rPr>
              <w:t> </w:t>
            </w:r>
          </w:p>
        </w:tc>
      </w:tr>
      <w:tr w:rsidR="0017587A" w14:paraId="324B4796" w14:textId="77777777" w:rsidTr="00516F65">
        <w:trPr>
          <w:trHeight w:val="315"/>
        </w:trPr>
        <w:tc>
          <w:tcPr>
            <w:tcW w:w="917" w:type="dxa"/>
            <w:tcBorders>
              <w:top w:val="nil"/>
              <w:left w:val="double" w:sz="6" w:space="0" w:color="auto"/>
              <w:bottom w:val="nil"/>
              <w:right w:val="double" w:sz="6" w:space="0" w:color="auto"/>
            </w:tcBorders>
            <w:shd w:val="clear" w:color="auto" w:fill="auto"/>
            <w:noWrap/>
            <w:vAlign w:val="bottom"/>
            <w:hideMark/>
          </w:tcPr>
          <w:p w14:paraId="60DA6CF9"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 </w:t>
            </w:r>
          </w:p>
        </w:tc>
        <w:tc>
          <w:tcPr>
            <w:tcW w:w="2129"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3693864B" w14:textId="77777777" w:rsidR="0017587A" w:rsidRDefault="001379D6">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2012</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5493AC0F" w14:textId="77777777" w:rsidR="0017587A" w:rsidRDefault="001379D6">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2013</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403C99DC" w14:textId="77777777" w:rsidR="0017587A" w:rsidRDefault="001379D6">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2014</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6FE761AA" w14:textId="77777777" w:rsidR="0017587A" w:rsidRDefault="001379D6">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2015</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1A9AA14F" w14:textId="77777777" w:rsidR="0017587A" w:rsidRDefault="001379D6">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2016</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392B1291" w14:textId="77777777" w:rsidR="0017587A" w:rsidRDefault="001379D6">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2017</w:t>
            </w:r>
          </w:p>
        </w:tc>
        <w:tc>
          <w:tcPr>
            <w:tcW w:w="1890"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4474075D" w14:textId="77777777" w:rsidR="0017587A" w:rsidRDefault="001379D6">
            <w:pPr>
              <w:spacing w:after="0" w:line="240" w:lineRule="auto"/>
              <w:jc w:val="center"/>
              <w:rPr>
                <w:rFonts w:ascii="Times New Roman" w:eastAsia="Times New Roman" w:hAnsi="Times New Roman"/>
                <w:b/>
                <w:bCs/>
                <w:color w:val="000000"/>
                <w:sz w:val="20"/>
                <w:szCs w:val="20"/>
              </w:rPr>
            </w:pPr>
            <w:r>
              <w:rPr>
                <w:rFonts w:ascii="Times New Roman" w:hAnsi="Times New Roman"/>
                <w:b/>
                <w:bCs/>
                <w:sz w:val="20"/>
                <w:szCs w:val="20"/>
              </w:rPr>
              <w:t>2018</w:t>
            </w:r>
          </w:p>
        </w:tc>
      </w:tr>
      <w:tr w:rsidR="0017587A" w14:paraId="429B0FF4" w14:textId="77777777" w:rsidTr="00516F65">
        <w:trPr>
          <w:trHeight w:val="889"/>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D06264E"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 </w:t>
            </w:r>
          </w:p>
        </w:tc>
        <w:tc>
          <w:tcPr>
            <w:tcW w:w="1093" w:type="dxa"/>
            <w:tcBorders>
              <w:top w:val="nil"/>
              <w:left w:val="nil"/>
              <w:bottom w:val="double" w:sz="6" w:space="0" w:color="auto"/>
              <w:right w:val="double" w:sz="6" w:space="0" w:color="auto"/>
            </w:tcBorders>
            <w:shd w:val="clear" w:color="auto" w:fill="auto"/>
            <w:vAlign w:val="bottom"/>
            <w:hideMark/>
          </w:tcPr>
          <w:p w14:paraId="3FF82586"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Allmänt (tidiga auktioner)</w:t>
            </w:r>
          </w:p>
        </w:tc>
        <w:tc>
          <w:tcPr>
            <w:tcW w:w="1036" w:type="dxa"/>
            <w:tcBorders>
              <w:top w:val="nil"/>
              <w:left w:val="nil"/>
              <w:bottom w:val="double" w:sz="6" w:space="0" w:color="auto"/>
              <w:right w:val="double" w:sz="6" w:space="0" w:color="auto"/>
            </w:tcBorders>
            <w:shd w:val="clear" w:color="auto" w:fill="auto"/>
            <w:vAlign w:val="bottom"/>
            <w:hideMark/>
          </w:tcPr>
          <w:p w14:paraId="2DC45F72"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Luftfart (tidiga auktioner)</w:t>
            </w:r>
          </w:p>
        </w:tc>
        <w:tc>
          <w:tcPr>
            <w:tcW w:w="892" w:type="dxa"/>
            <w:tcBorders>
              <w:top w:val="nil"/>
              <w:left w:val="nil"/>
              <w:bottom w:val="double" w:sz="6" w:space="0" w:color="auto"/>
              <w:right w:val="double" w:sz="6" w:space="0" w:color="auto"/>
            </w:tcBorders>
            <w:shd w:val="clear" w:color="auto" w:fill="auto"/>
            <w:noWrap/>
            <w:vAlign w:val="bottom"/>
            <w:hideMark/>
          </w:tcPr>
          <w:p w14:paraId="618E631E"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 xml:space="preserve">Allmänt </w:t>
            </w:r>
          </w:p>
        </w:tc>
        <w:tc>
          <w:tcPr>
            <w:tcW w:w="925" w:type="dxa"/>
            <w:tcBorders>
              <w:top w:val="nil"/>
              <w:left w:val="nil"/>
              <w:bottom w:val="double" w:sz="6" w:space="0" w:color="auto"/>
              <w:right w:val="double" w:sz="6" w:space="0" w:color="auto"/>
            </w:tcBorders>
            <w:shd w:val="clear" w:color="auto" w:fill="auto"/>
            <w:noWrap/>
            <w:vAlign w:val="bottom"/>
            <w:hideMark/>
          </w:tcPr>
          <w:p w14:paraId="2E7D5369"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Luftfart</w:t>
            </w:r>
          </w:p>
        </w:tc>
        <w:tc>
          <w:tcPr>
            <w:tcW w:w="892" w:type="dxa"/>
            <w:tcBorders>
              <w:top w:val="nil"/>
              <w:left w:val="nil"/>
              <w:bottom w:val="double" w:sz="6" w:space="0" w:color="auto"/>
              <w:right w:val="double" w:sz="6" w:space="0" w:color="auto"/>
            </w:tcBorders>
            <w:shd w:val="clear" w:color="auto" w:fill="auto"/>
            <w:noWrap/>
            <w:vAlign w:val="bottom"/>
            <w:hideMark/>
          </w:tcPr>
          <w:p w14:paraId="18F5B0FF"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Allmänt</w:t>
            </w:r>
          </w:p>
        </w:tc>
        <w:tc>
          <w:tcPr>
            <w:tcW w:w="925" w:type="dxa"/>
            <w:tcBorders>
              <w:top w:val="nil"/>
              <w:left w:val="nil"/>
              <w:bottom w:val="double" w:sz="6" w:space="0" w:color="auto"/>
              <w:right w:val="double" w:sz="6" w:space="0" w:color="auto"/>
            </w:tcBorders>
            <w:shd w:val="clear" w:color="auto" w:fill="auto"/>
            <w:noWrap/>
            <w:vAlign w:val="bottom"/>
            <w:hideMark/>
          </w:tcPr>
          <w:p w14:paraId="2493F5EA"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Luftfart</w:t>
            </w:r>
          </w:p>
        </w:tc>
        <w:tc>
          <w:tcPr>
            <w:tcW w:w="910" w:type="dxa"/>
            <w:tcBorders>
              <w:top w:val="nil"/>
              <w:left w:val="nil"/>
              <w:bottom w:val="double" w:sz="6" w:space="0" w:color="auto"/>
              <w:right w:val="double" w:sz="6" w:space="0" w:color="auto"/>
            </w:tcBorders>
            <w:shd w:val="clear" w:color="auto" w:fill="auto"/>
            <w:noWrap/>
            <w:vAlign w:val="bottom"/>
            <w:hideMark/>
          </w:tcPr>
          <w:p w14:paraId="5B4DCC3A"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Allmänt</w:t>
            </w:r>
          </w:p>
        </w:tc>
        <w:tc>
          <w:tcPr>
            <w:tcW w:w="924" w:type="dxa"/>
            <w:tcBorders>
              <w:top w:val="nil"/>
              <w:left w:val="nil"/>
              <w:bottom w:val="double" w:sz="6" w:space="0" w:color="auto"/>
              <w:right w:val="double" w:sz="6" w:space="0" w:color="auto"/>
            </w:tcBorders>
            <w:shd w:val="clear" w:color="auto" w:fill="auto"/>
            <w:noWrap/>
            <w:vAlign w:val="bottom"/>
            <w:hideMark/>
          </w:tcPr>
          <w:p w14:paraId="52A0AC14"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Luftfart</w:t>
            </w:r>
          </w:p>
        </w:tc>
        <w:tc>
          <w:tcPr>
            <w:tcW w:w="892" w:type="dxa"/>
            <w:tcBorders>
              <w:top w:val="nil"/>
              <w:left w:val="nil"/>
              <w:bottom w:val="double" w:sz="6" w:space="0" w:color="auto"/>
              <w:right w:val="double" w:sz="6" w:space="0" w:color="auto"/>
            </w:tcBorders>
            <w:shd w:val="clear" w:color="auto" w:fill="auto"/>
            <w:noWrap/>
            <w:vAlign w:val="bottom"/>
            <w:hideMark/>
          </w:tcPr>
          <w:p w14:paraId="78F66164"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Allmänt</w:t>
            </w:r>
          </w:p>
        </w:tc>
        <w:tc>
          <w:tcPr>
            <w:tcW w:w="925" w:type="dxa"/>
            <w:tcBorders>
              <w:top w:val="nil"/>
              <w:left w:val="nil"/>
              <w:bottom w:val="double" w:sz="6" w:space="0" w:color="auto"/>
              <w:right w:val="double" w:sz="6" w:space="0" w:color="auto"/>
            </w:tcBorders>
            <w:shd w:val="clear" w:color="auto" w:fill="auto"/>
            <w:noWrap/>
            <w:vAlign w:val="bottom"/>
            <w:hideMark/>
          </w:tcPr>
          <w:p w14:paraId="1F032946"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Luftfart</w:t>
            </w:r>
          </w:p>
        </w:tc>
        <w:tc>
          <w:tcPr>
            <w:tcW w:w="910" w:type="dxa"/>
            <w:tcBorders>
              <w:top w:val="nil"/>
              <w:left w:val="nil"/>
              <w:bottom w:val="double" w:sz="6" w:space="0" w:color="auto"/>
              <w:right w:val="double" w:sz="6" w:space="0" w:color="auto"/>
            </w:tcBorders>
            <w:shd w:val="clear" w:color="auto" w:fill="auto"/>
            <w:noWrap/>
            <w:vAlign w:val="bottom"/>
            <w:hideMark/>
          </w:tcPr>
          <w:p w14:paraId="5753244A"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Allmänt</w:t>
            </w:r>
          </w:p>
        </w:tc>
        <w:tc>
          <w:tcPr>
            <w:tcW w:w="924" w:type="dxa"/>
            <w:tcBorders>
              <w:top w:val="nil"/>
              <w:left w:val="nil"/>
              <w:bottom w:val="double" w:sz="6" w:space="0" w:color="auto"/>
              <w:right w:val="double" w:sz="6" w:space="0" w:color="auto"/>
            </w:tcBorders>
            <w:shd w:val="clear" w:color="auto" w:fill="auto"/>
            <w:noWrap/>
            <w:vAlign w:val="bottom"/>
            <w:hideMark/>
          </w:tcPr>
          <w:p w14:paraId="2BA41E20"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Luftfart</w:t>
            </w:r>
          </w:p>
        </w:tc>
        <w:tc>
          <w:tcPr>
            <w:tcW w:w="966" w:type="dxa"/>
            <w:tcBorders>
              <w:top w:val="nil"/>
              <w:left w:val="nil"/>
              <w:bottom w:val="double" w:sz="6" w:space="0" w:color="auto"/>
              <w:right w:val="double" w:sz="6" w:space="0" w:color="auto"/>
            </w:tcBorders>
            <w:shd w:val="clear" w:color="auto" w:fill="auto"/>
            <w:noWrap/>
            <w:vAlign w:val="bottom"/>
            <w:hideMark/>
          </w:tcPr>
          <w:p w14:paraId="52247309"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Allmänt</w:t>
            </w:r>
          </w:p>
        </w:tc>
        <w:tc>
          <w:tcPr>
            <w:tcW w:w="924" w:type="dxa"/>
            <w:tcBorders>
              <w:top w:val="nil"/>
              <w:left w:val="nil"/>
              <w:bottom w:val="double" w:sz="6" w:space="0" w:color="auto"/>
              <w:right w:val="double" w:sz="6" w:space="0" w:color="auto"/>
            </w:tcBorders>
            <w:shd w:val="clear" w:color="auto" w:fill="auto"/>
            <w:noWrap/>
            <w:vAlign w:val="bottom"/>
            <w:hideMark/>
          </w:tcPr>
          <w:p w14:paraId="5B5E1010" w14:textId="77777777" w:rsidR="0017587A" w:rsidRDefault="001379D6">
            <w:pPr>
              <w:spacing w:after="0" w:line="240" w:lineRule="auto"/>
              <w:jc w:val="center"/>
              <w:rPr>
                <w:rFonts w:ascii="Times New Roman" w:eastAsia="Times New Roman" w:hAnsi="Times New Roman"/>
                <w:color w:val="000000"/>
                <w:sz w:val="20"/>
                <w:szCs w:val="20"/>
              </w:rPr>
            </w:pPr>
            <w:r>
              <w:rPr>
                <w:rFonts w:ascii="Times New Roman" w:hAnsi="Times New Roman"/>
                <w:sz w:val="20"/>
                <w:szCs w:val="20"/>
              </w:rPr>
              <w:t>Luftfart</w:t>
            </w:r>
          </w:p>
        </w:tc>
      </w:tr>
      <w:tr w:rsidR="0017587A" w14:paraId="6820C7C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1BFCAD2"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AT</w:t>
            </w:r>
          </w:p>
        </w:tc>
        <w:tc>
          <w:tcPr>
            <w:tcW w:w="1093" w:type="dxa"/>
            <w:tcBorders>
              <w:top w:val="nil"/>
              <w:left w:val="nil"/>
              <w:bottom w:val="double" w:sz="6" w:space="0" w:color="auto"/>
              <w:right w:val="double" w:sz="6" w:space="0" w:color="auto"/>
            </w:tcBorders>
            <w:shd w:val="clear" w:color="auto" w:fill="auto"/>
            <w:noWrap/>
            <w:vAlign w:val="bottom"/>
            <w:hideMark/>
          </w:tcPr>
          <w:p w14:paraId="45D4C98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11,05</w:t>
            </w:r>
          </w:p>
        </w:tc>
        <w:tc>
          <w:tcPr>
            <w:tcW w:w="1036" w:type="dxa"/>
            <w:tcBorders>
              <w:top w:val="nil"/>
              <w:left w:val="nil"/>
              <w:bottom w:val="double" w:sz="6" w:space="0" w:color="auto"/>
              <w:right w:val="double" w:sz="6" w:space="0" w:color="auto"/>
            </w:tcBorders>
            <w:shd w:val="clear" w:color="auto" w:fill="auto"/>
            <w:noWrap/>
            <w:vAlign w:val="bottom"/>
            <w:hideMark/>
          </w:tcPr>
          <w:p w14:paraId="0F4542A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F1BA48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55,75</w:t>
            </w:r>
          </w:p>
        </w:tc>
        <w:tc>
          <w:tcPr>
            <w:tcW w:w="925" w:type="dxa"/>
            <w:tcBorders>
              <w:top w:val="nil"/>
              <w:left w:val="nil"/>
              <w:bottom w:val="double" w:sz="6" w:space="0" w:color="auto"/>
              <w:right w:val="double" w:sz="6" w:space="0" w:color="auto"/>
            </w:tcBorders>
            <w:shd w:val="clear" w:color="auto" w:fill="auto"/>
            <w:noWrap/>
            <w:vAlign w:val="bottom"/>
            <w:hideMark/>
          </w:tcPr>
          <w:p w14:paraId="1283223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BC5405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52,17</w:t>
            </w:r>
          </w:p>
        </w:tc>
        <w:tc>
          <w:tcPr>
            <w:tcW w:w="925" w:type="dxa"/>
            <w:tcBorders>
              <w:top w:val="nil"/>
              <w:left w:val="nil"/>
              <w:bottom w:val="double" w:sz="6" w:space="0" w:color="auto"/>
              <w:right w:val="double" w:sz="6" w:space="0" w:color="auto"/>
            </w:tcBorders>
            <w:shd w:val="clear" w:color="auto" w:fill="auto"/>
            <w:noWrap/>
            <w:vAlign w:val="bottom"/>
            <w:hideMark/>
          </w:tcPr>
          <w:p w14:paraId="6941728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1,18</w:t>
            </w:r>
          </w:p>
        </w:tc>
        <w:tc>
          <w:tcPr>
            <w:tcW w:w="910" w:type="dxa"/>
            <w:tcBorders>
              <w:top w:val="nil"/>
              <w:left w:val="nil"/>
              <w:bottom w:val="double" w:sz="6" w:space="0" w:color="auto"/>
              <w:right w:val="double" w:sz="6" w:space="0" w:color="auto"/>
            </w:tcBorders>
            <w:shd w:val="clear" w:color="auto" w:fill="auto"/>
            <w:noWrap/>
            <w:vAlign w:val="bottom"/>
            <w:hideMark/>
          </w:tcPr>
          <w:p w14:paraId="0ED3EF6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76,24</w:t>
            </w:r>
          </w:p>
        </w:tc>
        <w:tc>
          <w:tcPr>
            <w:tcW w:w="924" w:type="dxa"/>
            <w:tcBorders>
              <w:top w:val="nil"/>
              <w:left w:val="nil"/>
              <w:bottom w:val="double" w:sz="6" w:space="0" w:color="auto"/>
              <w:right w:val="double" w:sz="6" w:space="0" w:color="auto"/>
            </w:tcBorders>
            <w:shd w:val="clear" w:color="auto" w:fill="auto"/>
            <w:noWrap/>
            <w:vAlign w:val="bottom"/>
            <w:hideMark/>
          </w:tcPr>
          <w:p w14:paraId="7394F38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2,36</w:t>
            </w:r>
          </w:p>
        </w:tc>
        <w:tc>
          <w:tcPr>
            <w:tcW w:w="892" w:type="dxa"/>
            <w:tcBorders>
              <w:top w:val="nil"/>
              <w:left w:val="nil"/>
              <w:bottom w:val="double" w:sz="6" w:space="0" w:color="auto"/>
              <w:right w:val="double" w:sz="6" w:space="0" w:color="auto"/>
            </w:tcBorders>
            <w:shd w:val="clear" w:color="auto" w:fill="auto"/>
            <w:noWrap/>
            <w:vAlign w:val="bottom"/>
            <w:hideMark/>
          </w:tcPr>
          <w:p w14:paraId="344F4E1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58,81</w:t>
            </w:r>
          </w:p>
        </w:tc>
        <w:tc>
          <w:tcPr>
            <w:tcW w:w="925" w:type="dxa"/>
            <w:tcBorders>
              <w:top w:val="nil"/>
              <w:left w:val="nil"/>
              <w:bottom w:val="double" w:sz="6" w:space="0" w:color="auto"/>
              <w:right w:val="double" w:sz="6" w:space="0" w:color="auto"/>
            </w:tcBorders>
            <w:shd w:val="clear" w:color="auto" w:fill="auto"/>
            <w:noWrap/>
            <w:vAlign w:val="bottom"/>
            <w:hideMark/>
          </w:tcPr>
          <w:p w14:paraId="6173D6A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0,65</w:t>
            </w:r>
          </w:p>
        </w:tc>
        <w:tc>
          <w:tcPr>
            <w:tcW w:w="910" w:type="dxa"/>
            <w:tcBorders>
              <w:top w:val="nil"/>
              <w:left w:val="nil"/>
              <w:bottom w:val="double" w:sz="6" w:space="0" w:color="auto"/>
              <w:right w:val="double" w:sz="6" w:space="0" w:color="auto"/>
            </w:tcBorders>
            <w:shd w:val="clear" w:color="auto" w:fill="auto"/>
            <w:noWrap/>
            <w:vAlign w:val="bottom"/>
            <w:hideMark/>
          </w:tcPr>
          <w:p w14:paraId="33FE4F4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78,74</w:t>
            </w:r>
          </w:p>
        </w:tc>
        <w:tc>
          <w:tcPr>
            <w:tcW w:w="924" w:type="dxa"/>
            <w:tcBorders>
              <w:top w:val="nil"/>
              <w:left w:val="nil"/>
              <w:bottom w:val="double" w:sz="6" w:space="0" w:color="auto"/>
              <w:right w:val="double" w:sz="6" w:space="0" w:color="auto"/>
            </w:tcBorders>
            <w:shd w:val="clear" w:color="auto" w:fill="auto"/>
            <w:noWrap/>
            <w:vAlign w:val="bottom"/>
            <w:hideMark/>
          </w:tcPr>
          <w:p w14:paraId="3E355B9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0,69</w:t>
            </w:r>
          </w:p>
        </w:tc>
        <w:tc>
          <w:tcPr>
            <w:tcW w:w="966" w:type="dxa"/>
            <w:tcBorders>
              <w:top w:val="nil"/>
              <w:left w:val="nil"/>
              <w:bottom w:val="double" w:sz="6" w:space="0" w:color="auto"/>
              <w:right w:val="double" w:sz="6" w:space="0" w:color="auto"/>
            </w:tcBorders>
            <w:shd w:val="clear" w:color="auto" w:fill="auto"/>
            <w:noWrap/>
            <w:vAlign w:val="bottom"/>
            <w:hideMark/>
          </w:tcPr>
          <w:p w14:paraId="2007C48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208,20</w:t>
            </w:r>
          </w:p>
        </w:tc>
        <w:tc>
          <w:tcPr>
            <w:tcW w:w="924" w:type="dxa"/>
            <w:tcBorders>
              <w:top w:val="nil"/>
              <w:left w:val="nil"/>
              <w:bottom w:val="double" w:sz="6" w:space="0" w:color="auto"/>
              <w:right w:val="double" w:sz="6" w:space="0" w:color="auto"/>
            </w:tcBorders>
            <w:shd w:val="clear" w:color="auto" w:fill="auto"/>
            <w:noWrap/>
            <w:vAlign w:val="bottom"/>
            <w:hideMark/>
          </w:tcPr>
          <w:p w14:paraId="650ABDD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2,16</w:t>
            </w:r>
          </w:p>
        </w:tc>
      </w:tr>
      <w:tr w:rsidR="0017587A" w14:paraId="543DF30A"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C9DEB3F"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BE</w:t>
            </w:r>
          </w:p>
        </w:tc>
        <w:tc>
          <w:tcPr>
            <w:tcW w:w="1093" w:type="dxa"/>
            <w:tcBorders>
              <w:top w:val="nil"/>
              <w:left w:val="nil"/>
              <w:bottom w:val="double" w:sz="6" w:space="0" w:color="auto"/>
              <w:right w:val="double" w:sz="6" w:space="0" w:color="auto"/>
            </w:tcBorders>
            <w:shd w:val="clear" w:color="auto" w:fill="auto"/>
            <w:noWrap/>
            <w:vAlign w:val="bottom"/>
            <w:hideMark/>
          </w:tcPr>
          <w:p w14:paraId="6156BFA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5804505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88B53E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114,99</w:t>
            </w:r>
          </w:p>
        </w:tc>
        <w:tc>
          <w:tcPr>
            <w:tcW w:w="925" w:type="dxa"/>
            <w:tcBorders>
              <w:top w:val="nil"/>
              <w:left w:val="nil"/>
              <w:bottom w:val="double" w:sz="6" w:space="0" w:color="auto"/>
              <w:right w:val="double" w:sz="6" w:space="0" w:color="auto"/>
            </w:tcBorders>
            <w:shd w:val="clear" w:color="auto" w:fill="auto"/>
            <w:noWrap/>
            <w:vAlign w:val="bottom"/>
            <w:hideMark/>
          </w:tcPr>
          <w:p w14:paraId="541DA7A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B534A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95,03</w:t>
            </w:r>
          </w:p>
        </w:tc>
        <w:tc>
          <w:tcPr>
            <w:tcW w:w="925" w:type="dxa"/>
            <w:tcBorders>
              <w:top w:val="nil"/>
              <w:left w:val="nil"/>
              <w:bottom w:val="double" w:sz="6" w:space="0" w:color="auto"/>
              <w:right w:val="double" w:sz="6" w:space="0" w:color="auto"/>
            </w:tcBorders>
            <w:shd w:val="clear" w:color="auto" w:fill="auto"/>
            <w:noWrap/>
            <w:vAlign w:val="bottom"/>
            <w:hideMark/>
          </w:tcPr>
          <w:p w14:paraId="12B241C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2,05</w:t>
            </w:r>
          </w:p>
        </w:tc>
        <w:tc>
          <w:tcPr>
            <w:tcW w:w="910" w:type="dxa"/>
            <w:tcBorders>
              <w:top w:val="nil"/>
              <w:left w:val="nil"/>
              <w:bottom w:val="double" w:sz="6" w:space="0" w:color="auto"/>
              <w:right w:val="double" w:sz="6" w:space="0" w:color="auto"/>
            </w:tcBorders>
            <w:shd w:val="clear" w:color="auto" w:fill="auto"/>
            <w:noWrap/>
            <w:vAlign w:val="bottom"/>
            <w:hideMark/>
          </w:tcPr>
          <w:p w14:paraId="5B92A8A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138,96</w:t>
            </w:r>
          </w:p>
        </w:tc>
        <w:tc>
          <w:tcPr>
            <w:tcW w:w="924" w:type="dxa"/>
            <w:tcBorders>
              <w:top w:val="nil"/>
              <w:left w:val="nil"/>
              <w:bottom w:val="double" w:sz="6" w:space="0" w:color="auto"/>
              <w:right w:val="double" w:sz="6" w:space="0" w:color="auto"/>
            </w:tcBorders>
            <w:shd w:val="clear" w:color="auto" w:fill="auto"/>
            <w:noWrap/>
            <w:vAlign w:val="bottom"/>
            <w:hideMark/>
          </w:tcPr>
          <w:p w14:paraId="245D6A2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2,69</w:t>
            </w:r>
          </w:p>
        </w:tc>
        <w:tc>
          <w:tcPr>
            <w:tcW w:w="892" w:type="dxa"/>
            <w:tcBorders>
              <w:top w:val="nil"/>
              <w:left w:val="nil"/>
              <w:bottom w:val="double" w:sz="6" w:space="0" w:color="auto"/>
              <w:right w:val="double" w:sz="6" w:space="0" w:color="auto"/>
            </w:tcBorders>
            <w:shd w:val="clear" w:color="auto" w:fill="auto"/>
            <w:noWrap/>
            <w:vAlign w:val="bottom"/>
            <w:hideMark/>
          </w:tcPr>
          <w:p w14:paraId="2EBD752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107,14</w:t>
            </w:r>
          </w:p>
        </w:tc>
        <w:tc>
          <w:tcPr>
            <w:tcW w:w="925" w:type="dxa"/>
            <w:tcBorders>
              <w:top w:val="nil"/>
              <w:left w:val="nil"/>
              <w:bottom w:val="double" w:sz="6" w:space="0" w:color="auto"/>
              <w:right w:val="double" w:sz="6" w:space="0" w:color="auto"/>
            </w:tcBorders>
            <w:shd w:val="clear" w:color="auto" w:fill="auto"/>
            <w:noWrap/>
            <w:vAlign w:val="bottom"/>
            <w:hideMark/>
          </w:tcPr>
          <w:p w14:paraId="3544ABC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0,74</w:t>
            </w:r>
          </w:p>
        </w:tc>
        <w:tc>
          <w:tcPr>
            <w:tcW w:w="910" w:type="dxa"/>
            <w:tcBorders>
              <w:top w:val="nil"/>
              <w:left w:val="nil"/>
              <w:bottom w:val="double" w:sz="6" w:space="0" w:color="auto"/>
              <w:right w:val="double" w:sz="6" w:space="0" w:color="auto"/>
            </w:tcBorders>
            <w:shd w:val="clear" w:color="auto" w:fill="auto"/>
            <w:noWrap/>
            <w:vAlign w:val="bottom"/>
            <w:hideMark/>
          </w:tcPr>
          <w:p w14:paraId="267F54E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143,52</w:t>
            </w:r>
          </w:p>
        </w:tc>
        <w:tc>
          <w:tcPr>
            <w:tcW w:w="924" w:type="dxa"/>
            <w:tcBorders>
              <w:top w:val="nil"/>
              <w:left w:val="nil"/>
              <w:bottom w:val="double" w:sz="6" w:space="0" w:color="auto"/>
              <w:right w:val="double" w:sz="6" w:space="0" w:color="auto"/>
            </w:tcBorders>
            <w:shd w:val="clear" w:color="auto" w:fill="auto"/>
            <w:noWrap/>
            <w:vAlign w:val="bottom"/>
            <w:hideMark/>
          </w:tcPr>
          <w:p w14:paraId="7DE9DB3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0,79</w:t>
            </w:r>
          </w:p>
        </w:tc>
        <w:tc>
          <w:tcPr>
            <w:tcW w:w="966" w:type="dxa"/>
            <w:tcBorders>
              <w:top w:val="nil"/>
              <w:left w:val="nil"/>
              <w:bottom w:val="double" w:sz="6" w:space="0" w:color="auto"/>
              <w:right w:val="double" w:sz="6" w:space="0" w:color="auto"/>
            </w:tcBorders>
            <w:shd w:val="clear" w:color="auto" w:fill="auto"/>
            <w:noWrap/>
            <w:vAlign w:val="bottom"/>
            <w:hideMark/>
          </w:tcPr>
          <w:p w14:paraId="0F8AD18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379,00</w:t>
            </w:r>
          </w:p>
        </w:tc>
        <w:tc>
          <w:tcPr>
            <w:tcW w:w="924" w:type="dxa"/>
            <w:tcBorders>
              <w:top w:val="nil"/>
              <w:left w:val="nil"/>
              <w:bottom w:val="double" w:sz="6" w:space="0" w:color="auto"/>
              <w:right w:val="double" w:sz="6" w:space="0" w:color="auto"/>
            </w:tcBorders>
            <w:shd w:val="clear" w:color="auto" w:fill="auto"/>
            <w:noWrap/>
            <w:vAlign w:val="bottom"/>
            <w:hideMark/>
          </w:tcPr>
          <w:p w14:paraId="5B93E82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2,47</w:t>
            </w:r>
          </w:p>
        </w:tc>
      </w:tr>
      <w:tr w:rsidR="0017587A" w14:paraId="0F3A127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67A19C6C"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BG</w:t>
            </w:r>
          </w:p>
        </w:tc>
        <w:tc>
          <w:tcPr>
            <w:tcW w:w="1093" w:type="dxa"/>
            <w:tcBorders>
              <w:top w:val="nil"/>
              <w:left w:val="nil"/>
              <w:bottom w:val="double" w:sz="6" w:space="0" w:color="auto"/>
              <w:right w:val="double" w:sz="6" w:space="0" w:color="auto"/>
            </w:tcBorders>
            <w:shd w:val="clear" w:color="auto" w:fill="auto"/>
            <w:noWrap/>
            <w:vAlign w:val="bottom"/>
            <w:hideMark/>
          </w:tcPr>
          <w:p w14:paraId="3DFADA9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22,14</w:t>
            </w:r>
          </w:p>
        </w:tc>
        <w:tc>
          <w:tcPr>
            <w:tcW w:w="1036" w:type="dxa"/>
            <w:tcBorders>
              <w:top w:val="nil"/>
              <w:left w:val="nil"/>
              <w:bottom w:val="double" w:sz="6" w:space="0" w:color="auto"/>
              <w:right w:val="double" w:sz="6" w:space="0" w:color="auto"/>
            </w:tcBorders>
            <w:shd w:val="clear" w:color="auto" w:fill="auto"/>
            <w:noWrap/>
            <w:vAlign w:val="bottom"/>
            <w:hideMark/>
          </w:tcPr>
          <w:p w14:paraId="5BA18AC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F55FB0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52,63</w:t>
            </w:r>
          </w:p>
        </w:tc>
        <w:tc>
          <w:tcPr>
            <w:tcW w:w="925" w:type="dxa"/>
            <w:tcBorders>
              <w:top w:val="nil"/>
              <w:left w:val="nil"/>
              <w:bottom w:val="double" w:sz="6" w:space="0" w:color="auto"/>
              <w:right w:val="double" w:sz="6" w:space="0" w:color="auto"/>
            </w:tcBorders>
            <w:shd w:val="clear" w:color="auto" w:fill="auto"/>
            <w:noWrap/>
            <w:vAlign w:val="bottom"/>
            <w:hideMark/>
          </w:tcPr>
          <w:p w14:paraId="008B929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582441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36,19</w:t>
            </w:r>
          </w:p>
        </w:tc>
        <w:tc>
          <w:tcPr>
            <w:tcW w:w="925" w:type="dxa"/>
            <w:tcBorders>
              <w:top w:val="nil"/>
              <w:left w:val="nil"/>
              <w:bottom w:val="double" w:sz="6" w:space="0" w:color="auto"/>
              <w:right w:val="double" w:sz="6" w:space="0" w:color="auto"/>
            </w:tcBorders>
            <w:shd w:val="clear" w:color="auto" w:fill="auto"/>
            <w:noWrap/>
            <w:vAlign w:val="bottom"/>
            <w:hideMark/>
          </w:tcPr>
          <w:p w14:paraId="717A7BB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0,22</w:t>
            </w:r>
          </w:p>
        </w:tc>
        <w:tc>
          <w:tcPr>
            <w:tcW w:w="910" w:type="dxa"/>
            <w:tcBorders>
              <w:top w:val="nil"/>
              <w:left w:val="nil"/>
              <w:bottom w:val="double" w:sz="6" w:space="0" w:color="auto"/>
              <w:right w:val="double" w:sz="6" w:space="0" w:color="auto"/>
            </w:tcBorders>
            <w:shd w:val="clear" w:color="auto" w:fill="auto"/>
            <w:noWrap/>
            <w:vAlign w:val="bottom"/>
            <w:hideMark/>
          </w:tcPr>
          <w:p w14:paraId="02E93FF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120,91</w:t>
            </w:r>
          </w:p>
        </w:tc>
        <w:tc>
          <w:tcPr>
            <w:tcW w:w="924" w:type="dxa"/>
            <w:tcBorders>
              <w:top w:val="nil"/>
              <w:left w:val="nil"/>
              <w:bottom w:val="double" w:sz="6" w:space="0" w:color="auto"/>
              <w:right w:val="double" w:sz="6" w:space="0" w:color="auto"/>
            </w:tcBorders>
            <w:shd w:val="clear" w:color="auto" w:fill="auto"/>
            <w:noWrap/>
            <w:vAlign w:val="bottom"/>
            <w:hideMark/>
          </w:tcPr>
          <w:p w14:paraId="49485D9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0,91</w:t>
            </w:r>
          </w:p>
        </w:tc>
        <w:tc>
          <w:tcPr>
            <w:tcW w:w="892" w:type="dxa"/>
            <w:tcBorders>
              <w:top w:val="nil"/>
              <w:left w:val="nil"/>
              <w:bottom w:val="double" w:sz="6" w:space="0" w:color="auto"/>
              <w:right w:val="double" w:sz="6" w:space="0" w:color="auto"/>
            </w:tcBorders>
            <w:shd w:val="clear" w:color="auto" w:fill="auto"/>
            <w:noWrap/>
            <w:vAlign w:val="bottom"/>
            <w:hideMark/>
          </w:tcPr>
          <w:p w14:paraId="783C63A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85,08</w:t>
            </w:r>
          </w:p>
        </w:tc>
        <w:tc>
          <w:tcPr>
            <w:tcW w:w="925" w:type="dxa"/>
            <w:tcBorders>
              <w:top w:val="nil"/>
              <w:left w:val="nil"/>
              <w:bottom w:val="double" w:sz="6" w:space="0" w:color="auto"/>
              <w:right w:val="double" w:sz="6" w:space="0" w:color="auto"/>
            </w:tcBorders>
            <w:shd w:val="clear" w:color="auto" w:fill="auto"/>
            <w:noWrap/>
            <w:vAlign w:val="bottom"/>
            <w:hideMark/>
          </w:tcPr>
          <w:p w14:paraId="3FC79B5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0,25</w:t>
            </w:r>
          </w:p>
        </w:tc>
        <w:tc>
          <w:tcPr>
            <w:tcW w:w="910" w:type="dxa"/>
            <w:tcBorders>
              <w:top w:val="nil"/>
              <w:left w:val="nil"/>
              <w:bottom w:val="double" w:sz="6" w:space="0" w:color="auto"/>
              <w:right w:val="double" w:sz="6" w:space="0" w:color="auto"/>
            </w:tcBorders>
            <w:shd w:val="clear" w:color="auto" w:fill="auto"/>
            <w:noWrap/>
            <w:vAlign w:val="bottom"/>
            <w:hideMark/>
          </w:tcPr>
          <w:p w14:paraId="679F2FB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130,15</w:t>
            </w:r>
          </w:p>
        </w:tc>
        <w:tc>
          <w:tcPr>
            <w:tcW w:w="924" w:type="dxa"/>
            <w:tcBorders>
              <w:top w:val="nil"/>
              <w:left w:val="nil"/>
              <w:bottom w:val="double" w:sz="6" w:space="0" w:color="auto"/>
              <w:right w:val="double" w:sz="6" w:space="0" w:color="auto"/>
            </w:tcBorders>
            <w:shd w:val="clear" w:color="auto" w:fill="auto"/>
            <w:noWrap/>
            <w:vAlign w:val="bottom"/>
            <w:hideMark/>
          </w:tcPr>
          <w:p w14:paraId="60F795B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0,27</w:t>
            </w:r>
          </w:p>
        </w:tc>
        <w:tc>
          <w:tcPr>
            <w:tcW w:w="966" w:type="dxa"/>
            <w:tcBorders>
              <w:top w:val="nil"/>
              <w:left w:val="nil"/>
              <w:bottom w:val="double" w:sz="6" w:space="0" w:color="auto"/>
              <w:right w:val="double" w:sz="6" w:space="0" w:color="auto"/>
            </w:tcBorders>
            <w:shd w:val="clear" w:color="auto" w:fill="auto"/>
            <w:noWrap/>
            <w:vAlign w:val="bottom"/>
            <w:hideMark/>
          </w:tcPr>
          <w:p w14:paraId="15386E5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367,34</w:t>
            </w:r>
          </w:p>
        </w:tc>
        <w:tc>
          <w:tcPr>
            <w:tcW w:w="924" w:type="dxa"/>
            <w:tcBorders>
              <w:top w:val="nil"/>
              <w:left w:val="nil"/>
              <w:bottom w:val="double" w:sz="6" w:space="0" w:color="auto"/>
              <w:right w:val="double" w:sz="6" w:space="0" w:color="auto"/>
            </w:tcBorders>
            <w:shd w:val="clear" w:color="auto" w:fill="auto"/>
            <w:noWrap/>
            <w:vAlign w:val="bottom"/>
            <w:hideMark/>
          </w:tcPr>
          <w:p w14:paraId="30ED008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0,83</w:t>
            </w:r>
          </w:p>
        </w:tc>
      </w:tr>
      <w:tr w:rsidR="0017587A" w14:paraId="4FF1C22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1E3F7E9"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CY</w:t>
            </w:r>
          </w:p>
        </w:tc>
        <w:tc>
          <w:tcPr>
            <w:tcW w:w="1093" w:type="dxa"/>
            <w:tcBorders>
              <w:top w:val="nil"/>
              <w:left w:val="nil"/>
              <w:bottom w:val="double" w:sz="6" w:space="0" w:color="auto"/>
              <w:right w:val="double" w:sz="6" w:space="0" w:color="auto"/>
            </w:tcBorders>
            <w:shd w:val="clear" w:color="auto" w:fill="auto"/>
            <w:noWrap/>
            <w:vAlign w:val="bottom"/>
            <w:hideMark/>
          </w:tcPr>
          <w:p w14:paraId="61AA8FD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1,58</w:t>
            </w:r>
          </w:p>
        </w:tc>
        <w:tc>
          <w:tcPr>
            <w:tcW w:w="1036" w:type="dxa"/>
            <w:tcBorders>
              <w:top w:val="nil"/>
              <w:left w:val="nil"/>
              <w:bottom w:val="double" w:sz="6" w:space="0" w:color="auto"/>
              <w:right w:val="double" w:sz="6" w:space="0" w:color="auto"/>
            </w:tcBorders>
            <w:shd w:val="clear" w:color="auto" w:fill="auto"/>
            <w:noWrap/>
            <w:vAlign w:val="bottom"/>
            <w:hideMark/>
          </w:tcPr>
          <w:p w14:paraId="675C2D8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64B5D6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0,35</w:t>
            </w:r>
          </w:p>
        </w:tc>
        <w:tc>
          <w:tcPr>
            <w:tcW w:w="925" w:type="dxa"/>
            <w:tcBorders>
              <w:top w:val="nil"/>
              <w:left w:val="nil"/>
              <w:bottom w:val="double" w:sz="6" w:space="0" w:color="auto"/>
              <w:right w:val="double" w:sz="6" w:space="0" w:color="auto"/>
            </w:tcBorders>
            <w:shd w:val="clear" w:color="auto" w:fill="auto"/>
            <w:noWrap/>
            <w:vAlign w:val="bottom"/>
            <w:hideMark/>
          </w:tcPr>
          <w:p w14:paraId="244AE53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848AD5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0,43</w:t>
            </w:r>
          </w:p>
        </w:tc>
        <w:tc>
          <w:tcPr>
            <w:tcW w:w="925" w:type="dxa"/>
            <w:tcBorders>
              <w:top w:val="nil"/>
              <w:left w:val="nil"/>
              <w:bottom w:val="double" w:sz="6" w:space="0" w:color="auto"/>
              <w:right w:val="double" w:sz="6" w:space="0" w:color="auto"/>
            </w:tcBorders>
            <w:shd w:val="clear" w:color="auto" w:fill="auto"/>
            <w:noWrap/>
            <w:vAlign w:val="bottom"/>
            <w:hideMark/>
          </w:tcPr>
          <w:p w14:paraId="4730046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0,30</w:t>
            </w:r>
          </w:p>
        </w:tc>
        <w:tc>
          <w:tcPr>
            <w:tcW w:w="910" w:type="dxa"/>
            <w:tcBorders>
              <w:top w:val="nil"/>
              <w:left w:val="nil"/>
              <w:bottom w:val="double" w:sz="6" w:space="0" w:color="auto"/>
              <w:right w:val="double" w:sz="6" w:space="0" w:color="auto"/>
            </w:tcBorders>
            <w:shd w:val="clear" w:color="auto" w:fill="auto"/>
            <w:noWrap/>
            <w:vAlign w:val="bottom"/>
            <w:hideMark/>
          </w:tcPr>
          <w:p w14:paraId="1825DD0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24" w:type="dxa"/>
            <w:tcBorders>
              <w:top w:val="nil"/>
              <w:left w:val="nil"/>
              <w:bottom w:val="double" w:sz="6" w:space="0" w:color="auto"/>
              <w:right w:val="double" w:sz="6" w:space="0" w:color="auto"/>
            </w:tcBorders>
            <w:shd w:val="clear" w:color="auto" w:fill="auto"/>
            <w:noWrap/>
            <w:vAlign w:val="bottom"/>
            <w:hideMark/>
          </w:tcPr>
          <w:p w14:paraId="7F9D27D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1,42</w:t>
            </w:r>
          </w:p>
        </w:tc>
        <w:tc>
          <w:tcPr>
            <w:tcW w:w="892" w:type="dxa"/>
            <w:tcBorders>
              <w:top w:val="nil"/>
              <w:left w:val="nil"/>
              <w:bottom w:val="double" w:sz="6" w:space="0" w:color="auto"/>
              <w:right w:val="double" w:sz="6" w:space="0" w:color="auto"/>
            </w:tcBorders>
            <w:shd w:val="clear" w:color="auto" w:fill="auto"/>
            <w:noWrap/>
            <w:vAlign w:val="bottom"/>
            <w:hideMark/>
          </w:tcPr>
          <w:p w14:paraId="4B0D415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14:paraId="569053F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0,39</w:t>
            </w:r>
          </w:p>
        </w:tc>
        <w:tc>
          <w:tcPr>
            <w:tcW w:w="910" w:type="dxa"/>
            <w:tcBorders>
              <w:top w:val="nil"/>
              <w:left w:val="nil"/>
              <w:bottom w:val="double" w:sz="6" w:space="0" w:color="auto"/>
              <w:right w:val="double" w:sz="6" w:space="0" w:color="auto"/>
            </w:tcBorders>
            <w:shd w:val="clear" w:color="auto" w:fill="auto"/>
            <w:noWrap/>
            <w:vAlign w:val="bottom"/>
            <w:hideMark/>
          </w:tcPr>
          <w:p w14:paraId="79F0F3E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6,15</w:t>
            </w:r>
          </w:p>
        </w:tc>
        <w:tc>
          <w:tcPr>
            <w:tcW w:w="924" w:type="dxa"/>
            <w:tcBorders>
              <w:top w:val="nil"/>
              <w:left w:val="nil"/>
              <w:bottom w:val="double" w:sz="6" w:space="0" w:color="auto"/>
              <w:right w:val="double" w:sz="6" w:space="0" w:color="auto"/>
            </w:tcBorders>
            <w:shd w:val="clear" w:color="auto" w:fill="auto"/>
            <w:noWrap/>
            <w:vAlign w:val="bottom"/>
            <w:hideMark/>
          </w:tcPr>
          <w:p w14:paraId="2BC9DD5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0,41</w:t>
            </w:r>
          </w:p>
        </w:tc>
        <w:tc>
          <w:tcPr>
            <w:tcW w:w="966" w:type="dxa"/>
            <w:tcBorders>
              <w:top w:val="nil"/>
              <w:left w:val="nil"/>
              <w:bottom w:val="double" w:sz="6" w:space="0" w:color="auto"/>
              <w:right w:val="double" w:sz="6" w:space="0" w:color="auto"/>
            </w:tcBorders>
            <w:shd w:val="clear" w:color="auto" w:fill="auto"/>
            <w:noWrap/>
            <w:vAlign w:val="bottom"/>
            <w:hideMark/>
          </w:tcPr>
          <w:p w14:paraId="7A3CB575" w14:textId="77777777" w:rsidR="0017587A" w:rsidRDefault="00E55173">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 xml:space="preserve">24,66 </w:t>
            </w:r>
          </w:p>
        </w:tc>
        <w:tc>
          <w:tcPr>
            <w:tcW w:w="924" w:type="dxa"/>
            <w:tcBorders>
              <w:top w:val="nil"/>
              <w:left w:val="nil"/>
              <w:bottom w:val="double" w:sz="6" w:space="0" w:color="auto"/>
              <w:right w:val="double" w:sz="6" w:space="0" w:color="auto"/>
            </w:tcBorders>
            <w:shd w:val="clear" w:color="auto" w:fill="auto"/>
            <w:noWrap/>
            <w:vAlign w:val="bottom"/>
            <w:hideMark/>
          </w:tcPr>
          <w:p w14:paraId="060A307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1,30</w:t>
            </w:r>
          </w:p>
        </w:tc>
      </w:tr>
      <w:tr w:rsidR="0017587A" w14:paraId="1B7EB02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8B26794"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HR</w:t>
            </w:r>
          </w:p>
        </w:tc>
        <w:tc>
          <w:tcPr>
            <w:tcW w:w="1093" w:type="dxa"/>
            <w:tcBorders>
              <w:top w:val="nil"/>
              <w:left w:val="nil"/>
              <w:bottom w:val="double" w:sz="6" w:space="0" w:color="auto"/>
              <w:right w:val="double" w:sz="6" w:space="0" w:color="auto"/>
            </w:tcBorders>
            <w:shd w:val="clear" w:color="auto" w:fill="auto"/>
            <w:noWrap/>
            <w:vAlign w:val="bottom"/>
            <w:hideMark/>
          </w:tcPr>
          <w:p w14:paraId="3F3C539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085F6B8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FACB8D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14:paraId="303BDCA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38DF17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14:paraId="7775AF3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10" w:type="dxa"/>
            <w:tcBorders>
              <w:top w:val="nil"/>
              <w:left w:val="nil"/>
              <w:bottom w:val="double" w:sz="6" w:space="0" w:color="auto"/>
              <w:right w:val="double" w:sz="6" w:space="0" w:color="auto"/>
            </w:tcBorders>
            <w:shd w:val="clear" w:color="auto" w:fill="auto"/>
            <w:noWrap/>
            <w:vAlign w:val="bottom"/>
            <w:hideMark/>
          </w:tcPr>
          <w:p w14:paraId="78D0696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86,40</w:t>
            </w:r>
          </w:p>
        </w:tc>
        <w:tc>
          <w:tcPr>
            <w:tcW w:w="924" w:type="dxa"/>
            <w:tcBorders>
              <w:top w:val="nil"/>
              <w:left w:val="nil"/>
              <w:bottom w:val="double" w:sz="6" w:space="0" w:color="auto"/>
              <w:right w:val="double" w:sz="6" w:space="0" w:color="auto"/>
            </w:tcBorders>
            <w:shd w:val="clear" w:color="auto" w:fill="auto"/>
            <w:noWrap/>
            <w:vAlign w:val="bottom"/>
            <w:hideMark/>
          </w:tcPr>
          <w:p w14:paraId="6E69C30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0,49</w:t>
            </w:r>
          </w:p>
        </w:tc>
        <w:tc>
          <w:tcPr>
            <w:tcW w:w="892" w:type="dxa"/>
            <w:tcBorders>
              <w:top w:val="nil"/>
              <w:left w:val="nil"/>
              <w:bottom w:val="double" w:sz="6" w:space="0" w:color="auto"/>
              <w:right w:val="double" w:sz="6" w:space="0" w:color="auto"/>
            </w:tcBorders>
            <w:shd w:val="clear" w:color="auto" w:fill="auto"/>
            <w:noWrap/>
            <w:vAlign w:val="bottom"/>
            <w:hideMark/>
          </w:tcPr>
          <w:p w14:paraId="6A6BDF8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20,09</w:t>
            </w:r>
          </w:p>
        </w:tc>
        <w:tc>
          <w:tcPr>
            <w:tcW w:w="925" w:type="dxa"/>
            <w:tcBorders>
              <w:top w:val="nil"/>
              <w:left w:val="nil"/>
              <w:bottom w:val="double" w:sz="6" w:space="0" w:color="auto"/>
              <w:right w:val="double" w:sz="6" w:space="0" w:color="auto"/>
            </w:tcBorders>
            <w:shd w:val="clear" w:color="auto" w:fill="auto"/>
            <w:noWrap/>
            <w:vAlign w:val="bottom"/>
            <w:hideMark/>
          </w:tcPr>
          <w:p w14:paraId="476BEF6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0,16</w:t>
            </w:r>
          </w:p>
        </w:tc>
        <w:tc>
          <w:tcPr>
            <w:tcW w:w="910" w:type="dxa"/>
            <w:tcBorders>
              <w:top w:val="nil"/>
              <w:left w:val="nil"/>
              <w:bottom w:val="double" w:sz="6" w:space="0" w:color="auto"/>
              <w:right w:val="double" w:sz="6" w:space="0" w:color="auto"/>
            </w:tcBorders>
            <w:shd w:val="clear" w:color="auto" w:fill="auto"/>
            <w:noWrap/>
            <w:vAlign w:val="bottom"/>
            <w:hideMark/>
          </w:tcPr>
          <w:p w14:paraId="12CB16D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26,97</w:t>
            </w:r>
          </w:p>
        </w:tc>
        <w:tc>
          <w:tcPr>
            <w:tcW w:w="924" w:type="dxa"/>
            <w:tcBorders>
              <w:top w:val="nil"/>
              <w:left w:val="nil"/>
              <w:bottom w:val="double" w:sz="6" w:space="0" w:color="auto"/>
              <w:right w:val="double" w:sz="6" w:space="0" w:color="auto"/>
            </w:tcBorders>
            <w:shd w:val="clear" w:color="auto" w:fill="auto"/>
            <w:noWrap/>
            <w:vAlign w:val="bottom"/>
            <w:hideMark/>
          </w:tcPr>
          <w:p w14:paraId="1437C4D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0,18</w:t>
            </w:r>
          </w:p>
        </w:tc>
        <w:tc>
          <w:tcPr>
            <w:tcW w:w="966" w:type="dxa"/>
            <w:tcBorders>
              <w:top w:val="nil"/>
              <w:left w:val="nil"/>
              <w:bottom w:val="double" w:sz="6" w:space="0" w:color="auto"/>
              <w:right w:val="double" w:sz="6" w:space="0" w:color="auto"/>
            </w:tcBorders>
            <w:shd w:val="clear" w:color="auto" w:fill="auto"/>
            <w:noWrap/>
            <w:vAlign w:val="bottom"/>
            <w:hideMark/>
          </w:tcPr>
          <w:p w14:paraId="3A884A2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70,96</w:t>
            </w:r>
          </w:p>
        </w:tc>
        <w:tc>
          <w:tcPr>
            <w:tcW w:w="924" w:type="dxa"/>
            <w:tcBorders>
              <w:top w:val="nil"/>
              <w:left w:val="nil"/>
              <w:bottom w:val="double" w:sz="6" w:space="0" w:color="auto"/>
              <w:right w:val="double" w:sz="6" w:space="0" w:color="auto"/>
            </w:tcBorders>
            <w:shd w:val="clear" w:color="auto" w:fill="auto"/>
            <w:noWrap/>
            <w:vAlign w:val="bottom"/>
            <w:hideMark/>
          </w:tcPr>
          <w:p w14:paraId="1992457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0,55</w:t>
            </w:r>
          </w:p>
        </w:tc>
      </w:tr>
      <w:tr w:rsidR="0017587A" w14:paraId="31A9D934"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6638B988"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CZ</w:t>
            </w:r>
          </w:p>
        </w:tc>
        <w:tc>
          <w:tcPr>
            <w:tcW w:w="1093" w:type="dxa"/>
            <w:tcBorders>
              <w:top w:val="nil"/>
              <w:left w:val="nil"/>
              <w:bottom w:val="double" w:sz="6" w:space="0" w:color="auto"/>
              <w:right w:val="double" w:sz="6" w:space="0" w:color="auto"/>
            </w:tcBorders>
            <w:shd w:val="clear" w:color="auto" w:fill="auto"/>
            <w:noWrap/>
            <w:vAlign w:val="bottom"/>
            <w:hideMark/>
          </w:tcPr>
          <w:p w14:paraId="29328FC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13C31C1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F1A554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14:paraId="70478A3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38D797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55,24</w:t>
            </w:r>
          </w:p>
        </w:tc>
        <w:tc>
          <w:tcPr>
            <w:tcW w:w="925" w:type="dxa"/>
            <w:tcBorders>
              <w:top w:val="nil"/>
              <w:left w:val="nil"/>
              <w:bottom w:val="double" w:sz="6" w:space="0" w:color="auto"/>
              <w:right w:val="double" w:sz="6" w:space="0" w:color="auto"/>
            </w:tcBorders>
            <w:shd w:val="clear" w:color="auto" w:fill="auto"/>
            <w:noWrap/>
            <w:vAlign w:val="bottom"/>
            <w:hideMark/>
          </w:tcPr>
          <w:p w14:paraId="657A2AF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0,47</w:t>
            </w:r>
          </w:p>
        </w:tc>
        <w:tc>
          <w:tcPr>
            <w:tcW w:w="910" w:type="dxa"/>
            <w:tcBorders>
              <w:top w:val="nil"/>
              <w:left w:val="nil"/>
              <w:bottom w:val="double" w:sz="6" w:space="0" w:color="auto"/>
              <w:right w:val="double" w:sz="6" w:space="0" w:color="auto"/>
            </w:tcBorders>
            <w:shd w:val="clear" w:color="auto" w:fill="auto"/>
            <w:noWrap/>
            <w:vAlign w:val="bottom"/>
            <w:hideMark/>
          </w:tcPr>
          <w:p w14:paraId="1ACE2F6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110,30</w:t>
            </w:r>
          </w:p>
        </w:tc>
        <w:tc>
          <w:tcPr>
            <w:tcW w:w="924" w:type="dxa"/>
            <w:tcBorders>
              <w:top w:val="nil"/>
              <w:left w:val="nil"/>
              <w:bottom w:val="double" w:sz="6" w:space="0" w:color="auto"/>
              <w:right w:val="double" w:sz="6" w:space="0" w:color="auto"/>
            </w:tcBorders>
            <w:shd w:val="clear" w:color="auto" w:fill="auto"/>
            <w:noWrap/>
            <w:vAlign w:val="bottom"/>
            <w:hideMark/>
          </w:tcPr>
          <w:p w14:paraId="72FE343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1,20</w:t>
            </w:r>
          </w:p>
        </w:tc>
        <w:tc>
          <w:tcPr>
            <w:tcW w:w="892" w:type="dxa"/>
            <w:tcBorders>
              <w:top w:val="nil"/>
              <w:left w:val="nil"/>
              <w:bottom w:val="double" w:sz="6" w:space="0" w:color="auto"/>
              <w:right w:val="double" w:sz="6" w:space="0" w:color="auto"/>
            </w:tcBorders>
            <w:shd w:val="clear" w:color="auto" w:fill="auto"/>
            <w:noWrap/>
            <w:vAlign w:val="bottom"/>
            <w:hideMark/>
          </w:tcPr>
          <w:p w14:paraId="1D256CE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117,63</w:t>
            </w:r>
          </w:p>
        </w:tc>
        <w:tc>
          <w:tcPr>
            <w:tcW w:w="925" w:type="dxa"/>
            <w:tcBorders>
              <w:top w:val="nil"/>
              <w:left w:val="nil"/>
              <w:bottom w:val="double" w:sz="6" w:space="0" w:color="auto"/>
              <w:right w:val="double" w:sz="6" w:space="0" w:color="auto"/>
            </w:tcBorders>
            <w:shd w:val="clear" w:color="auto" w:fill="auto"/>
            <w:noWrap/>
            <w:vAlign w:val="bottom"/>
            <w:hideMark/>
          </w:tcPr>
          <w:p w14:paraId="3FD0CF9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0,33</w:t>
            </w:r>
          </w:p>
        </w:tc>
        <w:tc>
          <w:tcPr>
            <w:tcW w:w="910" w:type="dxa"/>
            <w:tcBorders>
              <w:top w:val="nil"/>
              <w:left w:val="nil"/>
              <w:bottom w:val="double" w:sz="6" w:space="0" w:color="auto"/>
              <w:right w:val="double" w:sz="6" w:space="0" w:color="auto"/>
            </w:tcBorders>
            <w:shd w:val="clear" w:color="auto" w:fill="auto"/>
            <w:noWrap/>
            <w:vAlign w:val="bottom"/>
            <w:hideMark/>
          </w:tcPr>
          <w:p w14:paraId="48B8814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199,43</w:t>
            </w:r>
          </w:p>
        </w:tc>
        <w:tc>
          <w:tcPr>
            <w:tcW w:w="924" w:type="dxa"/>
            <w:tcBorders>
              <w:top w:val="nil"/>
              <w:left w:val="nil"/>
              <w:bottom w:val="double" w:sz="6" w:space="0" w:color="auto"/>
              <w:right w:val="double" w:sz="6" w:space="0" w:color="auto"/>
            </w:tcBorders>
            <w:shd w:val="clear" w:color="auto" w:fill="auto"/>
            <w:noWrap/>
            <w:vAlign w:val="bottom"/>
            <w:hideMark/>
          </w:tcPr>
          <w:p w14:paraId="6943C40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0,35</w:t>
            </w:r>
          </w:p>
        </w:tc>
        <w:tc>
          <w:tcPr>
            <w:tcW w:w="966" w:type="dxa"/>
            <w:tcBorders>
              <w:top w:val="nil"/>
              <w:left w:val="nil"/>
              <w:bottom w:val="double" w:sz="6" w:space="0" w:color="auto"/>
              <w:right w:val="double" w:sz="6" w:space="0" w:color="auto"/>
            </w:tcBorders>
            <w:shd w:val="clear" w:color="auto" w:fill="auto"/>
            <w:noWrap/>
            <w:vAlign w:val="bottom"/>
            <w:hideMark/>
          </w:tcPr>
          <w:p w14:paraId="67C40E77" w14:textId="77777777" w:rsidR="0017587A" w:rsidRDefault="00E55173">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 xml:space="preserve">583,33 </w:t>
            </w:r>
          </w:p>
        </w:tc>
        <w:tc>
          <w:tcPr>
            <w:tcW w:w="924" w:type="dxa"/>
            <w:tcBorders>
              <w:top w:val="nil"/>
              <w:left w:val="nil"/>
              <w:bottom w:val="double" w:sz="6" w:space="0" w:color="auto"/>
              <w:right w:val="double" w:sz="6" w:space="0" w:color="auto"/>
            </w:tcBorders>
            <w:shd w:val="clear" w:color="auto" w:fill="auto"/>
            <w:noWrap/>
            <w:vAlign w:val="bottom"/>
            <w:hideMark/>
          </w:tcPr>
          <w:p w14:paraId="676BE7D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1,10</w:t>
            </w:r>
          </w:p>
        </w:tc>
      </w:tr>
      <w:tr w:rsidR="0017587A" w14:paraId="1A93B58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tcPr>
          <w:p w14:paraId="5BFE7F46" w14:textId="77777777" w:rsidR="0017587A" w:rsidRDefault="005C0D84">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DE</w:t>
            </w:r>
          </w:p>
        </w:tc>
        <w:tc>
          <w:tcPr>
            <w:tcW w:w="1093" w:type="dxa"/>
            <w:tcBorders>
              <w:top w:val="nil"/>
              <w:left w:val="nil"/>
              <w:bottom w:val="double" w:sz="6" w:space="0" w:color="auto"/>
              <w:right w:val="double" w:sz="6" w:space="0" w:color="auto"/>
            </w:tcBorders>
            <w:shd w:val="clear" w:color="auto" w:fill="auto"/>
            <w:noWrap/>
            <w:vAlign w:val="bottom"/>
          </w:tcPr>
          <w:p w14:paraId="4D658309" w14:textId="77777777" w:rsidR="0017587A"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166,18</w:t>
            </w:r>
          </w:p>
        </w:tc>
        <w:tc>
          <w:tcPr>
            <w:tcW w:w="1036" w:type="dxa"/>
            <w:tcBorders>
              <w:top w:val="nil"/>
              <w:left w:val="nil"/>
              <w:bottom w:val="double" w:sz="6" w:space="0" w:color="auto"/>
              <w:right w:val="double" w:sz="6" w:space="0" w:color="auto"/>
            </w:tcBorders>
            <w:shd w:val="clear" w:color="auto" w:fill="auto"/>
            <w:noWrap/>
            <w:vAlign w:val="bottom"/>
          </w:tcPr>
          <w:p w14:paraId="4A60CB9B" w14:textId="77777777" w:rsidR="0017587A"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17,52</w:t>
            </w:r>
          </w:p>
        </w:tc>
        <w:tc>
          <w:tcPr>
            <w:tcW w:w="892" w:type="dxa"/>
            <w:tcBorders>
              <w:top w:val="nil"/>
              <w:left w:val="nil"/>
              <w:bottom w:val="double" w:sz="6" w:space="0" w:color="auto"/>
              <w:right w:val="double" w:sz="6" w:space="0" w:color="auto"/>
            </w:tcBorders>
            <w:shd w:val="clear" w:color="auto" w:fill="auto"/>
            <w:noWrap/>
            <w:vAlign w:val="bottom"/>
          </w:tcPr>
          <w:p w14:paraId="7E6FE341" w14:textId="77777777" w:rsidR="0017587A"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791,25</w:t>
            </w:r>
          </w:p>
        </w:tc>
        <w:tc>
          <w:tcPr>
            <w:tcW w:w="925" w:type="dxa"/>
            <w:tcBorders>
              <w:top w:val="nil"/>
              <w:left w:val="nil"/>
              <w:bottom w:val="double" w:sz="6" w:space="0" w:color="auto"/>
              <w:right w:val="double" w:sz="6" w:space="0" w:color="auto"/>
            </w:tcBorders>
            <w:shd w:val="clear" w:color="auto" w:fill="auto"/>
            <w:noWrap/>
            <w:vAlign w:val="bottom"/>
          </w:tcPr>
          <w:p w14:paraId="256E2EAC" w14:textId="77777777" w:rsidR="0017587A"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tcPr>
          <w:p w14:paraId="0F015248" w14:textId="77777777" w:rsidR="0017587A"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749,97</w:t>
            </w:r>
          </w:p>
        </w:tc>
        <w:tc>
          <w:tcPr>
            <w:tcW w:w="925" w:type="dxa"/>
            <w:tcBorders>
              <w:top w:val="nil"/>
              <w:left w:val="nil"/>
              <w:bottom w:val="double" w:sz="6" w:space="0" w:color="auto"/>
              <w:right w:val="double" w:sz="6" w:space="0" w:color="auto"/>
            </w:tcBorders>
            <w:shd w:val="clear" w:color="auto" w:fill="auto"/>
            <w:noWrap/>
            <w:vAlign w:val="bottom"/>
          </w:tcPr>
          <w:p w14:paraId="40BE46CF" w14:textId="77777777" w:rsidR="0017587A"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10" w:type="dxa"/>
            <w:tcBorders>
              <w:top w:val="nil"/>
              <w:left w:val="nil"/>
              <w:bottom w:val="double" w:sz="6" w:space="0" w:color="auto"/>
              <w:right w:val="double" w:sz="6" w:space="0" w:color="auto"/>
            </w:tcBorders>
            <w:shd w:val="clear" w:color="auto" w:fill="auto"/>
            <w:noWrap/>
            <w:vAlign w:val="bottom"/>
          </w:tcPr>
          <w:p w14:paraId="5EAF44F2" w14:textId="77777777" w:rsidR="0017587A"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1093,31</w:t>
            </w:r>
          </w:p>
        </w:tc>
        <w:tc>
          <w:tcPr>
            <w:tcW w:w="924" w:type="dxa"/>
            <w:tcBorders>
              <w:top w:val="nil"/>
              <w:left w:val="nil"/>
              <w:bottom w:val="double" w:sz="6" w:space="0" w:color="auto"/>
              <w:right w:val="double" w:sz="6" w:space="0" w:color="auto"/>
            </w:tcBorders>
            <w:shd w:val="clear" w:color="auto" w:fill="auto"/>
            <w:noWrap/>
            <w:vAlign w:val="bottom"/>
          </w:tcPr>
          <w:p w14:paraId="04F4D847" w14:textId="77777777" w:rsidR="0017587A"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16,87</w:t>
            </w:r>
          </w:p>
        </w:tc>
        <w:tc>
          <w:tcPr>
            <w:tcW w:w="892" w:type="dxa"/>
            <w:tcBorders>
              <w:top w:val="nil"/>
              <w:left w:val="nil"/>
              <w:bottom w:val="double" w:sz="6" w:space="0" w:color="auto"/>
              <w:right w:val="double" w:sz="6" w:space="0" w:color="auto"/>
            </w:tcBorders>
            <w:shd w:val="clear" w:color="auto" w:fill="auto"/>
            <w:noWrap/>
            <w:vAlign w:val="bottom"/>
          </w:tcPr>
          <w:p w14:paraId="4019BF89" w14:textId="77777777" w:rsidR="0017587A"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845,74</w:t>
            </w:r>
          </w:p>
        </w:tc>
        <w:tc>
          <w:tcPr>
            <w:tcW w:w="925" w:type="dxa"/>
            <w:tcBorders>
              <w:top w:val="nil"/>
              <w:left w:val="nil"/>
              <w:bottom w:val="double" w:sz="6" w:space="0" w:color="auto"/>
              <w:right w:val="double" w:sz="6" w:space="0" w:color="auto"/>
            </w:tcBorders>
            <w:shd w:val="clear" w:color="auto" w:fill="auto"/>
            <w:noWrap/>
            <w:vAlign w:val="bottom"/>
          </w:tcPr>
          <w:p w14:paraId="36D5B6E6" w14:textId="77777777" w:rsidR="0017587A"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4,65</w:t>
            </w:r>
          </w:p>
        </w:tc>
        <w:tc>
          <w:tcPr>
            <w:tcW w:w="910" w:type="dxa"/>
            <w:tcBorders>
              <w:top w:val="nil"/>
              <w:left w:val="nil"/>
              <w:bottom w:val="double" w:sz="6" w:space="0" w:color="auto"/>
              <w:right w:val="double" w:sz="6" w:space="0" w:color="auto"/>
            </w:tcBorders>
            <w:shd w:val="clear" w:color="auto" w:fill="auto"/>
            <w:noWrap/>
            <w:vAlign w:val="bottom"/>
          </w:tcPr>
          <w:p w14:paraId="3FD65E03" w14:textId="77777777" w:rsidR="0017587A"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1141,74</w:t>
            </w:r>
          </w:p>
        </w:tc>
        <w:tc>
          <w:tcPr>
            <w:tcW w:w="924" w:type="dxa"/>
            <w:tcBorders>
              <w:top w:val="nil"/>
              <w:left w:val="nil"/>
              <w:bottom w:val="double" w:sz="6" w:space="0" w:color="auto"/>
              <w:right w:val="double" w:sz="6" w:space="0" w:color="auto"/>
            </w:tcBorders>
            <w:shd w:val="clear" w:color="auto" w:fill="auto"/>
            <w:noWrap/>
            <w:vAlign w:val="bottom"/>
          </w:tcPr>
          <w:p w14:paraId="1DE1655F" w14:textId="77777777" w:rsidR="0017587A"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5,07</w:t>
            </w:r>
          </w:p>
        </w:tc>
        <w:tc>
          <w:tcPr>
            <w:tcW w:w="966" w:type="dxa"/>
            <w:tcBorders>
              <w:top w:val="nil"/>
              <w:left w:val="nil"/>
              <w:bottom w:val="double" w:sz="6" w:space="0" w:color="auto"/>
              <w:right w:val="double" w:sz="6" w:space="0" w:color="auto"/>
            </w:tcBorders>
            <w:shd w:val="clear" w:color="auto" w:fill="auto"/>
            <w:noWrap/>
            <w:vAlign w:val="bottom"/>
          </w:tcPr>
          <w:p w14:paraId="6AFA9D8A" w14:textId="77777777" w:rsidR="0017587A"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2565,34</w:t>
            </w:r>
          </w:p>
        </w:tc>
        <w:tc>
          <w:tcPr>
            <w:tcW w:w="924" w:type="dxa"/>
            <w:tcBorders>
              <w:top w:val="nil"/>
              <w:left w:val="nil"/>
              <w:bottom w:val="double" w:sz="6" w:space="0" w:color="auto"/>
              <w:right w:val="double" w:sz="6" w:space="0" w:color="auto"/>
            </w:tcBorders>
            <w:shd w:val="clear" w:color="auto" w:fill="auto"/>
            <w:noWrap/>
            <w:vAlign w:val="bottom"/>
          </w:tcPr>
          <w:p w14:paraId="2B7AA188" w14:textId="77777777" w:rsidR="0017587A" w:rsidRDefault="005C0D84">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16,31</w:t>
            </w:r>
          </w:p>
        </w:tc>
      </w:tr>
      <w:tr w:rsidR="0017587A" w14:paraId="2CB3AA90"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FA89F37" w14:textId="77777777" w:rsidR="0017587A" w:rsidRDefault="00524AA2">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DK</w:t>
            </w:r>
          </w:p>
        </w:tc>
        <w:tc>
          <w:tcPr>
            <w:tcW w:w="1093" w:type="dxa"/>
            <w:tcBorders>
              <w:top w:val="nil"/>
              <w:left w:val="nil"/>
              <w:bottom w:val="double" w:sz="6" w:space="0" w:color="auto"/>
              <w:right w:val="double" w:sz="6" w:space="0" w:color="auto"/>
            </w:tcBorders>
            <w:shd w:val="clear" w:color="auto" w:fill="auto"/>
            <w:noWrap/>
            <w:vAlign w:val="bottom"/>
            <w:hideMark/>
          </w:tcPr>
          <w:p w14:paraId="72F0D54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1,07</w:t>
            </w:r>
          </w:p>
        </w:tc>
        <w:tc>
          <w:tcPr>
            <w:tcW w:w="1036" w:type="dxa"/>
            <w:tcBorders>
              <w:top w:val="nil"/>
              <w:left w:val="nil"/>
              <w:bottom w:val="double" w:sz="6" w:space="0" w:color="auto"/>
              <w:right w:val="double" w:sz="6" w:space="0" w:color="auto"/>
            </w:tcBorders>
            <w:shd w:val="clear" w:color="auto" w:fill="auto"/>
            <w:noWrap/>
            <w:vAlign w:val="bottom"/>
            <w:hideMark/>
          </w:tcPr>
          <w:p w14:paraId="1C32C58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2D0C9D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56,06</w:t>
            </w:r>
          </w:p>
        </w:tc>
        <w:tc>
          <w:tcPr>
            <w:tcW w:w="925" w:type="dxa"/>
            <w:tcBorders>
              <w:top w:val="nil"/>
              <w:left w:val="nil"/>
              <w:bottom w:val="double" w:sz="6" w:space="0" w:color="auto"/>
              <w:right w:val="double" w:sz="6" w:space="0" w:color="auto"/>
            </w:tcBorders>
            <w:shd w:val="clear" w:color="auto" w:fill="auto"/>
            <w:noWrap/>
            <w:vAlign w:val="bottom"/>
            <w:hideMark/>
          </w:tcPr>
          <w:p w14:paraId="7EDC62B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7C330D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46,93</w:t>
            </w:r>
          </w:p>
        </w:tc>
        <w:tc>
          <w:tcPr>
            <w:tcW w:w="925" w:type="dxa"/>
            <w:tcBorders>
              <w:top w:val="nil"/>
              <w:left w:val="nil"/>
              <w:bottom w:val="double" w:sz="6" w:space="0" w:color="auto"/>
              <w:right w:val="double" w:sz="6" w:space="0" w:color="auto"/>
            </w:tcBorders>
            <w:shd w:val="clear" w:color="auto" w:fill="auto"/>
            <w:noWrap/>
            <w:vAlign w:val="bottom"/>
            <w:hideMark/>
          </w:tcPr>
          <w:p w14:paraId="46356A6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1,16</w:t>
            </w:r>
          </w:p>
        </w:tc>
        <w:tc>
          <w:tcPr>
            <w:tcW w:w="910" w:type="dxa"/>
            <w:tcBorders>
              <w:top w:val="nil"/>
              <w:left w:val="nil"/>
              <w:bottom w:val="double" w:sz="6" w:space="0" w:color="auto"/>
              <w:right w:val="double" w:sz="6" w:space="0" w:color="auto"/>
            </w:tcBorders>
            <w:shd w:val="clear" w:color="auto" w:fill="auto"/>
            <w:noWrap/>
            <w:vAlign w:val="bottom"/>
            <w:hideMark/>
          </w:tcPr>
          <w:p w14:paraId="0A405B3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68,64</w:t>
            </w:r>
          </w:p>
        </w:tc>
        <w:tc>
          <w:tcPr>
            <w:tcW w:w="924" w:type="dxa"/>
            <w:tcBorders>
              <w:top w:val="nil"/>
              <w:left w:val="nil"/>
              <w:bottom w:val="double" w:sz="6" w:space="0" w:color="auto"/>
              <w:right w:val="double" w:sz="6" w:space="0" w:color="auto"/>
            </w:tcBorders>
            <w:shd w:val="clear" w:color="auto" w:fill="auto"/>
            <w:noWrap/>
            <w:vAlign w:val="bottom"/>
            <w:hideMark/>
          </w:tcPr>
          <w:p w14:paraId="61F75C3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2,71</w:t>
            </w:r>
          </w:p>
        </w:tc>
        <w:tc>
          <w:tcPr>
            <w:tcW w:w="892" w:type="dxa"/>
            <w:tcBorders>
              <w:top w:val="nil"/>
              <w:left w:val="nil"/>
              <w:bottom w:val="double" w:sz="6" w:space="0" w:color="auto"/>
              <w:right w:val="double" w:sz="6" w:space="0" w:color="auto"/>
            </w:tcBorders>
            <w:shd w:val="clear" w:color="auto" w:fill="auto"/>
            <w:noWrap/>
            <w:vAlign w:val="bottom"/>
            <w:hideMark/>
          </w:tcPr>
          <w:p w14:paraId="699975A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52,93</w:t>
            </w:r>
          </w:p>
        </w:tc>
        <w:tc>
          <w:tcPr>
            <w:tcW w:w="925" w:type="dxa"/>
            <w:tcBorders>
              <w:top w:val="nil"/>
              <w:left w:val="nil"/>
              <w:bottom w:val="double" w:sz="6" w:space="0" w:color="auto"/>
              <w:right w:val="double" w:sz="6" w:space="0" w:color="auto"/>
            </w:tcBorders>
            <w:shd w:val="clear" w:color="auto" w:fill="auto"/>
            <w:noWrap/>
            <w:vAlign w:val="bottom"/>
            <w:hideMark/>
          </w:tcPr>
          <w:p w14:paraId="3F43996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0,74</w:t>
            </w:r>
          </w:p>
        </w:tc>
        <w:tc>
          <w:tcPr>
            <w:tcW w:w="910" w:type="dxa"/>
            <w:tcBorders>
              <w:top w:val="nil"/>
              <w:left w:val="nil"/>
              <w:bottom w:val="double" w:sz="6" w:space="0" w:color="auto"/>
              <w:right w:val="double" w:sz="6" w:space="0" w:color="auto"/>
            </w:tcBorders>
            <w:shd w:val="clear" w:color="auto" w:fill="auto"/>
            <w:noWrap/>
            <w:vAlign w:val="bottom"/>
            <w:hideMark/>
          </w:tcPr>
          <w:p w14:paraId="1F60E96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70,93</w:t>
            </w:r>
          </w:p>
        </w:tc>
        <w:tc>
          <w:tcPr>
            <w:tcW w:w="924" w:type="dxa"/>
            <w:tcBorders>
              <w:top w:val="nil"/>
              <w:left w:val="nil"/>
              <w:bottom w:val="double" w:sz="6" w:space="0" w:color="auto"/>
              <w:right w:val="double" w:sz="6" w:space="0" w:color="auto"/>
            </w:tcBorders>
            <w:shd w:val="clear" w:color="auto" w:fill="auto"/>
            <w:noWrap/>
            <w:vAlign w:val="bottom"/>
            <w:hideMark/>
          </w:tcPr>
          <w:p w14:paraId="63E7A86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0,79</w:t>
            </w:r>
          </w:p>
        </w:tc>
        <w:tc>
          <w:tcPr>
            <w:tcW w:w="966" w:type="dxa"/>
            <w:tcBorders>
              <w:top w:val="nil"/>
              <w:left w:val="nil"/>
              <w:bottom w:val="double" w:sz="6" w:space="0" w:color="auto"/>
              <w:right w:val="double" w:sz="6" w:space="0" w:color="auto"/>
            </w:tcBorders>
            <w:shd w:val="clear" w:color="auto" w:fill="auto"/>
            <w:noWrap/>
            <w:vAlign w:val="bottom"/>
            <w:hideMark/>
          </w:tcPr>
          <w:p w14:paraId="49336A6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187,32</w:t>
            </w:r>
          </w:p>
        </w:tc>
        <w:tc>
          <w:tcPr>
            <w:tcW w:w="924" w:type="dxa"/>
            <w:tcBorders>
              <w:top w:val="nil"/>
              <w:left w:val="nil"/>
              <w:bottom w:val="double" w:sz="6" w:space="0" w:color="auto"/>
              <w:right w:val="double" w:sz="6" w:space="0" w:color="auto"/>
            </w:tcBorders>
            <w:shd w:val="clear" w:color="auto" w:fill="auto"/>
            <w:noWrap/>
            <w:vAlign w:val="bottom"/>
            <w:hideMark/>
          </w:tcPr>
          <w:p w14:paraId="5485D11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2,48</w:t>
            </w:r>
          </w:p>
        </w:tc>
      </w:tr>
      <w:tr w:rsidR="0017587A" w14:paraId="5422B39A"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3A3212B"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EE</w:t>
            </w:r>
          </w:p>
        </w:tc>
        <w:tc>
          <w:tcPr>
            <w:tcW w:w="1093" w:type="dxa"/>
            <w:tcBorders>
              <w:top w:val="nil"/>
              <w:left w:val="nil"/>
              <w:bottom w:val="double" w:sz="6" w:space="0" w:color="auto"/>
              <w:right w:val="double" w:sz="6" w:space="0" w:color="auto"/>
            </w:tcBorders>
            <w:shd w:val="clear" w:color="auto" w:fill="auto"/>
            <w:noWrap/>
            <w:vAlign w:val="bottom"/>
            <w:hideMark/>
          </w:tcPr>
          <w:p w14:paraId="243C33B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34986C5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681FBC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18,07</w:t>
            </w:r>
          </w:p>
        </w:tc>
        <w:tc>
          <w:tcPr>
            <w:tcW w:w="925" w:type="dxa"/>
            <w:tcBorders>
              <w:top w:val="nil"/>
              <w:left w:val="nil"/>
              <w:bottom w:val="double" w:sz="6" w:space="0" w:color="auto"/>
              <w:right w:val="double" w:sz="6" w:space="0" w:color="auto"/>
            </w:tcBorders>
            <w:shd w:val="clear" w:color="auto" w:fill="auto"/>
            <w:noWrap/>
            <w:vAlign w:val="bottom"/>
            <w:hideMark/>
          </w:tcPr>
          <w:p w14:paraId="53A60DB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469E7D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7,41</w:t>
            </w:r>
          </w:p>
        </w:tc>
        <w:tc>
          <w:tcPr>
            <w:tcW w:w="925" w:type="dxa"/>
            <w:tcBorders>
              <w:top w:val="nil"/>
              <w:left w:val="nil"/>
              <w:bottom w:val="double" w:sz="6" w:space="0" w:color="auto"/>
              <w:right w:val="double" w:sz="6" w:space="0" w:color="auto"/>
            </w:tcBorders>
            <w:shd w:val="clear" w:color="auto" w:fill="auto"/>
            <w:noWrap/>
            <w:vAlign w:val="bottom"/>
            <w:hideMark/>
          </w:tcPr>
          <w:p w14:paraId="0DEF4D2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14:paraId="307010F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21,13</w:t>
            </w:r>
          </w:p>
        </w:tc>
        <w:tc>
          <w:tcPr>
            <w:tcW w:w="924" w:type="dxa"/>
            <w:tcBorders>
              <w:top w:val="nil"/>
              <w:left w:val="nil"/>
              <w:bottom w:val="double" w:sz="6" w:space="0" w:color="auto"/>
              <w:right w:val="double" w:sz="6" w:space="0" w:color="auto"/>
            </w:tcBorders>
            <w:shd w:val="clear" w:color="auto" w:fill="auto"/>
            <w:noWrap/>
            <w:vAlign w:val="bottom"/>
            <w:hideMark/>
          </w:tcPr>
          <w:p w14:paraId="56486D6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0,15</w:t>
            </w:r>
          </w:p>
        </w:tc>
        <w:tc>
          <w:tcPr>
            <w:tcW w:w="892" w:type="dxa"/>
            <w:tcBorders>
              <w:top w:val="nil"/>
              <w:left w:val="nil"/>
              <w:bottom w:val="double" w:sz="6" w:space="0" w:color="auto"/>
              <w:right w:val="double" w:sz="6" w:space="0" w:color="auto"/>
            </w:tcBorders>
            <w:shd w:val="clear" w:color="auto" w:fill="auto"/>
            <w:noWrap/>
            <w:vAlign w:val="bottom"/>
            <w:hideMark/>
          </w:tcPr>
          <w:p w14:paraId="339940A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23,57</w:t>
            </w:r>
          </w:p>
        </w:tc>
        <w:tc>
          <w:tcPr>
            <w:tcW w:w="925" w:type="dxa"/>
            <w:tcBorders>
              <w:top w:val="nil"/>
              <w:left w:val="nil"/>
              <w:bottom w:val="double" w:sz="6" w:space="0" w:color="auto"/>
              <w:right w:val="double" w:sz="6" w:space="0" w:color="auto"/>
            </w:tcBorders>
            <w:shd w:val="clear" w:color="auto" w:fill="auto"/>
            <w:noWrap/>
            <w:vAlign w:val="bottom"/>
            <w:hideMark/>
          </w:tcPr>
          <w:p w14:paraId="1951869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14:paraId="67A5B68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39,31</w:t>
            </w:r>
          </w:p>
        </w:tc>
        <w:tc>
          <w:tcPr>
            <w:tcW w:w="924" w:type="dxa"/>
            <w:tcBorders>
              <w:top w:val="nil"/>
              <w:left w:val="nil"/>
              <w:bottom w:val="double" w:sz="6" w:space="0" w:color="auto"/>
              <w:right w:val="double" w:sz="6" w:space="0" w:color="auto"/>
            </w:tcBorders>
            <w:shd w:val="clear" w:color="auto" w:fill="auto"/>
            <w:noWrap/>
            <w:vAlign w:val="bottom"/>
            <w:hideMark/>
          </w:tcPr>
          <w:p w14:paraId="5B58718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0,05</w:t>
            </w:r>
          </w:p>
        </w:tc>
        <w:tc>
          <w:tcPr>
            <w:tcW w:w="966" w:type="dxa"/>
            <w:tcBorders>
              <w:top w:val="nil"/>
              <w:left w:val="nil"/>
              <w:bottom w:val="double" w:sz="6" w:space="0" w:color="auto"/>
              <w:right w:val="double" w:sz="6" w:space="0" w:color="auto"/>
            </w:tcBorders>
            <w:shd w:val="clear" w:color="auto" w:fill="auto"/>
            <w:noWrap/>
            <w:vAlign w:val="bottom"/>
            <w:hideMark/>
          </w:tcPr>
          <w:p w14:paraId="6B07EDA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139,89</w:t>
            </w:r>
          </w:p>
        </w:tc>
        <w:tc>
          <w:tcPr>
            <w:tcW w:w="924" w:type="dxa"/>
            <w:tcBorders>
              <w:top w:val="nil"/>
              <w:left w:val="nil"/>
              <w:bottom w:val="double" w:sz="6" w:space="0" w:color="auto"/>
              <w:right w:val="double" w:sz="6" w:space="0" w:color="auto"/>
            </w:tcBorders>
            <w:shd w:val="clear" w:color="auto" w:fill="auto"/>
            <w:noWrap/>
            <w:vAlign w:val="bottom"/>
            <w:hideMark/>
          </w:tcPr>
          <w:p w14:paraId="2A3526E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0,14</w:t>
            </w:r>
          </w:p>
        </w:tc>
      </w:tr>
      <w:tr w:rsidR="0017587A" w14:paraId="37A4022E"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250F78E"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EL</w:t>
            </w:r>
          </w:p>
        </w:tc>
        <w:tc>
          <w:tcPr>
            <w:tcW w:w="1093" w:type="dxa"/>
            <w:tcBorders>
              <w:top w:val="nil"/>
              <w:left w:val="nil"/>
              <w:bottom w:val="double" w:sz="6" w:space="0" w:color="auto"/>
              <w:right w:val="double" w:sz="6" w:space="0" w:color="auto"/>
            </w:tcBorders>
            <w:shd w:val="clear" w:color="auto" w:fill="auto"/>
            <w:noWrap/>
            <w:vAlign w:val="bottom"/>
            <w:hideMark/>
          </w:tcPr>
          <w:p w14:paraId="0735EFE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14,84</w:t>
            </w:r>
          </w:p>
        </w:tc>
        <w:tc>
          <w:tcPr>
            <w:tcW w:w="1036" w:type="dxa"/>
            <w:tcBorders>
              <w:top w:val="nil"/>
              <w:left w:val="nil"/>
              <w:bottom w:val="double" w:sz="6" w:space="0" w:color="auto"/>
              <w:right w:val="double" w:sz="6" w:space="0" w:color="auto"/>
            </w:tcBorders>
            <w:shd w:val="clear" w:color="auto" w:fill="auto"/>
            <w:noWrap/>
            <w:vAlign w:val="bottom"/>
            <w:hideMark/>
          </w:tcPr>
          <w:p w14:paraId="3B4171A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8B1A30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147,64</w:t>
            </w:r>
          </w:p>
        </w:tc>
        <w:tc>
          <w:tcPr>
            <w:tcW w:w="925" w:type="dxa"/>
            <w:tcBorders>
              <w:top w:val="nil"/>
              <w:left w:val="nil"/>
              <w:bottom w:val="double" w:sz="6" w:space="0" w:color="auto"/>
              <w:right w:val="double" w:sz="6" w:space="0" w:color="auto"/>
            </w:tcBorders>
            <w:shd w:val="clear" w:color="auto" w:fill="auto"/>
            <w:noWrap/>
            <w:vAlign w:val="bottom"/>
            <w:hideMark/>
          </w:tcPr>
          <w:p w14:paraId="31C8267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77DA9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129,97</w:t>
            </w:r>
          </w:p>
        </w:tc>
        <w:tc>
          <w:tcPr>
            <w:tcW w:w="925" w:type="dxa"/>
            <w:tcBorders>
              <w:top w:val="nil"/>
              <w:left w:val="nil"/>
              <w:bottom w:val="double" w:sz="6" w:space="0" w:color="auto"/>
              <w:right w:val="double" w:sz="6" w:space="0" w:color="auto"/>
            </w:tcBorders>
            <w:shd w:val="clear" w:color="auto" w:fill="auto"/>
            <w:noWrap/>
            <w:vAlign w:val="bottom"/>
            <w:hideMark/>
          </w:tcPr>
          <w:p w14:paraId="1F0B059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1,10</w:t>
            </w:r>
          </w:p>
        </w:tc>
        <w:tc>
          <w:tcPr>
            <w:tcW w:w="910" w:type="dxa"/>
            <w:tcBorders>
              <w:top w:val="nil"/>
              <w:left w:val="nil"/>
              <w:bottom w:val="double" w:sz="6" w:space="0" w:color="auto"/>
              <w:right w:val="double" w:sz="6" w:space="0" w:color="auto"/>
            </w:tcBorders>
            <w:shd w:val="clear" w:color="auto" w:fill="auto"/>
            <w:noWrap/>
            <w:vAlign w:val="bottom"/>
            <w:hideMark/>
          </w:tcPr>
          <w:p w14:paraId="04E2470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190,17</w:t>
            </w:r>
          </w:p>
        </w:tc>
        <w:tc>
          <w:tcPr>
            <w:tcW w:w="924" w:type="dxa"/>
            <w:tcBorders>
              <w:top w:val="nil"/>
              <w:left w:val="nil"/>
              <w:bottom w:val="double" w:sz="6" w:space="0" w:color="auto"/>
              <w:right w:val="double" w:sz="6" w:space="0" w:color="auto"/>
            </w:tcBorders>
            <w:shd w:val="clear" w:color="auto" w:fill="auto"/>
            <w:noWrap/>
            <w:vAlign w:val="bottom"/>
            <w:hideMark/>
          </w:tcPr>
          <w:p w14:paraId="77CC855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4,99</w:t>
            </w:r>
          </w:p>
        </w:tc>
        <w:tc>
          <w:tcPr>
            <w:tcW w:w="892" w:type="dxa"/>
            <w:tcBorders>
              <w:top w:val="nil"/>
              <w:left w:val="nil"/>
              <w:bottom w:val="double" w:sz="6" w:space="0" w:color="auto"/>
              <w:right w:val="double" w:sz="6" w:space="0" w:color="auto"/>
            </w:tcBorders>
            <w:shd w:val="clear" w:color="auto" w:fill="auto"/>
            <w:noWrap/>
            <w:vAlign w:val="bottom"/>
            <w:hideMark/>
          </w:tcPr>
          <w:p w14:paraId="7C24C06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146,68</w:t>
            </w:r>
          </w:p>
        </w:tc>
        <w:tc>
          <w:tcPr>
            <w:tcW w:w="925" w:type="dxa"/>
            <w:tcBorders>
              <w:top w:val="nil"/>
              <w:left w:val="nil"/>
              <w:bottom w:val="double" w:sz="6" w:space="0" w:color="auto"/>
              <w:right w:val="double" w:sz="6" w:space="0" w:color="auto"/>
            </w:tcBorders>
            <w:shd w:val="clear" w:color="auto" w:fill="auto"/>
            <w:noWrap/>
            <w:vAlign w:val="bottom"/>
            <w:hideMark/>
          </w:tcPr>
          <w:p w14:paraId="28F6599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1,37</w:t>
            </w:r>
          </w:p>
        </w:tc>
        <w:tc>
          <w:tcPr>
            <w:tcW w:w="910" w:type="dxa"/>
            <w:tcBorders>
              <w:top w:val="nil"/>
              <w:left w:val="nil"/>
              <w:bottom w:val="double" w:sz="6" w:space="0" w:color="auto"/>
              <w:right w:val="double" w:sz="6" w:space="0" w:color="auto"/>
            </w:tcBorders>
            <w:shd w:val="clear" w:color="auto" w:fill="auto"/>
            <w:noWrap/>
            <w:vAlign w:val="bottom"/>
            <w:hideMark/>
          </w:tcPr>
          <w:p w14:paraId="0DD7701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196,57</w:t>
            </w:r>
          </w:p>
        </w:tc>
        <w:tc>
          <w:tcPr>
            <w:tcW w:w="924" w:type="dxa"/>
            <w:tcBorders>
              <w:top w:val="nil"/>
              <w:left w:val="nil"/>
              <w:bottom w:val="double" w:sz="6" w:space="0" w:color="auto"/>
              <w:right w:val="double" w:sz="6" w:space="0" w:color="auto"/>
            </w:tcBorders>
            <w:shd w:val="clear" w:color="auto" w:fill="auto"/>
            <w:noWrap/>
            <w:vAlign w:val="bottom"/>
            <w:hideMark/>
          </w:tcPr>
          <w:p w14:paraId="1CF3D65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1,46</w:t>
            </w:r>
          </w:p>
        </w:tc>
        <w:tc>
          <w:tcPr>
            <w:tcW w:w="966" w:type="dxa"/>
            <w:tcBorders>
              <w:top w:val="nil"/>
              <w:left w:val="nil"/>
              <w:bottom w:val="double" w:sz="6" w:space="0" w:color="auto"/>
              <w:right w:val="double" w:sz="6" w:space="0" w:color="auto"/>
            </w:tcBorders>
            <w:shd w:val="clear" w:color="auto" w:fill="auto"/>
            <w:noWrap/>
            <w:vAlign w:val="bottom"/>
            <w:hideMark/>
          </w:tcPr>
          <w:p w14:paraId="51733D2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518,96</w:t>
            </w:r>
          </w:p>
        </w:tc>
        <w:tc>
          <w:tcPr>
            <w:tcW w:w="924" w:type="dxa"/>
            <w:tcBorders>
              <w:top w:val="nil"/>
              <w:left w:val="nil"/>
              <w:bottom w:val="double" w:sz="6" w:space="0" w:color="auto"/>
              <w:right w:val="double" w:sz="6" w:space="0" w:color="auto"/>
            </w:tcBorders>
            <w:shd w:val="clear" w:color="auto" w:fill="auto"/>
            <w:noWrap/>
            <w:vAlign w:val="bottom"/>
            <w:hideMark/>
          </w:tcPr>
          <w:p w14:paraId="4CFD975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4,57</w:t>
            </w:r>
          </w:p>
        </w:tc>
      </w:tr>
      <w:tr w:rsidR="0017587A" w14:paraId="6B1D40A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9F4782D"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ES</w:t>
            </w:r>
          </w:p>
        </w:tc>
        <w:tc>
          <w:tcPr>
            <w:tcW w:w="1093" w:type="dxa"/>
            <w:tcBorders>
              <w:top w:val="nil"/>
              <w:left w:val="nil"/>
              <w:bottom w:val="double" w:sz="6" w:space="0" w:color="auto"/>
              <w:right w:val="double" w:sz="6" w:space="0" w:color="auto"/>
            </w:tcBorders>
            <w:shd w:val="clear" w:color="auto" w:fill="auto"/>
            <w:noWrap/>
            <w:vAlign w:val="bottom"/>
            <w:hideMark/>
          </w:tcPr>
          <w:p w14:paraId="22B32B8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68,53</w:t>
            </w:r>
          </w:p>
        </w:tc>
        <w:tc>
          <w:tcPr>
            <w:tcW w:w="1036" w:type="dxa"/>
            <w:tcBorders>
              <w:top w:val="nil"/>
              <w:left w:val="nil"/>
              <w:bottom w:val="double" w:sz="6" w:space="0" w:color="auto"/>
              <w:right w:val="double" w:sz="6" w:space="0" w:color="auto"/>
            </w:tcBorders>
            <w:shd w:val="clear" w:color="auto" w:fill="auto"/>
            <w:noWrap/>
            <w:vAlign w:val="bottom"/>
            <w:hideMark/>
          </w:tcPr>
          <w:p w14:paraId="4E9A3B2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DDB2D5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346,11</w:t>
            </w:r>
          </w:p>
        </w:tc>
        <w:tc>
          <w:tcPr>
            <w:tcW w:w="925" w:type="dxa"/>
            <w:tcBorders>
              <w:top w:val="nil"/>
              <w:left w:val="nil"/>
              <w:bottom w:val="double" w:sz="6" w:space="0" w:color="auto"/>
              <w:right w:val="double" w:sz="6" w:space="0" w:color="auto"/>
            </w:tcBorders>
            <w:shd w:val="clear" w:color="auto" w:fill="auto"/>
            <w:noWrap/>
            <w:vAlign w:val="bottom"/>
            <w:hideMark/>
          </w:tcPr>
          <w:p w14:paraId="2C673FF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0DCD0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323,53</w:t>
            </w:r>
          </w:p>
        </w:tc>
        <w:tc>
          <w:tcPr>
            <w:tcW w:w="925" w:type="dxa"/>
            <w:tcBorders>
              <w:top w:val="nil"/>
              <w:left w:val="nil"/>
              <w:bottom w:val="double" w:sz="6" w:space="0" w:color="auto"/>
              <w:right w:val="double" w:sz="6" w:space="0" w:color="auto"/>
            </w:tcBorders>
            <w:shd w:val="clear" w:color="auto" w:fill="auto"/>
            <w:noWrap/>
            <w:vAlign w:val="bottom"/>
            <w:hideMark/>
          </w:tcPr>
          <w:p w14:paraId="7C7E9D3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6,56</w:t>
            </w:r>
          </w:p>
        </w:tc>
        <w:tc>
          <w:tcPr>
            <w:tcW w:w="910" w:type="dxa"/>
            <w:tcBorders>
              <w:top w:val="nil"/>
              <w:left w:val="nil"/>
              <w:bottom w:val="double" w:sz="6" w:space="0" w:color="auto"/>
              <w:right w:val="double" w:sz="6" w:space="0" w:color="auto"/>
            </w:tcBorders>
            <w:shd w:val="clear" w:color="auto" w:fill="auto"/>
            <w:noWrap/>
            <w:vAlign w:val="bottom"/>
            <w:hideMark/>
          </w:tcPr>
          <w:p w14:paraId="2063335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473,20</w:t>
            </w:r>
          </w:p>
        </w:tc>
        <w:tc>
          <w:tcPr>
            <w:tcW w:w="924" w:type="dxa"/>
            <w:tcBorders>
              <w:top w:val="nil"/>
              <w:left w:val="nil"/>
              <w:bottom w:val="double" w:sz="6" w:space="0" w:color="auto"/>
              <w:right w:val="double" w:sz="6" w:space="0" w:color="auto"/>
            </w:tcBorders>
            <w:shd w:val="clear" w:color="auto" w:fill="auto"/>
            <w:noWrap/>
            <w:vAlign w:val="bottom"/>
            <w:hideMark/>
          </w:tcPr>
          <w:p w14:paraId="18B6103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16,32</w:t>
            </w:r>
          </w:p>
        </w:tc>
        <w:tc>
          <w:tcPr>
            <w:tcW w:w="892" w:type="dxa"/>
            <w:tcBorders>
              <w:top w:val="nil"/>
              <w:left w:val="nil"/>
              <w:bottom w:val="double" w:sz="6" w:space="0" w:color="auto"/>
              <w:right w:val="double" w:sz="6" w:space="0" w:color="auto"/>
            </w:tcBorders>
            <w:shd w:val="clear" w:color="auto" w:fill="auto"/>
            <w:noWrap/>
            <w:vAlign w:val="bottom"/>
            <w:hideMark/>
          </w:tcPr>
          <w:p w14:paraId="1B97CB0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364,97</w:t>
            </w:r>
          </w:p>
        </w:tc>
        <w:tc>
          <w:tcPr>
            <w:tcW w:w="925" w:type="dxa"/>
            <w:tcBorders>
              <w:top w:val="nil"/>
              <w:left w:val="nil"/>
              <w:bottom w:val="double" w:sz="6" w:space="0" w:color="auto"/>
              <w:right w:val="double" w:sz="6" w:space="0" w:color="auto"/>
            </w:tcBorders>
            <w:shd w:val="clear" w:color="auto" w:fill="auto"/>
            <w:noWrap/>
            <w:vAlign w:val="bottom"/>
            <w:hideMark/>
          </w:tcPr>
          <w:p w14:paraId="2954408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4,48</w:t>
            </w:r>
          </w:p>
        </w:tc>
        <w:tc>
          <w:tcPr>
            <w:tcW w:w="910" w:type="dxa"/>
            <w:tcBorders>
              <w:top w:val="nil"/>
              <w:left w:val="nil"/>
              <w:bottom w:val="double" w:sz="6" w:space="0" w:color="auto"/>
              <w:right w:val="double" w:sz="6" w:space="0" w:color="auto"/>
            </w:tcBorders>
            <w:shd w:val="clear" w:color="auto" w:fill="auto"/>
            <w:noWrap/>
            <w:vAlign w:val="bottom"/>
            <w:hideMark/>
          </w:tcPr>
          <w:p w14:paraId="203C605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488,78</w:t>
            </w:r>
          </w:p>
        </w:tc>
        <w:tc>
          <w:tcPr>
            <w:tcW w:w="924" w:type="dxa"/>
            <w:tcBorders>
              <w:top w:val="nil"/>
              <w:left w:val="nil"/>
              <w:bottom w:val="double" w:sz="6" w:space="0" w:color="auto"/>
              <w:right w:val="double" w:sz="6" w:space="0" w:color="auto"/>
            </w:tcBorders>
            <w:shd w:val="clear" w:color="auto" w:fill="auto"/>
            <w:noWrap/>
            <w:vAlign w:val="bottom"/>
            <w:hideMark/>
          </w:tcPr>
          <w:p w14:paraId="4748FFF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4,77</w:t>
            </w:r>
          </w:p>
        </w:tc>
        <w:tc>
          <w:tcPr>
            <w:tcW w:w="966" w:type="dxa"/>
            <w:tcBorders>
              <w:top w:val="nil"/>
              <w:left w:val="nil"/>
              <w:bottom w:val="double" w:sz="6" w:space="0" w:color="auto"/>
              <w:right w:val="double" w:sz="6" w:space="0" w:color="auto"/>
            </w:tcBorders>
            <w:shd w:val="clear" w:color="auto" w:fill="auto"/>
            <w:noWrap/>
            <w:vAlign w:val="bottom"/>
            <w:hideMark/>
          </w:tcPr>
          <w:p w14:paraId="5691559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1291,07</w:t>
            </w:r>
          </w:p>
        </w:tc>
        <w:tc>
          <w:tcPr>
            <w:tcW w:w="924" w:type="dxa"/>
            <w:tcBorders>
              <w:top w:val="nil"/>
              <w:left w:val="nil"/>
              <w:bottom w:val="double" w:sz="6" w:space="0" w:color="auto"/>
              <w:right w:val="double" w:sz="6" w:space="0" w:color="auto"/>
            </w:tcBorders>
            <w:shd w:val="clear" w:color="auto" w:fill="auto"/>
            <w:noWrap/>
            <w:vAlign w:val="bottom"/>
            <w:hideMark/>
          </w:tcPr>
          <w:p w14:paraId="208D630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14,97</w:t>
            </w:r>
          </w:p>
        </w:tc>
      </w:tr>
      <w:tr w:rsidR="0017587A" w14:paraId="6500FF33"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C467EEA"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FI</w:t>
            </w:r>
          </w:p>
        </w:tc>
        <w:tc>
          <w:tcPr>
            <w:tcW w:w="1093" w:type="dxa"/>
            <w:tcBorders>
              <w:top w:val="nil"/>
              <w:left w:val="nil"/>
              <w:bottom w:val="double" w:sz="6" w:space="0" w:color="auto"/>
              <w:right w:val="double" w:sz="6" w:space="0" w:color="auto"/>
            </w:tcBorders>
            <w:shd w:val="clear" w:color="auto" w:fill="auto"/>
            <w:noWrap/>
            <w:vAlign w:val="bottom"/>
            <w:hideMark/>
          </w:tcPr>
          <w:p w14:paraId="177FCA0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13,28</w:t>
            </w:r>
          </w:p>
        </w:tc>
        <w:tc>
          <w:tcPr>
            <w:tcW w:w="1036" w:type="dxa"/>
            <w:tcBorders>
              <w:top w:val="nil"/>
              <w:left w:val="nil"/>
              <w:bottom w:val="double" w:sz="6" w:space="0" w:color="auto"/>
              <w:right w:val="double" w:sz="6" w:space="0" w:color="auto"/>
            </w:tcBorders>
            <w:shd w:val="clear" w:color="auto" w:fill="auto"/>
            <w:noWrap/>
            <w:vAlign w:val="bottom"/>
            <w:hideMark/>
          </w:tcPr>
          <w:p w14:paraId="1C761B0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9F8978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66,97</w:t>
            </w:r>
          </w:p>
        </w:tc>
        <w:tc>
          <w:tcPr>
            <w:tcW w:w="925" w:type="dxa"/>
            <w:tcBorders>
              <w:top w:val="nil"/>
              <w:left w:val="nil"/>
              <w:bottom w:val="double" w:sz="6" w:space="0" w:color="auto"/>
              <w:right w:val="double" w:sz="6" w:space="0" w:color="auto"/>
            </w:tcBorders>
            <w:shd w:val="clear" w:color="auto" w:fill="auto"/>
            <w:noWrap/>
            <w:vAlign w:val="bottom"/>
            <w:hideMark/>
          </w:tcPr>
          <w:p w14:paraId="50D97BF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275AAD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62,68</w:t>
            </w:r>
          </w:p>
        </w:tc>
        <w:tc>
          <w:tcPr>
            <w:tcW w:w="925" w:type="dxa"/>
            <w:tcBorders>
              <w:top w:val="nil"/>
              <w:left w:val="nil"/>
              <w:bottom w:val="double" w:sz="6" w:space="0" w:color="auto"/>
              <w:right w:val="double" w:sz="6" w:space="0" w:color="auto"/>
            </w:tcBorders>
            <w:shd w:val="clear" w:color="auto" w:fill="auto"/>
            <w:noWrap/>
            <w:vAlign w:val="bottom"/>
            <w:hideMark/>
          </w:tcPr>
          <w:p w14:paraId="3727DA7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0,81</w:t>
            </w:r>
          </w:p>
        </w:tc>
        <w:tc>
          <w:tcPr>
            <w:tcW w:w="910" w:type="dxa"/>
            <w:tcBorders>
              <w:top w:val="nil"/>
              <w:left w:val="nil"/>
              <w:bottom w:val="double" w:sz="6" w:space="0" w:color="auto"/>
              <w:right w:val="double" w:sz="6" w:space="0" w:color="auto"/>
            </w:tcBorders>
            <w:shd w:val="clear" w:color="auto" w:fill="auto"/>
            <w:noWrap/>
            <w:vAlign w:val="bottom"/>
            <w:hideMark/>
          </w:tcPr>
          <w:p w14:paraId="0EF4D15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91,64</w:t>
            </w:r>
          </w:p>
        </w:tc>
        <w:tc>
          <w:tcPr>
            <w:tcW w:w="924" w:type="dxa"/>
            <w:tcBorders>
              <w:top w:val="nil"/>
              <w:left w:val="nil"/>
              <w:bottom w:val="double" w:sz="6" w:space="0" w:color="auto"/>
              <w:right w:val="double" w:sz="6" w:space="0" w:color="auto"/>
            </w:tcBorders>
            <w:shd w:val="clear" w:color="auto" w:fill="auto"/>
            <w:noWrap/>
            <w:vAlign w:val="bottom"/>
            <w:hideMark/>
          </w:tcPr>
          <w:p w14:paraId="610F9C5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2,13</w:t>
            </w:r>
          </w:p>
        </w:tc>
        <w:tc>
          <w:tcPr>
            <w:tcW w:w="892" w:type="dxa"/>
            <w:tcBorders>
              <w:top w:val="nil"/>
              <w:left w:val="nil"/>
              <w:bottom w:val="double" w:sz="6" w:space="0" w:color="auto"/>
              <w:right w:val="double" w:sz="6" w:space="0" w:color="auto"/>
            </w:tcBorders>
            <w:shd w:val="clear" w:color="auto" w:fill="auto"/>
            <w:noWrap/>
            <w:vAlign w:val="bottom"/>
            <w:hideMark/>
          </w:tcPr>
          <w:p w14:paraId="2EEEB0F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70,63</w:t>
            </w:r>
          </w:p>
        </w:tc>
        <w:tc>
          <w:tcPr>
            <w:tcW w:w="925" w:type="dxa"/>
            <w:tcBorders>
              <w:top w:val="nil"/>
              <w:left w:val="nil"/>
              <w:bottom w:val="double" w:sz="6" w:space="0" w:color="auto"/>
              <w:right w:val="double" w:sz="6" w:space="0" w:color="auto"/>
            </w:tcBorders>
            <w:shd w:val="clear" w:color="auto" w:fill="auto"/>
            <w:noWrap/>
            <w:vAlign w:val="bottom"/>
            <w:hideMark/>
          </w:tcPr>
          <w:p w14:paraId="1607E66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0,58</w:t>
            </w:r>
          </w:p>
        </w:tc>
        <w:tc>
          <w:tcPr>
            <w:tcW w:w="910" w:type="dxa"/>
            <w:tcBorders>
              <w:top w:val="nil"/>
              <w:left w:val="nil"/>
              <w:bottom w:val="double" w:sz="6" w:space="0" w:color="auto"/>
              <w:right w:val="double" w:sz="6" w:space="0" w:color="auto"/>
            </w:tcBorders>
            <w:shd w:val="clear" w:color="auto" w:fill="auto"/>
            <w:noWrap/>
            <w:vAlign w:val="bottom"/>
            <w:hideMark/>
          </w:tcPr>
          <w:p w14:paraId="481DA0E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94,64</w:t>
            </w:r>
          </w:p>
        </w:tc>
        <w:tc>
          <w:tcPr>
            <w:tcW w:w="924" w:type="dxa"/>
            <w:tcBorders>
              <w:top w:val="nil"/>
              <w:left w:val="nil"/>
              <w:bottom w:val="double" w:sz="6" w:space="0" w:color="auto"/>
              <w:right w:val="double" w:sz="6" w:space="0" w:color="auto"/>
            </w:tcBorders>
            <w:shd w:val="clear" w:color="auto" w:fill="auto"/>
            <w:noWrap/>
            <w:vAlign w:val="bottom"/>
            <w:hideMark/>
          </w:tcPr>
          <w:p w14:paraId="33B2A85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0,62</w:t>
            </w:r>
          </w:p>
        </w:tc>
        <w:tc>
          <w:tcPr>
            <w:tcW w:w="966" w:type="dxa"/>
            <w:tcBorders>
              <w:top w:val="nil"/>
              <w:left w:val="nil"/>
              <w:bottom w:val="double" w:sz="6" w:space="0" w:color="auto"/>
              <w:right w:val="double" w:sz="6" w:space="0" w:color="auto"/>
            </w:tcBorders>
            <w:shd w:val="clear" w:color="auto" w:fill="auto"/>
            <w:noWrap/>
            <w:vAlign w:val="bottom"/>
            <w:hideMark/>
          </w:tcPr>
          <w:p w14:paraId="67F0029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249,84</w:t>
            </w:r>
          </w:p>
        </w:tc>
        <w:tc>
          <w:tcPr>
            <w:tcW w:w="924" w:type="dxa"/>
            <w:tcBorders>
              <w:top w:val="nil"/>
              <w:left w:val="nil"/>
              <w:bottom w:val="double" w:sz="6" w:space="0" w:color="auto"/>
              <w:right w:val="double" w:sz="6" w:space="0" w:color="auto"/>
            </w:tcBorders>
            <w:shd w:val="clear" w:color="auto" w:fill="auto"/>
            <w:noWrap/>
            <w:vAlign w:val="bottom"/>
            <w:hideMark/>
          </w:tcPr>
          <w:p w14:paraId="7D9F580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1,96</w:t>
            </w:r>
          </w:p>
        </w:tc>
      </w:tr>
      <w:tr w:rsidR="0017587A" w14:paraId="59C1EB8E"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724B2EB3"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FR</w:t>
            </w:r>
          </w:p>
        </w:tc>
        <w:tc>
          <w:tcPr>
            <w:tcW w:w="1093" w:type="dxa"/>
            <w:tcBorders>
              <w:top w:val="nil"/>
              <w:left w:val="nil"/>
              <w:bottom w:val="double" w:sz="6" w:space="0" w:color="auto"/>
              <w:right w:val="double" w:sz="6" w:space="0" w:color="auto"/>
            </w:tcBorders>
            <w:shd w:val="clear" w:color="auto" w:fill="auto"/>
            <w:noWrap/>
            <w:vAlign w:val="bottom"/>
            <w:hideMark/>
          </w:tcPr>
          <w:p w14:paraId="494B8DC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43,46</w:t>
            </w:r>
          </w:p>
        </w:tc>
        <w:tc>
          <w:tcPr>
            <w:tcW w:w="1036" w:type="dxa"/>
            <w:tcBorders>
              <w:top w:val="nil"/>
              <w:left w:val="nil"/>
              <w:bottom w:val="double" w:sz="6" w:space="0" w:color="auto"/>
              <w:right w:val="double" w:sz="6" w:space="0" w:color="auto"/>
            </w:tcBorders>
            <w:shd w:val="clear" w:color="auto" w:fill="auto"/>
            <w:noWrap/>
            <w:vAlign w:val="bottom"/>
            <w:hideMark/>
          </w:tcPr>
          <w:p w14:paraId="728BC63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740168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219,25</w:t>
            </w:r>
          </w:p>
        </w:tc>
        <w:tc>
          <w:tcPr>
            <w:tcW w:w="925" w:type="dxa"/>
            <w:tcBorders>
              <w:top w:val="nil"/>
              <w:left w:val="nil"/>
              <w:bottom w:val="double" w:sz="6" w:space="0" w:color="auto"/>
              <w:right w:val="double" w:sz="6" w:space="0" w:color="auto"/>
            </w:tcBorders>
            <w:shd w:val="clear" w:color="auto" w:fill="auto"/>
            <w:noWrap/>
            <w:vAlign w:val="bottom"/>
            <w:hideMark/>
          </w:tcPr>
          <w:p w14:paraId="70AD1E4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C6F263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205,29</w:t>
            </w:r>
          </w:p>
        </w:tc>
        <w:tc>
          <w:tcPr>
            <w:tcW w:w="925" w:type="dxa"/>
            <w:tcBorders>
              <w:top w:val="nil"/>
              <w:left w:val="nil"/>
              <w:bottom w:val="double" w:sz="6" w:space="0" w:color="auto"/>
              <w:right w:val="double" w:sz="6" w:space="0" w:color="auto"/>
            </w:tcBorders>
            <w:shd w:val="clear" w:color="auto" w:fill="auto"/>
            <w:noWrap/>
            <w:vAlign w:val="bottom"/>
            <w:hideMark/>
          </w:tcPr>
          <w:p w14:paraId="0F18F9A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10,05</w:t>
            </w:r>
          </w:p>
        </w:tc>
        <w:tc>
          <w:tcPr>
            <w:tcW w:w="910" w:type="dxa"/>
            <w:tcBorders>
              <w:top w:val="nil"/>
              <w:left w:val="nil"/>
              <w:bottom w:val="double" w:sz="6" w:space="0" w:color="auto"/>
              <w:right w:val="double" w:sz="6" w:space="0" w:color="auto"/>
            </w:tcBorders>
            <w:shd w:val="clear" w:color="auto" w:fill="auto"/>
            <w:noWrap/>
            <w:vAlign w:val="bottom"/>
            <w:hideMark/>
          </w:tcPr>
          <w:p w14:paraId="4C2E129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299,94</w:t>
            </w:r>
          </w:p>
        </w:tc>
        <w:tc>
          <w:tcPr>
            <w:tcW w:w="924" w:type="dxa"/>
            <w:tcBorders>
              <w:top w:val="nil"/>
              <w:left w:val="nil"/>
              <w:bottom w:val="double" w:sz="6" w:space="0" w:color="auto"/>
              <w:right w:val="double" w:sz="6" w:space="0" w:color="auto"/>
            </w:tcBorders>
            <w:shd w:val="clear" w:color="auto" w:fill="auto"/>
            <w:noWrap/>
            <w:vAlign w:val="bottom"/>
            <w:hideMark/>
          </w:tcPr>
          <w:p w14:paraId="1E8C416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12,18</w:t>
            </w:r>
          </w:p>
        </w:tc>
        <w:tc>
          <w:tcPr>
            <w:tcW w:w="892" w:type="dxa"/>
            <w:tcBorders>
              <w:top w:val="nil"/>
              <w:left w:val="nil"/>
              <w:bottom w:val="double" w:sz="6" w:space="0" w:color="auto"/>
              <w:right w:val="double" w:sz="6" w:space="0" w:color="auto"/>
            </w:tcBorders>
            <w:shd w:val="clear" w:color="auto" w:fill="auto"/>
            <w:noWrap/>
            <w:vAlign w:val="bottom"/>
            <w:hideMark/>
          </w:tcPr>
          <w:p w14:paraId="05B5499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231,34</w:t>
            </w:r>
          </w:p>
        </w:tc>
        <w:tc>
          <w:tcPr>
            <w:tcW w:w="925" w:type="dxa"/>
            <w:tcBorders>
              <w:top w:val="nil"/>
              <w:left w:val="nil"/>
              <w:bottom w:val="double" w:sz="6" w:space="0" w:color="auto"/>
              <w:right w:val="double" w:sz="6" w:space="0" w:color="auto"/>
            </w:tcBorders>
            <w:shd w:val="clear" w:color="auto" w:fill="auto"/>
            <w:noWrap/>
            <w:vAlign w:val="bottom"/>
            <w:hideMark/>
          </w:tcPr>
          <w:p w14:paraId="16D4B21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3,35</w:t>
            </w:r>
          </w:p>
        </w:tc>
        <w:tc>
          <w:tcPr>
            <w:tcW w:w="910" w:type="dxa"/>
            <w:tcBorders>
              <w:top w:val="nil"/>
              <w:left w:val="nil"/>
              <w:bottom w:val="double" w:sz="6" w:space="0" w:color="auto"/>
              <w:right w:val="double" w:sz="6" w:space="0" w:color="auto"/>
            </w:tcBorders>
            <w:shd w:val="clear" w:color="auto" w:fill="auto"/>
            <w:noWrap/>
            <w:vAlign w:val="bottom"/>
            <w:hideMark/>
          </w:tcPr>
          <w:p w14:paraId="78C0275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309,85</w:t>
            </w:r>
          </w:p>
        </w:tc>
        <w:tc>
          <w:tcPr>
            <w:tcW w:w="924" w:type="dxa"/>
            <w:tcBorders>
              <w:top w:val="nil"/>
              <w:left w:val="nil"/>
              <w:bottom w:val="double" w:sz="6" w:space="0" w:color="auto"/>
              <w:right w:val="double" w:sz="6" w:space="0" w:color="auto"/>
            </w:tcBorders>
            <w:shd w:val="clear" w:color="auto" w:fill="auto"/>
            <w:noWrap/>
            <w:vAlign w:val="bottom"/>
            <w:hideMark/>
          </w:tcPr>
          <w:p w14:paraId="7EB132E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3,55</w:t>
            </w:r>
          </w:p>
        </w:tc>
        <w:tc>
          <w:tcPr>
            <w:tcW w:w="966" w:type="dxa"/>
            <w:tcBorders>
              <w:top w:val="nil"/>
              <w:left w:val="nil"/>
              <w:bottom w:val="double" w:sz="6" w:space="0" w:color="auto"/>
              <w:right w:val="double" w:sz="6" w:space="0" w:color="auto"/>
            </w:tcBorders>
            <w:shd w:val="clear" w:color="auto" w:fill="auto"/>
            <w:noWrap/>
            <w:vAlign w:val="bottom"/>
            <w:hideMark/>
          </w:tcPr>
          <w:p w14:paraId="6EFAB81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818,40</w:t>
            </w:r>
          </w:p>
        </w:tc>
        <w:tc>
          <w:tcPr>
            <w:tcW w:w="924" w:type="dxa"/>
            <w:tcBorders>
              <w:top w:val="nil"/>
              <w:left w:val="nil"/>
              <w:bottom w:val="double" w:sz="6" w:space="0" w:color="auto"/>
              <w:right w:val="double" w:sz="6" w:space="0" w:color="auto"/>
            </w:tcBorders>
            <w:shd w:val="clear" w:color="auto" w:fill="auto"/>
            <w:noWrap/>
            <w:vAlign w:val="bottom"/>
            <w:hideMark/>
          </w:tcPr>
          <w:p w14:paraId="2374FAB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11,16</w:t>
            </w:r>
          </w:p>
        </w:tc>
      </w:tr>
      <w:tr w:rsidR="0017587A" w14:paraId="3E711CCB"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7F769A92"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HU</w:t>
            </w:r>
          </w:p>
        </w:tc>
        <w:tc>
          <w:tcPr>
            <w:tcW w:w="1093" w:type="dxa"/>
            <w:tcBorders>
              <w:top w:val="nil"/>
              <w:left w:val="nil"/>
              <w:bottom w:val="double" w:sz="6" w:space="0" w:color="auto"/>
              <w:right w:val="double" w:sz="6" w:space="0" w:color="auto"/>
            </w:tcBorders>
            <w:shd w:val="clear" w:color="auto" w:fill="auto"/>
            <w:noWrap/>
            <w:vAlign w:val="bottom"/>
            <w:hideMark/>
          </w:tcPr>
          <w:p w14:paraId="0414DA2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3,99</w:t>
            </w:r>
          </w:p>
        </w:tc>
        <w:tc>
          <w:tcPr>
            <w:tcW w:w="1036" w:type="dxa"/>
            <w:tcBorders>
              <w:top w:val="nil"/>
              <w:left w:val="nil"/>
              <w:bottom w:val="double" w:sz="6" w:space="0" w:color="auto"/>
              <w:right w:val="double" w:sz="6" w:space="0" w:color="auto"/>
            </w:tcBorders>
            <w:shd w:val="clear" w:color="auto" w:fill="auto"/>
            <w:noWrap/>
            <w:vAlign w:val="bottom"/>
            <w:hideMark/>
          </w:tcPr>
          <w:p w14:paraId="2F01376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CB61C5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34,59</w:t>
            </w:r>
          </w:p>
        </w:tc>
        <w:tc>
          <w:tcPr>
            <w:tcW w:w="925" w:type="dxa"/>
            <w:tcBorders>
              <w:top w:val="nil"/>
              <w:left w:val="nil"/>
              <w:bottom w:val="double" w:sz="6" w:space="0" w:color="auto"/>
              <w:right w:val="double" w:sz="6" w:space="0" w:color="auto"/>
            </w:tcBorders>
            <w:shd w:val="clear" w:color="auto" w:fill="auto"/>
            <w:noWrap/>
            <w:vAlign w:val="bottom"/>
            <w:hideMark/>
          </w:tcPr>
          <w:p w14:paraId="516B085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22C6C7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56,21</w:t>
            </w:r>
          </w:p>
        </w:tc>
        <w:tc>
          <w:tcPr>
            <w:tcW w:w="925" w:type="dxa"/>
            <w:tcBorders>
              <w:top w:val="nil"/>
              <w:left w:val="nil"/>
              <w:bottom w:val="double" w:sz="6" w:space="0" w:color="auto"/>
              <w:right w:val="double" w:sz="6" w:space="0" w:color="auto"/>
            </w:tcBorders>
            <w:shd w:val="clear" w:color="auto" w:fill="auto"/>
            <w:noWrap/>
            <w:vAlign w:val="bottom"/>
            <w:hideMark/>
          </w:tcPr>
          <w:p w14:paraId="4D49F02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0,29</w:t>
            </w:r>
          </w:p>
        </w:tc>
        <w:tc>
          <w:tcPr>
            <w:tcW w:w="910" w:type="dxa"/>
            <w:tcBorders>
              <w:top w:val="nil"/>
              <w:left w:val="nil"/>
              <w:bottom w:val="double" w:sz="6" w:space="0" w:color="auto"/>
              <w:right w:val="double" w:sz="6" w:space="0" w:color="auto"/>
            </w:tcBorders>
            <w:shd w:val="clear" w:color="auto" w:fill="auto"/>
            <w:noWrap/>
            <w:vAlign w:val="bottom"/>
            <w:hideMark/>
          </w:tcPr>
          <w:p w14:paraId="288F5A6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82,28</w:t>
            </w:r>
          </w:p>
        </w:tc>
        <w:tc>
          <w:tcPr>
            <w:tcW w:w="924" w:type="dxa"/>
            <w:tcBorders>
              <w:top w:val="nil"/>
              <w:left w:val="nil"/>
              <w:bottom w:val="double" w:sz="6" w:space="0" w:color="auto"/>
              <w:right w:val="double" w:sz="6" w:space="0" w:color="auto"/>
            </w:tcBorders>
            <w:shd w:val="clear" w:color="auto" w:fill="auto"/>
            <w:noWrap/>
            <w:vAlign w:val="bottom"/>
            <w:hideMark/>
          </w:tcPr>
          <w:p w14:paraId="1E8C889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0,99</w:t>
            </w:r>
          </w:p>
        </w:tc>
        <w:tc>
          <w:tcPr>
            <w:tcW w:w="892" w:type="dxa"/>
            <w:tcBorders>
              <w:top w:val="nil"/>
              <w:left w:val="nil"/>
              <w:bottom w:val="double" w:sz="6" w:space="0" w:color="auto"/>
              <w:right w:val="double" w:sz="6" w:space="0" w:color="auto"/>
            </w:tcBorders>
            <w:shd w:val="clear" w:color="auto" w:fill="auto"/>
            <w:noWrap/>
            <w:vAlign w:val="bottom"/>
            <w:hideMark/>
          </w:tcPr>
          <w:p w14:paraId="106030B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63,43</w:t>
            </w:r>
          </w:p>
        </w:tc>
        <w:tc>
          <w:tcPr>
            <w:tcW w:w="925" w:type="dxa"/>
            <w:tcBorders>
              <w:top w:val="nil"/>
              <w:left w:val="nil"/>
              <w:bottom w:val="double" w:sz="6" w:space="0" w:color="auto"/>
              <w:right w:val="double" w:sz="6" w:space="0" w:color="auto"/>
            </w:tcBorders>
            <w:shd w:val="clear" w:color="auto" w:fill="auto"/>
            <w:noWrap/>
            <w:vAlign w:val="bottom"/>
            <w:hideMark/>
          </w:tcPr>
          <w:p w14:paraId="553AAB7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0,27</w:t>
            </w:r>
          </w:p>
        </w:tc>
        <w:tc>
          <w:tcPr>
            <w:tcW w:w="910" w:type="dxa"/>
            <w:tcBorders>
              <w:top w:val="nil"/>
              <w:left w:val="nil"/>
              <w:bottom w:val="double" w:sz="6" w:space="0" w:color="auto"/>
              <w:right w:val="double" w:sz="6" w:space="0" w:color="auto"/>
            </w:tcBorders>
            <w:shd w:val="clear" w:color="auto" w:fill="auto"/>
            <w:noWrap/>
            <w:vAlign w:val="bottom"/>
            <w:hideMark/>
          </w:tcPr>
          <w:p w14:paraId="46D1924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84,94</w:t>
            </w:r>
          </w:p>
        </w:tc>
        <w:tc>
          <w:tcPr>
            <w:tcW w:w="924" w:type="dxa"/>
            <w:tcBorders>
              <w:top w:val="nil"/>
              <w:left w:val="nil"/>
              <w:bottom w:val="double" w:sz="6" w:space="0" w:color="auto"/>
              <w:right w:val="double" w:sz="6" w:space="0" w:color="auto"/>
            </w:tcBorders>
            <w:shd w:val="clear" w:color="auto" w:fill="auto"/>
            <w:noWrap/>
            <w:vAlign w:val="bottom"/>
            <w:hideMark/>
          </w:tcPr>
          <w:p w14:paraId="70E6A78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0,29</w:t>
            </w:r>
          </w:p>
        </w:tc>
        <w:tc>
          <w:tcPr>
            <w:tcW w:w="966" w:type="dxa"/>
            <w:tcBorders>
              <w:top w:val="nil"/>
              <w:left w:val="nil"/>
              <w:bottom w:val="double" w:sz="6" w:space="0" w:color="auto"/>
              <w:right w:val="double" w:sz="6" w:space="0" w:color="auto"/>
            </w:tcBorders>
            <w:shd w:val="clear" w:color="auto" w:fill="auto"/>
            <w:noWrap/>
            <w:vAlign w:val="bottom"/>
            <w:hideMark/>
          </w:tcPr>
          <w:p w14:paraId="5BB4F2A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224,48</w:t>
            </w:r>
          </w:p>
        </w:tc>
        <w:tc>
          <w:tcPr>
            <w:tcW w:w="924" w:type="dxa"/>
            <w:tcBorders>
              <w:top w:val="nil"/>
              <w:left w:val="nil"/>
              <w:bottom w:val="double" w:sz="6" w:space="0" w:color="auto"/>
              <w:right w:val="double" w:sz="6" w:space="0" w:color="auto"/>
            </w:tcBorders>
            <w:shd w:val="clear" w:color="auto" w:fill="auto"/>
            <w:noWrap/>
            <w:vAlign w:val="bottom"/>
            <w:hideMark/>
          </w:tcPr>
          <w:p w14:paraId="47CDD4F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0,91</w:t>
            </w:r>
          </w:p>
        </w:tc>
      </w:tr>
      <w:tr w:rsidR="0017587A" w14:paraId="29D353EB"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146A6FA4"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IE</w:t>
            </w:r>
          </w:p>
        </w:tc>
        <w:tc>
          <w:tcPr>
            <w:tcW w:w="1093" w:type="dxa"/>
            <w:tcBorders>
              <w:top w:val="nil"/>
              <w:left w:val="nil"/>
              <w:bottom w:val="double" w:sz="6" w:space="0" w:color="auto"/>
              <w:right w:val="double" w:sz="6" w:space="0" w:color="auto"/>
            </w:tcBorders>
            <w:shd w:val="clear" w:color="auto" w:fill="auto"/>
            <w:noWrap/>
            <w:vAlign w:val="bottom"/>
            <w:hideMark/>
          </w:tcPr>
          <w:p w14:paraId="52499C8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6D06B87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5E07E4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41,68</w:t>
            </w:r>
          </w:p>
        </w:tc>
        <w:tc>
          <w:tcPr>
            <w:tcW w:w="925" w:type="dxa"/>
            <w:tcBorders>
              <w:top w:val="nil"/>
              <w:left w:val="nil"/>
              <w:bottom w:val="double" w:sz="6" w:space="0" w:color="auto"/>
              <w:right w:val="double" w:sz="6" w:space="0" w:color="auto"/>
            </w:tcBorders>
            <w:shd w:val="clear" w:color="auto" w:fill="auto"/>
            <w:noWrap/>
            <w:vAlign w:val="bottom"/>
            <w:hideMark/>
          </w:tcPr>
          <w:p w14:paraId="005884B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EE8390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35,11</w:t>
            </w:r>
          </w:p>
        </w:tc>
        <w:tc>
          <w:tcPr>
            <w:tcW w:w="925" w:type="dxa"/>
            <w:tcBorders>
              <w:top w:val="nil"/>
              <w:left w:val="nil"/>
              <w:bottom w:val="double" w:sz="6" w:space="0" w:color="auto"/>
              <w:right w:val="double" w:sz="6" w:space="0" w:color="auto"/>
            </w:tcBorders>
            <w:shd w:val="clear" w:color="auto" w:fill="auto"/>
            <w:noWrap/>
            <w:vAlign w:val="bottom"/>
            <w:hideMark/>
          </w:tcPr>
          <w:p w14:paraId="0DE14FA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0,87</w:t>
            </w:r>
          </w:p>
        </w:tc>
        <w:tc>
          <w:tcPr>
            <w:tcW w:w="910" w:type="dxa"/>
            <w:tcBorders>
              <w:top w:val="nil"/>
              <w:left w:val="nil"/>
              <w:bottom w:val="double" w:sz="6" w:space="0" w:color="auto"/>
              <w:right w:val="double" w:sz="6" w:space="0" w:color="auto"/>
            </w:tcBorders>
            <w:shd w:val="clear" w:color="auto" w:fill="auto"/>
            <w:noWrap/>
            <w:vAlign w:val="bottom"/>
            <w:hideMark/>
          </w:tcPr>
          <w:p w14:paraId="17B9E78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51,32</w:t>
            </w:r>
          </w:p>
        </w:tc>
        <w:tc>
          <w:tcPr>
            <w:tcW w:w="924" w:type="dxa"/>
            <w:tcBorders>
              <w:top w:val="nil"/>
              <w:left w:val="nil"/>
              <w:bottom w:val="double" w:sz="6" w:space="0" w:color="auto"/>
              <w:right w:val="double" w:sz="6" w:space="0" w:color="auto"/>
            </w:tcBorders>
            <w:shd w:val="clear" w:color="auto" w:fill="auto"/>
            <w:noWrap/>
            <w:vAlign w:val="bottom"/>
            <w:hideMark/>
          </w:tcPr>
          <w:p w14:paraId="51F302E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2,15</w:t>
            </w:r>
          </w:p>
        </w:tc>
        <w:tc>
          <w:tcPr>
            <w:tcW w:w="892" w:type="dxa"/>
            <w:tcBorders>
              <w:top w:val="nil"/>
              <w:left w:val="nil"/>
              <w:bottom w:val="double" w:sz="6" w:space="0" w:color="auto"/>
              <w:right w:val="double" w:sz="6" w:space="0" w:color="auto"/>
            </w:tcBorders>
            <w:shd w:val="clear" w:color="auto" w:fill="auto"/>
            <w:noWrap/>
            <w:vAlign w:val="bottom"/>
            <w:hideMark/>
          </w:tcPr>
          <w:p w14:paraId="72C4076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39,54</w:t>
            </w:r>
          </w:p>
        </w:tc>
        <w:tc>
          <w:tcPr>
            <w:tcW w:w="925" w:type="dxa"/>
            <w:tcBorders>
              <w:top w:val="nil"/>
              <w:left w:val="nil"/>
              <w:bottom w:val="double" w:sz="6" w:space="0" w:color="auto"/>
              <w:right w:val="double" w:sz="6" w:space="0" w:color="auto"/>
            </w:tcBorders>
            <w:shd w:val="clear" w:color="auto" w:fill="auto"/>
            <w:noWrap/>
            <w:vAlign w:val="bottom"/>
            <w:hideMark/>
          </w:tcPr>
          <w:p w14:paraId="655BE07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0,59</w:t>
            </w:r>
          </w:p>
        </w:tc>
        <w:tc>
          <w:tcPr>
            <w:tcW w:w="910" w:type="dxa"/>
            <w:tcBorders>
              <w:top w:val="nil"/>
              <w:left w:val="nil"/>
              <w:bottom w:val="double" w:sz="6" w:space="0" w:color="auto"/>
              <w:right w:val="double" w:sz="6" w:space="0" w:color="auto"/>
            </w:tcBorders>
            <w:shd w:val="clear" w:color="auto" w:fill="auto"/>
            <w:noWrap/>
            <w:vAlign w:val="bottom"/>
            <w:hideMark/>
          </w:tcPr>
          <w:p w14:paraId="10BE1E8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52,93</w:t>
            </w:r>
          </w:p>
        </w:tc>
        <w:tc>
          <w:tcPr>
            <w:tcW w:w="924" w:type="dxa"/>
            <w:tcBorders>
              <w:top w:val="nil"/>
              <w:left w:val="nil"/>
              <w:bottom w:val="double" w:sz="6" w:space="0" w:color="auto"/>
              <w:right w:val="double" w:sz="6" w:space="0" w:color="auto"/>
            </w:tcBorders>
            <w:shd w:val="clear" w:color="auto" w:fill="auto"/>
            <w:noWrap/>
            <w:vAlign w:val="bottom"/>
            <w:hideMark/>
          </w:tcPr>
          <w:p w14:paraId="68A6D65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0,63</w:t>
            </w:r>
          </w:p>
        </w:tc>
        <w:tc>
          <w:tcPr>
            <w:tcW w:w="966" w:type="dxa"/>
            <w:tcBorders>
              <w:top w:val="nil"/>
              <w:left w:val="nil"/>
              <w:bottom w:val="double" w:sz="6" w:space="0" w:color="auto"/>
              <w:right w:val="double" w:sz="6" w:space="0" w:color="auto"/>
            </w:tcBorders>
            <w:shd w:val="clear" w:color="auto" w:fill="auto"/>
            <w:noWrap/>
            <w:vAlign w:val="bottom"/>
            <w:hideMark/>
          </w:tcPr>
          <w:p w14:paraId="6379E6F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140,10</w:t>
            </w:r>
          </w:p>
        </w:tc>
        <w:tc>
          <w:tcPr>
            <w:tcW w:w="924" w:type="dxa"/>
            <w:tcBorders>
              <w:top w:val="nil"/>
              <w:left w:val="nil"/>
              <w:bottom w:val="double" w:sz="6" w:space="0" w:color="auto"/>
              <w:right w:val="double" w:sz="6" w:space="0" w:color="auto"/>
            </w:tcBorders>
            <w:shd w:val="clear" w:color="auto" w:fill="auto"/>
            <w:noWrap/>
            <w:vAlign w:val="bottom"/>
            <w:hideMark/>
          </w:tcPr>
          <w:p w14:paraId="569EEC1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1,97</w:t>
            </w:r>
          </w:p>
        </w:tc>
      </w:tr>
      <w:tr w:rsidR="0017587A" w14:paraId="641B499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472EFF"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IT</w:t>
            </w:r>
          </w:p>
        </w:tc>
        <w:tc>
          <w:tcPr>
            <w:tcW w:w="1093" w:type="dxa"/>
            <w:tcBorders>
              <w:top w:val="nil"/>
              <w:left w:val="nil"/>
              <w:bottom w:val="double" w:sz="6" w:space="0" w:color="auto"/>
              <w:right w:val="double" w:sz="6" w:space="0" w:color="auto"/>
            </w:tcBorders>
            <w:shd w:val="clear" w:color="auto" w:fill="auto"/>
            <w:noWrap/>
            <w:vAlign w:val="bottom"/>
            <w:hideMark/>
          </w:tcPr>
          <w:p w14:paraId="64E2B13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76,50</w:t>
            </w:r>
          </w:p>
        </w:tc>
        <w:tc>
          <w:tcPr>
            <w:tcW w:w="1036" w:type="dxa"/>
            <w:tcBorders>
              <w:top w:val="nil"/>
              <w:left w:val="nil"/>
              <w:bottom w:val="double" w:sz="6" w:space="0" w:color="auto"/>
              <w:right w:val="double" w:sz="6" w:space="0" w:color="auto"/>
            </w:tcBorders>
            <w:shd w:val="clear" w:color="auto" w:fill="auto"/>
            <w:noWrap/>
            <w:vAlign w:val="bottom"/>
            <w:hideMark/>
          </w:tcPr>
          <w:p w14:paraId="67B4ACB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952FBB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385,98</w:t>
            </w:r>
          </w:p>
        </w:tc>
        <w:tc>
          <w:tcPr>
            <w:tcW w:w="925" w:type="dxa"/>
            <w:tcBorders>
              <w:top w:val="nil"/>
              <w:left w:val="nil"/>
              <w:bottom w:val="double" w:sz="6" w:space="0" w:color="auto"/>
              <w:right w:val="double" w:sz="6" w:space="0" w:color="auto"/>
            </w:tcBorders>
            <w:shd w:val="clear" w:color="auto" w:fill="auto"/>
            <w:noWrap/>
            <w:vAlign w:val="bottom"/>
            <w:hideMark/>
          </w:tcPr>
          <w:p w14:paraId="1F8F726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D24818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361,25</w:t>
            </w:r>
          </w:p>
        </w:tc>
        <w:tc>
          <w:tcPr>
            <w:tcW w:w="925" w:type="dxa"/>
            <w:tcBorders>
              <w:top w:val="nil"/>
              <w:left w:val="nil"/>
              <w:bottom w:val="double" w:sz="6" w:space="0" w:color="auto"/>
              <w:right w:val="double" w:sz="6" w:space="0" w:color="auto"/>
            </w:tcBorders>
            <w:shd w:val="clear" w:color="auto" w:fill="auto"/>
            <w:noWrap/>
            <w:vAlign w:val="bottom"/>
            <w:hideMark/>
          </w:tcPr>
          <w:p w14:paraId="5C89128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5,24</w:t>
            </w:r>
          </w:p>
        </w:tc>
        <w:tc>
          <w:tcPr>
            <w:tcW w:w="910" w:type="dxa"/>
            <w:tcBorders>
              <w:top w:val="nil"/>
              <w:left w:val="nil"/>
              <w:bottom w:val="double" w:sz="6" w:space="0" w:color="auto"/>
              <w:right w:val="double" w:sz="6" w:space="0" w:color="auto"/>
            </w:tcBorders>
            <w:shd w:val="clear" w:color="auto" w:fill="auto"/>
            <w:noWrap/>
            <w:vAlign w:val="bottom"/>
            <w:hideMark/>
          </w:tcPr>
          <w:p w14:paraId="11985E4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528,00</w:t>
            </w:r>
          </w:p>
        </w:tc>
        <w:tc>
          <w:tcPr>
            <w:tcW w:w="924" w:type="dxa"/>
            <w:tcBorders>
              <w:top w:val="nil"/>
              <w:left w:val="nil"/>
              <w:bottom w:val="double" w:sz="6" w:space="0" w:color="auto"/>
              <w:right w:val="double" w:sz="6" w:space="0" w:color="auto"/>
            </w:tcBorders>
            <w:shd w:val="clear" w:color="auto" w:fill="auto"/>
            <w:noWrap/>
            <w:vAlign w:val="bottom"/>
            <w:hideMark/>
          </w:tcPr>
          <w:p w14:paraId="1D66454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14,41</w:t>
            </w:r>
          </w:p>
        </w:tc>
        <w:tc>
          <w:tcPr>
            <w:tcW w:w="892" w:type="dxa"/>
            <w:tcBorders>
              <w:top w:val="nil"/>
              <w:left w:val="nil"/>
              <w:bottom w:val="double" w:sz="6" w:space="0" w:color="auto"/>
              <w:right w:val="double" w:sz="6" w:space="0" w:color="auto"/>
            </w:tcBorders>
            <w:shd w:val="clear" w:color="auto" w:fill="auto"/>
            <w:noWrap/>
            <w:vAlign w:val="bottom"/>
            <w:hideMark/>
          </w:tcPr>
          <w:p w14:paraId="777B989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407,23</w:t>
            </w:r>
          </w:p>
        </w:tc>
        <w:tc>
          <w:tcPr>
            <w:tcW w:w="925" w:type="dxa"/>
            <w:tcBorders>
              <w:top w:val="nil"/>
              <w:left w:val="nil"/>
              <w:bottom w:val="double" w:sz="6" w:space="0" w:color="auto"/>
              <w:right w:val="double" w:sz="6" w:space="0" w:color="auto"/>
            </w:tcBorders>
            <w:shd w:val="clear" w:color="auto" w:fill="auto"/>
            <w:noWrap/>
            <w:vAlign w:val="bottom"/>
            <w:hideMark/>
          </w:tcPr>
          <w:p w14:paraId="5B98D73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3,96</w:t>
            </w:r>
          </w:p>
        </w:tc>
        <w:tc>
          <w:tcPr>
            <w:tcW w:w="910" w:type="dxa"/>
            <w:tcBorders>
              <w:top w:val="nil"/>
              <w:left w:val="nil"/>
              <w:bottom w:val="double" w:sz="6" w:space="0" w:color="auto"/>
              <w:right w:val="double" w:sz="6" w:space="0" w:color="auto"/>
            </w:tcBorders>
            <w:shd w:val="clear" w:color="auto" w:fill="auto"/>
            <w:noWrap/>
            <w:vAlign w:val="bottom"/>
            <w:hideMark/>
          </w:tcPr>
          <w:p w14:paraId="1185C34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545,44</w:t>
            </w:r>
          </w:p>
        </w:tc>
        <w:tc>
          <w:tcPr>
            <w:tcW w:w="924" w:type="dxa"/>
            <w:tcBorders>
              <w:top w:val="nil"/>
              <w:left w:val="nil"/>
              <w:bottom w:val="double" w:sz="6" w:space="0" w:color="auto"/>
              <w:right w:val="double" w:sz="6" w:space="0" w:color="auto"/>
            </w:tcBorders>
            <w:shd w:val="clear" w:color="auto" w:fill="auto"/>
            <w:noWrap/>
            <w:vAlign w:val="bottom"/>
            <w:hideMark/>
          </w:tcPr>
          <w:p w14:paraId="53A17A9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4,21</w:t>
            </w:r>
          </w:p>
        </w:tc>
        <w:tc>
          <w:tcPr>
            <w:tcW w:w="966" w:type="dxa"/>
            <w:tcBorders>
              <w:top w:val="nil"/>
              <w:left w:val="nil"/>
              <w:bottom w:val="double" w:sz="6" w:space="0" w:color="auto"/>
              <w:right w:val="double" w:sz="6" w:space="0" w:color="auto"/>
            </w:tcBorders>
            <w:shd w:val="clear" w:color="auto" w:fill="auto"/>
            <w:noWrap/>
            <w:vAlign w:val="bottom"/>
            <w:hideMark/>
          </w:tcPr>
          <w:p w14:paraId="74E9FAF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1440,10</w:t>
            </w:r>
          </w:p>
        </w:tc>
        <w:tc>
          <w:tcPr>
            <w:tcW w:w="924" w:type="dxa"/>
            <w:tcBorders>
              <w:top w:val="nil"/>
              <w:left w:val="nil"/>
              <w:bottom w:val="double" w:sz="6" w:space="0" w:color="auto"/>
              <w:right w:val="double" w:sz="6" w:space="0" w:color="auto"/>
            </w:tcBorders>
            <w:shd w:val="clear" w:color="auto" w:fill="auto"/>
            <w:noWrap/>
            <w:vAlign w:val="bottom"/>
            <w:hideMark/>
          </w:tcPr>
          <w:p w14:paraId="4F4D50A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13,22</w:t>
            </w:r>
          </w:p>
        </w:tc>
      </w:tr>
      <w:tr w:rsidR="0017587A" w14:paraId="3248BBD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5E21D0A"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LT</w:t>
            </w:r>
          </w:p>
        </w:tc>
        <w:tc>
          <w:tcPr>
            <w:tcW w:w="1093" w:type="dxa"/>
            <w:tcBorders>
              <w:top w:val="nil"/>
              <w:left w:val="nil"/>
              <w:bottom w:val="double" w:sz="6" w:space="0" w:color="auto"/>
              <w:right w:val="double" w:sz="6" w:space="0" w:color="auto"/>
            </w:tcBorders>
            <w:shd w:val="clear" w:color="auto" w:fill="auto"/>
            <w:noWrap/>
            <w:vAlign w:val="bottom"/>
            <w:hideMark/>
          </w:tcPr>
          <w:p w14:paraId="4E80C88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3,29</w:t>
            </w:r>
          </w:p>
        </w:tc>
        <w:tc>
          <w:tcPr>
            <w:tcW w:w="1036" w:type="dxa"/>
            <w:tcBorders>
              <w:top w:val="nil"/>
              <w:left w:val="nil"/>
              <w:bottom w:val="double" w:sz="6" w:space="0" w:color="auto"/>
              <w:right w:val="double" w:sz="6" w:space="0" w:color="auto"/>
            </w:tcBorders>
            <w:shd w:val="clear" w:color="auto" w:fill="auto"/>
            <w:noWrap/>
            <w:vAlign w:val="bottom"/>
            <w:hideMark/>
          </w:tcPr>
          <w:p w14:paraId="3D9A7A6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A5594B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19,98</w:t>
            </w:r>
          </w:p>
        </w:tc>
        <w:tc>
          <w:tcPr>
            <w:tcW w:w="925" w:type="dxa"/>
            <w:tcBorders>
              <w:top w:val="nil"/>
              <w:left w:val="nil"/>
              <w:bottom w:val="double" w:sz="6" w:space="0" w:color="auto"/>
              <w:right w:val="double" w:sz="6" w:space="0" w:color="auto"/>
            </w:tcBorders>
            <w:shd w:val="clear" w:color="auto" w:fill="auto"/>
            <w:noWrap/>
            <w:vAlign w:val="bottom"/>
            <w:hideMark/>
          </w:tcPr>
          <w:p w14:paraId="7036C9C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0E8CCD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17,28</w:t>
            </w:r>
          </w:p>
        </w:tc>
        <w:tc>
          <w:tcPr>
            <w:tcW w:w="925" w:type="dxa"/>
            <w:tcBorders>
              <w:top w:val="nil"/>
              <w:left w:val="nil"/>
              <w:bottom w:val="double" w:sz="6" w:space="0" w:color="auto"/>
              <w:right w:val="double" w:sz="6" w:space="0" w:color="auto"/>
            </w:tcBorders>
            <w:shd w:val="clear" w:color="auto" w:fill="auto"/>
            <w:noWrap/>
            <w:vAlign w:val="bottom"/>
            <w:hideMark/>
          </w:tcPr>
          <w:p w14:paraId="7E060D7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14:paraId="493FA07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28,13</w:t>
            </w:r>
          </w:p>
        </w:tc>
        <w:tc>
          <w:tcPr>
            <w:tcW w:w="924" w:type="dxa"/>
            <w:tcBorders>
              <w:top w:val="nil"/>
              <w:left w:val="nil"/>
              <w:bottom w:val="double" w:sz="6" w:space="0" w:color="auto"/>
              <w:right w:val="double" w:sz="6" w:space="0" w:color="auto"/>
            </w:tcBorders>
            <w:shd w:val="clear" w:color="auto" w:fill="auto"/>
            <w:noWrap/>
            <w:vAlign w:val="bottom"/>
            <w:hideMark/>
          </w:tcPr>
          <w:p w14:paraId="28FCD65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0,29</w:t>
            </w:r>
          </w:p>
        </w:tc>
        <w:tc>
          <w:tcPr>
            <w:tcW w:w="892" w:type="dxa"/>
            <w:tcBorders>
              <w:top w:val="nil"/>
              <w:left w:val="nil"/>
              <w:bottom w:val="double" w:sz="6" w:space="0" w:color="auto"/>
              <w:right w:val="double" w:sz="6" w:space="0" w:color="auto"/>
            </w:tcBorders>
            <w:shd w:val="clear" w:color="auto" w:fill="auto"/>
            <w:noWrap/>
            <w:vAlign w:val="bottom"/>
            <w:hideMark/>
          </w:tcPr>
          <w:p w14:paraId="06B8B0C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20,76</w:t>
            </w:r>
          </w:p>
        </w:tc>
        <w:tc>
          <w:tcPr>
            <w:tcW w:w="925" w:type="dxa"/>
            <w:tcBorders>
              <w:top w:val="nil"/>
              <w:left w:val="nil"/>
              <w:bottom w:val="double" w:sz="6" w:space="0" w:color="auto"/>
              <w:right w:val="double" w:sz="6" w:space="0" w:color="auto"/>
            </w:tcBorders>
            <w:shd w:val="clear" w:color="auto" w:fill="auto"/>
            <w:noWrap/>
            <w:vAlign w:val="bottom"/>
            <w:hideMark/>
          </w:tcPr>
          <w:p w14:paraId="7661EFC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0,08</w:t>
            </w:r>
          </w:p>
        </w:tc>
        <w:tc>
          <w:tcPr>
            <w:tcW w:w="910" w:type="dxa"/>
            <w:tcBorders>
              <w:top w:val="nil"/>
              <w:left w:val="nil"/>
              <w:bottom w:val="double" w:sz="6" w:space="0" w:color="auto"/>
              <w:right w:val="double" w:sz="6" w:space="0" w:color="auto"/>
            </w:tcBorders>
            <w:shd w:val="clear" w:color="auto" w:fill="auto"/>
            <w:noWrap/>
            <w:vAlign w:val="bottom"/>
            <w:hideMark/>
          </w:tcPr>
          <w:p w14:paraId="26393F7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31,43</w:t>
            </w:r>
          </w:p>
        </w:tc>
        <w:tc>
          <w:tcPr>
            <w:tcW w:w="924" w:type="dxa"/>
            <w:tcBorders>
              <w:top w:val="nil"/>
              <w:left w:val="nil"/>
              <w:bottom w:val="double" w:sz="6" w:space="0" w:color="auto"/>
              <w:right w:val="double" w:sz="6" w:space="0" w:color="auto"/>
            </w:tcBorders>
            <w:shd w:val="clear" w:color="auto" w:fill="auto"/>
            <w:noWrap/>
            <w:vAlign w:val="bottom"/>
            <w:hideMark/>
          </w:tcPr>
          <w:p w14:paraId="7D44E13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0,09</w:t>
            </w:r>
          </w:p>
        </w:tc>
        <w:tc>
          <w:tcPr>
            <w:tcW w:w="966" w:type="dxa"/>
            <w:tcBorders>
              <w:top w:val="nil"/>
              <w:left w:val="nil"/>
              <w:bottom w:val="double" w:sz="6" w:space="0" w:color="auto"/>
              <w:right w:val="double" w:sz="6" w:space="0" w:color="auto"/>
            </w:tcBorders>
            <w:shd w:val="clear" w:color="auto" w:fill="auto"/>
            <w:noWrap/>
            <w:vAlign w:val="bottom"/>
            <w:hideMark/>
          </w:tcPr>
          <w:p w14:paraId="568005A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80,11</w:t>
            </w:r>
          </w:p>
        </w:tc>
        <w:tc>
          <w:tcPr>
            <w:tcW w:w="924" w:type="dxa"/>
            <w:tcBorders>
              <w:top w:val="nil"/>
              <w:left w:val="nil"/>
              <w:bottom w:val="double" w:sz="6" w:space="0" w:color="auto"/>
              <w:right w:val="double" w:sz="6" w:space="0" w:color="auto"/>
            </w:tcBorders>
            <w:shd w:val="clear" w:color="auto" w:fill="auto"/>
            <w:noWrap/>
            <w:vAlign w:val="bottom"/>
            <w:hideMark/>
          </w:tcPr>
          <w:p w14:paraId="086553B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0,25</w:t>
            </w:r>
          </w:p>
        </w:tc>
      </w:tr>
      <w:tr w:rsidR="0017587A" w14:paraId="26D979D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5A06D6"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LU</w:t>
            </w:r>
          </w:p>
        </w:tc>
        <w:tc>
          <w:tcPr>
            <w:tcW w:w="1093" w:type="dxa"/>
            <w:tcBorders>
              <w:top w:val="nil"/>
              <w:left w:val="nil"/>
              <w:bottom w:val="double" w:sz="6" w:space="0" w:color="auto"/>
              <w:right w:val="double" w:sz="6" w:space="0" w:color="auto"/>
            </w:tcBorders>
            <w:shd w:val="clear" w:color="auto" w:fill="auto"/>
            <w:noWrap/>
            <w:vAlign w:val="bottom"/>
            <w:hideMark/>
          </w:tcPr>
          <w:p w14:paraId="37C5054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0,74</w:t>
            </w:r>
          </w:p>
        </w:tc>
        <w:tc>
          <w:tcPr>
            <w:tcW w:w="1036" w:type="dxa"/>
            <w:tcBorders>
              <w:top w:val="nil"/>
              <w:left w:val="nil"/>
              <w:bottom w:val="double" w:sz="6" w:space="0" w:color="auto"/>
              <w:right w:val="double" w:sz="6" w:space="0" w:color="auto"/>
            </w:tcBorders>
            <w:shd w:val="clear" w:color="auto" w:fill="auto"/>
            <w:noWrap/>
            <w:vAlign w:val="bottom"/>
            <w:hideMark/>
          </w:tcPr>
          <w:p w14:paraId="1C683DD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198B7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4,97</w:t>
            </w:r>
          </w:p>
        </w:tc>
        <w:tc>
          <w:tcPr>
            <w:tcW w:w="925" w:type="dxa"/>
            <w:tcBorders>
              <w:top w:val="nil"/>
              <w:left w:val="nil"/>
              <w:bottom w:val="double" w:sz="6" w:space="0" w:color="auto"/>
              <w:right w:val="double" w:sz="6" w:space="0" w:color="auto"/>
            </w:tcBorders>
            <w:shd w:val="clear" w:color="auto" w:fill="auto"/>
            <w:noWrap/>
            <w:vAlign w:val="bottom"/>
            <w:hideMark/>
          </w:tcPr>
          <w:p w14:paraId="7D093C8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65275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4,52</w:t>
            </w:r>
          </w:p>
        </w:tc>
        <w:tc>
          <w:tcPr>
            <w:tcW w:w="925" w:type="dxa"/>
            <w:tcBorders>
              <w:top w:val="nil"/>
              <w:left w:val="nil"/>
              <w:bottom w:val="double" w:sz="6" w:space="0" w:color="auto"/>
              <w:right w:val="double" w:sz="6" w:space="0" w:color="auto"/>
            </w:tcBorders>
            <w:shd w:val="clear" w:color="auto" w:fill="auto"/>
            <w:noWrap/>
            <w:vAlign w:val="bottom"/>
            <w:hideMark/>
          </w:tcPr>
          <w:p w14:paraId="51A33C4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0,63</w:t>
            </w:r>
          </w:p>
        </w:tc>
        <w:tc>
          <w:tcPr>
            <w:tcW w:w="910" w:type="dxa"/>
            <w:tcBorders>
              <w:top w:val="nil"/>
              <w:left w:val="nil"/>
              <w:bottom w:val="double" w:sz="6" w:space="0" w:color="auto"/>
              <w:right w:val="double" w:sz="6" w:space="0" w:color="auto"/>
            </w:tcBorders>
            <w:shd w:val="clear" w:color="auto" w:fill="auto"/>
            <w:noWrap/>
            <w:vAlign w:val="bottom"/>
            <w:hideMark/>
          </w:tcPr>
          <w:p w14:paraId="7E4D2DE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6,62</w:t>
            </w:r>
          </w:p>
        </w:tc>
        <w:tc>
          <w:tcPr>
            <w:tcW w:w="924" w:type="dxa"/>
            <w:tcBorders>
              <w:top w:val="nil"/>
              <w:left w:val="nil"/>
              <w:bottom w:val="double" w:sz="6" w:space="0" w:color="auto"/>
              <w:right w:val="double" w:sz="6" w:space="0" w:color="auto"/>
            </w:tcBorders>
            <w:shd w:val="clear" w:color="auto" w:fill="auto"/>
            <w:noWrap/>
            <w:vAlign w:val="bottom"/>
            <w:hideMark/>
          </w:tcPr>
          <w:p w14:paraId="71E8337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0,22</w:t>
            </w:r>
          </w:p>
        </w:tc>
        <w:tc>
          <w:tcPr>
            <w:tcW w:w="892" w:type="dxa"/>
            <w:tcBorders>
              <w:top w:val="nil"/>
              <w:left w:val="nil"/>
              <w:bottom w:val="double" w:sz="6" w:space="0" w:color="auto"/>
              <w:right w:val="double" w:sz="6" w:space="0" w:color="auto"/>
            </w:tcBorders>
            <w:shd w:val="clear" w:color="auto" w:fill="auto"/>
            <w:noWrap/>
            <w:vAlign w:val="bottom"/>
            <w:hideMark/>
          </w:tcPr>
          <w:p w14:paraId="740B4FF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5,08</w:t>
            </w:r>
          </w:p>
        </w:tc>
        <w:tc>
          <w:tcPr>
            <w:tcW w:w="925" w:type="dxa"/>
            <w:tcBorders>
              <w:top w:val="nil"/>
              <w:left w:val="nil"/>
              <w:bottom w:val="double" w:sz="6" w:space="0" w:color="auto"/>
              <w:right w:val="double" w:sz="6" w:space="0" w:color="auto"/>
            </w:tcBorders>
            <w:shd w:val="clear" w:color="auto" w:fill="auto"/>
            <w:noWrap/>
            <w:vAlign w:val="bottom"/>
            <w:hideMark/>
          </w:tcPr>
          <w:p w14:paraId="7108B58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14:paraId="7629491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6,81</w:t>
            </w:r>
          </w:p>
        </w:tc>
        <w:tc>
          <w:tcPr>
            <w:tcW w:w="924" w:type="dxa"/>
            <w:tcBorders>
              <w:top w:val="nil"/>
              <w:left w:val="nil"/>
              <w:bottom w:val="double" w:sz="6" w:space="0" w:color="auto"/>
              <w:right w:val="double" w:sz="6" w:space="0" w:color="auto"/>
            </w:tcBorders>
            <w:shd w:val="clear" w:color="auto" w:fill="auto"/>
            <w:noWrap/>
            <w:vAlign w:val="bottom"/>
            <w:hideMark/>
          </w:tcPr>
          <w:p w14:paraId="28E709F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0,07</w:t>
            </w:r>
          </w:p>
        </w:tc>
        <w:tc>
          <w:tcPr>
            <w:tcW w:w="966" w:type="dxa"/>
            <w:tcBorders>
              <w:top w:val="nil"/>
              <w:left w:val="nil"/>
              <w:bottom w:val="double" w:sz="6" w:space="0" w:color="auto"/>
              <w:right w:val="double" w:sz="6" w:space="0" w:color="auto"/>
            </w:tcBorders>
            <w:shd w:val="clear" w:color="auto" w:fill="auto"/>
            <w:noWrap/>
            <w:vAlign w:val="bottom"/>
            <w:hideMark/>
          </w:tcPr>
          <w:p w14:paraId="4275611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18,09</w:t>
            </w:r>
          </w:p>
        </w:tc>
        <w:tc>
          <w:tcPr>
            <w:tcW w:w="924" w:type="dxa"/>
            <w:tcBorders>
              <w:top w:val="nil"/>
              <w:left w:val="nil"/>
              <w:bottom w:val="double" w:sz="6" w:space="0" w:color="auto"/>
              <w:right w:val="double" w:sz="6" w:space="0" w:color="auto"/>
            </w:tcBorders>
            <w:shd w:val="clear" w:color="auto" w:fill="auto"/>
            <w:noWrap/>
            <w:vAlign w:val="bottom"/>
            <w:hideMark/>
          </w:tcPr>
          <w:p w14:paraId="2C1B1AA2" w14:textId="77777777" w:rsidR="0017587A" w:rsidRDefault="001379D6">
            <w:pPr>
              <w:spacing w:after="0" w:line="240" w:lineRule="auto"/>
              <w:jc w:val="right"/>
              <w:rPr>
                <w:rFonts w:ascii="Times New Roman" w:eastAsia="Times New Roman" w:hAnsi="Times New Roman"/>
                <w:b/>
                <w:bCs/>
                <w:color w:val="000000"/>
                <w:sz w:val="20"/>
                <w:szCs w:val="20"/>
              </w:rPr>
            </w:pPr>
            <w:r>
              <w:rPr>
                <w:rFonts w:ascii="Times New Roman" w:hAnsi="Times New Roman"/>
                <w:b/>
                <w:bCs/>
                <w:sz w:val="20"/>
                <w:szCs w:val="20"/>
              </w:rPr>
              <w:t>0,20</w:t>
            </w:r>
          </w:p>
        </w:tc>
      </w:tr>
      <w:tr w:rsidR="0017587A" w14:paraId="1DEC010C"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0230CEA"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LV</w:t>
            </w:r>
          </w:p>
        </w:tc>
        <w:tc>
          <w:tcPr>
            <w:tcW w:w="1093" w:type="dxa"/>
            <w:tcBorders>
              <w:top w:val="nil"/>
              <w:left w:val="nil"/>
              <w:bottom w:val="double" w:sz="6" w:space="0" w:color="auto"/>
              <w:right w:val="double" w:sz="6" w:space="0" w:color="auto"/>
            </w:tcBorders>
            <w:shd w:val="clear" w:color="auto" w:fill="auto"/>
            <w:noWrap/>
            <w:vAlign w:val="bottom"/>
            <w:hideMark/>
          </w:tcPr>
          <w:p w14:paraId="5BB3132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2,13</w:t>
            </w:r>
          </w:p>
        </w:tc>
        <w:tc>
          <w:tcPr>
            <w:tcW w:w="1036" w:type="dxa"/>
            <w:tcBorders>
              <w:top w:val="nil"/>
              <w:left w:val="nil"/>
              <w:bottom w:val="double" w:sz="6" w:space="0" w:color="auto"/>
              <w:right w:val="double" w:sz="6" w:space="0" w:color="auto"/>
            </w:tcBorders>
            <w:shd w:val="clear" w:color="auto" w:fill="auto"/>
            <w:noWrap/>
            <w:vAlign w:val="bottom"/>
            <w:hideMark/>
          </w:tcPr>
          <w:p w14:paraId="7FF25DB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03081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10,79</w:t>
            </w:r>
          </w:p>
        </w:tc>
        <w:tc>
          <w:tcPr>
            <w:tcW w:w="925" w:type="dxa"/>
            <w:tcBorders>
              <w:top w:val="nil"/>
              <w:left w:val="nil"/>
              <w:bottom w:val="double" w:sz="6" w:space="0" w:color="auto"/>
              <w:right w:val="double" w:sz="6" w:space="0" w:color="auto"/>
            </w:tcBorders>
            <w:shd w:val="clear" w:color="auto" w:fill="auto"/>
            <w:noWrap/>
            <w:vAlign w:val="bottom"/>
            <w:hideMark/>
          </w:tcPr>
          <w:p w14:paraId="5F59E12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620432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10,08</w:t>
            </w:r>
          </w:p>
        </w:tc>
        <w:tc>
          <w:tcPr>
            <w:tcW w:w="925" w:type="dxa"/>
            <w:tcBorders>
              <w:top w:val="nil"/>
              <w:left w:val="nil"/>
              <w:bottom w:val="double" w:sz="6" w:space="0" w:color="auto"/>
              <w:right w:val="double" w:sz="6" w:space="0" w:color="auto"/>
            </w:tcBorders>
            <w:shd w:val="clear" w:color="auto" w:fill="auto"/>
            <w:noWrap/>
            <w:vAlign w:val="bottom"/>
            <w:hideMark/>
          </w:tcPr>
          <w:p w14:paraId="6EBC234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0,14</w:t>
            </w:r>
          </w:p>
        </w:tc>
        <w:tc>
          <w:tcPr>
            <w:tcW w:w="910" w:type="dxa"/>
            <w:tcBorders>
              <w:top w:val="nil"/>
              <w:left w:val="nil"/>
              <w:bottom w:val="double" w:sz="6" w:space="0" w:color="auto"/>
              <w:right w:val="double" w:sz="6" w:space="0" w:color="auto"/>
            </w:tcBorders>
            <w:shd w:val="clear" w:color="auto" w:fill="auto"/>
            <w:noWrap/>
            <w:vAlign w:val="bottom"/>
            <w:hideMark/>
          </w:tcPr>
          <w:p w14:paraId="42A22FE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14,76</w:t>
            </w:r>
          </w:p>
        </w:tc>
        <w:tc>
          <w:tcPr>
            <w:tcW w:w="924" w:type="dxa"/>
            <w:tcBorders>
              <w:top w:val="nil"/>
              <w:left w:val="nil"/>
              <w:bottom w:val="double" w:sz="6" w:space="0" w:color="auto"/>
              <w:right w:val="double" w:sz="6" w:space="0" w:color="auto"/>
            </w:tcBorders>
            <w:shd w:val="clear" w:color="auto" w:fill="auto"/>
            <w:noWrap/>
            <w:vAlign w:val="bottom"/>
            <w:hideMark/>
          </w:tcPr>
          <w:p w14:paraId="6314E4A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0,53</w:t>
            </w:r>
          </w:p>
        </w:tc>
        <w:tc>
          <w:tcPr>
            <w:tcW w:w="892" w:type="dxa"/>
            <w:tcBorders>
              <w:top w:val="nil"/>
              <w:left w:val="nil"/>
              <w:bottom w:val="double" w:sz="6" w:space="0" w:color="auto"/>
              <w:right w:val="double" w:sz="6" w:space="0" w:color="auto"/>
            </w:tcBorders>
            <w:shd w:val="clear" w:color="auto" w:fill="auto"/>
            <w:noWrap/>
            <w:vAlign w:val="bottom"/>
            <w:hideMark/>
          </w:tcPr>
          <w:p w14:paraId="33956AF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11,36</w:t>
            </w:r>
          </w:p>
        </w:tc>
        <w:tc>
          <w:tcPr>
            <w:tcW w:w="925" w:type="dxa"/>
            <w:tcBorders>
              <w:top w:val="nil"/>
              <w:left w:val="nil"/>
              <w:bottom w:val="double" w:sz="6" w:space="0" w:color="auto"/>
              <w:right w:val="double" w:sz="6" w:space="0" w:color="auto"/>
            </w:tcBorders>
            <w:shd w:val="clear" w:color="auto" w:fill="auto"/>
            <w:noWrap/>
            <w:vAlign w:val="bottom"/>
            <w:hideMark/>
          </w:tcPr>
          <w:p w14:paraId="063515F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0,15</w:t>
            </w:r>
          </w:p>
        </w:tc>
        <w:tc>
          <w:tcPr>
            <w:tcW w:w="910" w:type="dxa"/>
            <w:tcBorders>
              <w:top w:val="nil"/>
              <w:left w:val="nil"/>
              <w:bottom w:val="double" w:sz="6" w:space="0" w:color="auto"/>
              <w:right w:val="double" w:sz="6" w:space="0" w:color="auto"/>
            </w:tcBorders>
            <w:shd w:val="clear" w:color="auto" w:fill="auto"/>
            <w:noWrap/>
            <w:vAlign w:val="bottom"/>
            <w:hideMark/>
          </w:tcPr>
          <w:p w14:paraId="3D9974B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15,24</w:t>
            </w:r>
          </w:p>
        </w:tc>
        <w:tc>
          <w:tcPr>
            <w:tcW w:w="924" w:type="dxa"/>
            <w:tcBorders>
              <w:top w:val="nil"/>
              <w:left w:val="nil"/>
              <w:bottom w:val="double" w:sz="6" w:space="0" w:color="auto"/>
              <w:right w:val="double" w:sz="6" w:space="0" w:color="auto"/>
            </w:tcBorders>
            <w:shd w:val="clear" w:color="auto" w:fill="auto"/>
            <w:noWrap/>
            <w:vAlign w:val="bottom"/>
            <w:hideMark/>
          </w:tcPr>
          <w:p w14:paraId="431F2FE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0,15</w:t>
            </w:r>
          </w:p>
        </w:tc>
        <w:tc>
          <w:tcPr>
            <w:tcW w:w="966" w:type="dxa"/>
            <w:tcBorders>
              <w:top w:val="nil"/>
              <w:left w:val="nil"/>
              <w:bottom w:val="double" w:sz="6" w:space="0" w:color="auto"/>
              <w:right w:val="double" w:sz="6" w:space="0" w:color="auto"/>
            </w:tcBorders>
            <w:shd w:val="clear" w:color="auto" w:fill="auto"/>
            <w:noWrap/>
            <w:vAlign w:val="bottom"/>
            <w:hideMark/>
          </w:tcPr>
          <w:p w14:paraId="1E7C825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40,20</w:t>
            </w:r>
          </w:p>
        </w:tc>
        <w:tc>
          <w:tcPr>
            <w:tcW w:w="924" w:type="dxa"/>
            <w:tcBorders>
              <w:top w:val="nil"/>
              <w:left w:val="nil"/>
              <w:bottom w:val="double" w:sz="6" w:space="0" w:color="auto"/>
              <w:right w:val="double" w:sz="6" w:space="0" w:color="auto"/>
            </w:tcBorders>
            <w:shd w:val="clear" w:color="auto" w:fill="auto"/>
            <w:noWrap/>
            <w:vAlign w:val="bottom"/>
            <w:hideMark/>
          </w:tcPr>
          <w:p w14:paraId="29A0EE8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0,49</w:t>
            </w:r>
          </w:p>
        </w:tc>
      </w:tr>
      <w:tr w:rsidR="0017587A" w14:paraId="2898D405"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1F0E5D5"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MT</w:t>
            </w:r>
          </w:p>
        </w:tc>
        <w:tc>
          <w:tcPr>
            <w:tcW w:w="1093" w:type="dxa"/>
            <w:tcBorders>
              <w:top w:val="nil"/>
              <w:left w:val="nil"/>
              <w:bottom w:val="double" w:sz="6" w:space="0" w:color="auto"/>
              <w:right w:val="double" w:sz="6" w:space="0" w:color="auto"/>
            </w:tcBorders>
            <w:shd w:val="clear" w:color="auto" w:fill="auto"/>
            <w:noWrap/>
            <w:vAlign w:val="bottom"/>
            <w:hideMark/>
          </w:tcPr>
          <w:p w14:paraId="11ADBFE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0,27</w:t>
            </w:r>
          </w:p>
        </w:tc>
        <w:tc>
          <w:tcPr>
            <w:tcW w:w="1036" w:type="dxa"/>
            <w:tcBorders>
              <w:top w:val="nil"/>
              <w:left w:val="nil"/>
              <w:bottom w:val="double" w:sz="6" w:space="0" w:color="auto"/>
              <w:right w:val="double" w:sz="6" w:space="0" w:color="auto"/>
            </w:tcBorders>
            <w:shd w:val="clear" w:color="auto" w:fill="auto"/>
            <w:noWrap/>
            <w:vAlign w:val="bottom"/>
            <w:hideMark/>
          </w:tcPr>
          <w:p w14:paraId="51A791C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4906B1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4,47</w:t>
            </w:r>
          </w:p>
        </w:tc>
        <w:tc>
          <w:tcPr>
            <w:tcW w:w="925" w:type="dxa"/>
            <w:tcBorders>
              <w:top w:val="nil"/>
              <w:left w:val="nil"/>
              <w:bottom w:val="double" w:sz="6" w:space="0" w:color="auto"/>
              <w:right w:val="double" w:sz="6" w:space="0" w:color="auto"/>
            </w:tcBorders>
            <w:shd w:val="clear" w:color="auto" w:fill="auto"/>
            <w:noWrap/>
            <w:vAlign w:val="bottom"/>
            <w:hideMark/>
          </w:tcPr>
          <w:p w14:paraId="536A1FF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959E85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3,81</w:t>
            </w:r>
          </w:p>
        </w:tc>
        <w:tc>
          <w:tcPr>
            <w:tcW w:w="925" w:type="dxa"/>
            <w:tcBorders>
              <w:top w:val="nil"/>
              <w:left w:val="nil"/>
              <w:bottom w:val="double" w:sz="6" w:space="0" w:color="auto"/>
              <w:right w:val="double" w:sz="6" w:space="0" w:color="auto"/>
            </w:tcBorders>
            <w:shd w:val="clear" w:color="auto" w:fill="auto"/>
            <w:noWrap/>
            <w:vAlign w:val="bottom"/>
            <w:hideMark/>
          </w:tcPr>
          <w:p w14:paraId="7932B9E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0,10</w:t>
            </w:r>
          </w:p>
        </w:tc>
        <w:tc>
          <w:tcPr>
            <w:tcW w:w="910" w:type="dxa"/>
            <w:tcBorders>
              <w:top w:val="nil"/>
              <w:left w:val="nil"/>
              <w:bottom w:val="double" w:sz="6" w:space="0" w:color="auto"/>
              <w:right w:val="double" w:sz="6" w:space="0" w:color="auto"/>
            </w:tcBorders>
            <w:shd w:val="clear" w:color="auto" w:fill="auto"/>
            <w:noWrap/>
            <w:vAlign w:val="bottom"/>
            <w:hideMark/>
          </w:tcPr>
          <w:p w14:paraId="2A13AA0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5,62</w:t>
            </w:r>
          </w:p>
        </w:tc>
        <w:tc>
          <w:tcPr>
            <w:tcW w:w="924" w:type="dxa"/>
            <w:tcBorders>
              <w:top w:val="nil"/>
              <w:left w:val="nil"/>
              <w:bottom w:val="double" w:sz="6" w:space="0" w:color="auto"/>
              <w:right w:val="double" w:sz="6" w:space="0" w:color="auto"/>
            </w:tcBorders>
            <w:shd w:val="clear" w:color="auto" w:fill="auto"/>
            <w:noWrap/>
            <w:vAlign w:val="bottom"/>
            <w:hideMark/>
          </w:tcPr>
          <w:p w14:paraId="4F6E2B1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0,57</w:t>
            </w:r>
          </w:p>
        </w:tc>
        <w:tc>
          <w:tcPr>
            <w:tcW w:w="892" w:type="dxa"/>
            <w:tcBorders>
              <w:top w:val="nil"/>
              <w:left w:val="nil"/>
              <w:bottom w:val="double" w:sz="6" w:space="0" w:color="auto"/>
              <w:right w:val="double" w:sz="6" w:space="0" w:color="auto"/>
            </w:tcBorders>
            <w:shd w:val="clear" w:color="auto" w:fill="auto"/>
            <w:noWrap/>
            <w:vAlign w:val="bottom"/>
            <w:hideMark/>
          </w:tcPr>
          <w:p w14:paraId="5078618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4,30</w:t>
            </w:r>
          </w:p>
        </w:tc>
        <w:tc>
          <w:tcPr>
            <w:tcW w:w="925" w:type="dxa"/>
            <w:tcBorders>
              <w:top w:val="nil"/>
              <w:left w:val="nil"/>
              <w:bottom w:val="double" w:sz="6" w:space="0" w:color="auto"/>
              <w:right w:val="double" w:sz="6" w:space="0" w:color="auto"/>
            </w:tcBorders>
            <w:shd w:val="clear" w:color="auto" w:fill="auto"/>
            <w:noWrap/>
            <w:vAlign w:val="bottom"/>
            <w:hideMark/>
          </w:tcPr>
          <w:p w14:paraId="354182A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0,16</w:t>
            </w:r>
          </w:p>
        </w:tc>
        <w:tc>
          <w:tcPr>
            <w:tcW w:w="910" w:type="dxa"/>
            <w:tcBorders>
              <w:top w:val="nil"/>
              <w:left w:val="nil"/>
              <w:bottom w:val="double" w:sz="6" w:space="0" w:color="auto"/>
              <w:right w:val="double" w:sz="6" w:space="0" w:color="auto"/>
            </w:tcBorders>
            <w:shd w:val="clear" w:color="auto" w:fill="auto"/>
            <w:noWrap/>
            <w:vAlign w:val="bottom"/>
            <w:hideMark/>
          </w:tcPr>
          <w:p w14:paraId="2D3D427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5,78</w:t>
            </w:r>
          </w:p>
        </w:tc>
        <w:tc>
          <w:tcPr>
            <w:tcW w:w="924" w:type="dxa"/>
            <w:tcBorders>
              <w:top w:val="nil"/>
              <w:left w:val="nil"/>
              <w:bottom w:val="double" w:sz="6" w:space="0" w:color="auto"/>
              <w:right w:val="double" w:sz="6" w:space="0" w:color="auto"/>
            </w:tcBorders>
            <w:shd w:val="clear" w:color="auto" w:fill="auto"/>
            <w:noWrap/>
            <w:vAlign w:val="bottom"/>
            <w:hideMark/>
          </w:tcPr>
          <w:p w14:paraId="222C93B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0,17</w:t>
            </w:r>
          </w:p>
        </w:tc>
        <w:tc>
          <w:tcPr>
            <w:tcW w:w="966" w:type="dxa"/>
            <w:tcBorders>
              <w:top w:val="nil"/>
              <w:left w:val="nil"/>
              <w:bottom w:val="double" w:sz="6" w:space="0" w:color="auto"/>
              <w:right w:val="double" w:sz="6" w:space="0" w:color="auto"/>
            </w:tcBorders>
            <w:shd w:val="clear" w:color="auto" w:fill="auto"/>
            <w:noWrap/>
            <w:vAlign w:val="bottom"/>
            <w:hideMark/>
          </w:tcPr>
          <w:p w14:paraId="232CD42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15,19</w:t>
            </w:r>
          </w:p>
        </w:tc>
        <w:tc>
          <w:tcPr>
            <w:tcW w:w="924" w:type="dxa"/>
            <w:tcBorders>
              <w:top w:val="nil"/>
              <w:left w:val="nil"/>
              <w:bottom w:val="double" w:sz="6" w:space="0" w:color="auto"/>
              <w:right w:val="double" w:sz="6" w:space="0" w:color="auto"/>
            </w:tcBorders>
            <w:shd w:val="clear" w:color="auto" w:fill="auto"/>
            <w:noWrap/>
            <w:vAlign w:val="bottom"/>
            <w:hideMark/>
          </w:tcPr>
          <w:p w14:paraId="09D4179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0,52</w:t>
            </w:r>
          </w:p>
        </w:tc>
      </w:tr>
      <w:tr w:rsidR="0017587A" w14:paraId="2196D0F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A0A7C17"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NE</w:t>
            </w:r>
          </w:p>
        </w:tc>
        <w:tc>
          <w:tcPr>
            <w:tcW w:w="1093" w:type="dxa"/>
            <w:tcBorders>
              <w:top w:val="nil"/>
              <w:left w:val="nil"/>
              <w:bottom w:val="double" w:sz="6" w:space="0" w:color="auto"/>
              <w:right w:val="double" w:sz="6" w:space="0" w:color="auto"/>
            </w:tcBorders>
            <w:shd w:val="clear" w:color="auto" w:fill="auto"/>
            <w:noWrap/>
            <w:vAlign w:val="bottom"/>
            <w:hideMark/>
          </w:tcPr>
          <w:p w14:paraId="4F4741A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25,61</w:t>
            </w:r>
          </w:p>
        </w:tc>
        <w:tc>
          <w:tcPr>
            <w:tcW w:w="1036" w:type="dxa"/>
            <w:tcBorders>
              <w:top w:val="nil"/>
              <w:left w:val="nil"/>
              <w:bottom w:val="double" w:sz="6" w:space="0" w:color="auto"/>
              <w:right w:val="double" w:sz="6" w:space="0" w:color="auto"/>
            </w:tcBorders>
            <w:shd w:val="clear" w:color="auto" w:fill="auto"/>
            <w:noWrap/>
            <w:vAlign w:val="bottom"/>
            <w:hideMark/>
          </w:tcPr>
          <w:p w14:paraId="7BAE0EC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F79350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134,24</w:t>
            </w:r>
          </w:p>
        </w:tc>
        <w:tc>
          <w:tcPr>
            <w:tcW w:w="925" w:type="dxa"/>
            <w:tcBorders>
              <w:top w:val="nil"/>
              <w:left w:val="nil"/>
              <w:bottom w:val="double" w:sz="6" w:space="0" w:color="auto"/>
              <w:right w:val="double" w:sz="6" w:space="0" w:color="auto"/>
            </w:tcBorders>
            <w:shd w:val="clear" w:color="auto" w:fill="auto"/>
            <w:noWrap/>
            <w:vAlign w:val="bottom"/>
            <w:hideMark/>
          </w:tcPr>
          <w:p w14:paraId="47F4B78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232337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125,63</w:t>
            </w:r>
          </w:p>
        </w:tc>
        <w:tc>
          <w:tcPr>
            <w:tcW w:w="925" w:type="dxa"/>
            <w:tcBorders>
              <w:top w:val="nil"/>
              <w:left w:val="nil"/>
              <w:bottom w:val="double" w:sz="6" w:space="0" w:color="auto"/>
              <w:right w:val="double" w:sz="6" w:space="0" w:color="auto"/>
            </w:tcBorders>
            <w:shd w:val="clear" w:color="auto" w:fill="auto"/>
            <w:noWrap/>
            <w:vAlign w:val="bottom"/>
            <w:hideMark/>
          </w:tcPr>
          <w:p w14:paraId="2AECA87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5,47</w:t>
            </w:r>
          </w:p>
        </w:tc>
        <w:tc>
          <w:tcPr>
            <w:tcW w:w="910" w:type="dxa"/>
            <w:tcBorders>
              <w:top w:val="nil"/>
              <w:left w:val="nil"/>
              <w:bottom w:val="double" w:sz="6" w:space="0" w:color="auto"/>
              <w:right w:val="double" w:sz="6" w:space="0" w:color="auto"/>
            </w:tcBorders>
            <w:shd w:val="clear" w:color="auto" w:fill="auto"/>
            <w:noWrap/>
            <w:vAlign w:val="bottom"/>
            <w:hideMark/>
          </w:tcPr>
          <w:p w14:paraId="540756A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183,57</w:t>
            </w:r>
          </w:p>
        </w:tc>
        <w:tc>
          <w:tcPr>
            <w:tcW w:w="924" w:type="dxa"/>
            <w:tcBorders>
              <w:top w:val="nil"/>
              <w:left w:val="nil"/>
              <w:bottom w:val="double" w:sz="6" w:space="0" w:color="auto"/>
              <w:right w:val="double" w:sz="6" w:space="0" w:color="auto"/>
            </w:tcBorders>
            <w:shd w:val="clear" w:color="auto" w:fill="auto"/>
            <w:noWrap/>
            <w:vAlign w:val="bottom"/>
            <w:hideMark/>
          </w:tcPr>
          <w:p w14:paraId="389385A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3,68</w:t>
            </w:r>
          </w:p>
        </w:tc>
        <w:tc>
          <w:tcPr>
            <w:tcW w:w="892" w:type="dxa"/>
            <w:tcBorders>
              <w:top w:val="nil"/>
              <w:left w:val="nil"/>
              <w:bottom w:val="double" w:sz="6" w:space="0" w:color="auto"/>
              <w:right w:val="double" w:sz="6" w:space="0" w:color="auto"/>
            </w:tcBorders>
            <w:shd w:val="clear" w:color="auto" w:fill="auto"/>
            <w:noWrap/>
            <w:vAlign w:val="bottom"/>
            <w:hideMark/>
          </w:tcPr>
          <w:p w14:paraId="0E7B3AB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141,59</w:t>
            </w:r>
          </w:p>
        </w:tc>
        <w:tc>
          <w:tcPr>
            <w:tcW w:w="925" w:type="dxa"/>
            <w:tcBorders>
              <w:top w:val="nil"/>
              <w:left w:val="nil"/>
              <w:bottom w:val="double" w:sz="6" w:space="0" w:color="auto"/>
              <w:right w:val="double" w:sz="6" w:space="0" w:color="auto"/>
            </w:tcBorders>
            <w:shd w:val="clear" w:color="auto" w:fill="auto"/>
            <w:noWrap/>
            <w:vAlign w:val="bottom"/>
            <w:hideMark/>
          </w:tcPr>
          <w:p w14:paraId="2888A9F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1,01</w:t>
            </w:r>
          </w:p>
        </w:tc>
        <w:tc>
          <w:tcPr>
            <w:tcW w:w="910" w:type="dxa"/>
            <w:tcBorders>
              <w:top w:val="nil"/>
              <w:left w:val="nil"/>
              <w:bottom w:val="double" w:sz="6" w:space="0" w:color="auto"/>
              <w:right w:val="double" w:sz="6" w:space="0" w:color="auto"/>
            </w:tcBorders>
            <w:shd w:val="clear" w:color="auto" w:fill="auto"/>
            <w:noWrap/>
            <w:vAlign w:val="bottom"/>
            <w:hideMark/>
          </w:tcPr>
          <w:p w14:paraId="1DEE468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189,63</w:t>
            </w:r>
          </w:p>
        </w:tc>
        <w:tc>
          <w:tcPr>
            <w:tcW w:w="924" w:type="dxa"/>
            <w:tcBorders>
              <w:top w:val="nil"/>
              <w:left w:val="nil"/>
              <w:bottom w:val="double" w:sz="6" w:space="0" w:color="auto"/>
              <w:right w:val="double" w:sz="6" w:space="0" w:color="auto"/>
            </w:tcBorders>
            <w:shd w:val="clear" w:color="auto" w:fill="auto"/>
            <w:noWrap/>
            <w:vAlign w:val="bottom"/>
            <w:hideMark/>
          </w:tcPr>
          <w:p w14:paraId="59134C1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1,07</w:t>
            </w:r>
          </w:p>
        </w:tc>
        <w:tc>
          <w:tcPr>
            <w:tcW w:w="966" w:type="dxa"/>
            <w:tcBorders>
              <w:top w:val="nil"/>
              <w:left w:val="nil"/>
              <w:bottom w:val="double" w:sz="6" w:space="0" w:color="auto"/>
              <w:right w:val="double" w:sz="6" w:space="0" w:color="auto"/>
            </w:tcBorders>
            <w:shd w:val="clear" w:color="auto" w:fill="auto"/>
            <w:noWrap/>
            <w:vAlign w:val="bottom"/>
            <w:hideMark/>
          </w:tcPr>
          <w:p w14:paraId="545A823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500,84</w:t>
            </w:r>
          </w:p>
        </w:tc>
        <w:tc>
          <w:tcPr>
            <w:tcW w:w="924" w:type="dxa"/>
            <w:tcBorders>
              <w:top w:val="nil"/>
              <w:left w:val="nil"/>
              <w:bottom w:val="double" w:sz="6" w:space="0" w:color="auto"/>
              <w:right w:val="double" w:sz="6" w:space="0" w:color="auto"/>
            </w:tcBorders>
            <w:shd w:val="clear" w:color="auto" w:fill="auto"/>
            <w:noWrap/>
            <w:vAlign w:val="bottom"/>
            <w:hideMark/>
          </w:tcPr>
          <w:p w14:paraId="2F4267D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3,37</w:t>
            </w:r>
          </w:p>
        </w:tc>
      </w:tr>
      <w:tr w:rsidR="0017587A" w14:paraId="7BDEB40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31DA709D"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PL</w:t>
            </w:r>
          </w:p>
        </w:tc>
        <w:tc>
          <w:tcPr>
            <w:tcW w:w="1093" w:type="dxa"/>
            <w:tcBorders>
              <w:top w:val="nil"/>
              <w:left w:val="nil"/>
              <w:bottom w:val="double" w:sz="6" w:space="0" w:color="auto"/>
              <w:right w:val="double" w:sz="6" w:space="0" w:color="auto"/>
            </w:tcBorders>
            <w:shd w:val="clear" w:color="auto" w:fill="auto"/>
            <w:noWrap/>
            <w:vAlign w:val="bottom"/>
            <w:hideMark/>
          </w:tcPr>
          <w:p w14:paraId="241F005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545BEFA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04C2E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244,02</w:t>
            </w:r>
          </w:p>
        </w:tc>
        <w:tc>
          <w:tcPr>
            <w:tcW w:w="925" w:type="dxa"/>
            <w:tcBorders>
              <w:top w:val="nil"/>
              <w:left w:val="nil"/>
              <w:bottom w:val="double" w:sz="6" w:space="0" w:color="auto"/>
              <w:right w:val="double" w:sz="6" w:space="0" w:color="auto"/>
            </w:tcBorders>
            <w:shd w:val="clear" w:color="auto" w:fill="auto"/>
            <w:noWrap/>
            <w:vAlign w:val="bottom"/>
            <w:hideMark/>
          </w:tcPr>
          <w:p w14:paraId="5FB6532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0A1490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78,01</w:t>
            </w:r>
          </w:p>
        </w:tc>
        <w:tc>
          <w:tcPr>
            <w:tcW w:w="925" w:type="dxa"/>
            <w:tcBorders>
              <w:top w:val="nil"/>
              <w:left w:val="nil"/>
              <w:bottom w:val="double" w:sz="6" w:space="0" w:color="auto"/>
              <w:right w:val="double" w:sz="6" w:space="0" w:color="auto"/>
            </w:tcBorders>
            <w:shd w:val="clear" w:color="auto" w:fill="auto"/>
            <w:noWrap/>
            <w:vAlign w:val="bottom"/>
            <w:hideMark/>
          </w:tcPr>
          <w:p w14:paraId="767B520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910" w:type="dxa"/>
            <w:tcBorders>
              <w:top w:val="nil"/>
              <w:left w:val="nil"/>
              <w:bottom w:val="double" w:sz="6" w:space="0" w:color="auto"/>
              <w:right w:val="double" w:sz="6" w:space="0" w:color="auto"/>
            </w:tcBorders>
            <w:shd w:val="clear" w:color="auto" w:fill="auto"/>
            <w:noWrap/>
            <w:vAlign w:val="bottom"/>
            <w:hideMark/>
          </w:tcPr>
          <w:p w14:paraId="7407CC0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129,84</w:t>
            </w:r>
          </w:p>
        </w:tc>
        <w:tc>
          <w:tcPr>
            <w:tcW w:w="924" w:type="dxa"/>
            <w:tcBorders>
              <w:top w:val="nil"/>
              <w:left w:val="nil"/>
              <w:bottom w:val="double" w:sz="6" w:space="0" w:color="auto"/>
              <w:right w:val="double" w:sz="6" w:space="0" w:color="auto"/>
            </w:tcBorders>
            <w:shd w:val="clear" w:color="auto" w:fill="auto"/>
            <w:noWrap/>
            <w:vAlign w:val="bottom"/>
            <w:hideMark/>
          </w:tcPr>
          <w:p w14:paraId="6A2C47B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2,98</w:t>
            </w:r>
          </w:p>
        </w:tc>
        <w:tc>
          <w:tcPr>
            <w:tcW w:w="892" w:type="dxa"/>
            <w:tcBorders>
              <w:top w:val="nil"/>
              <w:left w:val="nil"/>
              <w:bottom w:val="double" w:sz="6" w:space="0" w:color="auto"/>
              <w:right w:val="double" w:sz="6" w:space="0" w:color="auto"/>
            </w:tcBorders>
            <w:shd w:val="clear" w:color="auto" w:fill="auto"/>
            <w:noWrap/>
            <w:vAlign w:val="bottom"/>
            <w:hideMark/>
          </w:tcPr>
          <w:p w14:paraId="3FC849D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135,57</w:t>
            </w:r>
          </w:p>
        </w:tc>
        <w:tc>
          <w:tcPr>
            <w:tcW w:w="925" w:type="dxa"/>
            <w:tcBorders>
              <w:top w:val="nil"/>
              <w:left w:val="nil"/>
              <w:bottom w:val="double" w:sz="6" w:space="0" w:color="auto"/>
              <w:right w:val="double" w:sz="6" w:space="0" w:color="auto"/>
            </w:tcBorders>
            <w:shd w:val="clear" w:color="auto" w:fill="auto"/>
            <w:noWrap/>
            <w:vAlign w:val="bottom"/>
            <w:hideMark/>
          </w:tcPr>
          <w:p w14:paraId="01C4A6F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0,58</w:t>
            </w:r>
          </w:p>
        </w:tc>
        <w:tc>
          <w:tcPr>
            <w:tcW w:w="910" w:type="dxa"/>
            <w:tcBorders>
              <w:top w:val="nil"/>
              <w:left w:val="nil"/>
              <w:bottom w:val="double" w:sz="6" w:space="0" w:color="auto"/>
              <w:right w:val="double" w:sz="6" w:space="0" w:color="auto"/>
            </w:tcBorders>
            <w:shd w:val="clear" w:color="auto" w:fill="auto"/>
            <w:noWrap/>
            <w:vAlign w:val="bottom"/>
            <w:hideMark/>
          </w:tcPr>
          <w:p w14:paraId="704591D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505,31</w:t>
            </w:r>
          </w:p>
        </w:tc>
        <w:tc>
          <w:tcPr>
            <w:tcW w:w="924" w:type="dxa"/>
            <w:tcBorders>
              <w:top w:val="nil"/>
              <w:left w:val="nil"/>
              <w:bottom w:val="double" w:sz="6" w:space="0" w:color="auto"/>
              <w:right w:val="double" w:sz="6" w:space="0" w:color="auto"/>
            </w:tcBorders>
            <w:shd w:val="clear" w:color="auto" w:fill="auto"/>
            <w:noWrap/>
            <w:vAlign w:val="bottom"/>
            <w:hideMark/>
          </w:tcPr>
          <w:p w14:paraId="37F7DB1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0,69</w:t>
            </w:r>
          </w:p>
        </w:tc>
        <w:tc>
          <w:tcPr>
            <w:tcW w:w="966" w:type="dxa"/>
            <w:tcBorders>
              <w:top w:val="nil"/>
              <w:left w:val="nil"/>
              <w:bottom w:val="double" w:sz="6" w:space="0" w:color="auto"/>
              <w:right w:val="double" w:sz="6" w:space="0" w:color="auto"/>
            </w:tcBorders>
            <w:shd w:val="clear" w:color="auto" w:fill="auto"/>
            <w:noWrap/>
            <w:vAlign w:val="bottom"/>
            <w:hideMark/>
          </w:tcPr>
          <w:p w14:paraId="3A9CDBF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1209,98</w:t>
            </w:r>
          </w:p>
        </w:tc>
        <w:tc>
          <w:tcPr>
            <w:tcW w:w="924" w:type="dxa"/>
            <w:tcBorders>
              <w:top w:val="nil"/>
              <w:left w:val="nil"/>
              <w:bottom w:val="double" w:sz="6" w:space="0" w:color="auto"/>
              <w:right w:val="double" w:sz="6" w:space="0" w:color="auto"/>
            </w:tcBorders>
            <w:shd w:val="clear" w:color="auto" w:fill="auto"/>
            <w:noWrap/>
            <w:vAlign w:val="bottom"/>
            <w:hideMark/>
          </w:tcPr>
          <w:p w14:paraId="2EAE9D8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1,59</w:t>
            </w:r>
          </w:p>
        </w:tc>
      </w:tr>
      <w:tr w:rsidR="0017587A" w14:paraId="050298E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9ADB59B"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PT</w:t>
            </w:r>
          </w:p>
        </w:tc>
        <w:tc>
          <w:tcPr>
            <w:tcW w:w="1093" w:type="dxa"/>
            <w:tcBorders>
              <w:top w:val="nil"/>
              <w:left w:val="nil"/>
              <w:bottom w:val="double" w:sz="6" w:space="0" w:color="auto"/>
              <w:right w:val="double" w:sz="6" w:space="0" w:color="auto"/>
            </w:tcBorders>
            <w:shd w:val="clear" w:color="auto" w:fill="auto"/>
            <w:noWrap/>
            <w:vAlign w:val="bottom"/>
            <w:hideMark/>
          </w:tcPr>
          <w:p w14:paraId="081CCA5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10,65</w:t>
            </w:r>
          </w:p>
        </w:tc>
        <w:tc>
          <w:tcPr>
            <w:tcW w:w="1036" w:type="dxa"/>
            <w:tcBorders>
              <w:top w:val="nil"/>
              <w:left w:val="nil"/>
              <w:bottom w:val="double" w:sz="6" w:space="0" w:color="auto"/>
              <w:right w:val="double" w:sz="6" w:space="0" w:color="auto"/>
            </w:tcBorders>
            <w:shd w:val="clear" w:color="auto" w:fill="auto"/>
            <w:noWrap/>
            <w:vAlign w:val="bottom"/>
            <w:hideMark/>
          </w:tcPr>
          <w:p w14:paraId="538BF71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B93657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72,78</w:t>
            </w:r>
          </w:p>
        </w:tc>
        <w:tc>
          <w:tcPr>
            <w:tcW w:w="925" w:type="dxa"/>
            <w:tcBorders>
              <w:top w:val="nil"/>
              <w:left w:val="nil"/>
              <w:bottom w:val="double" w:sz="6" w:space="0" w:color="auto"/>
              <w:right w:val="double" w:sz="6" w:space="0" w:color="auto"/>
            </w:tcBorders>
            <w:shd w:val="clear" w:color="auto" w:fill="auto"/>
            <w:noWrap/>
            <w:vAlign w:val="bottom"/>
            <w:hideMark/>
          </w:tcPr>
          <w:p w14:paraId="20A7F82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E7779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65,82</w:t>
            </w:r>
          </w:p>
        </w:tc>
        <w:tc>
          <w:tcPr>
            <w:tcW w:w="925" w:type="dxa"/>
            <w:tcBorders>
              <w:top w:val="nil"/>
              <w:left w:val="nil"/>
              <w:bottom w:val="double" w:sz="6" w:space="0" w:color="auto"/>
              <w:right w:val="double" w:sz="6" w:space="0" w:color="auto"/>
            </w:tcBorders>
            <w:shd w:val="clear" w:color="auto" w:fill="auto"/>
            <w:noWrap/>
            <w:vAlign w:val="bottom"/>
            <w:hideMark/>
          </w:tcPr>
          <w:p w14:paraId="58E38EA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1,27</w:t>
            </w:r>
          </w:p>
        </w:tc>
        <w:tc>
          <w:tcPr>
            <w:tcW w:w="910" w:type="dxa"/>
            <w:tcBorders>
              <w:top w:val="nil"/>
              <w:left w:val="nil"/>
              <w:bottom w:val="double" w:sz="6" w:space="0" w:color="auto"/>
              <w:right w:val="double" w:sz="6" w:space="0" w:color="auto"/>
            </w:tcBorders>
            <w:shd w:val="clear" w:color="auto" w:fill="auto"/>
            <w:noWrap/>
            <w:vAlign w:val="bottom"/>
            <w:hideMark/>
          </w:tcPr>
          <w:p w14:paraId="2CE4A2B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96,32</w:t>
            </w:r>
          </w:p>
        </w:tc>
        <w:tc>
          <w:tcPr>
            <w:tcW w:w="924" w:type="dxa"/>
            <w:tcBorders>
              <w:top w:val="nil"/>
              <w:left w:val="nil"/>
              <w:bottom w:val="double" w:sz="6" w:space="0" w:color="auto"/>
              <w:right w:val="double" w:sz="6" w:space="0" w:color="auto"/>
            </w:tcBorders>
            <w:shd w:val="clear" w:color="auto" w:fill="auto"/>
            <w:noWrap/>
            <w:vAlign w:val="bottom"/>
            <w:hideMark/>
          </w:tcPr>
          <w:p w14:paraId="5A431E9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2,89</w:t>
            </w:r>
          </w:p>
        </w:tc>
        <w:tc>
          <w:tcPr>
            <w:tcW w:w="892" w:type="dxa"/>
            <w:tcBorders>
              <w:top w:val="nil"/>
              <w:left w:val="nil"/>
              <w:bottom w:val="double" w:sz="6" w:space="0" w:color="auto"/>
              <w:right w:val="double" w:sz="6" w:space="0" w:color="auto"/>
            </w:tcBorders>
            <w:shd w:val="clear" w:color="auto" w:fill="auto"/>
            <w:noWrap/>
            <w:vAlign w:val="bottom"/>
            <w:hideMark/>
          </w:tcPr>
          <w:p w14:paraId="5BF99E6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74,29</w:t>
            </w:r>
          </w:p>
        </w:tc>
        <w:tc>
          <w:tcPr>
            <w:tcW w:w="925" w:type="dxa"/>
            <w:tcBorders>
              <w:top w:val="nil"/>
              <w:left w:val="nil"/>
              <w:bottom w:val="double" w:sz="6" w:space="0" w:color="auto"/>
              <w:right w:val="double" w:sz="6" w:space="0" w:color="auto"/>
            </w:tcBorders>
            <w:shd w:val="clear" w:color="auto" w:fill="auto"/>
            <w:noWrap/>
            <w:vAlign w:val="bottom"/>
            <w:hideMark/>
          </w:tcPr>
          <w:p w14:paraId="123FF3C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0,79</w:t>
            </w:r>
          </w:p>
        </w:tc>
        <w:tc>
          <w:tcPr>
            <w:tcW w:w="910" w:type="dxa"/>
            <w:tcBorders>
              <w:top w:val="nil"/>
              <w:left w:val="nil"/>
              <w:bottom w:val="double" w:sz="6" w:space="0" w:color="auto"/>
              <w:right w:val="double" w:sz="6" w:space="0" w:color="auto"/>
            </w:tcBorders>
            <w:shd w:val="clear" w:color="auto" w:fill="auto"/>
            <w:noWrap/>
            <w:vAlign w:val="bottom"/>
            <w:hideMark/>
          </w:tcPr>
          <w:p w14:paraId="3A77B88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99,50</w:t>
            </w:r>
          </w:p>
        </w:tc>
        <w:tc>
          <w:tcPr>
            <w:tcW w:w="924" w:type="dxa"/>
            <w:tcBorders>
              <w:top w:val="nil"/>
              <w:left w:val="nil"/>
              <w:bottom w:val="double" w:sz="6" w:space="0" w:color="auto"/>
              <w:right w:val="double" w:sz="6" w:space="0" w:color="auto"/>
            </w:tcBorders>
            <w:shd w:val="clear" w:color="auto" w:fill="auto"/>
            <w:noWrap/>
            <w:vAlign w:val="bottom"/>
            <w:hideMark/>
          </w:tcPr>
          <w:p w14:paraId="1DEF562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0,85</w:t>
            </w:r>
          </w:p>
        </w:tc>
        <w:tc>
          <w:tcPr>
            <w:tcW w:w="966" w:type="dxa"/>
            <w:tcBorders>
              <w:top w:val="nil"/>
              <w:left w:val="nil"/>
              <w:bottom w:val="double" w:sz="6" w:space="0" w:color="auto"/>
              <w:right w:val="double" w:sz="6" w:space="0" w:color="auto"/>
            </w:tcBorders>
            <w:shd w:val="clear" w:color="auto" w:fill="auto"/>
            <w:noWrap/>
            <w:vAlign w:val="bottom"/>
            <w:hideMark/>
          </w:tcPr>
          <w:p w14:paraId="01C9161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262,96</w:t>
            </w:r>
          </w:p>
        </w:tc>
        <w:tc>
          <w:tcPr>
            <w:tcW w:w="924" w:type="dxa"/>
            <w:tcBorders>
              <w:top w:val="nil"/>
              <w:left w:val="nil"/>
              <w:bottom w:val="double" w:sz="6" w:space="0" w:color="auto"/>
              <w:right w:val="double" w:sz="6" w:space="0" w:color="auto"/>
            </w:tcBorders>
            <w:shd w:val="clear" w:color="auto" w:fill="auto"/>
            <w:noWrap/>
            <w:vAlign w:val="bottom"/>
            <w:hideMark/>
          </w:tcPr>
          <w:p w14:paraId="1A608CB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2,65</w:t>
            </w:r>
          </w:p>
        </w:tc>
      </w:tr>
      <w:tr w:rsidR="0017587A" w14:paraId="2A9CA83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FB0B9A6"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RO</w:t>
            </w:r>
          </w:p>
        </w:tc>
        <w:tc>
          <w:tcPr>
            <w:tcW w:w="1093" w:type="dxa"/>
            <w:tcBorders>
              <w:top w:val="nil"/>
              <w:left w:val="nil"/>
              <w:bottom w:val="double" w:sz="6" w:space="0" w:color="auto"/>
              <w:right w:val="double" w:sz="6" w:space="0" w:color="auto"/>
            </w:tcBorders>
            <w:shd w:val="clear" w:color="auto" w:fill="auto"/>
            <w:noWrap/>
            <w:vAlign w:val="bottom"/>
            <w:hideMark/>
          </w:tcPr>
          <w:p w14:paraId="49CEE61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39,71</w:t>
            </w:r>
          </w:p>
        </w:tc>
        <w:tc>
          <w:tcPr>
            <w:tcW w:w="1036" w:type="dxa"/>
            <w:tcBorders>
              <w:top w:val="nil"/>
              <w:left w:val="nil"/>
              <w:bottom w:val="double" w:sz="6" w:space="0" w:color="auto"/>
              <w:right w:val="double" w:sz="6" w:space="0" w:color="auto"/>
            </w:tcBorders>
            <w:shd w:val="clear" w:color="auto" w:fill="auto"/>
            <w:noWrap/>
            <w:vAlign w:val="bottom"/>
            <w:hideMark/>
          </w:tcPr>
          <w:p w14:paraId="215D5FC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62F952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122,74</w:t>
            </w:r>
          </w:p>
        </w:tc>
        <w:tc>
          <w:tcPr>
            <w:tcW w:w="925" w:type="dxa"/>
            <w:tcBorders>
              <w:top w:val="nil"/>
              <w:left w:val="nil"/>
              <w:bottom w:val="double" w:sz="6" w:space="0" w:color="auto"/>
              <w:right w:val="double" w:sz="6" w:space="0" w:color="auto"/>
            </w:tcBorders>
            <w:shd w:val="clear" w:color="auto" w:fill="auto"/>
            <w:noWrap/>
            <w:vAlign w:val="bottom"/>
            <w:hideMark/>
          </w:tcPr>
          <w:p w14:paraId="3A79E6C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197A34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97,57</w:t>
            </w:r>
          </w:p>
        </w:tc>
        <w:tc>
          <w:tcPr>
            <w:tcW w:w="925" w:type="dxa"/>
            <w:tcBorders>
              <w:top w:val="nil"/>
              <w:left w:val="nil"/>
              <w:bottom w:val="double" w:sz="6" w:space="0" w:color="auto"/>
              <w:right w:val="double" w:sz="6" w:space="0" w:color="auto"/>
            </w:tcBorders>
            <w:shd w:val="clear" w:color="auto" w:fill="auto"/>
            <w:noWrap/>
            <w:vAlign w:val="bottom"/>
            <w:hideMark/>
          </w:tcPr>
          <w:p w14:paraId="615EE694"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0,32</w:t>
            </w:r>
          </w:p>
        </w:tc>
        <w:tc>
          <w:tcPr>
            <w:tcW w:w="910" w:type="dxa"/>
            <w:tcBorders>
              <w:top w:val="nil"/>
              <w:left w:val="nil"/>
              <w:bottom w:val="double" w:sz="6" w:space="0" w:color="auto"/>
              <w:right w:val="double" w:sz="6" w:space="0" w:color="auto"/>
            </w:tcBorders>
            <w:shd w:val="clear" w:color="auto" w:fill="auto"/>
            <w:noWrap/>
            <w:vAlign w:val="bottom"/>
            <w:hideMark/>
          </w:tcPr>
          <w:p w14:paraId="10C0A03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193,62</w:t>
            </w:r>
          </w:p>
        </w:tc>
        <w:tc>
          <w:tcPr>
            <w:tcW w:w="924" w:type="dxa"/>
            <w:tcBorders>
              <w:top w:val="nil"/>
              <w:left w:val="nil"/>
              <w:bottom w:val="double" w:sz="6" w:space="0" w:color="auto"/>
              <w:right w:val="double" w:sz="6" w:space="0" w:color="auto"/>
            </w:tcBorders>
            <w:shd w:val="clear" w:color="auto" w:fill="auto"/>
            <w:noWrap/>
            <w:vAlign w:val="bottom"/>
            <w:hideMark/>
          </w:tcPr>
          <w:p w14:paraId="48D05A9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1,60</w:t>
            </w:r>
          </w:p>
        </w:tc>
        <w:tc>
          <w:tcPr>
            <w:tcW w:w="892" w:type="dxa"/>
            <w:tcBorders>
              <w:top w:val="nil"/>
              <w:left w:val="nil"/>
              <w:bottom w:val="double" w:sz="6" w:space="0" w:color="auto"/>
              <w:right w:val="double" w:sz="6" w:space="0" w:color="auto"/>
            </w:tcBorders>
            <w:shd w:val="clear" w:color="auto" w:fill="auto"/>
            <w:noWrap/>
            <w:vAlign w:val="bottom"/>
            <w:hideMark/>
          </w:tcPr>
          <w:p w14:paraId="7C312F0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193,56</w:t>
            </w:r>
          </w:p>
        </w:tc>
        <w:tc>
          <w:tcPr>
            <w:tcW w:w="925" w:type="dxa"/>
            <w:tcBorders>
              <w:top w:val="nil"/>
              <w:left w:val="nil"/>
              <w:bottom w:val="double" w:sz="6" w:space="0" w:color="auto"/>
              <w:right w:val="double" w:sz="6" w:space="0" w:color="auto"/>
            </w:tcBorders>
            <w:shd w:val="clear" w:color="auto" w:fill="auto"/>
            <w:noWrap/>
            <w:vAlign w:val="bottom"/>
            <w:hideMark/>
          </w:tcPr>
          <w:p w14:paraId="05E6BC6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0,44</w:t>
            </w:r>
          </w:p>
        </w:tc>
        <w:tc>
          <w:tcPr>
            <w:tcW w:w="910" w:type="dxa"/>
            <w:tcBorders>
              <w:top w:val="nil"/>
              <w:left w:val="nil"/>
              <w:bottom w:val="double" w:sz="6" w:space="0" w:color="auto"/>
              <w:right w:val="double" w:sz="6" w:space="0" w:color="auto"/>
            </w:tcBorders>
            <w:shd w:val="clear" w:color="auto" w:fill="auto"/>
            <w:noWrap/>
            <w:vAlign w:val="bottom"/>
            <w:hideMark/>
          </w:tcPr>
          <w:p w14:paraId="7FD745C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260,29</w:t>
            </w:r>
          </w:p>
        </w:tc>
        <w:tc>
          <w:tcPr>
            <w:tcW w:w="924" w:type="dxa"/>
            <w:tcBorders>
              <w:top w:val="nil"/>
              <w:left w:val="nil"/>
              <w:bottom w:val="double" w:sz="6" w:space="0" w:color="auto"/>
              <w:right w:val="double" w:sz="6" w:space="0" w:color="auto"/>
            </w:tcBorders>
            <w:shd w:val="clear" w:color="auto" w:fill="auto"/>
            <w:noWrap/>
            <w:vAlign w:val="bottom"/>
            <w:hideMark/>
          </w:tcPr>
          <w:p w14:paraId="009D25F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0,47</w:t>
            </w:r>
          </w:p>
        </w:tc>
        <w:tc>
          <w:tcPr>
            <w:tcW w:w="966" w:type="dxa"/>
            <w:tcBorders>
              <w:top w:val="nil"/>
              <w:left w:val="nil"/>
              <w:bottom w:val="double" w:sz="6" w:space="0" w:color="auto"/>
              <w:right w:val="double" w:sz="6" w:space="0" w:color="auto"/>
            </w:tcBorders>
            <w:shd w:val="clear" w:color="auto" w:fill="auto"/>
            <w:noWrap/>
            <w:vAlign w:val="bottom"/>
            <w:hideMark/>
          </w:tcPr>
          <w:p w14:paraId="27C5FE4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717,64</w:t>
            </w:r>
          </w:p>
        </w:tc>
        <w:tc>
          <w:tcPr>
            <w:tcW w:w="924" w:type="dxa"/>
            <w:tcBorders>
              <w:top w:val="nil"/>
              <w:left w:val="nil"/>
              <w:bottom w:val="double" w:sz="6" w:space="0" w:color="auto"/>
              <w:right w:val="double" w:sz="6" w:space="0" w:color="auto"/>
            </w:tcBorders>
            <w:shd w:val="clear" w:color="auto" w:fill="auto"/>
            <w:noWrap/>
            <w:vAlign w:val="bottom"/>
            <w:hideMark/>
          </w:tcPr>
          <w:p w14:paraId="71B7935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1,45</w:t>
            </w:r>
          </w:p>
        </w:tc>
      </w:tr>
      <w:tr w:rsidR="0017587A" w14:paraId="62DE47F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6EE3759"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SE</w:t>
            </w:r>
          </w:p>
        </w:tc>
        <w:tc>
          <w:tcPr>
            <w:tcW w:w="1093" w:type="dxa"/>
            <w:tcBorders>
              <w:top w:val="nil"/>
              <w:left w:val="nil"/>
              <w:bottom w:val="double" w:sz="6" w:space="0" w:color="auto"/>
              <w:right w:val="double" w:sz="6" w:space="0" w:color="auto"/>
            </w:tcBorders>
            <w:shd w:val="clear" w:color="auto" w:fill="auto"/>
            <w:noWrap/>
            <w:vAlign w:val="bottom"/>
            <w:hideMark/>
          </w:tcPr>
          <w:p w14:paraId="0BCE245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7,07</w:t>
            </w:r>
          </w:p>
        </w:tc>
        <w:tc>
          <w:tcPr>
            <w:tcW w:w="1036" w:type="dxa"/>
            <w:tcBorders>
              <w:top w:val="nil"/>
              <w:left w:val="nil"/>
              <w:bottom w:val="double" w:sz="6" w:space="0" w:color="auto"/>
              <w:right w:val="double" w:sz="6" w:space="0" w:color="auto"/>
            </w:tcBorders>
            <w:shd w:val="clear" w:color="auto" w:fill="auto"/>
            <w:noWrap/>
            <w:vAlign w:val="bottom"/>
            <w:hideMark/>
          </w:tcPr>
          <w:p w14:paraId="7E55746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F604A5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35,67</w:t>
            </w:r>
          </w:p>
        </w:tc>
        <w:tc>
          <w:tcPr>
            <w:tcW w:w="925" w:type="dxa"/>
            <w:tcBorders>
              <w:top w:val="nil"/>
              <w:left w:val="nil"/>
              <w:bottom w:val="double" w:sz="6" w:space="0" w:color="auto"/>
              <w:right w:val="double" w:sz="6" w:space="0" w:color="auto"/>
            </w:tcBorders>
            <w:shd w:val="clear" w:color="auto" w:fill="auto"/>
            <w:noWrap/>
            <w:vAlign w:val="bottom"/>
            <w:hideMark/>
          </w:tcPr>
          <w:p w14:paraId="1C11F12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75D72C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33,34</w:t>
            </w:r>
          </w:p>
        </w:tc>
        <w:tc>
          <w:tcPr>
            <w:tcW w:w="925" w:type="dxa"/>
            <w:tcBorders>
              <w:top w:val="nil"/>
              <w:left w:val="nil"/>
              <w:bottom w:val="double" w:sz="6" w:space="0" w:color="auto"/>
              <w:right w:val="double" w:sz="6" w:space="0" w:color="auto"/>
            </w:tcBorders>
            <w:shd w:val="clear" w:color="auto" w:fill="auto"/>
            <w:noWrap/>
            <w:vAlign w:val="bottom"/>
            <w:hideMark/>
          </w:tcPr>
          <w:p w14:paraId="5709480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1,02</w:t>
            </w:r>
          </w:p>
        </w:tc>
        <w:tc>
          <w:tcPr>
            <w:tcW w:w="910" w:type="dxa"/>
            <w:tcBorders>
              <w:top w:val="nil"/>
              <w:left w:val="nil"/>
              <w:bottom w:val="double" w:sz="6" w:space="0" w:color="auto"/>
              <w:right w:val="double" w:sz="6" w:space="0" w:color="auto"/>
            </w:tcBorders>
            <w:shd w:val="clear" w:color="auto" w:fill="auto"/>
            <w:noWrap/>
            <w:vAlign w:val="bottom"/>
            <w:hideMark/>
          </w:tcPr>
          <w:p w14:paraId="1A1D51F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48,79</w:t>
            </w:r>
          </w:p>
        </w:tc>
        <w:tc>
          <w:tcPr>
            <w:tcW w:w="924" w:type="dxa"/>
            <w:tcBorders>
              <w:top w:val="nil"/>
              <w:left w:val="nil"/>
              <w:bottom w:val="double" w:sz="6" w:space="0" w:color="auto"/>
              <w:right w:val="double" w:sz="6" w:space="0" w:color="auto"/>
            </w:tcBorders>
            <w:shd w:val="clear" w:color="auto" w:fill="auto"/>
            <w:noWrap/>
            <w:vAlign w:val="bottom"/>
            <w:hideMark/>
          </w:tcPr>
          <w:p w14:paraId="71DE629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3,63</w:t>
            </w:r>
          </w:p>
        </w:tc>
        <w:tc>
          <w:tcPr>
            <w:tcW w:w="892" w:type="dxa"/>
            <w:tcBorders>
              <w:top w:val="nil"/>
              <w:left w:val="nil"/>
              <w:bottom w:val="double" w:sz="6" w:space="0" w:color="auto"/>
              <w:right w:val="double" w:sz="6" w:space="0" w:color="auto"/>
            </w:tcBorders>
            <w:shd w:val="clear" w:color="auto" w:fill="auto"/>
            <w:noWrap/>
            <w:vAlign w:val="bottom"/>
            <w:hideMark/>
          </w:tcPr>
          <w:p w14:paraId="7B7A4B3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37,61</w:t>
            </w:r>
          </w:p>
        </w:tc>
        <w:tc>
          <w:tcPr>
            <w:tcW w:w="925" w:type="dxa"/>
            <w:tcBorders>
              <w:top w:val="nil"/>
              <w:left w:val="nil"/>
              <w:bottom w:val="double" w:sz="6" w:space="0" w:color="auto"/>
              <w:right w:val="double" w:sz="6" w:space="0" w:color="auto"/>
            </w:tcBorders>
            <w:shd w:val="clear" w:color="auto" w:fill="auto"/>
            <w:noWrap/>
            <w:vAlign w:val="bottom"/>
            <w:hideMark/>
          </w:tcPr>
          <w:p w14:paraId="1DA3AA7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1,00</w:t>
            </w:r>
          </w:p>
        </w:tc>
        <w:tc>
          <w:tcPr>
            <w:tcW w:w="910" w:type="dxa"/>
            <w:tcBorders>
              <w:top w:val="nil"/>
              <w:left w:val="nil"/>
              <w:bottom w:val="double" w:sz="6" w:space="0" w:color="auto"/>
              <w:right w:val="double" w:sz="6" w:space="0" w:color="auto"/>
            </w:tcBorders>
            <w:shd w:val="clear" w:color="auto" w:fill="auto"/>
            <w:noWrap/>
            <w:vAlign w:val="bottom"/>
            <w:hideMark/>
          </w:tcPr>
          <w:p w14:paraId="2AD0317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50,45</w:t>
            </w:r>
          </w:p>
        </w:tc>
        <w:tc>
          <w:tcPr>
            <w:tcW w:w="924" w:type="dxa"/>
            <w:tcBorders>
              <w:top w:val="nil"/>
              <w:left w:val="nil"/>
              <w:bottom w:val="double" w:sz="6" w:space="0" w:color="auto"/>
              <w:right w:val="double" w:sz="6" w:space="0" w:color="auto"/>
            </w:tcBorders>
            <w:shd w:val="clear" w:color="auto" w:fill="auto"/>
            <w:noWrap/>
            <w:vAlign w:val="bottom"/>
            <w:hideMark/>
          </w:tcPr>
          <w:p w14:paraId="1007451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1,06</w:t>
            </w:r>
          </w:p>
        </w:tc>
        <w:tc>
          <w:tcPr>
            <w:tcW w:w="966" w:type="dxa"/>
            <w:tcBorders>
              <w:top w:val="nil"/>
              <w:left w:val="nil"/>
              <w:bottom w:val="double" w:sz="6" w:space="0" w:color="auto"/>
              <w:right w:val="double" w:sz="6" w:space="0" w:color="auto"/>
            </w:tcBorders>
            <w:shd w:val="clear" w:color="auto" w:fill="auto"/>
            <w:noWrap/>
            <w:vAlign w:val="bottom"/>
            <w:hideMark/>
          </w:tcPr>
          <w:p w14:paraId="01F2D53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132,98</w:t>
            </w:r>
          </w:p>
        </w:tc>
        <w:tc>
          <w:tcPr>
            <w:tcW w:w="924" w:type="dxa"/>
            <w:tcBorders>
              <w:top w:val="nil"/>
              <w:left w:val="nil"/>
              <w:bottom w:val="double" w:sz="6" w:space="0" w:color="auto"/>
              <w:right w:val="double" w:sz="6" w:space="0" w:color="auto"/>
            </w:tcBorders>
            <w:shd w:val="clear" w:color="auto" w:fill="auto"/>
            <w:noWrap/>
            <w:vAlign w:val="bottom"/>
            <w:hideMark/>
          </w:tcPr>
          <w:p w14:paraId="5BEB09A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3,34</w:t>
            </w:r>
          </w:p>
        </w:tc>
      </w:tr>
      <w:tr w:rsidR="0017587A" w14:paraId="7EDD487F"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47C196A"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SI</w:t>
            </w:r>
          </w:p>
        </w:tc>
        <w:tc>
          <w:tcPr>
            <w:tcW w:w="1093" w:type="dxa"/>
            <w:tcBorders>
              <w:top w:val="nil"/>
              <w:left w:val="nil"/>
              <w:bottom w:val="double" w:sz="6" w:space="0" w:color="auto"/>
              <w:right w:val="double" w:sz="6" w:space="0" w:color="auto"/>
            </w:tcBorders>
            <w:shd w:val="clear" w:color="auto" w:fill="auto"/>
            <w:noWrap/>
            <w:vAlign w:val="bottom"/>
            <w:hideMark/>
          </w:tcPr>
          <w:p w14:paraId="27E7B7F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3,51</w:t>
            </w:r>
          </w:p>
        </w:tc>
        <w:tc>
          <w:tcPr>
            <w:tcW w:w="1036" w:type="dxa"/>
            <w:tcBorders>
              <w:top w:val="nil"/>
              <w:left w:val="nil"/>
              <w:bottom w:val="double" w:sz="6" w:space="0" w:color="auto"/>
              <w:right w:val="double" w:sz="6" w:space="0" w:color="auto"/>
            </w:tcBorders>
            <w:shd w:val="clear" w:color="auto" w:fill="auto"/>
            <w:noWrap/>
            <w:vAlign w:val="bottom"/>
            <w:hideMark/>
          </w:tcPr>
          <w:p w14:paraId="7F88A0D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78F67D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17,74</w:t>
            </w:r>
          </w:p>
        </w:tc>
        <w:tc>
          <w:tcPr>
            <w:tcW w:w="925" w:type="dxa"/>
            <w:tcBorders>
              <w:top w:val="nil"/>
              <w:left w:val="nil"/>
              <w:bottom w:val="double" w:sz="6" w:space="0" w:color="auto"/>
              <w:right w:val="double" w:sz="6" w:space="0" w:color="auto"/>
            </w:tcBorders>
            <w:shd w:val="clear" w:color="auto" w:fill="auto"/>
            <w:noWrap/>
            <w:vAlign w:val="bottom"/>
            <w:hideMark/>
          </w:tcPr>
          <w:p w14:paraId="138EA5C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279950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16,59</w:t>
            </w:r>
          </w:p>
        </w:tc>
        <w:tc>
          <w:tcPr>
            <w:tcW w:w="925" w:type="dxa"/>
            <w:tcBorders>
              <w:top w:val="nil"/>
              <w:left w:val="nil"/>
              <w:bottom w:val="double" w:sz="6" w:space="0" w:color="auto"/>
              <w:right w:val="double" w:sz="6" w:space="0" w:color="auto"/>
            </w:tcBorders>
            <w:shd w:val="clear" w:color="auto" w:fill="auto"/>
            <w:noWrap/>
            <w:vAlign w:val="bottom"/>
            <w:hideMark/>
          </w:tcPr>
          <w:p w14:paraId="6D565AE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0,05</w:t>
            </w:r>
          </w:p>
        </w:tc>
        <w:tc>
          <w:tcPr>
            <w:tcW w:w="910" w:type="dxa"/>
            <w:tcBorders>
              <w:top w:val="nil"/>
              <w:left w:val="nil"/>
              <w:bottom w:val="double" w:sz="6" w:space="0" w:color="auto"/>
              <w:right w:val="double" w:sz="6" w:space="0" w:color="auto"/>
            </w:tcBorders>
            <w:shd w:val="clear" w:color="auto" w:fill="auto"/>
            <w:noWrap/>
            <w:vAlign w:val="bottom"/>
            <w:hideMark/>
          </w:tcPr>
          <w:p w14:paraId="24E9F5F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24,28</w:t>
            </w:r>
          </w:p>
        </w:tc>
        <w:tc>
          <w:tcPr>
            <w:tcW w:w="924" w:type="dxa"/>
            <w:tcBorders>
              <w:top w:val="nil"/>
              <w:left w:val="nil"/>
              <w:bottom w:val="double" w:sz="6" w:space="0" w:color="auto"/>
              <w:right w:val="double" w:sz="6" w:space="0" w:color="auto"/>
            </w:tcBorders>
            <w:shd w:val="clear" w:color="auto" w:fill="auto"/>
            <w:noWrap/>
            <w:vAlign w:val="bottom"/>
            <w:hideMark/>
          </w:tcPr>
          <w:p w14:paraId="3E8E828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0,14</w:t>
            </w:r>
          </w:p>
        </w:tc>
        <w:tc>
          <w:tcPr>
            <w:tcW w:w="892" w:type="dxa"/>
            <w:tcBorders>
              <w:top w:val="nil"/>
              <w:left w:val="nil"/>
              <w:bottom w:val="double" w:sz="6" w:space="0" w:color="auto"/>
              <w:right w:val="double" w:sz="6" w:space="0" w:color="auto"/>
            </w:tcBorders>
            <w:shd w:val="clear" w:color="auto" w:fill="auto"/>
            <w:noWrap/>
            <w:vAlign w:val="bottom"/>
            <w:hideMark/>
          </w:tcPr>
          <w:p w14:paraId="7C31BDB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18,70</w:t>
            </w:r>
          </w:p>
        </w:tc>
        <w:tc>
          <w:tcPr>
            <w:tcW w:w="925" w:type="dxa"/>
            <w:tcBorders>
              <w:top w:val="nil"/>
              <w:left w:val="nil"/>
              <w:bottom w:val="double" w:sz="6" w:space="0" w:color="auto"/>
              <w:right w:val="double" w:sz="6" w:space="0" w:color="auto"/>
            </w:tcBorders>
            <w:shd w:val="clear" w:color="auto" w:fill="auto"/>
            <w:noWrap/>
            <w:vAlign w:val="bottom"/>
            <w:hideMark/>
          </w:tcPr>
          <w:p w14:paraId="1B49204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14:paraId="5F68202E"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25,05</w:t>
            </w:r>
          </w:p>
        </w:tc>
        <w:tc>
          <w:tcPr>
            <w:tcW w:w="924" w:type="dxa"/>
            <w:tcBorders>
              <w:top w:val="nil"/>
              <w:left w:val="nil"/>
              <w:bottom w:val="double" w:sz="6" w:space="0" w:color="auto"/>
              <w:right w:val="double" w:sz="6" w:space="0" w:color="auto"/>
            </w:tcBorders>
            <w:shd w:val="clear" w:color="auto" w:fill="auto"/>
            <w:noWrap/>
            <w:vAlign w:val="bottom"/>
            <w:hideMark/>
          </w:tcPr>
          <w:p w14:paraId="38A75D2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0,04</w:t>
            </w:r>
          </w:p>
        </w:tc>
        <w:tc>
          <w:tcPr>
            <w:tcW w:w="966" w:type="dxa"/>
            <w:tcBorders>
              <w:top w:val="nil"/>
              <w:left w:val="nil"/>
              <w:bottom w:val="double" w:sz="6" w:space="0" w:color="auto"/>
              <w:right w:val="double" w:sz="6" w:space="0" w:color="auto"/>
            </w:tcBorders>
            <w:shd w:val="clear" w:color="auto" w:fill="auto"/>
            <w:noWrap/>
            <w:vAlign w:val="bottom"/>
            <w:hideMark/>
          </w:tcPr>
          <w:p w14:paraId="07AC7B5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66,19</w:t>
            </w:r>
          </w:p>
        </w:tc>
        <w:tc>
          <w:tcPr>
            <w:tcW w:w="924" w:type="dxa"/>
            <w:tcBorders>
              <w:top w:val="nil"/>
              <w:left w:val="nil"/>
              <w:bottom w:val="double" w:sz="6" w:space="0" w:color="auto"/>
              <w:right w:val="double" w:sz="6" w:space="0" w:color="auto"/>
            </w:tcBorders>
            <w:shd w:val="clear" w:color="auto" w:fill="auto"/>
            <w:noWrap/>
            <w:vAlign w:val="bottom"/>
            <w:hideMark/>
          </w:tcPr>
          <w:p w14:paraId="7F0506A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0,12</w:t>
            </w:r>
          </w:p>
        </w:tc>
      </w:tr>
      <w:tr w:rsidR="0017587A" w14:paraId="23811E7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A333EE1"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SK</w:t>
            </w:r>
          </w:p>
        </w:tc>
        <w:tc>
          <w:tcPr>
            <w:tcW w:w="1093" w:type="dxa"/>
            <w:tcBorders>
              <w:top w:val="nil"/>
              <w:left w:val="nil"/>
              <w:bottom w:val="double" w:sz="6" w:space="0" w:color="auto"/>
              <w:right w:val="double" w:sz="6" w:space="0" w:color="auto"/>
            </w:tcBorders>
            <w:shd w:val="clear" w:color="auto" w:fill="auto"/>
            <w:noWrap/>
            <w:vAlign w:val="bottom"/>
            <w:hideMark/>
          </w:tcPr>
          <w:p w14:paraId="6AFFF24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12,19</w:t>
            </w:r>
          </w:p>
        </w:tc>
        <w:tc>
          <w:tcPr>
            <w:tcW w:w="1036" w:type="dxa"/>
            <w:tcBorders>
              <w:top w:val="nil"/>
              <w:left w:val="nil"/>
              <w:bottom w:val="double" w:sz="6" w:space="0" w:color="auto"/>
              <w:right w:val="double" w:sz="6" w:space="0" w:color="auto"/>
            </w:tcBorders>
            <w:shd w:val="clear" w:color="auto" w:fill="auto"/>
            <w:noWrap/>
            <w:vAlign w:val="bottom"/>
            <w:hideMark/>
          </w:tcPr>
          <w:p w14:paraId="77FDDAD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0C1568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61,70</w:t>
            </w:r>
          </w:p>
        </w:tc>
        <w:tc>
          <w:tcPr>
            <w:tcW w:w="925" w:type="dxa"/>
            <w:tcBorders>
              <w:top w:val="nil"/>
              <w:left w:val="nil"/>
              <w:bottom w:val="double" w:sz="6" w:space="0" w:color="auto"/>
              <w:right w:val="double" w:sz="6" w:space="0" w:color="auto"/>
            </w:tcBorders>
            <w:shd w:val="clear" w:color="auto" w:fill="auto"/>
            <w:noWrap/>
            <w:vAlign w:val="bottom"/>
            <w:hideMark/>
          </w:tcPr>
          <w:p w14:paraId="74214C9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C8404A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57,59</w:t>
            </w:r>
          </w:p>
        </w:tc>
        <w:tc>
          <w:tcPr>
            <w:tcW w:w="925" w:type="dxa"/>
            <w:tcBorders>
              <w:top w:val="nil"/>
              <w:left w:val="nil"/>
              <w:bottom w:val="double" w:sz="6" w:space="0" w:color="auto"/>
              <w:right w:val="double" w:sz="6" w:space="0" w:color="auto"/>
            </w:tcBorders>
            <w:shd w:val="clear" w:color="auto" w:fill="auto"/>
            <w:noWrap/>
            <w:vAlign w:val="bottom"/>
            <w:hideMark/>
          </w:tcPr>
          <w:p w14:paraId="2FB2BBA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14:paraId="76D5D8B8"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84,31</w:t>
            </w:r>
          </w:p>
        </w:tc>
        <w:tc>
          <w:tcPr>
            <w:tcW w:w="924" w:type="dxa"/>
            <w:tcBorders>
              <w:top w:val="nil"/>
              <w:left w:val="nil"/>
              <w:bottom w:val="double" w:sz="6" w:space="0" w:color="auto"/>
              <w:right w:val="double" w:sz="6" w:space="0" w:color="auto"/>
            </w:tcBorders>
            <w:shd w:val="clear" w:color="auto" w:fill="auto"/>
            <w:noWrap/>
            <w:vAlign w:val="bottom"/>
            <w:hideMark/>
          </w:tcPr>
          <w:p w14:paraId="04E80FFF"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0,20</w:t>
            </w:r>
          </w:p>
        </w:tc>
        <w:tc>
          <w:tcPr>
            <w:tcW w:w="892" w:type="dxa"/>
            <w:tcBorders>
              <w:top w:val="nil"/>
              <w:left w:val="nil"/>
              <w:bottom w:val="double" w:sz="6" w:space="0" w:color="auto"/>
              <w:right w:val="double" w:sz="6" w:space="0" w:color="auto"/>
            </w:tcBorders>
            <w:shd w:val="clear" w:color="auto" w:fill="auto"/>
            <w:noWrap/>
            <w:vAlign w:val="bottom"/>
            <w:hideMark/>
          </w:tcPr>
          <w:p w14:paraId="55BA549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64,99</w:t>
            </w:r>
          </w:p>
        </w:tc>
        <w:tc>
          <w:tcPr>
            <w:tcW w:w="925" w:type="dxa"/>
            <w:tcBorders>
              <w:top w:val="nil"/>
              <w:left w:val="nil"/>
              <w:bottom w:val="double" w:sz="6" w:space="0" w:color="auto"/>
              <w:right w:val="double" w:sz="6" w:space="0" w:color="auto"/>
            </w:tcBorders>
            <w:shd w:val="clear" w:color="auto" w:fill="auto"/>
            <w:noWrap/>
            <w:vAlign w:val="bottom"/>
            <w:hideMark/>
          </w:tcPr>
          <w:p w14:paraId="684B41F3"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14:paraId="2A2DEA1C"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87,01</w:t>
            </w:r>
          </w:p>
        </w:tc>
        <w:tc>
          <w:tcPr>
            <w:tcW w:w="924" w:type="dxa"/>
            <w:tcBorders>
              <w:top w:val="nil"/>
              <w:left w:val="nil"/>
              <w:bottom w:val="double" w:sz="6" w:space="0" w:color="auto"/>
              <w:right w:val="double" w:sz="6" w:space="0" w:color="auto"/>
            </w:tcBorders>
            <w:shd w:val="clear" w:color="auto" w:fill="auto"/>
            <w:noWrap/>
            <w:vAlign w:val="bottom"/>
            <w:hideMark/>
          </w:tcPr>
          <w:p w14:paraId="3E7AFE0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0,06</w:t>
            </w:r>
          </w:p>
        </w:tc>
        <w:tc>
          <w:tcPr>
            <w:tcW w:w="966" w:type="dxa"/>
            <w:tcBorders>
              <w:top w:val="nil"/>
              <w:left w:val="nil"/>
              <w:bottom w:val="double" w:sz="6" w:space="0" w:color="auto"/>
              <w:right w:val="double" w:sz="6" w:space="0" w:color="auto"/>
            </w:tcBorders>
            <w:shd w:val="clear" w:color="auto" w:fill="auto"/>
            <w:noWrap/>
            <w:vAlign w:val="bottom"/>
            <w:hideMark/>
          </w:tcPr>
          <w:p w14:paraId="0F71165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229,74</w:t>
            </w:r>
          </w:p>
        </w:tc>
        <w:tc>
          <w:tcPr>
            <w:tcW w:w="924" w:type="dxa"/>
            <w:tcBorders>
              <w:top w:val="nil"/>
              <w:left w:val="nil"/>
              <w:bottom w:val="double" w:sz="6" w:space="0" w:color="auto"/>
              <w:right w:val="double" w:sz="6" w:space="0" w:color="auto"/>
            </w:tcBorders>
            <w:shd w:val="clear" w:color="auto" w:fill="auto"/>
            <w:noWrap/>
            <w:vAlign w:val="bottom"/>
            <w:hideMark/>
          </w:tcPr>
          <w:p w14:paraId="0071A986"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0,18</w:t>
            </w:r>
          </w:p>
        </w:tc>
      </w:tr>
      <w:tr w:rsidR="0017587A" w14:paraId="71FB89F9" w14:textId="77777777" w:rsidTr="00516F65">
        <w:trPr>
          <w:trHeight w:val="373"/>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7AC28E" w14:textId="77777777" w:rsidR="0017587A" w:rsidRDefault="001379D6">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Storbritannien</w:t>
            </w:r>
          </w:p>
        </w:tc>
        <w:tc>
          <w:tcPr>
            <w:tcW w:w="1093" w:type="dxa"/>
            <w:tcBorders>
              <w:top w:val="nil"/>
              <w:left w:val="nil"/>
              <w:bottom w:val="double" w:sz="6" w:space="0" w:color="auto"/>
              <w:right w:val="double" w:sz="6" w:space="0" w:color="auto"/>
            </w:tcBorders>
            <w:shd w:val="clear" w:color="auto" w:fill="auto"/>
            <w:noWrap/>
            <w:vAlign w:val="bottom"/>
            <w:hideMark/>
          </w:tcPr>
          <w:p w14:paraId="1F868237"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75,74</w:t>
            </w:r>
          </w:p>
        </w:tc>
        <w:tc>
          <w:tcPr>
            <w:tcW w:w="1036" w:type="dxa"/>
            <w:tcBorders>
              <w:top w:val="nil"/>
              <w:left w:val="nil"/>
              <w:bottom w:val="double" w:sz="6" w:space="0" w:color="auto"/>
              <w:right w:val="double" w:sz="6" w:space="0" w:color="auto"/>
            </w:tcBorders>
            <w:shd w:val="clear" w:color="auto" w:fill="auto"/>
            <w:noWrap/>
            <w:vAlign w:val="bottom"/>
            <w:hideMark/>
          </w:tcPr>
          <w:p w14:paraId="063E31CB"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B08DE4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409,63</w:t>
            </w:r>
          </w:p>
        </w:tc>
        <w:tc>
          <w:tcPr>
            <w:tcW w:w="925" w:type="dxa"/>
            <w:tcBorders>
              <w:top w:val="nil"/>
              <w:left w:val="nil"/>
              <w:bottom w:val="double" w:sz="6" w:space="0" w:color="auto"/>
              <w:right w:val="double" w:sz="6" w:space="0" w:color="auto"/>
            </w:tcBorders>
            <w:shd w:val="clear" w:color="auto" w:fill="auto"/>
            <w:noWrap/>
            <w:vAlign w:val="bottom"/>
            <w:hideMark/>
          </w:tcPr>
          <w:p w14:paraId="3E43008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B76F60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387,42</w:t>
            </w:r>
          </w:p>
        </w:tc>
        <w:tc>
          <w:tcPr>
            <w:tcW w:w="925" w:type="dxa"/>
            <w:tcBorders>
              <w:top w:val="nil"/>
              <w:left w:val="nil"/>
              <w:bottom w:val="double" w:sz="6" w:space="0" w:color="auto"/>
              <w:right w:val="double" w:sz="6" w:space="0" w:color="auto"/>
            </w:tcBorders>
            <w:shd w:val="clear" w:color="auto" w:fill="auto"/>
            <w:noWrap/>
            <w:vAlign w:val="bottom"/>
            <w:hideMark/>
          </w:tcPr>
          <w:p w14:paraId="0DC8F2F0"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14,08</w:t>
            </w:r>
          </w:p>
        </w:tc>
        <w:tc>
          <w:tcPr>
            <w:tcW w:w="910" w:type="dxa"/>
            <w:tcBorders>
              <w:top w:val="nil"/>
              <w:left w:val="nil"/>
              <w:bottom w:val="double" w:sz="6" w:space="0" w:color="auto"/>
              <w:right w:val="double" w:sz="6" w:space="0" w:color="auto"/>
            </w:tcBorders>
            <w:shd w:val="clear" w:color="auto" w:fill="auto"/>
            <w:noWrap/>
            <w:vAlign w:val="bottom"/>
            <w:hideMark/>
          </w:tcPr>
          <w:p w14:paraId="711CA1D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567,72</w:t>
            </w:r>
          </w:p>
        </w:tc>
        <w:tc>
          <w:tcPr>
            <w:tcW w:w="924" w:type="dxa"/>
            <w:tcBorders>
              <w:top w:val="nil"/>
              <w:left w:val="nil"/>
              <w:bottom w:val="double" w:sz="6" w:space="0" w:color="auto"/>
              <w:right w:val="double" w:sz="6" w:space="0" w:color="auto"/>
            </w:tcBorders>
            <w:shd w:val="clear" w:color="auto" w:fill="auto"/>
            <w:noWrap/>
            <w:vAlign w:val="bottom"/>
            <w:hideMark/>
          </w:tcPr>
          <w:p w14:paraId="7279F8AA"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18,54</w:t>
            </w:r>
          </w:p>
        </w:tc>
        <w:tc>
          <w:tcPr>
            <w:tcW w:w="892" w:type="dxa"/>
            <w:tcBorders>
              <w:top w:val="nil"/>
              <w:left w:val="nil"/>
              <w:bottom w:val="double" w:sz="6" w:space="0" w:color="auto"/>
              <w:right w:val="double" w:sz="6" w:space="0" w:color="auto"/>
            </w:tcBorders>
            <w:shd w:val="clear" w:color="auto" w:fill="auto"/>
            <w:noWrap/>
            <w:vAlign w:val="bottom"/>
            <w:hideMark/>
          </w:tcPr>
          <w:p w14:paraId="4C459542"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418,96</w:t>
            </w:r>
          </w:p>
        </w:tc>
        <w:tc>
          <w:tcPr>
            <w:tcW w:w="925" w:type="dxa"/>
            <w:tcBorders>
              <w:top w:val="nil"/>
              <w:left w:val="nil"/>
              <w:bottom w:val="double" w:sz="6" w:space="0" w:color="auto"/>
              <w:right w:val="double" w:sz="6" w:space="0" w:color="auto"/>
            </w:tcBorders>
            <w:shd w:val="clear" w:color="auto" w:fill="auto"/>
            <w:noWrap/>
            <w:vAlign w:val="bottom"/>
            <w:hideMark/>
          </w:tcPr>
          <w:p w14:paraId="247BD66D"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5,37</w:t>
            </w:r>
          </w:p>
        </w:tc>
        <w:tc>
          <w:tcPr>
            <w:tcW w:w="910" w:type="dxa"/>
            <w:tcBorders>
              <w:top w:val="nil"/>
              <w:left w:val="nil"/>
              <w:bottom w:val="double" w:sz="6" w:space="0" w:color="auto"/>
              <w:right w:val="double" w:sz="6" w:space="0" w:color="auto"/>
            </w:tcBorders>
            <w:shd w:val="clear" w:color="auto" w:fill="auto"/>
            <w:noWrap/>
            <w:vAlign w:val="bottom"/>
            <w:hideMark/>
          </w:tcPr>
          <w:p w14:paraId="3DDDD815"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604,02</w:t>
            </w:r>
          </w:p>
        </w:tc>
        <w:tc>
          <w:tcPr>
            <w:tcW w:w="924" w:type="dxa"/>
            <w:tcBorders>
              <w:top w:val="nil"/>
              <w:left w:val="nil"/>
              <w:bottom w:val="double" w:sz="6" w:space="0" w:color="auto"/>
              <w:right w:val="double" w:sz="6" w:space="0" w:color="auto"/>
            </w:tcBorders>
            <w:shd w:val="clear" w:color="auto" w:fill="auto"/>
            <w:noWrap/>
            <w:vAlign w:val="bottom"/>
            <w:hideMark/>
          </w:tcPr>
          <w:p w14:paraId="02B7783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5,30</w:t>
            </w:r>
          </w:p>
        </w:tc>
        <w:tc>
          <w:tcPr>
            <w:tcW w:w="966" w:type="dxa"/>
            <w:tcBorders>
              <w:top w:val="nil"/>
              <w:left w:val="nil"/>
              <w:bottom w:val="double" w:sz="6" w:space="0" w:color="auto"/>
              <w:right w:val="double" w:sz="6" w:space="0" w:color="auto"/>
            </w:tcBorders>
            <w:shd w:val="clear" w:color="auto" w:fill="auto"/>
            <w:noWrap/>
            <w:vAlign w:val="bottom"/>
            <w:hideMark/>
          </w:tcPr>
          <w:p w14:paraId="538BC6F9"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1607,32</w:t>
            </w:r>
          </w:p>
        </w:tc>
        <w:tc>
          <w:tcPr>
            <w:tcW w:w="924" w:type="dxa"/>
            <w:tcBorders>
              <w:top w:val="nil"/>
              <w:left w:val="nil"/>
              <w:bottom w:val="double" w:sz="6" w:space="0" w:color="auto"/>
              <w:right w:val="double" w:sz="6" w:space="0" w:color="auto"/>
            </w:tcBorders>
            <w:shd w:val="clear" w:color="auto" w:fill="auto"/>
            <w:noWrap/>
            <w:vAlign w:val="bottom"/>
            <w:hideMark/>
          </w:tcPr>
          <w:p w14:paraId="345D1501" w14:textId="77777777" w:rsidR="0017587A" w:rsidRDefault="001379D6">
            <w:pPr>
              <w:spacing w:after="0" w:line="240" w:lineRule="auto"/>
              <w:jc w:val="right"/>
              <w:rPr>
                <w:rFonts w:ascii="Times New Roman" w:eastAsia="Times New Roman" w:hAnsi="Times New Roman"/>
                <w:color w:val="000000"/>
                <w:sz w:val="20"/>
                <w:szCs w:val="20"/>
              </w:rPr>
            </w:pPr>
            <w:r>
              <w:rPr>
                <w:rFonts w:ascii="Times New Roman" w:hAnsi="Times New Roman"/>
                <w:sz w:val="20"/>
                <w:szCs w:val="20"/>
              </w:rPr>
              <w:t>0,00</w:t>
            </w:r>
          </w:p>
        </w:tc>
      </w:tr>
      <w:tr w:rsidR="0017587A" w14:paraId="0D3F8AFB" w14:textId="77777777" w:rsidTr="00516F65">
        <w:trPr>
          <w:trHeight w:val="315"/>
        </w:trPr>
        <w:tc>
          <w:tcPr>
            <w:tcW w:w="917" w:type="dxa"/>
            <w:tcBorders>
              <w:top w:val="double" w:sz="4" w:space="0" w:color="auto"/>
              <w:left w:val="double" w:sz="6" w:space="0" w:color="auto"/>
              <w:bottom w:val="double" w:sz="6" w:space="0" w:color="auto"/>
              <w:right w:val="double" w:sz="6" w:space="0" w:color="auto"/>
            </w:tcBorders>
            <w:shd w:val="clear" w:color="auto" w:fill="auto"/>
            <w:noWrap/>
            <w:vAlign w:val="bottom"/>
          </w:tcPr>
          <w:p w14:paraId="59E901A7" w14:textId="77777777" w:rsidR="0017587A" w:rsidRDefault="00B014E1">
            <w:pPr>
              <w:spacing w:after="0" w:line="240" w:lineRule="auto"/>
              <w:rPr>
                <w:rFonts w:ascii="Times New Roman" w:eastAsia="Times New Roman" w:hAnsi="Times New Roman"/>
                <w:b/>
                <w:bCs/>
                <w:color w:val="000000"/>
                <w:sz w:val="20"/>
                <w:szCs w:val="20"/>
              </w:rPr>
            </w:pPr>
            <w:r>
              <w:rPr>
                <w:rFonts w:ascii="Times New Roman" w:hAnsi="Times New Roman"/>
                <w:b/>
                <w:bCs/>
                <w:sz w:val="20"/>
                <w:szCs w:val="20"/>
              </w:rPr>
              <w:t>TOTALT</w:t>
            </w:r>
          </w:p>
        </w:tc>
        <w:tc>
          <w:tcPr>
            <w:tcW w:w="1093" w:type="dxa"/>
            <w:tcBorders>
              <w:top w:val="double" w:sz="4" w:space="0" w:color="auto"/>
              <w:left w:val="nil"/>
              <w:bottom w:val="double" w:sz="6" w:space="0" w:color="auto"/>
              <w:right w:val="double" w:sz="6" w:space="0" w:color="auto"/>
            </w:tcBorders>
            <w:shd w:val="clear" w:color="auto" w:fill="auto"/>
            <w:noWrap/>
            <w:vAlign w:val="bottom"/>
          </w:tcPr>
          <w:p w14:paraId="5AF14898" w14:textId="77777777" w:rsidR="0017587A" w:rsidRDefault="00B014E1">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603,52</w:t>
            </w:r>
          </w:p>
        </w:tc>
        <w:tc>
          <w:tcPr>
            <w:tcW w:w="1036" w:type="dxa"/>
            <w:tcBorders>
              <w:top w:val="double" w:sz="4" w:space="0" w:color="auto"/>
              <w:left w:val="nil"/>
              <w:bottom w:val="double" w:sz="6" w:space="0" w:color="auto"/>
              <w:right w:val="double" w:sz="6" w:space="0" w:color="auto"/>
            </w:tcBorders>
            <w:shd w:val="clear" w:color="auto" w:fill="auto"/>
            <w:noWrap/>
            <w:vAlign w:val="bottom"/>
          </w:tcPr>
          <w:p w14:paraId="757AE2C1" w14:textId="77777777" w:rsidR="0017587A" w:rsidRDefault="00AA7749">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17,53</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065A09C4" w14:textId="77777777" w:rsidR="0017587A" w:rsidRDefault="00B014E1">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3550,73</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47355D39" w14:textId="77777777" w:rsidR="0017587A" w:rsidRDefault="00B2073D">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0,00</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65463650" w14:textId="77777777" w:rsidR="0017587A" w:rsidRDefault="00B014E1">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3115,11</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519E7666" w14:textId="77777777" w:rsidR="0017587A" w:rsidRDefault="0008149F">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53,53</w:t>
            </w:r>
          </w:p>
        </w:tc>
        <w:tc>
          <w:tcPr>
            <w:tcW w:w="910" w:type="dxa"/>
            <w:tcBorders>
              <w:top w:val="double" w:sz="4" w:space="0" w:color="auto"/>
              <w:left w:val="nil"/>
              <w:bottom w:val="double" w:sz="6" w:space="0" w:color="auto"/>
              <w:right w:val="double" w:sz="6" w:space="0" w:color="auto"/>
            </w:tcBorders>
            <w:shd w:val="clear" w:color="auto" w:fill="auto"/>
            <w:noWrap/>
            <w:vAlign w:val="bottom"/>
          </w:tcPr>
          <w:p w14:paraId="47311101" w14:textId="77777777" w:rsidR="0017587A" w:rsidRDefault="00B014E1">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4815,97</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4066270F" w14:textId="77777777" w:rsidR="0017587A" w:rsidRDefault="0008149F">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117,26</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29F5402B" w14:textId="77777777" w:rsidR="0017587A" w:rsidRDefault="00B014E1">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3761,57</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40AB83AB" w14:textId="77777777" w:rsidR="0017587A" w:rsidRDefault="00103EEF">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32,28</w:t>
            </w:r>
          </w:p>
        </w:tc>
        <w:tc>
          <w:tcPr>
            <w:tcW w:w="910" w:type="dxa"/>
            <w:tcBorders>
              <w:top w:val="double" w:sz="4" w:space="0" w:color="auto"/>
              <w:left w:val="nil"/>
              <w:bottom w:val="double" w:sz="6" w:space="0" w:color="auto"/>
              <w:right w:val="double" w:sz="6" w:space="0" w:color="auto"/>
            </w:tcBorders>
            <w:shd w:val="clear" w:color="auto" w:fill="auto"/>
            <w:noWrap/>
            <w:vAlign w:val="bottom"/>
          </w:tcPr>
          <w:p w14:paraId="0EE70CFE" w14:textId="77777777" w:rsidR="0017587A" w:rsidRDefault="00676CF0">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5490,60</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50EA25E5" w14:textId="77777777" w:rsidR="0017587A" w:rsidRDefault="00103EEF">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34,14</w:t>
            </w:r>
          </w:p>
        </w:tc>
        <w:tc>
          <w:tcPr>
            <w:tcW w:w="966" w:type="dxa"/>
            <w:tcBorders>
              <w:top w:val="double" w:sz="4" w:space="0" w:color="auto"/>
              <w:left w:val="nil"/>
              <w:bottom w:val="double" w:sz="6" w:space="0" w:color="auto"/>
              <w:right w:val="double" w:sz="6" w:space="0" w:color="auto"/>
            </w:tcBorders>
            <w:shd w:val="clear" w:color="auto" w:fill="auto"/>
            <w:noWrap/>
            <w:vAlign w:val="bottom"/>
          </w:tcPr>
          <w:p w14:paraId="41BC8FD1" w14:textId="77777777" w:rsidR="0017587A" w:rsidRDefault="00676CF0">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14090,23</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79E625A8" w14:textId="77777777" w:rsidR="0017587A" w:rsidRDefault="00103EEF">
            <w:pPr>
              <w:spacing w:after="0" w:line="240" w:lineRule="auto"/>
              <w:jc w:val="right"/>
              <w:rPr>
                <w:rFonts w:ascii="Times New Roman" w:eastAsia="Times New Roman" w:hAnsi="Times New Roman"/>
                <w:b/>
                <w:color w:val="000000"/>
                <w:sz w:val="20"/>
                <w:szCs w:val="20"/>
              </w:rPr>
            </w:pPr>
            <w:r>
              <w:rPr>
                <w:rFonts w:ascii="Times New Roman" w:hAnsi="Times New Roman"/>
                <w:b/>
                <w:sz w:val="20"/>
                <w:szCs w:val="20"/>
              </w:rPr>
              <w:t>90,27</w:t>
            </w:r>
          </w:p>
        </w:tc>
      </w:tr>
    </w:tbl>
    <w:p w14:paraId="59C376DB" w14:textId="77777777" w:rsidR="0017587A" w:rsidRDefault="0017587A">
      <w:pPr>
        <w:rPr>
          <w:rFonts w:ascii="Times New Roman" w:hAnsi="Times New Roman"/>
          <w:b/>
        </w:rPr>
        <w:sectPr w:rsidR="0017587A" w:rsidSect="002802C4">
          <w:headerReference w:type="even" r:id="rId29"/>
          <w:headerReference w:type="default" r:id="rId30"/>
          <w:footerReference w:type="even" r:id="rId31"/>
          <w:footerReference w:type="default" r:id="rId32"/>
          <w:headerReference w:type="first" r:id="rId33"/>
          <w:footerReference w:type="first" r:id="rId34"/>
          <w:pgSz w:w="16838" w:h="11906" w:orient="landscape"/>
          <w:pgMar w:top="1440" w:right="1440" w:bottom="1440" w:left="1440" w:header="709" w:footer="709" w:gutter="0"/>
          <w:cols w:space="720"/>
          <w:docGrid w:linePitch="360"/>
        </w:sectPr>
      </w:pPr>
    </w:p>
    <w:p w14:paraId="3AB387D3" w14:textId="77777777" w:rsidR="0017587A" w:rsidRDefault="003A348D">
      <w:pPr>
        <w:rPr>
          <w:rFonts w:ascii="Times New Roman" w:hAnsi="Times New Roman"/>
          <w:b/>
        </w:rPr>
      </w:pPr>
      <w:r>
        <w:rPr>
          <w:rFonts w:ascii="Times New Roman" w:hAnsi="Times New Roman"/>
          <w:b/>
        </w:rPr>
        <w:t>Tillägg 3</w:t>
      </w:r>
    </w:p>
    <w:p w14:paraId="146E8272" w14:textId="77777777" w:rsidR="0017587A" w:rsidRDefault="00D812BF">
      <w:pPr>
        <w:rPr>
          <w:rFonts w:ascii="Times New Roman" w:hAnsi="Times New Roman"/>
          <w:b/>
          <w:sz w:val="20"/>
          <w:szCs w:val="20"/>
        </w:rPr>
      </w:pPr>
      <w:r>
        <w:rPr>
          <w:rFonts w:ascii="Times New Roman" w:hAnsi="Times New Roman"/>
          <w:b/>
          <w:sz w:val="20"/>
          <w:szCs w:val="20"/>
        </w:rPr>
        <w:t>Tabell 3.1: Sammanfattning av internationella reduktionsenheter som har utbytts fram till utgången av juni 2019</w:t>
      </w:r>
      <w:r>
        <w:rPr>
          <w:rStyle w:val="FootnoteReference"/>
          <w:rFonts w:ascii="Times New Roman" w:hAnsi="Times New Roman"/>
          <w:b/>
          <w:sz w:val="20"/>
          <w:szCs w:val="20"/>
        </w:rPr>
        <w:footnoteReference w:id="78"/>
      </w:r>
    </w:p>
    <w:tbl>
      <w:tblPr>
        <w:tblW w:w="4957"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86"/>
        <w:gridCol w:w="1397"/>
        <w:gridCol w:w="1547"/>
        <w:gridCol w:w="1635"/>
        <w:gridCol w:w="1455"/>
        <w:gridCol w:w="1543"/>
      </w:tblGrid>
      <w:tr w:rsidR="0017587A" w14:paraId="19942958" w14:textId="77777777" w:rsidTr="00601A28">
        <w:trPr>
          <w:trHeight w:val="238"/>
        </w:trPr>
        <w:tc>
          <w:tcPr>
            <w:tcW w:w="865" w:type="pct"/>
            <w:shd w:val="clear" w:color="auto" w:fill="auto"/>
            <w:noWrap/>
            <w:hideMark/>
          </w:tcPr>
          <w:p w14:paraId="6E8F0C41" w14:textId="77777777" w:rsidR="0017587A" w:rsidRDefault="00D812BF">
            <w:pPr>
              <w:spacing w:after="0" w:line="240" w:lineRule="auto"/>
              <w:ind w:right="57"/>
              <w:rPr>
                <w:rFonts w:ascii="Times New Roman" w:eastAsia="Times New Roman" w:hAnsi="Times New Roman"/>
                <w:b/>
                <w:bCs/>
                <w:color w:val="000000"/>
                <w:sz w:val="20"/>
                <w:szCs w:val="20"/>
              </w:rPr>
            </w:pPr>
            <w:r>
              <w:rPr>
                <w:rFonts w:ascii="Times New Roman" w:hAnsi="Times New Roman"/>
                <w:b/>
                <w:sz w:val="20"/>
                <w:szCs w:val="20"/>
              </w:rPr>
              <w:t>Internationella reduktionsenheter som har utbytts fram till utgången av juni 2019</w:t>
            </w:r>
          </w:p>
        </w:tc>
        <w:tc>
          <w:tcPr>
            <w:tcW w:w="762" w:type="pct"/>
            <w:shd w:val="clear" w:color="auto" w:fill="auto"/>
            <w:noWrap/>
            <w:hideMark/>
          </w:tcPr>
          <w:p w14:paraId="00D60657" w14:textId="77777777" w:rsidR="0017587A" w:rsidRDefault="00D812BF">
            <w:pPr>
              <w:spacing w:after="0" w:line="240" w:lineRule="auto"/>
              <w:ind w:right="57"/>
              <w:jc w:val="center"/>
              <w:rPr>
                <w:rFonts w:ascii="Times New Roman" w:eastAsia="Times New Roman" w:hAnsi="Times New Roman"/>
                <w:b/>
                <w:bCs/>
                <w:color w:val="000000"/>
                <w:sz w:val="20"/>
                <w:szCs w:val="20"/>
              </w:rPr>
            </w:pPr>
            <w:r>
              <w:rPr>
                <w:rFonts w:ascii="Times New Roman" w:hAnsi="Times New Roman"/>
                <w:b/>
                <w:sz w:val="20"/>
                <w:szCs w:val="20"/>
              </w:rPr>
              <w:t>miljoner</w:t>
            </w:r>
          </w:p>
        </w:tc>
        <w:tc>
          <w:tcPr>
            <w:tcW w:w="844" w:type="pct"/>
            <w:shd w:val="clear" w:color="auto" w:fill="auto"/>
            <w:noWrap/>
            <w:hideMark/>
          </w:tcPr>
          <w:p w14:paraId="2DBDDA4C" w14:textId="77777777" w:rsidR="0017587A" w:rsidRDefault="00D812BF">
            <w:pPr>
              <w:spacing w:after="0" w:line="240" w:lineRule="auto"/>
              <w:ind w:right="57"/>
              <w:jc w:val="center"/>
              <w:rPr>
                <w:rFonts w:ascii="Times New Roman" w:eastAsia="Times New Roman" w:hAnsi="Times New Roman"/>
                <w:b/>
                <w:bCs/>
                <w:color w:val="000000"/>
                <w:sz w:val="20"/>
                <w:szCs w:val="20"/>
              </w:rPr>
            </w:pPr>
            <w:r>
              <w:rPr>
                <w:rFonts w:ascii="Times New Roman" w:hAnsi="Times New Roman"/>
                <w:b/>
                <w:sz w:val="20"/>
                <w:szCs w:val="20"/>
              </w:rPr>
              <w:t>procent</w:t>
            </w:r>
          </w:p>
        </w:tc>
        <w:tc>
          <w:tcPr>
            <w:tcW w:w="892" w:type="pct"/>
            <w:shd w:val="clear" w:color="auto" w:fill="auto"/>
            <w:noWrap/>
            <w:hideMark/>
          </w:tcPr>
          <w:p w14:paraId="676C7345" w14:textId="77777777" w:rsidR="0017587A" w:rsidRDefault="00D812BF">
            <w:pPr>
              <w:spacing w:after="0" w:line="240" w:lineRule="auto"/>
              <w:ind w:right="57"/>
              <w:jc w:val="center"/>
              <w:rPr>
                <w:rFonts w:ascii="Times New Roman" w:eastAsia="Times New Roman" w:hAnsi="Times New Roman"/>
                <w:b/>
                <w:color w:val="000000"/>
                <w:sz w:val="20"/>
                <w:szCs w:val="20"/>
              </w:rPr>
            </w:pPr>
            <w:r>
              <w:rPr>
                <w:rFonts w:ascii="Times New Roman" w:hAnsi="Times New Roman"/>
                <w:b/>
                <w:sz w:val="20"/>
                <w:szCs w:val="20"/>
              </w:rPr>
              <w:t>Internationella reduktionsenheter som har utbytts fram till utgången av juni 2019</w:t>
            </w:r>
          </w:p>
        </w:tc>
        <w:tc>
          <w:tcPr>
            <w:tcW w:w="794" w:type="pct"/>
            <w:shd w:val="clear" w:color="auto" w:fill="auto"/>
            <w:noWrap/>
            <w:hideMark/>
          </w:tcPr>
          <w:p w14:paraId="468F055B" w14:textId="77777777" w:rsidR="0017587A" w:rsidRDefault="00D812BF">
            <w:pPr>
              <w:spacing w:after="0" w:line="240" w:lineRule="auto"/>
              <w:ind w:right="57"/>
              <w:jc w:val="center"/>
              <w:rPr>
                <w:rFonts w:ascii="Times New Roman" w:eastAsia="Times New Roman" w:hAnsi="Times New Roman"/>
                <w:b/>
                <w:color w:val="000000"/>
                <w:sz w:val="20"/>
                <w:szCs w:val="20"/>
              </w:rPr>
            </w:pPr>
            <w:r>
              <w:rPr>
                <w:rFonts w:ascii="Times New Roman" w:hAnsi="Times New Roman"/>
                <w:b/>
                <w:sz w:val="20"/>
                <w:szCs w:val="20"/>
              </w:rPr>
              <w:t>miljoner</w:t>
            </w:r>
          </w:p>
        </w:tc>
        <w:tc>
          <w:tcPr>
            <w:tcW w:w="842" w:type="pct"/>
            <w:shd w:val="clear" w:color="auto" w:fill="auto"/>
            <w:noWrap/>
            <w:hideMark/>
          </w:tcPr>
          <w:p w14:paraId="77CD49C6" w14:textId="77777777" w:rsidR="0017587A" w:rsidRDefault="00D812BF">
            <w:pPr>
              <w:spacing w:after="0" w:line="240" w:lineRule="auto"/>
              <w:ind w:right="57"/>
              <w:jc w:val="center"/>
              <w:rPr>
                <w:rFonts w:ascii="Times New Roman" w:eastAsia="Times New Roman" w:hAnsi="Times New Roman"/>
                <w:b/>
                <w:color w:val="000000"/>
                <w:sz w:val="20"/>
                <w:szCs w:val="20"/>
              </w:rPr>
            </w:pPr>
            <w:r>
              <w:rPr>
                <w:rFonts w:ascii="Times New Roman" w:hAnsi="Times New Roman"/>
                <w:b/>
                <w:sz w:val="20"/>
                <w:szCs w:val="20"/>
              </w:rPr>
              <w:t>procent</w:t>
            </w:r>
          </w:p>
        </w:tc>
      </w:tr>
      <w:tr w:rsidR="0017587A" w14:paraId="2DF83359" w14:textId="77777777" w:rsidTr="00601A28">
        <w:trPr>
          <w:trHeight w:val="238"/>
        </w:trPr>
        <w:tc>
          <w:tcPr>
            <w:tcW w:w="865" w:type="pct"/>
            <w:shd w:val="clear" w:color="auto" w:fill="auto"/>
            <w:noWrap/>
            <w:hideMark/>
          </w:tcPr>
          <w:p w14:paraId="6402C48C" w14:textId="77777777" w:rsidR="0017587A" w:rsidRDefault="00D812BF">
            <w:pPr>
              <w:spacing w:after="120" w:line="240" w:lineRule="auto"/>
              <w:ind w:right="57"/>
              <w:rPr>
                <w:rFonts w:ascii="Times New Roman" w:eastAsia="Times New Roman" w:hAnsi="Times New Roman"/>
                <w:b/>
                <w:bCs/>
                <w:color w:val="000000"/>
                <w:sz w:val="20"/>
                <w:szCs w:val="20"/>
              </w:rPr>
            </w:pPr>
            <w:r>
              <w:rPr>
                <w:rFonts w:ascii="Times New Roman" w:hAnsi="Times New Roman"/>
                <w:b/>
                <w:sz w:val="20"/>
                <w:szCs w:val="20"/>
              </w:rPr>
              <w:t>CER</w:t>
            </w:r>
          </w:p>
        </w:tc>
        <w:tc>
          <w:tcPr>
            <w:tcW w:w="762" w:type="pct"/>
            <w:shd w:val="clear" w:color="auto" w:fill="auto"/>
            <w:noWrap/>
            <w:hideMark/>
          </w:tcPr>
          <w:p w14:paraId="593B15CF" w14:textId="77777777" w:rsidR="0017587A" w:rsidRDefault="00D812BF">
            <w:pPr>
              <w:spacing w:after="120" w:line="240" w:lineRule="auto"/>
              <w:ind w:right="57"/>
              <w:jc w:val="center"/>
              <w:rPr>
                <w:rFonts w:ascii="Times New Roman" w:eastAsia="Times New Roman" w:hAnsi="Times New Roman"/>
                <w:b/>
                <w:bCs/>
                <w:color w:val="000000"/>
                <w:sz w:val="20"/>
                <w:szCs w:val="20"/>
              </w:rPr>
            </w:pPr>
            <w:r>
              <w:rPr>
                <w:rFonts w:ascii="Times New Roman" w:hAnsi="Times New Roman"/>
                <w:b/>
                <w:sz w:val="20"/>
                <w:szCs w:val="20"/>
              </w:rPr>
              <w:t xml:space="preserve"> 261,42</w:t>
            </w:r>
          </w:p>
        </w:tc>
        <w:tc>
          <w:tcPr>
            <w:tcW w:w="844" w:type="pct"/>
            <w:shd w:val="clear" w:color="auto" w:fill="auto"/>
            <w:noWrap/>
            <w:hideMark/>
          </w:tcPr>
          <w:p w14:paraId="4AC09611" w14:textId="77777777" w:rsidR="0017587A" w:rsidRDefault="00D812BF">
            <w:pPr>
              <w:spacing w:after="120"/>
              <w:jc w:val="center"/>
              <w:rPr>
                <w:rFonts w:ascii="Times New Roman" w:hAnsi="Times New Roman"/>
                <w:b/>
                <w:sz w:val="20"/>
                <w:szCs w:val="20"/>
              </w:rPr>
            </w:pPr>
            <w:r>
              <w:rPr>
                <w:rFonts w:ascii="Times New Roman" w:hAnsi="Times New Roman"/>
                <w:b/>
                <w:sz w:val="20"/>
                <w:szCs w:val="20"/>
              </w:rPr>
              <w:t>57,65 %</w:t>
            </w:r>
          </w:p>
        </w:tc>
        <w:tc>
          <w:tcPr>
            <w:tcW w:w="892" w:type="pct"/>
            <w:shd w:val="clear" w:color="auto" w:fill="auto"/>
            <w:noWrap/>
            <w:hideMark/>
          </w:tcPr>
          <w:p w14:paraId="5949EB48"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b/>
                <w:sz w:val="20"/>
                <w:szCs w:val="20"/>
              </w:rPr>
              <w:t>ERU</w:t>
            </w:r>
          </w:p>
        </w:tc>
        <w:tc>
          <w:tcPr>
            <w:tcW w:w="794" w:type="pct"/>
            <w:shd w:val="clear" w:color="auto" w:fill="auto"/>
            <w:noWrap/>
            <w:hideMark/>
          </w:tcPr>
          <w:p w14:paraId="03D41296"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b/>
                <w:sz w:val="20"/>
                <w:szCs w:val="20"/>
              </w:rPr>
              <w:t>192,07</w:t>
            </w:r>
          </w:p>
        </w:tc>
        <w:tc>
          <w:tcPr>
            <w:tcW w:w="842" w:type="pct"/>
            <w:shd w:val="clear" w:color="auto" w:fill="auto"/>
            <w:noWrap/>
            <w:hideMark/>
          </w:tcPr>
          <w:p w14:paraId="79D9A768"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b/>
                <w:sz w:val="20"/>
                <w:szCs w:val="20"/>
              </w:rPr>
              <w:t>42,35 %</w:t>
            </w:r>
          </w:p>
        </w:tc>
      </w:tr>
      <w:tr w:rsidR="0017587A" w14:paraId="334B163A" w14:textId="77777777" w:rsidTr="00601A28">
        <w:trPr>
          <w:trHeight w:val="229"/>
        </w:trPr>
        <w:tc>
          <w:tcPr>
            <w:tcW w:w="865" w:type="pct"/>
            <w:shd w:val="clear" w:color="auto" w:fill="auto"/>
            <w:noWrap/>
            <w:hideMark/>
          </w:tcPr>
          <w:p w14:paraId="25D6ACD5"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Kina</w:t>
            </w:r>
          </w:p>
        </w:tc>
        <w:tc>
          <w:tcPr>
            <w:tcW w:w="762" w:type="pct"/>
            <w:shd w:val="clear" w:color="auto" w:fill="auto"/>
            <w:noWrap/>
          </w:tcPr>
          <w:p w14:paraId="37B13681" w14:textId="77777777" w:rsidR="0017587A"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 xml:space="preserve">195,20 </w:t>
            </w:r>
          </w:p>
        </w:tc>
        <w:tc>
          <w:tcPr>
            <w:tcW w:w="844" w:type="pct"/>
            <w:shd w:val="clear" w:color="auto" w:fill="auto"/>
            <w:noWrap/>
          </w:tcPr>
          <w:p w14:paraId="2484C583" w14:textId="77777777" w:rsidR="0017587A" w:rsidRDefault="00D812BF">
            <w:pPr>
              <w:spacing w:after="120"/>
              <w:jc w:val="center"/>
              <w:rPr>
                <w:rFonts w:ascii="Times New Roman" w:hAnsi="Times New Roman"/>
                <w:sz w:val="20"/>
                <w:szCs w:val="20"/>
              </w:rPr>
            </w:pPr>
            <w:r>
              <w:rPr>
                <w:rFonts w:ascii="Times New Roman" w:hAnsi="Times New Roman"/>
                <w:sz w:val="20"/>
                <w:szCs w:val="20"/>
              </w:rPr>
              <w:t xml:space="preserve">74,67 </w:t>
            </w:r>
          </w:p>
        </w:tc>
        <w:tc>
          <w:tcPr>
            <w:tcW w:w="892" w:type="pct"/>
            <w:shd w:val="clear" w:color="auto" w:fill="auto"/>
            <w:noWrap/>
            <w:hideMark/>
          </w:tcPr>
          <w:p w14:paraId="1499F37B"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Ukraina</w:t>
            </w:r>
          </w:p>
        </w:tc>
        <w:tc>
          <w:tcPr>
            <w:tcW w:w="794" w:type="pct"/>
            <w:shd w:val="clear" w:color="auto" w:fill="auto"/>
            <w:noWrap/>
            <w:hideMark/>
          </w:tcPr>
          <w:p w14:paraId="711E74B2"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147,69</w:t>
            </w:r>
          </w:p>
        </w:tc>
        <w:tc>
          <w:tcPr>
            <w:tcW w:w="842" w:type="pct"/>
            <w:shd w:val="clear" w:color="auto" w:fill="auto"/>
            <w:noWrap/>
            <w:hideMark/>
          </w:tcPr>
          <w:p w14:paraId="386FC7A7"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76,89 %</w:t>
            </w:r>
          </w:p>
        </w:tc>
      </w:tr>
      <w:tr w:rsidR="0017587A" w14:paraId="0F2406E9" w14:textId="77777777" w:rsidTr="00601A28">
        <w:trPr>
          <w:trHeight w:val="249"/>
        </w:trPr>
        <w:tc>
          <w:tcPr>
            <w:tcW w:w="865" w:type="pct"/>
            <w:shd w:val="clear" w:color="auto" w:fill="auto"/>
            <w:noWrap/>
            <w:hideMark/>
          </w:tcPr>
          <w:p w14:paraId="62A090A0"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Indien</w:t>
            </w:r>
          </w:p>
        </w:tc>
        <w:tc>
          <w:tcPr>
            <w:tcW w:w="762" w:type="pct"/>
            <w:shd w:val="clear" w:color="auto" w:fill="auto"/>
            <w:noWrap/>
          </w:tcPr>
          <w:p w14:paraId="44D936FF" w14:textId="77777777" w:rsidR="0017587A"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 xml:space="preserve">17,27 </w:t>
            </w:r>
          </w:p>
        </w:tc>
        <w:tc>
          <w:tcPr>
            <w:tcW w:w="844" w:type="pct"/>
            <w:shd w:val="clear" w:color="auto" w:fill="auto"/>
            <w:noWrap/>
          </w:tcPr>
          <w:p w14:paraId="5C1FAB8D" w14:textId="77777777" w:rsidR="0017587A" w:rsidRDefault="00D812BF">
            <w:pPr>
              <w:spacing w:after="120"/>
              <w:jc w:val="center"/>
              <w:rPr>
                <w:rFonts w:ascii="Times New Roman" w:hAnsi="Times New Roman"/>
                <w:sz w:val="20"/>
                <w:szCs w:val="20"/>
              </w:rPr>
            </w:pPr>
            <w:r>
              <w:rPr>
                <w:rFonts w:ascii="Times New Roman" w:hAnsi="Times New Roman"/>
                <w:sz w:val="20"/>
                <w:szCs w:val="20"/>
              </w:rPr>
              <w:t xml:space="preserve">6,61 </w:t>
            </w:r>
          </w:p>
        </w:tc>
        <w:tc>
          <w:tcPr>
            <w:tcW w:w="892" w:type="pct"/>
            <w:shd w:val="clear" w:color="auto" w:fill="auto"/>
            <w:noWrap/>
            <w:hideMark/>
          </w:tcPr>
          <w:p w14:paraId="46053509"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Ryssland</w:t>
            </w:r>
          </w:p>
        </w:tc>
        <w:tc>
          <w:tcPr>
            <w:tcW w:w="794" w:type="pct"/>
            <w:shd w:val="clear" w:color="auto" w:fill="auto"/>
            <w:noWrap/>
            <w:hideMark/>
          </w:tcPr>
          <w:p w14:paraId="50D07AED"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32,06</w:t>
            </w:r>
          </w:p>
        </w:tc>
        <w:tc>
          <w:tcPr>
            <w:tcW w:w="842" w:type="pct"/>
            <w:shd w:val="clear" w:color="auto" w:fill="auto"/>
            <w:noWrap/>
            <w:hideMark/>
          </w:tcPr>
          <w:p w14:paraId="6908BC13"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16,69 %</w:t>
            </w:r>
          </w:p>
        </w:tc>
      </w:tr>
      <w:tr w:rsidR="0017587A" w14:paraId="036F045A" w14:textId="77777777" w:rsidTr="00601A28">
        <w:trPr>
          <w:trHeight w:val="249"/>
        </w:trPr>
        <w:tc>
          <w:tcPr>
            <w:tcW w:w="865" w:type="pct"/>
            <w:shd w:val="clear" w:color="auto" w:fill="auto"/>
            <w:noWrap/>
            <w:hideMark/>
          </w:tcPr>
          <w:p w14:paraId="7429E299"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Uzbekistan</w:t>
            </w:r>
          </w:p>
        </w:tc>
        <w:tc>
          <w:tcPr>
            <w:tcW w:w="762" w:type="pct"/>
            <w:shd w:val="clear" w:color="auto" w:fill="auto"/>
            <w:noWrap/>
          </w:tcPr>
          <w:p w14:paraId="05E6EC24" w14:textId="77777777" w:rsidR="0017587A"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 xml:space="preserve">9,89 </w:t>
            </w:r>
          </w:p>
        </w:tc>
        <w:tc>
          <w:tcPr>
            <w:tcW w:w="844" w:type="pct"/>
            <w:shd w:val="clear" w:color="auto" w:fill="auto"/>
            <w:noWrap/>
          </w:tcPr>
          <w:p w14:paraId="06FDCB91" w14:textId="77777777" w:rsidR="0017587A" w:rsidRDefault="00D812BF">
            <w:pPr>
              <w:spacing w:after="120"/>
              <w:jc w:val="center"/>
              <w:rPr>
                <w:rFonts w:ascii="Times New Roman" w:hAnsi="Times New Roman"/>
                <w:sz w:val="20"/>
                <w:szCs w:val="20"/>
              </w:rPr>
            </w:pPr>
            <w:r>
              <w:rPr>
                <w:rFonts w:ascii="Times New Roman" w:hAnsi="Times New Roman"/>
                <w:sz w:val="20"/>
                <w:szCs w:val="20"/>
              </w:rPr>
              <w:t xml:space="preserve">3,79 </w:t>
            </w:r>
          </w:p>
        </w:tc>
        <w:tc>
          <w:tcPr>
            <w:tcW w:w="892" w:type="pct"/>
            <w:shd w:val="clear" w:color="auto" w:fill="auto"/>
            <w:noWrap/>
            <w:hideMark/>
          </w:tcPr>
          <w:p w14:paraId="51772CC7"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Polen</w:t>
            </w:r>
          </w:p>
        </w:tc>
        <w:tc>
          <w:tcPr>
            <w:tcW w:w="794" w:type="pct"/>
            <w:shd w:val="clear" w:color="auto" w:fill="auto"/>
            <w:noWrap/>
            <w:hideMark/>
          </w:tcPr>
          <w:p w14:paraId="63FDA37C"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2,82</w:t>
            </w:r>
          </w:p>
        </w:tc>
        <w:tc>
          <w:tcPr>
            <w:tcW w:w="842" w:type="pct"/>
            <w:shd w:val="clear" w:color="auto" w:fill="auto"/>
            <w:noWrap/>
            <w:hideMark/>
          </w:tcPr>
          <w:p w14:paraId="1475BA0B"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1,46 %</w:t>
            </w:r>
          </w:p>
        </w:tc>
      </w:tr>
      <w:tr w:rsidR="0017587A" w14:paraId="528817CD" w14:textId="77777777" w:rsidTr="00601A28">
        <w:trPr>
          <w:trHeight w:val="249"/>
        </w:trPr>
        <w:tc>
          <w:tcPr>
            <w:tcW w:w="865" w:type="pct"/>
            <w:shd w:val="clear" w:color="auto" w:fill="auto"/>
            <w:noWrap/>
            <w:hideMark/>
          </w:tcPr>
          <w:p w14:paraId="5506A7B1"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Brasilien</w:t>
            </w:r>
          </w:p>
        </w:tc>
        <w:tc>
          <w:tcPr>
            <w:tcW w:w="762" w:type="pct"/>
            <w:shd w:val="clear" w:color="auto" w:fill="auto"/>
            <w:noWrap/>
          </w:tcPr>
          <w:p w14:paraId="7B5C1793" w14:textId="77777777" w:rsidR="0017587A"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 xml:space="preserve">5,43 </w:t>
            </w:r>
          </w:p>
        </w:tc>
        <w:tc>
          <w:tcPr>
            <w:tcW w:w="844" w:type="pct"/>
            <w:shd w:val="clear" w:color="auto" w:fill="auto"/>
            <w:noWrap/>
          </w:tcPr>
          <w:p w14:paraId="17016049" w14:textId="77777777" w:rsidR="0017587A" w:rsidRDefault="00D812BF">
            <w:pPr>
              <w:spacing w:after="120"/>
              <w:jc w:val="center"/>
              <w:rPr>
                <w:rFonts w:ascii="Times New Roman" w:hAnsi="Times New Roman"/>
                <w:sz w:val="20"/>
                <w:szCs w:val="20"/>
              </w:rPr>
            </w:pPr>
            <w:r>
              <w:rPr>
                <w:rFonts w:ascii="Times New Roman" w:hAnsi="Times New Roman"/>
                <w:sz w:val="20"/>
                <w:szCs w:val="20"/>
              </w:rPr>
              <w:t xml:space="preserve">2,08 </w:t>
            </w:r>
          </w:p>
        </w:tc>
        <w:tc>
          <w:tcPr>
            <w:tcW w:w="892" w:type="pct"/>
            <w:shd w:val="clear" w:color="auto" w:fill="auto"/>
            <w:noWrap/>
            <w:hideMark/>
          </w:tcPr>
          <w:p w14:paraId="2AD789FE"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Tyskland</w:t>
            </w:r>
          </w:p>
        </w:tc>
        <w:tc>
          <w:tcPr>
            <w:tcW w:w="794" w:type="pct"/>
            <w:shd w:val="clear" w:color="auto" w:fill="auto"/>
            <w:noWrap/>
            <w:hideMark/>
          </w:tcPr>
          <w:p w14:paraId="29D594F7"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1,65</w:t>
            </w:r>
          </w:p>
        </w:tc>
        <w:tc>
          <w:tcPr>
            <w:tcW w:w="842" w:type="pct"/>
            <w:shd w:val="clear" w:color="auto" w:fill="auto"/>
            <w:noWrap/>
            <w:hideMark/>
          </w:tcPr>
          <w:p w14:paraId="01C08A59"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0,85 %</w:t>
            </w:r>
          </w:p>
        </w:tc>
      </w:tr>
      <w:tr w:rsidR="0017587A" w14:paraId="3C698832" w14:textId="77777777" w:rsidTr="00601A28">
        <w:trPr>
          <w:trHeight w:val="249"/>
        </w:trPr>
        <w:tc>
          <w:tcPr>
            <w:tcW w:w="865" w:type="pct"/>
            <w:shd w:val="clear" w:color="auto" w:fill="auto"/>
            <w:noWrap/>
            <w:hideMark/>
          </w:tcPr>
          <w:p w14:paraId="4A05F867"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Chile</w:t>
            </w:r>
          </w:p>
        </w:tc>
        <w:tc>
          <w:tcPr>
            <w:tcW w:w="762" w:type="pct"/>
            <w:shd w:val="clear" w:color="auto" w:fill="auto"/>
            <w:noWrap/>
          </w:tcPr>
          <w:p w14:paraId="62176B98" w14:textId="77777777" w:rsidR="0017587A"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3,16</w:t>
            </w:r>
          </w:p>
        </w:tc>
        <w:tc>
          <w:tcPr>
            <w:tcW w:w="844" w:type="pct"/>
            <w:shd w:val="clear" w:color="auto" w:fill="auto"/>
            <w:noWrap/>
          </w:tcPr>
          <w:p w14:paraId="3787A0CD" w14:textId="77777777" w:rsidR="0017587A" w:rsidRDefault="00D812BF">
            <w:pPr>
              <w:spacing w:after="120"/>
              <w:jc w:val="center"/>
              <w:rPr>
                <w:rFonts w:ascii="Times New Roman" w:hAnsi="Times New Roman"/>
                <w:sz w:val="20"/>
                <w:szCs w:val="20"/>
              </w:rPr>
            </w:pPr>
            <w:r>
              <w:rPr>
                <w:rFonts w:ascii="Times New Roman" w:hAnsi="Times New Roman"/>
                <w:sz w:val="20"/>
                <w:szCs w:val="20"/>
              </w:rPr>
              <w:t xml:space="preserve">1,21 </w:t>
            </w:r>
          </w:p>
        </w:tc>
        <w:tc>
          <w:tcPr>
            <w:tcW w:w="892" w:type="pct"/>
            <w:shd w:val="clear" w:color="auto" w:fill="auto"/>
            <w:noWrap/>
            <w:hideMark/>
          </w:tcPr>
          <w:p w14:paraId="6930B89A"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Frankrike</w:t>
            </w:r>
          </w:p>
        </w:tc>
        <w:tc>
          <w:tcPr>
            <w:tcW w:w="794" w:type="pct"/>
            <w:shd w:val="clear" w:color="auto" w:fill="auto"/>
            <w:noWrap/>
            <w:hideMark/>
          </w:tcPr>
          <w:p w14:paraId="0D26EDE0"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1,24</w:t>
            </w:r>
          </w:p>
        </w:tc>
        <w:tc>
          <w:tcPr>
            <w:tcW w:w="842" w:type="pct"/>
            <w:shd w:val="clear" w:color="auto" w:fill="auto"/>
            <w:noWrap/>
            <w:hideMark/>
          </w:tcPr>
          <w:p w14:paraId="29805C81"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0,64 %</w:t>
            </w:r>
          </w:p>
        </w:tc>
      </w:tr>
      <w:tr w:rsidR="0017587A" w14:paraId="2737922B" w14:textId="77777777" w:rsidTr="00601A28">
        <w:trPr>
          <w:trHeight w:val="249"/>
        </w:trPr>
        <w:tc>
          <w:tcPr>
            <w:tcW w:w="865" w:type="pct"/>
            <w:shd w:val="clear" w:color="auto" w:fill="auto"/>
            <w:noWrap/>
            <w:hideMark/>
          </w:tcPr>
          <w:p w14:paraId="379ABD02"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Sydkorea</w:t>
            </w:r>
          </w:p>
        </w:tc>
        <w:tc>
          <w:tcPr>
            <w:tcW w:w="762" w:type="pct"/>
            <w:shd w:val="clear" w:color="auto" w:fill="auto"/>
            <w:noWrap/>
          </w:tcPr>
          <w:p w14:paraId="4651BD35" w14:textId="77777777" w:rsidR="0017587A"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2,93</w:t>
            </w:r>
          </w:p>
        </w:tc>
        <w:tc>
          <w:tcPr>
            <w:tcW w:w="844" w:type="pct"/>
            <w:shd w:val="clear" w:color="auto" w:fill="auto"/>
            <w:noWrap/>
          </w:tcPr>
          <w:p w14:paraId="48D47F08" w14:textId="77777777" w:rsidR="0017587A" w:rsidRDefault="00D812BF">
            <w:pPr>
              <w:spacing w:after="120"/>
              <w:jc w:val="center"/>
              <w:rPr>
                <w:rFonts w:ascii="Times New Roman" w:hAnsi="Times New Roman"/>
                <w:sz w:val="20"/>
                <w:szCs w:val="20"/>
              </w:rPr>
            </w:pPr>
            <w:r>
              <w:rPr>
                <w:rFonts w:ascii="Times New Roman" w:hAnsi="Times New Roman"/>
                <w:sz w:val="20"/>
                <w:szCs w:val="20"/>
              </w:rPr>
              <w:t xml:space="preserve">1,12 </w:t>
            </w:r>
          </w:p>
        </w:tc>
        <w:tc>
          <w:tcPr>
            <w:tcW w:w="892" w:type="pct"/>
            <w:shd w:val="clear" w:color="auto" w:fill="auto"/>
            <w:noWrap/>
            <w:hideMark/>
          </w:tcPr>
          <w:p w14:paraId="1B1A3B83"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Bulgarien</w:t>
            </w:r>
          </w:p>
        </w:tc>
        <w:tc>
          <w:tcPr>
            <w:tcW w:w="794" w:type="pct"/>
            <w:shd w:val="clear" w:color="auto" w:fill="auto"/>
            <w:noWrap/>
            <w:hideMark/>
          </w:tcPr>
          <w:p w14:paraId="5869CFC1"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0,50</w:t>
            </w:r>
          </w:p>
        </w:tc>
        <w:tc>
          <w:tcPr>
            <w:tcW w:w="842" w:type="pct"/>
            <w:shd w:val="clear" w:color="auto" w:fill="auto"/>
            <w:noWrap/>
            <w:hideMark/>
          </w:tcPr>
          <w:p w14:paraId="6E53FDAC"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0,26 %</w:t>
            </w:r>
          </w:p>
        </w:tc>
      </w:tr>
      <w:tr w:rsidR="0017587A" w14:paraId="3DAD834C" w14:textId="77777777" w:rsidTr="00601A28">
        <w:trPr>
          <w:trHeight w:val="260"/>
        </w:trPr>
        <w:tc>
          <w:tcPr>
            <w:tcW w:w="865" w:type="pct"/>
            <w:shd w:val="clear" w:color="auto" w:fill="auto"/>
            <w:noWrap/>
            <w:hideMark/>
          </w:tcPr>
          <w:p w14:paraId="19EF37A4"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Mexiko</w:t>
            </w:r>
          </w:p>
        </w:tc>
        <w:tc>
          <w:tcPr>
            <w:tcW w:w="762" w:type="pct"/>
            <w:shd w:val="clear" w:color="auto" w:fill="auto"/>
            <w:noWrap/>
          </w:tcPr>
          <w:p w14:paraId="09365504" w14:textId="77777777" w:rsidR="0017587A"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 xml:space="preserve">2,89 </w:t>
            </w:r>
          </w:p>
        </w:tc>
        <w:tc>
          <w:tcPr>
            <w:tcW w:w="844" w:type="pct"/>
            <w:shd w:val="clear" w:color="auto" w:fill="auto"/>
            <w:noWrap/>
          </w:tcPr>
          <w:p w14:paraId="0468240B" w14:textId="77777777" w:rsidR="0017587A" w:rsidRDefault="00D812BF">
            <w:pPr>
              <w:spacing w:after="120"/>
              <w:jc w:val="center"/>
              <w:rPr>
                <w:rFonts w:ascii="Times New Roman" w:hAnsi="Times New Roman"/>
                <w:sz w:val="20"/>
                <w:szCs w:val="20"/>
              </w:rPr>
            </w:pPr>
            <w:r>
              <w:rPr>
                <w:rFonts w:ascii="Times New Roman" w:hAnsi="Times New Roman"/>
                <w:sz w:val="20"/>
                <w:szCs w:val="20"/>
              </w:rPr>
              <w:t xml:space="preserve">1,10 </w:t>
            </w:r>
          </w:p>
        </w:tc>
        <w:tc>
          <w:tcPr>
            <w:tcW w:w="892" w:type="pct"/>
            <w:shd w:val="clear" w:color="auto" w:fill="auto"/>
            <w:noWrap/>
            <w:hideMark/>
          </w:tcPr>
          <w:p w14:paraId="2A3B6635"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Övriga</w:t>
            </w:r>
          </w:p>
        </w:tc>
        <w:tc>
          <w:tcPr>
            <w:tcW w:w="794" w:type="pct"/>
            <w:shd w:val="clear" w:color="auto" w:fill="auto"/>
            <w:noWrap/>
            <w:hideMark/>
          </w:tcPr>
          <w:p w14:paraId="43CCB92C"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6,11</w:t>
            </w:r>
          </w:p>
        </w:tc>
        <w:tc>
          <w:tcPr>
            <w:tcW w:w="842" w:type="pct"/>
            <w:shd w:val="clear" w:color="auto" w:fill="auto"/>
            <w:noWrap/>
            <w:hideMark/>
          </w:tcPr>
          <w:p w14:paraId="1FE8B67C"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3,21 %</w:t>
            </w:r>
          </w:p>
        </w:tc>
      </w:tr>
      <w:tr w:rsidR="0017587A" w14:paraId="3C5052DF" w14:textId="77777777" w:rsidTr="00601A28">
        <w:trPr>
          <w:trHeight w:val="260"/>
        </w:trPr>
        <w:tc>
          <w:tcPr>
            <w:tcW w:w="865" w:type="pct"/>
            <w:shd w:val="clear" w:color="auto" w:fill="auto"/>
            <w:noWrap/>
          </w:tcPr>
          <w:p w14:paraId="4492C2B1" w14:textId="77777777" w:rsidR="0017587A" w:rsidRDefault="00D812BF">
            <w:pPr>
              <w:spacing w:after="120" w:line="240" w:lineRule="auto"/>
              <w:ind w:right="57"/>
              <w:rPr>
                <w:rFonts w:ascii="Times New Roman" w:eastAsia="Times New Roman" w:hAnsi="Times New Roman"/>
                <w:sz w:val="20"/>
                <w:szCs w:val="20"/>
              </w:rPr>
            </w:pPr>
            <w:r>
              <w:rPr>
                <w:rFonts w:ascii="Times New Roman" w:hAnsi="Times New Roman"/>
                <w:sz w:val="20"/>
                <w:szCs w:val="20"/>
              </w:rPr>
              <w:t>Övriga</w:t>
            </w:r>
          </w:p>
        </w:tc>
        <w:tc>
          <w:tcPr>
            <w:tcW w:w="762" w:type="pct"/>
            <w:shd w:val="clear" w:color="auto" w:fill="auto"/>
            <w:noWrap/>
          </w:tcPr>
          <w:p w14:paraId="4D43D019" w14:textId="77777777" w:rsidR="0017587A"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 xml:space="preserve">24,65 </w:t>
            </w:r>
          </w:p>
        </w:tc>
        <w:tc>
          <w:tcPr>
            <w:tcW w:w="844" w:type="pct"/>
            <w:shd w:val="clear" w:color="auto" w:fill="auto"/>
            <w:noWrap/>
          </w:tcPr>
          <w:p w14:paraId="3D933A15" w14:textId="77777777" w:rsidR="0017587A" w:rsidRDefault="00D812BF">
            <w:pPr>
              <w:spacing w:after="120"/>
              <w:jc w:val="center"/>
              <w:rPr>
                <w:rFonts w:ascii="Times New Roman" w:hAnsi="Times New Roman"/>
                <w:sz w:val="20"/>
                <w:szCs w:val="20"/>
              </w:rPr>
            </w:pPr>
            <w:r>
              <w:rPr>
                <w:rFonts w:ascii="Times New Roman" w:hAnsi="Times New Roman"/>
                <w:sz w:val="20"/>
                <w:szCs w:val="20"/>
              </w:rPr>
              <w:t xml:space="preserve">9,43 </w:t>
            </w:r>
          </w:p>
        </w:tc>
        <w:tc>
          <w:tcPr>
            <w:tcW w:w="892" w:type="pct"/>
            <w:shd w:val="clear" w:color="auto" w:fill="auto"/>
            <w:noWrap/>
          </w:tcPr>
          <w:p w14:paraId="5427F9CA" w14:textId="77777777" w:rsidR="0017587A" w:rsidRDefault="0017587A">
            <w:pPr>
              <w:spacing w:after="120" w:line="240" w:lineRule="auto"/>
              <w:ind w:right="57"/>
              <w:rPr>
                <w:rFonts w:ascii="Times New Roman" w:eastAsia="Times New Roman" w:hAnsi="Times New Roman"/>
                <w:color w:val="000000"/>
                <w:sz w:val="20"/>
                <w:szCs w:val="20"/>
                <w:highlight w:val="yellow"/>
              </w:rPr>
            </w:pPr>
          </w:p>
        </w:tc>
        <w:tc>
          <w:tcPr>
            <w:tcW w:w="794" w:type="pct"/>
            <w:shd w:val="clear" w:color="auto" w:fill="auto"/>
            <w:noWrap/>
          </w:tcPr>
          <w:p w14:paraId="1CA6A323" w14:textId="77777777" w:rsidR="0017587A" w:rsidRDefault="0017587A">
            <w:pPr>
              <w:spacing w:after="120" w:line="240" w:lineRule="auto"/>
              <w:ind w:right="57"/>
              <w:rPr>
                <w:rFonts w:ascii="Times New Roman" w:eastAsia="Times New Roman" w:hAnsi="Times New Roman"/>
                <w:color w:val="000000"/>
                <w:sz w:val="20"/>
                <w:szCs w:val="20"/>
                <w:highlight w:val="yellow"/>
              </w:rPr>
            </w:pPr>
          </w:p>
        </w:tc>
        <w:tc>
          <w:tcPr>
            <w:tcW w:w="842" w:type="pct"/>
            <w:shd w:val="clear" w:color="auto" w:fill="auto"/>
            <w:noWrap/>
          </w:tcPr>
          <w:p w14:paraId="3FCD26A5" w14:textId="77777777" w:rsidR="0017587A" w:rsidRDefault="0017587A">
            <w:pPr>
              <w:spacing w:after="120" w:line="240" w:lineRule="auto"/>
              <w:ind w:right="57"/>
              <w:rPr>
                <w:rFonts w:ascii="Times New Roman" w:eastAsia="Times New Roman" w:hAnsi="Times New Roman"/>
                <w:color w:val="000000"/>
                <w:sz w:val="20"/>
                <w:szCs w:val="20"/>
                <w:highlight w:val="yellow"/>
              </w:rPr>
            </w:pPr>
          </w:p>
        </w:tc>
      </w:tr>
      <w:tr w:rsidR="0017587A" w14:paraId="3ACA0DB9" w14:textId="77777777" w:rsidTr="00601A28">
        <w:trPr>
          <w:trHeight w:val="260"/>
        </w:trPr>
        <w:tc>
          <w:tcPr>
            <w:tcW w:w="865" w:type="pct"/>
            <w:shd w:val="clear" w:color="auto" w:fill="auto"/>
            <w:noWrap/>
          </w:tcPr>
          <w:p w14:paraId="70880110" w14:textId="77777777" w:rsidR="0017587A" w:rsidRDefault="00D812BF">
            <w:pPr>
              <w:spacing w:after="120" w:line="240" w:lineRule="auto"/>
              <w:ind w:right="57"/>
              <w:rPr>
                <w:rFonts w:ascii="Times New Roman" w:eastAsia="Times New Roman" w:hAnsi="Times New Roman"/>
                <w:b/>
                <w:sz w:val="20"/>
                <w:szCs w:val="20"/>
              </w:rPr>
            </w:pPr>
            <w:r>
              <w:rPr>
                <w:rFonts w:ascii="Times New Roman" w:hAnsi="Times New Roman"/>
                <w:b/>
                <w:sz w:val="20"/>
                <w:szCs w:val="20"/>
              </w:rPr>
              <w:t>SUMMA CER och ERU</w:t>
            </w:r>
          </w:p>
        </w:tc>
        <w:tc>
          <w:tcPr>
            <w:tcW w:w="762" w:type="pct"/>
            <w:shd w:val="clear" w:color="auto" w:fill="auto"/>
            <w:noWrap/>
          </w:tcPr>
          <w:p w14:paraId="2C9DAAAA" w14:textId="77777777" w:rsidR="0017587A" w:rsidRDefault="00D812BF">
            <w:pPr>
              <w:spacing w:after="120" w:line="240" w:lineRule="auto"/>
              <w:ind w:right="57"/>
              <w:jc w:val="center"/>
              <w:rPr>
                <w:rFonts w:ascii="Times New Roman" w:eastAsia="Times New Roman" w:hAnsi="Times New Roman"/>
                <w:b/>
                <w:sz w:val="20"/>
                <w:szCs w:val="20"/>
              </w:rPr>
            </w:pPr>
            <w:r>
              <w:rPr>
                <w:rFonts w:ascii="Times New Roman" w:hAnsi="Times New Roman"/>
                <w:b/>
                <w:sz w:val="20"/>
                <w:szCs w:val="20"/>
              </w:rPr>
              <w:t xml:space="preserve">453,49 </w:t>
            </w:r>
          </w:p>
        </w:tc>
        <w:tc>
          <w:tcPr>
            <w:tcW w:w="844" w:type="pct"/>
            <w:shd w:val="clear" w:color="auto" w:fill="auto"/>
            <w:noWrap/>
          </w:tcPr>
          <w:p w14:paraId="37A90C4E" w14:textId="77777777" w:rsidR="0017587A" w:rsidRDefault="00D812BF">
            <w:pPr>
              <w:spacing w:after="120"/>
              <w:jc w:val="center"/>
              <w:rPr>
                <w:rFonts w:ascii="Times New Roman" w:hAnsi="Times New Roman"/>
                <w:b/>
                <w:sz w:val="20"/>
                <w:szCs w:val="20"/>
              </w:rPr>
            </w:pPr>
            <w:r>
              <w:rPr>
                <w:rFonts w:ascii="Times New Roman" w:hAnsi="Times New Roman"/>
                <w:b/>
                <w:sz w:val="20"/>
                <w:szCs w:val="20"/>
              </w:rPr>
              <w:t>100 %</w:t>
            </w:r>
          </w:p>
        </w:tc>
        <w:tc>
          <w:tcPr>
            <w:tcW w:w="892" w:type="pct"/>
            <w:shd w:val="clear" w:color="auto" w:fill="auto"/>
            <w:noWrap/>
          </w:tcPr>
          <w:p w14:paraId="6B49F04A" w14:textId="77777777" w:rsidR="0017587A" w:rsidRDefault="0017587A">
            <w:pPr>
              <w:spacing w:after="120" w:line="240" w:lineRule="auto"/>
              <w:ind w:right="57"/>
              <w:rPr>
                <w:rFonts w:ascii="Times New Roman" w:eastAsia="Times New Roman" w:hAnsi="Times New Roman"/>
                <w:b/>
                <w:color w:val="000000"/>
                <w:sz w:val="20"/>
                <w:szCs w:val="20"/>
              </w:rPr>
            </w:pPr>
          </w:p>
        </w:tc>
        <w:tc>
          <w:tcPr>
            <w:tcW w:w="794" w:type="pct"/>
            <w:shd w:val="clear" w:color="auto" w:fill="auto"/>
            <w:noWrap/>
          </w:tcPr>
          <w:p w14:paraId="0E942C90" w14:textId="77777777" w:rsidR="0017587A" w:rsidRDefault="0017587A">
            <w:pPr>
              <w:spacing w:after="120" w:line="240" w:lineRule="auto"/>
              <w:ind w:right="57"/>
              <w:rPr>
                <w:rFonts w:ascii="Times New Roman" w:eastAsia="Times New Roman" w:hAnsi="Times New Roman"/>
                <w:b/>
                <w:color w:val="000000"/>
                <w:sz w:val="20"/>
                <w:szCs w:val="20"/>
              </w:rPr>
            </w:pPr>
          </w:p>
        </w:tc>
        <w:tc>
          <w:tcPr>
            <w:tcW w:w="842" w:type="pct"/>
            <w:shd w:val="clear" w:color="auto" w:fill="auto"/>
            <w:noWrap/>
          </w:tcPr>
          <w:p w14:paraId="657E5685" w14:textId="77777777" w:rsidR="0017587A" w:rsidRDefault="0017587A">
            <w:pPr>
              <w:spacing w:after="120" w:line="240" w:lineRule="auto"/>
              <w:ind w:right="57"/>
              <w:rPr>
                <w:rFonts w:ascii="Times New Roman" w:eastAsia="Times New Roman" w:hAnsi="Times New Roman"/>
                <w:b/>
                <w:color w:val="000000"/>
                <w:sz w:val="20"/>
                <w:szCs w:val="20"/>
              </w:rPr>
            </w:pPr>
          </w:p>
        </w:tc>
      </w:tr>
    </w:tbl>
    <w:p w14:paraId="747D5123" w14:textId="77777777" w:rsidR="0017587A" w:rsidRDefault="00626D3C">
      <w:pPr>
        <w:rPr>
          <w:rFonts w:ascii="Times New Roman" w:hAnsi="Times New Roman"/>
          <w:b/>
          <w:sz w:val="18"/>
          <w:szCs w:val="18"/>
        </w:rPr>
      </w:pPr>
      <w:r>
        <w:rPr>
          <w:rFonts w:ascii="Times New Roman" w:hAnsi="Times New Roman"/>
          <w:b/>
          <w:sz w:val="18"/>
          <w:szCs w:val="18"/>
        </w:rPr>
        <w:t>Källa: EUTL</w:t>
      </w:r>
    </w:p>
    <w:p w14:paraId="069EB13E" w14:textId="77777777" w:rsidR="0017587A" w:rsidRDefault="00D812BF">
      <w:pPr>
        <w:rPr>
          <w:rFonts w:ascii="Times New Roman" w:hAnsi="Times New Roman"/>
          <w:b/>
          <w:sz w:val="20"/>
          <w:szCs w:val="20"/>
        </w:rPr>
      </w:pPr>
      <w:r>
        <w:rPr>
          <w:rFonts w:ascii="Times New Roman" w:hAnsi="Times New Roman"/>
          <w:b/>
          <w:sz w:val="20"/>
          <w:szCs w:val="20"/>
        </w:rPr>
        <w:t xml:space="preserve">Tabell 3.2: Sammanfattning av internationella reduktionsenheter som har utbytts fram till utgången av juni 2019 per anläggningstyp </w:t>
      </w:r>
    </w:p>
    <w:tbl>
      <w:tblPr>
        <w:tblW w:w="4111"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33"/>
        <w:gridCol w:w="2534"/>
        <w:gridCol w:w="2532"/>
      </w:tblGrid>
      <w:tr w:rsidR="0017587A" w14:paraId="05A592FA" w14:textId="77777777" w:rsidTr="00E72EF9">
        <w:trPr>
          <w:trHeight w:val="247"/>
        </w:trPr>
        <w:tc>
          <w:tcPr>
            <w:tcW w:w="1667" w:type="pct"/>
            <w:shd w:val="clear" w:color="auto" w:fill="auto"/>
            <w:noWrap/>
            <w:hideMark/>
          </w:tcPr>
          <w:p w14:paraId="11023F04" w14:textId="77777777" w:rsidR="0017587A" w:rsidRDefault="00D812BF">
            <w:pPr>
              <w:spacing w:after="0" w:line="240" w:lineRule="auto"/>
              <w:ind w:right="57"/>
              <w:rPr>
                <w:rFonts w:ascii="Times New Roman" w:eastAsia="Times New Roman" w:hAnsi="Times New Roman"/>
                <w:b/>
                <w:bCs/>
                <w:color w:val="000000"/>
                <w:sz w:val="20"/>
                <w:szCs w:val="20"/>
              </w:rPr>
            </w:pPr>
            <w:r>
              <w:rPr>
                <w:rFonts w:ascii="Times New Roman" w:hAnsi="Times New Roman"/>
                <w:b/>
                <w:sz w:val="20"/>
                <w:szCs w:val="20"/>
              </w:rPr>
              <w:t>Internationella reduktionsenheter som har utbytts fram till utgången av juni 2019:</w:t>
            </w:r>
          </w:p>
        </w:tc>
        <w:tc>
          <w:tcPr>
            <w:tcW w:w="1667" w:type="pct"/>
            <w:shd w:val="clear" w:color="auto" w:fill="auto"/>
            <w:noWrap/>
            <w:hideMark/>
          </w:tcPr>
          <w:p w14:paraId="1E38255E" w14:textId="77777777" w:rsidR="0017587A" w:rsidRDefault="00D812BF">
            <w:pPr>
              <w:spacing w:after="0" w:line="240" w:lineRule="auto"/>
              <w:ind w:right="57"/>
              <w:jc w:val="center"/>
              <w:rPr>
                <w:rFonts w:ascii="Times New Roman" w:eastAsia="Times New Roman" w:hAnsi="Times New Roman"/>
                <w:b/>
                <w:sz w:val="20"/>
                <w:szCs w:val="20"/>
              </w:rPr>
            </w:pPr>
            <w:r>
              <w:rPr>
                <w:rFonts w:ascii="Times New Roman" w:hAnsi="Times New Roman"/>
                <w:b/>
                <w:sz w:val="20"/>
                <w:szCs w:val="20"/>
              </w:rPr>
              <w:t>CER</w:t>
            </w:r>
          </w:p>
          <w:p w14:paraId="6AFE415E" w14:textId="77777777" w:rsidR="0017587A" w:rsidRDefault="00D812BF">
            <w:pPr>
              <w:spacing w:after="0" w:line="240" w:lineRule="auto"/>
              <w:ind w:right="57"/>
              <w:jc w:val="center"/>
              <w:rPr>
                <w:rFonts w:ascii="Times New Roman" w:eastAsia="Times New Roman" w:hAnsi="Times New Roman"/>
                <w:b/>
                <w:bCs/>
                <w:color w:val="000000"/>
                <w:sz w:val="20"/>
                <w:szCs w:val="20"/>
              </w:rPr>
            </w:pPr>
            <w:r>
              <w:rPr>
                <w:rFonts w:ascii="Times New Roman" w:hAnsi="Times New Roman"/>
                <w:b/>
                <w:sz w:val="20"/>
                <w:szCs w:val="20"/>
              </w:rPr>
              <w:t xml:space="preserve">i miljoner  </w:t>
            </w:r>
          </w:p>
        </w:tc>
        <w:tc>
          <w:tcPr>
            <w:tcW w:w="1666" w:type="pct"/>
            <w:shd w:val="clear" w:color="auto" w:fill="auto"/>
            <w:noWrap/>
            <w:hideMark/>
          </w:tcPr>
          <w:p w14:paraId="371E9229" w14:textId="77777777" w:rsidR="0017587A" w:rsidRDefault="00D812BF">
            <w:pPr>
              <w:spacing w:after="0" w:line="240" w:lineRule="auto"/>
              <w:ind w:right="57"/>
              <w:jc w:val="center"/>
              <w:rPr>
                <w:rFonts w:ascii="Times New Roman" w:eastAsia="Times New Roman" w:hAnsi="Times New Roman"/>
                <w:b/>
                <w:sz w:val="20"/>
                <w:szCs w:val="20"/>
              </w:rPr>
            </w:pPr>
            <w:r>
              <w:rPr>
                <w:rFonts w:ascii="Times New Roman" w:hAnsi="Times New Roman"/>
                <w:b/>
                <w:sz w:val="20"/>
                <w:szCs w:val="20"/>
              </w:rPr>
              <w:t>ERU</w:t>
            </w:r>
          </w:p>
          <w:p w14:paraId="2AD9EEA9" w14:textId="77777777" w:rsidR="0017587A" w:rsidRDefault="00D812BF">
            <w:pPr>
              <w:spacing w:after="0" w:line="240" w:lineRule="auto"/>
              <w:ind w:right="57"/>
              <w:jc w:val="center"/>
              <w:rPr>
                <w:rFonts w:ascii="Times New Roman" w:eastAsia="Times New Roman" w:hAnsi="Times New Roman"/>
                <w:b/>
                <w:bCs/>
                <w:color w:val="000000"/>
                <w:sz w:val="20"/>
                <w:szCs w:val="20"/>
              </w:rPr>
            </w:pPr>
            <w:r>
              <w:rPr>
                <w:rFonts w:ascii="Times New Roman" w:hAnsi="Times New Roman"/>
                <w:b/>
                <w:sz w:val="20"/>
                <w:szCs w:val="20"/>
              </w:rPr>
              <w:t xml:space="preserve">i miljoner </w:t>
            </w:r>
          </w:p>
        </w:tc>
      </w:tr>
      <w:tr w:rsidR="0017587A" w14:paraId="6865279C" w14:textId="77777777" w:rsidTr="00E72EF9">
        <w:trPr>
          <w:trHeight w:val="247"/>
        </w:trPr>
        <w:tc>
          <w:tcPr>
            <w:tcW w:w="1667" w:type="pct"/>
            <w:shd w:val="clear" w:color="auto" w:fill="auto"/>
            <w:noWrap/>
            <w:hideMark/>
          </w:tcPr>
          <w:p w14:paraId="3C044288" w14:textId="77777777" w:rsidR="0017587A" w:rsidRDefault="00D812BF">
            <w:pPr>
              <w:spacing w:after="120" w:line="240" w:lineRule="auto"/>
              <w:ind w:right="57"/>
              <w:rPr>
                <w:rFonts w:ascii="Times New Roman" w:eastAsia="Times New Roman" w:hAnsi="Times New Roman"/>
                <w:bCs/>
                <w:color w:val="000000"/>
                <w:sz w:val="20"/>
                <w:szCs w:val="20"/>
              </w:rPr>
            </w:pPr>
            <w:r>
              <w:rPr>
                <w:rFonts w:ascii="Times New Roman" w:hAnsi="Times New Roman"/>
                <w:sz w:val="20"/>
                <w:szCs w:val="20"/>
              </w:rPr>
              <w:t>Fasta anläggningar</w:t>
            </w:r>
          </w:p>
        </w:tc>
        <w:tc>
          <w:tcPr>
            <w:tcW w:w="1667" w:type="pct"/>
            <w:shd w:val="clear" w:color="auto" w:fill="auto"/>
            <w:noWrap/>
            <w:hideMark/>
          </w:tcPr>
          <w:p w14:paraId="0A7940B7" w14:textId="77777777" w:rsidR="0017587A" w:rsidRDefault="00D812BF">
            <w:pPr>
              <w:spacing w:after="120" w:line="240" w:lineRule="auto"/>
              <w:ind w:right="57"/>
              <w:jc w:val="center"/>
              <w:rPr>
                <w:rFonts w:ascii="Times New Roman" w:eastAsia="Times New Roman" w:hAnsi="Times New Roman"/>
                <w:bCs/>
                <w:color w:val="000000"/>
                <w:sz w:val="20"/>
                <w:szCs w:val="20"/>
              </w:rPr>
            </w:pPr>
            <w:r>
              <w:rPr>
                <w:rFonts w:ascii="Times New Roman" w:hAnsi="Times New Roman"/>
                <w:sz w:val="20"/>
                <w:szCs w:val="20"/>
              </w:rPr>
              <w:t>256,46</w:t>
            </w:r>
          </w:p>
        </w:tc>
        <w:tc>
          <w:tcPr>
            <w:tcW w:w="1666" w:type="pct"/>
            <w:shd w:val="clear" w:color="auto" w:fill="auto"/>
            <w:noWrap/>
            <w:hideMark/>
          </w:tcPr>
          <w:p w14:paraId="68B44FC5" w14:textId="77777777" w:rsidR="0017587A" w:rsidRDefault="00D812BF">
            <w:pPr>
              <w:spacing w:after="120"/>
              <w:jc w:val="center"/>
              <w:rPr>
                <w:rFonts w:ascii="Times New Roman" w:hAnsi="Times New Roman"/>
                <w:sz w:val="20"/>
                <w:szCs w:val="20"/>
              </w:rPr>
            </w:pPr>
            <w:r>
              <w:rPr>
                <w:rFonts w:ascii="Times New Roman" w:hAnsi="Times New Roman"/>
                <w:sz w:val="20"/>
                <w:szCs w:val="20"/>
              </w:rPr>
              <w:t>191,25</w:t>
            </w:r>
          </w:p>
        </w:tc>
      </w:tr>
      <w:tr w:rsidR="0017587A" w14:paraId="1A0E4308" w14:textId="77777777" w:rsidTr="00E72EF9">
        <w:trPr>
          <w:trHeight w:val="237"/>
        </w:trPr>
        <w:tc>
          <w:tcPr>
            <w:tcW w:w="1667" w:type="pct"/>
            <w:shd w:val="clear" w:color="auto" w:fill="auto"/>
            <w:noWrap/>
            <w:hideMark/>
          </w:tcPr>
          <w:p w14:paraId="0BAD6CDB" w14:textId="77777777" w:rsidR="0017587A" w:rsidRDefault="00D812BF">
            <w:pPr>
              <w:spacing w:after="120" w:line="240" w:lineRule="auto"/>
              <w:ind w:right="57"/>
              <w:rPr>
                <w:rFonts w:ascii="Times New Roman" w:eastAsia="Times New Roman" w:hAnsi="Times New Roman"/>
                <w:color w:val="000000"/>
                <w:sz w:val="20"/>
                <w:szCs w:val="20"/>
              </w:rPr>
            </w:pPr>
            <w:r>
              <w:rPr>
                <w:rFonts w:ascii="Times New Roman" w:hAnsi="Times New Roman"/>
                <w:sz w:val="20"/>
                <w:szCs w:val="20"/>
              </w:rPr>
              <w:t xml:space="preserve">Luftfartygsoperatörer </w:t>
            </w:r>
          </w:p>
        </w:tc>
        <w:tc>
          <w:tcPr>
            <w:tcW w:w="1667" w:type="pct"/>
            <w:shd w:val="clear" w:color="auto" w:fill="auto"/>
            <w:noWrap/>
          </w:tcPr>
          <w:p w14:paraId="1735D797" w14:textId="77777777" w:rsidR="0017587A" w:rsidRDefault="00D812BF">
            <w:pPr>
              <w:spacing w:after="120" w:line="240" w:lineRule="auto"/>
              <w:ind w:right="57"/>
              <w:jc w:val="center"/>
              <w:rPr>
                <w:rFonts w:ascii="Times New Roman" w:eastAsia="Times New Roman" w:hAnsi="Times New Roman"/>
                <w:sz w:val="20"/>
                <w:szCs w:val="20"/>
              </w:rPr>
            </w:pPr>
            <w:r>
              <w:rPr>
                <w:rFonts w:ascii="Times New Roman" w:hAnsi="Times New Roman"/>
                <w:sz w:val="20"/>
                <w:szCs w:val="20"/>
              </w:rPr>
              <w:t>4,96</w:t>
            </w:r>
          </w:p>
        </w:tc>
        <w:tc>
          <w:tcPr>
            <w:tcW w:w="1666" w:type="pct"/>
            <w:shd w:val="clear" w:color="auto" w:fill="auto"/>
            <w:noWrap/>
          </w:tcPr>
          <w:p w14:paraId="079C8105" w14:textId="77777777" w:rsidR="0017587A" w:rsidRDefault="00D812BF">
            <w:pPr>
              <w:spacing w:after="120"/>
              <w:jc w:val="center"/>
              <w:rPr>
                <w:rFonts w:ascii="Times New Roman" w:hAnsi="Times New Roman"/>
                <w:sz w:val="20"/>
                <w:szCs w:val="20"/>
              </w:rPr>
            </w:pPr>
            <w:r>
              <w:rPr>
                <w:rFonts w:ascii="Times New Roman" w:hAnsi="Times New Roman"/>
                <w:sz w:val="20"/>
                <w:szCs w:val="20"/>
              </w:rPr>
              <w:t>0,82</w:t>
            </w:r>
          </w:p>
        </w:tc>
      </w:tr>
      <w:tr w:rsidR="0017587A" w14:paraId="49FD20B1" w14:textId="77777777" w:rsidTr="00E72EF9">
        <w:trPr>
          <w:trHeight w:val="269"/>
        </w:trPr>
        <w:tc>
          <w:tcPr>
            <w:tcW w:w="1667" w:type="pct"/>
            <w:shd w:val="clear" w:color="auto" w:fill="auto"/>
            <w:noWrap/>
          </w:tcPr>
          <w:p w14:paraId="302E55CF" w14:textId="77777777" w:rsidR="0017587A" w:rsidRDefault="00D812BF">
            <w:pPr>
              <w:spacing w:after="120" w:line="240" w:lineRule="auto"/>
              <w:ind w:right="57"/>
              <w:rPr>
                <w:rFonts w:ascii="Times New Roman" w:eastAsia="Times New Roman" w:hAnsi="Times New Roman"/>
                <w:b/>
                <w:sz w:val="20"/>
                <w:szCs w:val="20"/>
              </w:rPr>
            </w:pPr>
            <w:r>
              <w:rPr>
                <w:rFonts w:ascii="Times New Roman" w:hAnsi="Times New Roman"/>
                <w:b/>
                <w:sz w:val="20"/>
                <w:szCs w:val="20"/>
              </w:rPr>
              <w:t>TOTALT</w:t>
            </w:r>
          </w:p>
        </w:tc>
        <w:tc>
          <w:tcPr>
            <w:tcW w:w="1667" w:type="pct"/>
            <w:shd w:val="clear" w:color="auto" w:fill="auto"/>
            <w:noWrap/>
          </w:tcPr>
          <w:p w14:paraId="7C9EC01C" w14:textId="77777777" w:rsidR="0017587A" w:rsidRDefault="00D812BF">
            <w:pPr>
              <w:spacing w:after="120" w:line="240" w:lineRule="auto"/>
              <w:ind w:right="57"/>
              <w:jc w:val="center"/>
              <w:rPr>
                <w:rFonts w:ascii="Times New Roman" w:eastAsia="Times New Roman" w:hAnsi="Times New Roman"/>
                <w:b/>
                <w:sz w:val="20"/>
                <w:szCs w:val="20"/>
              </w:rPr>
            </w:pPr>
            <w:r>
              <w:rPr>
                <w:rFonts w:ascii="Times New Roman" w:hAnsi="Times New Roman"/>
                <w:b/>
                <w:sz w:val="20"/>
                <w:szCs w:val="20"/>
              </w:rPr>
              <w:t>261,42</w:t>
            </w:r>
          </w:p>
        </w:tc>
        <w:tc>
          <w:tcPr>
            <w:tcW w:w="1666" w:type="pct"/>
            <w:shd w:val="clear" w:color="auto" w:fill="auto"/>
            <w:noWrap/>
          </w:tcPr>
          <w:p w14:paraId="713CF12C" w14:textId="77777777" w:rsidR="0017587A" w:rsidRDefault="00D812BF">
            <w:pPr>
              <w:spacing w:after="120"/>
              <w:jc w:val="center"/>
              <w:rPr>
                <w:rFonts w:ascii="Times New Roman" w:hAnsi="Times New Roman"/>
                <w:b/>
                <w:sz w:val="20"/>
                <w:szCs w:val="20"/>
              </w:rPr>
            </w:pPr>
            <w:r>
              <w:rPr>
                <w:rFonts w:ascii="Times New Roman" w:hAnsi="Times New Roman"/>
                <w:b/>
                <w:sz w:val="20"/>
                <w:szCs w:val="20"/>
              </w:rPr>
              <w:t>192,07</w:t>
            </w:r>
          </w:p>
        </w:tc>
      </w:tr>
    </w:tbl>
    <w:p w14:paraId="0EDBFBF2" w14:textId="77777777" w:rsidR="0017587A" w:rsidRDefault="00626D3C">
      <w:pPr>
        <w:rPr>
          <w:rFonts w:ascii="Times New Roman" w:hAnsi="Times New Roman"/>
          <w:b/>
          <w:sz w:val="18"/>
          <w:szCs w:val="18"/>
        </w:rPr>
      </w:pPr>
      <w:r>
        <w:rPr>
          <w:rFonts w:ascii="Times New Roman" w:hAnsi="Times New Roman"/>
          <w:b/>
          <w:sz w:val="18"/>
          <w:szCs w:val="18"/>
        </w:rPr>
        <w:t>Källa: EUTL</w:t>
      </w:r>
    </w:p>
    <w:p w14:paraId="285D3DFE" w14:textId="77777777" w:rsidR="0017587A" w:rsidRDefault="0017587A">
      <w:pPr>
        <w:rPr>
          <w:rFonts w:ascii="Times New Roman" w:hAnsi="Times New Roman"/>
          <w:b/>
        </w:rPr>
      </w:pPr>
    </w:p>
    <w:p w14:paraId="1C201344" w14:textId="77777777" w:rsidR="0017587A" w:rsidRDefault="001F1235">
      <w:pPr>
        <w:rPr>
          <w:rFonts w:ascii="Times New Roman" w:hAnsi="Times New Roman"/>
          <w:b/>
        </w:rPr>
      </w:pPr>
      <w:r>
        <w:rPr>
          <w:rFonts w:ascii="Times New Roman" w:hAnsi="Times New Roman"/>
          <w:b/>
        </w:rPr>
        <w:t>Tillägg 4</w:t>
      </w:r>
    </w:p>
    <w:p w14:paraId="158FD0F4" w14:textId="77777777" w:rsidR="0017587A" w:rsidRDefault="001F1235">
      <w:pPr>
        <w:pStyle w:val="Caption"/>
        <w:keepNext/>
        <w:rPr>
          <w:rFonts w:ascii="Times New Roman" w:hAnsi="Times New Roman"/>
        </w:rPr>
      </w:pPr>
      <w:r>
        <w:rPr>
          <w:rFonts w:ascii="Times New Roman" w:hAnsi="Times New Roman"/>
        </w:rPr>
        <w:t>Tabell 4.1: Delar i tillgång och efterfrågan i utsläppshandelssystemet</w:t>
      </w:r>
    </w:p>
    <w:tbl>
      <w:tblPr>
        <w:tblW w:w="5000"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28"/>
        <w:gridCol w:w="1387"/>
        <w:gridCol w:w="2721"/>
        <w:gridCol w:w="3306"/>
      </w:tblGrid>
      <w:tr w:rsidR="0017587A" w14:paraId="7AB6F662" w14:textId="77777777" w:rsidTr="00601A28">
        <w:trPr>
          <w:trHeight w:val="458"/>
        </w:trPr>
        <w:tc>
          <w:tcPr>
            <w:tcW w:w="949" w:type="pct"/>
            <w:shd w:val="clear" w:color="auto" w:fill="auto"/>
            <w:vAlign w:val="center"/>
          </w:tcPr>
          <w:p w14:paraId="494FCB6D"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Del</w:t>
            </w:r>
          </w:p>
        </w:tc>
        <w:tc>
          <w:tcPr>
            <w:tcW w:w="0" w:type="auto"/>
            <w:shd w:val="clear" w:color="auto" w:fill="auto"/>
            <w:vAlign w:val="center"/>
          </w:tcPr>
          <w:p w14:paraId="153BE393"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Tillgång eller efterfrågan?</w:t>
            </w:r>
          </w:p>
        </w:tc>
        <w:tc>
          <w:tcPr>
            <w:tcW w:w="0" w:type="auto"/>
            <w:shd w:val="clear" w:color="auto" w:fill="auto"/>
            <w:vAlign w:val="center"/>
          </w:tcPr>
          <w:p w14:paraId="3596431D"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Offentliggörande</w:t>
            </w:r>
          </w:p>
        </w:tc>
        <w:tc>
          <w:tcPr>
            <w:tcW w:w="0" w:type="auto"/>
            <w:shd w:val="clear" w:color="auto" w:fill="auto"/>
            <w:vAlign w:val="center"/>
          </w:tcPr>
          <w:p w14:paraId="609978AA"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Uppdatering och osäkerhet</w:t>
            </w:r>
          </w:p>
        </w:tc>
      </w:tr>
      <w:tr w:rsidR="0017587A" w14:paraId="08D4B096" w14:textId="77777777" w:rsidTr="00601A28">
        <w:trPr>
          <w:trHeight w:val="458"/>
        </w:trPr>
        <w:tc>
          <w:tcPr>
            <w:tcW w:w="949" w:type="pct"/>
            <w:shd w:val="clear" w:color="auto" w:fill="auto"/>
          </w:tcPr>
          <w:p w14:paraId="58170BA1"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Totalt antal som har överförts från fas 2</w:t>
            </w:r>
          </w:p>
        </w:tc>
        <w:tc>
          <w:tcPr>
            <w:tcW w:w="0" w:type="auto"/>
            <w:shd w:val="clear" w:color="auto" w:fill="auto"/>
          </w:tcPr>
          <w:p w14:paraId="07260D69"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Tillgång</w:t>
            </w:r>
          </w:p>
        </w:tc>
        <w:tc>
          <w:tcPr>
            <w:tcW w:w="0" w:type="auto"/>
            <w:shd w:val="clear" w:color="auto" w:fill="auto"/>
          </w:tcPr>
          <w:p w14:paraId="59DD3A87"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Rapport om koldioxidmarknaden</w:t>
            </w:r>
          </w:p>
        </w:tc>
        <w:tc>
          <w:tcPr>
            <w:tcW w:w="0" w:type="auto"/>
            <w:shd w:val="clear" w:color="auto" w:fill="auto"/>
          </w:tcPr>
          <w:p w14:paraId="171B2E87" w14:textId="77777777" w:rsidR="0017587A"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 xml:space="preserve">Ingen uppdatering väntas eftersom fas 2 är slut. Slutlig siffra. </w:t>
            </w:r>
          </w:p>
        </w:tc>
      </w:tr>
      <w:tr w:rsidR="0017587A" w14:paraId="52C2E3F1" w14:textId="77777777" w:rsidTr="00601A28">
        <w:trPr>
          <w:trHeight w:val="687"/>
        </w:trPr>
        <w:tc>
          <w:tcPr>
            <w:tcW w:w="949" w:type="pct"/>
            <w:shd w:val="clear" w:color="auto" w:fill="auto"/>
          </w:tcPr>
          <w:p w14:paraId="62871F2A"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 xml:space="preserve">Tidiga fas 3-auktioner </w:t>
            </w:r>
          </w:p>
        </w:tc>
        <w:tc>
          <w:tcPr>
            <w:tcW w:w="0" w:type="auto"/>
            <w:shd w:val="clear" w:color="auto" w:fill="auto"/>
          </w:tcPr>
          <w:p w14:paraId="74C382B2"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Tillgång</w:t>
            </w:r>
          </w:p>
        </w:tc>
        <w:tc>
          <w:tcPr>
            <w:tcW w:w="0" w:type="auto"/>
            <w:shd w:val="clear" w:color="auto" w:fill="auto"/>
          </w:tcPr>
          <w:p w14:paraId="0B79CAD9"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Webbplatsen för generaldirektoratet för klimatpolitik, EEX och ICE:s webbplatser</w:t>
            </w:r>
          </w:p>
        </w:tc>
        <w:tc>
          <w:tcPr>
            <w:tcW w:w="0" w:type="auto"/>
            <w:shd w:val="clear" w:color="auto" w:fill="auto"/>
          </w:tcPr>
          <w:p w14:paraId="5A6794C3" w14:textId="77777777" w:rsidR="0017587A"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Ingår inte i det totala antal som har överförts från fas 2. Slutliga siffror.</w:t>
            </w:r>
          </w:p>
        </w:tc>
      </w:tr>
      <w:tr w:rsidR="0017587A" w14:paraId="385F9E67" w14:textId="77777777" w:rsidTr="00601A28">
        <w:trPr>
          <w:trHeight w:val="458"/>
        </w:trPr>
        <w:tc>
          <w:tcPr>
            <w:tcW w:w="949" w:type="pct"/>
            <w:shd w:val="clear" w:color="auto" w:fill="auto"/>
          </w:tcPr>
          <w:p w14:paraId="19AF6BFF"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Utsläppsrätter för NER300</w:t>
            </w:r>
          </w:p>
        </w:tc>
        <w:tc>
          <w:tcPr>
            <w:tcW w:w="0" w:type="auto"/>
            <w:shd w:val="clear" w:color="auto" w:fill="auto"/>
          </w:tcPr>
          <w:p w14:paraId="79CEC823"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Tillgång</w:t>
            </w:r>
          </w:p>
        </w:tc>
        <w:tc>
          <w:tcPr>
            <w:tcW w:w="0" w:type="auto"/>
            <w:shd w:val="clear" w:color="auto" w:fill="auto"/>
          </w:tcPr>
          <w:p w14:paraId="0CE0D0E4"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EIB:s webbplats</w:t>
            </w:r>
          </w:p>
        </w:tc>
        <w:tc>
          <w:tcPr>
            <w:tcW w:w="0" w:type="auto"/>
            <w:shd w:val="clear" w:color="auto" w:fill="auto"/>
          </w:tcPr>
          <w:p w14:paraId="27BA7D24" w14:textId="77777777" w:rsidR="0017587A"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300 miljoner utsläppsrätter monetariserades 2012–2014. Slutliga siffror.</w:t>
            </w:r>
          </w:p>
        </w:tc>
      </w:tr>
      <w:tr w:rsidR="0017587A" w14:paraId="5A53AF73" w14:textId="77777777" w:rsidTr="00601A28">
        <w:trPr>
          <w:trHeight w:val="915"/>
        </w:trPr>
        <w:tc>
          <w:tcPr>
            <w:tcW w:w="949" w:type="pct"/>
            <w:shd w:val="clear" w:color="auto" w:fill="auto"/>
          </w:tcPr>
          <w:p w14:paraId="474CA478"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Luftfartsauktioner</w:t>
            </w:r>
          </w:p>
        </w:tc>
        <w:tc>
          <w:tcPr>
            <w:tcW w:w="0" w:type="auto"/>
            <w:shd w:val="clear" w:color="auto" w:fill="auto"/>
          </w:tcPr>
          <w:p w14:paraId="624E5B45"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Tillgång</w:t>
            </w:r>
          </w:p>
        </w:tc>
        <w:tc>
          <w:tcPr>
            <w:tcW w:w="0" w:type="auto"/>
            <w:shd w:val="clear" w:color="auto" w:fill="auto"/>
          </w:tcPr>
          <w:p w14:paraId="73105170"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Webbplatsen för generaldirektoratet för klimatpolitik, EEX och ICE:s webbplatser</w:t>
            </w:r>
          </w:p>
        </w:tc>
        <w:tc>
          <w:tcPr>
            <w:tcW w:w="0" w:type="auto"/>
            <w:shd w:val="clear" w:color="auto" w:fill="auto"/>
          </w:tcPr>
          <w:p w14:paraId="54111AB1" w14:textId="77777777" w:rsidR="0017587A"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Nej – justeringar återspeglas i volymerna för det efterföljande året.</w:t>
            </w:r>
          </w:p>
          <w:p w14:paraId="2F39CC72" w14:textId="77777777" w:rsidR="0017587A" w:rsidRDefault="0017587A">
            <w:pPr>
              <w:pStyle w:val="ListParagraph"/>
              <w:spacing w:after="0" w:line="240" w:lineRule="auto"/>
              <w:ind w:left="0"/>
              <w:rPr>
                <w:rFonts w:ascii="Times New Roman" w:hAnsi="Times New Roman"/>
                <w:sz w:val="20"/>
                <w:szCs w:val="20"/>
              </w:rPr>
            </w:pPr>
          </w:p>
          <w:p w14:paraId="57650A94" w14:textId="77777777" w:rsidR="0017587A"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Auktionerna för 2013 och 2014 hölls under 2015.</w:t>
            </w:r>
          </w:p>
        </w:tc>
      </w:tr>
      <w:tr w:rsidR="0017587A" w14:paraId="1EE03035" w14:textId="77777777" w:rsidTr="00601A28">
        <w:trPr>
          <w:trHeight w:val="1145"/>
        </w:trPr>
        <w:tc>
          <w:tcPr>
            <w:tcW w:w="949" w:type="pct"/>
            <w:shd w:val="clear" w:color="auto" w:fill="auto"/>
          </w:tcPr>
          <w:p w14:paraId="577EA6E4"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Fas 3-auktioner</w:t>
            </w:r>
          </w:p>
        </w:tc>
        <w:tc>
          <w:tcPr>
            <w:tcW w:w="0" w:type="auto"/>
            <w:shd w:val="clear" w:color="auto" w:fill="auto"/>
          </w:tcPr>
          <w:p w14:paraId="30D56A0C"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Tillgång</w:t>
            </w:r>
          </w:p>
        </w:tc>
        <w:tc>
          <w:tcPr>
            <w:tcW w:w="0" w:type="auto"/>
            <w:shd w:val="clear" w:color="auto" w:fill="auto"/>
          </w:tcPr>
          <w:p w14:paraId="06521372"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Webbplatsen för generaldirektoratet för klimatpolitik, EEX och ICE:s webbplatser</w:t>
            </w:r>
          </w:p>
        </w:tc>
        <w:tc>
          <w:tcPr>
            <w:tcW w:w="0" w:type="auto"/>
            <w:shd w:val="clear" w:color="auto" w:fill="auto"/>
          </w:tcPr>
          <w:p w14:paraId="15C0C206" w14:textId="77777777" w:rsidR="0017587A"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Nej – siffran revideras inte. Utsläppsrätter som (t.ex. på grund av förseningar i starten av auktionering för vissa medlemsstater, t.ex. för EES-Efta) som inte har tagits med i auktioner kan emellertid auktioneras efterföljande år.</w:t>
            </w:r>
          </w:p>
        </w:tc>
      </w:tr>
      <w:tr w:rsidR="0017587A" w14:paraId="545F4A15" w14:textId="77777777" w:rsidTr="00601A28">
        <w:trPr>
          <w:trHeight w:val="1354"/>
        </w:trPr>
        <w:tc>
          <w:tcPr>
            <w:tcW w:w="949" w:type="pct"/>
            <w:shd w:val="clear" w:color="auto" w:fill="auto"/>
          </w:tcPr>
          <w:p w14:paraId="19A6146F"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Gratis tilldelning (NIM)</w:t>
            </w:r>
          </w:p>
        </w:tc>
        <w:tc>
          <w:tcPr>
            <w:tcW w:w="0" w:type="auto"/>
            <w:shd w:val="clear" w:color="auto" w:fill="auto"/>
          </w:tcPr>
          <w:p w14:paraId="136A9C20"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Tillgång</w:t>
            </w:r>
          </w:p>
        </w:tc>
        <w:tc>
          <w:tcPr>
            <w:tcW w:w="0" w:type="auto"/>
            <w:shd w:val="clear" w:color="auto" w:fill="auto"/>
          </w:tcPr>
          <w:p w14:paraId="7BF43B22"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EUTL, tabeller</w:t>
            </w:r>
          </w:p>
        </w:tc>
        <w:tc>
          <w:tcPr>
            <w:tcW w:w="0" w:type="auto"/>
            <w:vMerge w:val="restart"/>
            <w:shd w:val="clear" w:color="auto" w:fill="auto"/>
          </w:tcPr>
          <w:p w14:paraId="638D7A71" w14:textId="77777777" w:rsidR="0017587A"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 xml:space="preserve">Dessa siffror uppdateras under året. </w:t>
            </w:r>
          </w:p>
          <w:p w14:paraId="459F1AE4" w14:textId="77777777" w:rsidR="0017587A" w:rsidRDefault="0017587A">
            <w:pPr>
              <w:pStyle w:val="ListParagraph"/>
              <w:spacing w:after="0" w:line="240" w:lineRule="auto"/>
              <w:ind w:left="0"/>
              <w:rPr>
                <w:rFonts w:ascii="Times New Roman" w:hAnsi="Times New Roman"/>
                <w:sz w:val="20"/>
                <w:szCs w:val="20"/>
              </w:rPr>
            </w:pPr>
          </w:p>
          <w:p w14:paraId="03D76E81" w14:textId="77777777" w:rsidR="0017587A"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 xml:space="preserve">- Medlemsstaterna kanske gör sena inlämningar för föregående år, eller den faktiska tilldelningen kan vara lägre än den mängd som ursprungligen förutsågs. </w:t>
            </w:r>
          </w:p>
          <w:p w14:paraId="7AB6FDE3" w14:textId="77777777" w:rsidR="0017587A" w:rsidRDefault="0017587A">
            <w:pPr>
              <w:pStyle w:val="ListParagraph"/>
              <w:spacing w:after="0" w:line="240" w:lineRule="auto"/>
              <w:ind w:left="0"/>
              <w:rPr>
                <w:rFonts w:ascii="Times New Roman" w:hAnsi="Times New Roman"/>
                <w:sz w:val="20"/>
                <w:szCs w:val="20"/>
              </w:rPr>
            </w:pPr>
          </w:p>
          <w:p w14:paraId="5936E20D" w14:textId="77777777" w:rsidR="0017587A" w:rsidRDefault="001F1235">
            <w:pPr>
              <w:pStyle w:val="ListParagraph"/>
              <w:spacing w:after="0" w:line="240" w:lineRule="auto"/>
              <w:ind w:left="0"/>
              <w:rPr>
                <w:rFonts w:ascii="Times New Roman" w:hAnsi="Times New Roman"/>
                <w:sz w:val="20"/>
                <w:szCs w:val="20"/>
              </w:rPr>
            </w:pPr>
            <w:r>
              <w:rPr>
                <w:rFonts w:ascii="Times New Roman" w:hAnsi="Times New Roman"/>
                <w:sz w:val="20"/>
                <w:szCs w:val="20"/>
              </w:rPr>
              <w:t>EUTL ger en tillförlitlig lägesbild av faktisk tilldelning.</w:t>
            </w:r>
          </w:p>
          <w:p w14:paraId="298AFED7" w14:textId="77777777" w:rsidR="0017587A" w:rsidRDefault="0017587A">
            <w:pPr>
              <w:pStyle w:val="ListParagraph"/>
              <w:spacing w:after="0" w:line="240" w:lineRule="auto"/>
              <w:ind w:left="0"/>
              <w:rPr>
                <w:rFonts w:ascii="Times New Roman" w:hAnsi="Times New Roman"/>
                <w:sz w:val="20"/>
                <w:szCs w:val="20"/>
              </w:rPr>
            </w:pPr>
          </w:p>
        </w:tc>
      </w:tr>
      <w:tr w:rsidR="0017587A" w14:paraId="64CBBE80" w14:textId="77777777" w:rsidTr="00601A28">
        <w:trPr>
          <w:trHeight w:val="458"/>
        </w:trPr>
        <w:tc>
          <w:tcPr>
            <w:tcW w:w="949" w:type="pct"/>
            <w:shd w:val="clear" w:color="auto" w:fill="auto"/>
          </w:tcPr>
          <w:p w14:paraId="66A9E882"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Gratis tilldelning (NER)</w:t>
            </w:r>
          </w:p>
        </w:tc>
        <w:tc>
          <w:tcPr>
            <w:tcW w:w="0" w:type="auto"/>
            <w:shd w:val="clear" w:color="auto" w:fill="auto"/>
          </w:tcPr>
          <w:p w14:paraId="1F49BE1C"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Tillgång</w:t>
            </w:r>
          </w:p>
        </w:tc>
        <w:tc>
          <w:tcPr>
            <w:tcW w:w="0" w:type="auto"/>
            <w:shd w:val="clear" w:color="auto" w:fill="auto"/>
          </w:tcPr>
          <w:p w14:paraId="6B0F0DD0"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EUTL, tabeller</w:t>
            </w:r>
          </w:p>
        </w:tc>
        <w:tc>
          <w:tcPr>
            <w:tcW w:w="0" w:type="auto"/>
            <w:vMerge/>
            <w:shd w:val="clear" w:color="auto" w:fill="auto"/>
          </w:tcPr>
          <w:p w14:paraId="3B91D601" w14:textId="77777777" w:rsidR="0017587A" w:rsidRDefault="0017587A">
            <w:pPr>
              <w:pStyle w:val="ListParagraph"/>
              <w:spacing w:after="0" w:line="240" w:lineRule="auto"/>
              <w:ind w:left="0"/>
              <w:rPr>
                <w:rFonts w:ascii="Times New Roman" w:hAnsi="Times New Roman"/>
                <w:sz w:val="20"/>
                <w:szCs w:val="20"/>
              </w:rPr>
            </w:pPr>
          </w:p>
        </w:tc>
      </w:tr>
      <w:tr w:rsidR="0017587A" w14:paraId="3EE62C25" w14:textId="77777777" w:rsidTr="00601A28">
        <w:trPr>
          <w:trHeight w:val="687"/>
        </w:trPr>
        <w:tc>
          <w:tcPr>
            <w:tcW w:w="949" w:type="pct"/>
            <w:shd w:val="clear" w:color="auto" w:fill="auto"/>
          </w:tcPr>
          <w:p w14:paraId="7758220B"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Gratis tilldelning</w:t>
            </w:r>
          </w:p>
          <w:p w14:paraId="0B1EEF45"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(luftfart)</w:t>
            </w:r>
          </w:p>
        </w:tc>
        <w:tc>
          <w:tcPr>
            <w:tcW w:w="0" w:type="auto"/>
            <w:shd w:val="clear" w:color="auto" w:fill="auto"/>
          </w:tcPr>
          <w:p w14:paraId="3CCDD381"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Tillgång</w:t>
            </w:r>
          </w:p>
        </w:tc>
        <w:tc>
          <w:tcPr>
            <w:tcW w:w="0" w:type="auto"/>
            <w:shd w:val="clear" w:color="auto" w:fill="auto"/>
          </w:tcPr>
          <w:p w14:paraId="3F37C07F"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EUTL, medlemsstaternas offentliggörande av tilldelningstabeller</w:t>
            </w:r>
          </w:p>
        </w:tc>
        <w:tc>
          <w:tcPr>
            <w:tcW w:w="0" w:type="auto"/>
            <w:vMerge/>
            <w:shd w:val="clear" w:color="auto" w:fill="auto"/>
          </w:tcPr>
          <w:p w14:paraId="58E0B0A9" w14:textId="77777777" w:rsidR="0017587A" w:rsidRDefault="0017587A">
            <w:pPr>
              <w:pStyle w:val="ListParagraph"/>
              <w:spacing w:after="0" w:line="240" w:lineRule="auto"/>
              <w:ind w:left="0"/>
              <w:rPr>
                <w:rFonts w:ascii="Times New Roman" w:hAnsi="Times New Roman"/>
                <w:sz w:val="20"/>
                <w:szCs w:val="20"/>
              </w:rPr>
            </w:pPr>
          </w:p>
        </w:tc>
      </w:tr>
      <w:tr w:rsidR="0017587A" w14:paraId="755A01D7" w14:textId="77777777" w:rsidTr="00601A28">
        <w:trPr>
          <w:trHeight w:val="458"/>
        </w:trPr>
        <w:tc>
          <w:tcPr>
            <w:tcW w:w="949" w:type="pct"/>
            <w:shd w:val="clear" w:color="auto" w:fill="auto"/>
          </w:tcPr>
          <w:p w14:paraId="1F385EBC"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Gratis tilldelning</w:t>
            </w:r>
          </w:p>
          <w:p w14:paraId="50971D39"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(artikel 10c)</w:t>
            </w:r>
          </w:p>
        </w:tc>
        <w:tc>
          <w:tcPr>
            <w:tcW w:w="0" w:type="auto"/>
            <w:shd w:val="clear" w:color="auto" w:fill="auto"/>
          </w:tcPr>
          <w:p w14:paraId="5049061F"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Tillgång</w:t>
            </w:r>
          </w:p>
        </w:tc>
        <w:tc>
          <w:tcPr>
            <w:tcW w:w="0" w:type="auto"/>
            <w:shd w:val="clear" w:color="auto" w:fill="auto"/>
          </w:tcPr>
          <w:p w14:paraId="1C7CBB1D" w14:textId="77777777" w:rsidR="0017587A" w:rsidRDefault="001F1235">
            <w:pPr>
              <w:spacing w:after="0" w:line="240" w:lineRule="auto"/>
              <w:rPr>
                <w:rFonts w:ascii="Times New Roman" w:hAnsi="Times New Roman"/>
                <w:sz w:val="20"/>
                <w:szCs w:val="20"/>
              </w:rPr>
            </w:pPr>
            <w:r>
              <w:rPr>
                <w:rFonts w:ascii="Times New Roman" w:hAnsi="Times New Roman"/>
                <w:sz w:val="20"/>
                <w:szCs w:val="20"/>
              </w:rPr>
              <w:t>EUTL, statustabell</w:t>
            </w:r>
          </w:p>
        </w:tc>
        <w:tc>
          <w:tcPr>
            <w:tcW w:w="0" w:type="auto"/>
            <w:vMerge/>
            <w:shd w:val="clear" w:color="auto" w:fill="auto"/>
          </w:tcPr>
          <w:p w14:paraId="782317EE" w14:textId="77777777" w:rsidR="0017587A" w:rsidRDefault="0017587A">
            <w:pPr>
              <w:pStyle w:val="ListParagraph"/>
              <w:spacing w:after="0" w:line="240" w:lineRule="auto"/>
              <w:ind w:left="0"/>
              <w:rPr>
                <w:rFonts w:ascii="Times New Roman" w:hAnsi="Times New Roman"/>
                <w:sz w:val="20"/>
                <w:szCs w:val="20"/>
              </w:rPr>
            </w:pPr>
          </w:p>
        </w:tc>
      </w:tr>
      <w:tr w:rsidR="0017587A" w14:paraId="310B2536" w14:textId="77777777" w:rsidTr="00601A28">
        <w:trPr>
          <w:trHeight w:val="1156"/>
        </w:trPr>
        <w:tc>
          <w:tcPr>
            <w:tcW w:w="949" w:type="pct"/>
            <w:shd w:val="clear" w:color="auto" w:fill="auto"/>
          </w:tcPr>
          <w:p w14:paraId="19058307"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Utsläpp (fasta anläggningar)</w:t>
            </w:r>
          </w:p>
        </w:tc>
        <w:tc>
          <w:tcPr>
            <w:tcW w:w="0" w:type="auto"/>
            <w:shd w:val="clear" w:color="auto" w:fill="auto"/>
          </w:tcPr>
          <w:p w14:paraId="03806901" w14:textId="77777777" w:rsidR="0017587A" w:rsidRDefault="001F1235">
            <w:pPr>
              <w:spacing w:after="0" w:line="240" w:lineRule="auto"/>
              <w:jc w:val="both"/>
              <w:rPr>
                <w:rFonts w:ascii="Times New Roman" w:hAnsi="Times New Roman"/>
                <w:sz w:val="20"/>
                <w:szCs w:val="20"/>
              </w:rPr>
            </w:pPr>
            <w:r>
              <w:rPr>
                <w:rFonts w:ascii="Times New Roman" w:hAnsi="Times New Roman"/>
                <w:sz w:val="20"/>
                <w:szCs w:val="20"/>
              </w:rPr>
              <w:t>Efterfrågan</w:t>
            </w:r>
          </w:p>
        </w:tc>
        <w:tc>
          <w:tcPr>
            <w:tcW w:w="0" w:type="auto"/>
            <w:shd w:val="clear" w:color="auto" w:fill="auto"/>
          </w:tcPr>
          <w:p w14:paraId="70490D73" w14:textId="77777777" w:rsidR="0017587A" w:rsidRDefault="001F1235">
            <w:pPr>
              <w:spacing w:after="0" w:line="240" w:lineRule="auto"/>
              <w:jc w:val="both"/>
              <w:rPr>
                <w:rFonts w:ascii="Times New Roman" w:hAnsi="Times New Roman"/>
                <w:sz w:val="20"/>
                <w:szCs w:val="20"/>
              </w:rPr>
            </w:pPr>
            <w:r>
              <w:rPr>
                <w:rFonts w:ascii="Times New Roman" w:hAnsi="Times New Roman"/>
                <w:sz w:val="20"/>
                <w:szCs w:val="20"/>
              </w:rPr>
              <w:t>EUTL, regelefterlevnadsuppgifter</w:t>
            </w:r>
          </w:p>
        </w:tc>
        <w:tc>
          <w:tcPr>
            <w:tcW w:w="0" w:type="auto"/>
            <w:shd w:val="clear" w:color="auto" w:fill="auto"/>
          </w:tcPr>
          <w:p w14:paraId="3D95D68F" w14:textId="77777777" w:rsidR="0017587A" w:rsidRDefault="001F1235">
            <w:pPr>
              <w:spacing w:after="0" w:line="240" w:lineRule="auto"/>
              <w:jc w:val="both"/>
              <w:rPr>
                <w:rFonts w:ascii="Times New Roman" w:hAnsi="Times New Roman"/>
                <w:sz w:val="20"/>
                <w:szCs w:val="20"/>
              </w:rPr>
            </w:pPr>
            <w:r>
              <w:rPr>
                <w:rFonts w:ascii="Times New Roman" w:hAnsi="Times New Roman"/>
                <w:sz w:val="20"/>
                <w:szCs w:val="20"/>
              </w:rPr>
              <w:t>De uppgifter om regelefterlevnaden som offentliggjordes den 1 maj visar utsläpp och överlämnade utsläppsrätter för anläggningar som uppfyller reglerna (dvs. de anläggningar som har rapporterat för alla berörda år)</w:t>
            </w:r>
            <w:r>
              <w:rPr>
                <w:rStyle w:val="FootnoteReference"/>
                <w:rFonts w:ascii="Times New Roman" w:hAnsi="Times New Roman"/>
                <w:sz w:val="20"/>
                <w:szCs w:val="20"/>
              </w:rPr>
              <w:footnoteReference w:id="79"/>
            </w:r>
            <w:r>
              <w:rPr>
                <w:rFonts w:ascii="Times New Roman" w:hAnsi="Times New Roman"/>
                <w:sz w:val="20"/>
                <w:szCs w:val="20"/>
              </w:rPr>
              <w:t>.</w:t>
            </w:r>
          </w:p>
          <w:p w14:paraId="38550770" w14:textId="77777777" w:rsidR="0017587A" w:rsidRDefault="0017587A">
            <w:pPr>
              <w:spacing w:after="0" w:line="240" w:lineRule="auto"/>
              <w:jc w:val="both"/>
              <w:rPr>
                <w:rFonts w:ascii="Times New Roman" w:hAnsi="Times New Roman"/>
                <w:sz w:val="20"/>
                <w:szCs w:val="20"/>
              </w:rPr>
            </w:pPr>
          </w:p>
        </w:tc>
      </w:tr>
      <w:tr w:rsidR="0017587A" w14:paraId="4E8F3C5F" w14:textId="77777777" w:rsidTr="00601A28">
        <w:trPr>
          <w:trHeight w:val="469"/>
        </w:trPr>
        <w:tc>
          <w:tcPr>
            <w:tcW w:w="949" w:type="pct"/>
            <w:shd w:val="clear" w:color="auto" w:fill="auto"/>
          </w:tcPr>
          <w:p w14:paraId="139F5413"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Utsläpp (luftfart)</w:t>
            </w:r>
          </w:p>
        </w:tc>
        <w:tc>
          <w:tcPr>
            <w:tcW w:w="0" w:type="auto"/>
            <w:shd w:val="clear" w:color="auto" w:fill="auto"/>
          </w:tcPr>
          <w:p w14:paraId="62690D01" w14:textId="77777777" w:rsidR="0017587A" w:rsidRDefault="001F1235">
            <w:pPr>
              <w:spacing w:after="0" w:line="240" w:lineRule="auto"/>
              <w:jc w:val="both"/>
              <w:rPr>
                <w:rFonts w:ascii="Times New Roman" w:hAnsi="Times New Roman"/>
                <w:sz w:val="20"/>
                <w:szCs w:val="20"/>
              </w:rPr>
            </w:pPr>
            <w:r>
              <w:rPr>
                <w:rFonts w:ascii="Times New Roman" w:hAnsi="Times New Roman"/>
                <w:sz w:val="20"/>
                <w:szCs w:val="20"/>
              </w:rPr>
              <w:t>Efterfrågan</w:t>
            </w:r>
          </w:p>
        </w:tc>
        <w:tc>
          <w:tcPr>
            <w:tcW w:w="0" w:type="auto"/>
            <w:shd w:val="clear" w:color="auto" w:fill="auto"/>
          </w:tcPr>
          <w:p w14:paraId="7324D0BA" w14:textId="77777777" w:rsidR="0017587A" w:rsidRDefault="0017587A">
            <w:pPr>
              <w:spacing w:after="0" w:line="240" w:lineRule="auto"/>
              <w:jc w:val="both"/>
              <w:rPr>
                <w:rFonts w:ascii="Times New Roman" w:hAnsi="Times New Roman"/>
                <w:sz w:val="20"/>
                <w:szCs w:val="20"/>
              </w:rPr>
            </w:pPr>
          </w:p>
        </w:tc>
        <w:tc>
          <w:tcPr>
            <w:tcW w:w="0" w:type="auto"/>
            <w:shd w:val="clear" w:color="auto" w:fill="auto"/>
          </w:tcPr>
          <w:p w14:paraId="666868F4" w14:textId="77777777" w:rsidR="0017587A" w:rsidRDefault="001F1235">
            <w:pPr>
              <w:spacing w:after="0" w:line="240" w:lineRule="auto"/>
              <w:jc w:val="both"/>
              <w:rPr>
                <w:rFonts w:ascii="Times New Roman" w:hAnsi="Times New Roman"/>
                <w:sz w:val="20"/>
                <w:szCs w:val="20"/>
              </w:rPr>
            </w:pPr>
            <w:r>
              <w:rPr>
                <w:rFonts w:ascii="Times New Roman" w:hAnsi="Times New Roman"/>
                <w:sz w:val="20"/>
                <w:szCs w:val="20"/>
              </w:rPr>
              <w:t>Kontroll av regelefterlevnad för luftfartygsoperatörer för både 2013 och 2014 genomfördes 2015.</w:t>
            </w:r>
          </w:p>
        </w:tc>
      </w:tr>
      <w:tr w:rsidR="0017587A" w14:paraId="20548487" w14:textId="77777777" w:rsidTr="00601A28">
        <w:trPr>
          <w:trHeight w:val="469"/>
        </w:trPr>
        <w:tc>
          <w:tcPr>
            <w:tcW w:w="949" w:type="pct"/>
            <w:shd w:val="clear" w:color="auto" w:fill="auto"/>
          </w:tcPr>
          <w:p w14:paraId="680BD948" w14:textId="77777777" w:rsidR="0017587A" w:rsidRDefault="001F1235">
            <w:pPr>
              <w:spacing w:after="0" w:line="240" w:lineRule="auto"/>
              <w:rPr>
                <w:rFonts w:ascii="Times New Roman" w:hAnsi="Times New Roman"/>
                <w:b/>
                <w:sz w:val="20"/>
                <w:szCs w:val="20"/>
              </w:rPr>
            </w:pPr>
            <w:r>
              <w:rPr>
                <w:rFonts w:ascii="Times New Roman" w:hAnsi="Times New Roman"/>
                <w:b/>
                <w:sz w:val="20"/>
                <w:szCs w:val="20"/>
              </w:rPr>
              <w:t>Annullerade utsläppsrätter</w:t>
            </w:r>
          </w:p>
        </w:tc>
        <w:tc>
          <w:tcPr>
            <w:tcW w:w="0" w:type="auto"/>
            <w:shd w:val="clear" w:color="auto" w:fill="auto"/>
          </w:tcPr>
          <w:p w14:paraId="299B9804" w14:textId="77777777" w:rsidR="0017587A" w:rsidRDefault="001F1235">
            <w:pPr>
              <w:spacing w:after="0" w:line="240" w:lineRule="auto"/>
              <w:jc w:val="both"/>
              <w:rPr>
                <w:rFonts w:ascii="Times New Roman" w:hAnsi="Times New Roman"/>
                <w:sz w:val="20"/>
                <w:szCs w:val="20"/>
              </w:rPr>
            </w:pPr>
            <w:r>
              <w:rPr>
                <w:rFonts w:ascii="Times New Roman" w:hAnsi="Times New Roman"/>
                <w:sz w:val="20"/>
                <w:szCs w:val="20"/>
              </w:rPr>
              <w:t>Efterfrågan</w:t>
            </w:r>
          </w:p>
        </w:tc>
        <w:tc>
          <w:tcPr>
            <w:tcW w:w="0" w:type="auto"/>
            <w:shd w:val="clear" w:color="auto" w:fill="auto"/>
          </w:tcPr>
          <w:p w14:paraId="5123AAC4" w14:textId="77777777" w:rsidR="0017587A" w:rsidRDefault="0017587A">
            <w:pPr>
              <w:spacing w:after="0" w:line="240" w:lineRule="auto"/>
              <w:jc w:val="both"/>
              <w:rPr>
                <w:rFonts w:ascii="Times New Roman" w:hAnsi="Times New Roman"/>
                <w:sz w:val="20"/>
                <w:szCs w:val="20"/>
              </w:rPr>
            </w:pPr>
          </w:p>
        </w:tc>
        <w:tc>
          <w:tcPr>
            <w:tcW w:w="0" w:type="auto"/>
            <w:shd w:val="clear" w:color="auto" w:fill="auto"/>
          </w:tcPr>
          <w:p w14:paraId="605B0ED2" w14:textId="77777777" w:rsidR="0017587A" w:rsidRDefault="001F1235">
            <w:pPr>
              <w:spacing w:after="0" w:line="240" w:lineRule="auto"/>
              <w:jc w:val="both"/>
              <w:rPr>
                <w:rFonts w:ascii="Times New Roman" w:hAnsi="Times New Roman"/>
                <w:sz w:val="20"/>
                <w:szCs w:val="20"/>
              </w:rPr>
            </w:pPr>
            <w:r>
              <w:rPr>
                <w:rFonts w:ascii="Times New Roman" w:hAnsi="Times New Roman"/>
                <w:sz w:val="20"/>
                <w:szCs w:val="20"/>
              </w:rPr>
              <w:t>Rapport om koldioxidmarknaden</w:t>
            </w:r>
          </w:p>
        </w:tc>
      </w:tr>
    </w:tbl>
    <w:p w14:paraId="656CFAA5" w14:textId="77777777" w:rsidR="0017587A" w:rsidRDefault="0017587A">
      <w:pPr>
        <w:pStyle w:val="Caption"/>
        <w:keepNext/>
        <w:rPr>
          <w:sz w:val="22"/>
          <w:szCs w:val="22"/>
        </w:rPr>
      </w:pPr>
    </w:p>
    <w:p w14:paraId="20D87059" w14:textId="77777777" w:rsidR="0017587A" w:rsidRDefault="001F1235">
      <w:pPr>
        <w:pStyle w:val="Caption"/>
        <w:keepNext/>
        <w:rPr>
          <w:rFonts w:ascii="Times New Roman" w:hAnsi="Times New Roman"/>
        </w:rPr>
      </w:pPr>
      <w:r>
        <w:rPr>
          <w:rFonts w:ascii="Times New Roman" w:hAnsi="Times New Roman"/>
        </w:rPr>
        <w:t xml:space="preserve">Tabell 4.2: Tidplan för publicering av uppgifter </w:t>
      </w:r>
    </w:p>
    <w:tbl>
      <w:tblPr>
        <w:tblW w:w="843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2"/>
        <w:gridCol w:w="3150"/>
        <w:gridCol w:w="2916"/>
      </w:tblGrid>
      <w:tr w:rsidR="0017587A" w14:paraId="05897E16" w14:textId="77777777" w:rsidTr="00601A28">
        <w:trPr>
          <w:trHeight w:val="375"/>
        </w:trPr>
        <w:tc>
          <w:tcPr>
            <w:tcW w:w="2372" w:type="dxa"/>
            <w:shd w:val="clear" w:color="auto" w:fill="auto"/>
            <w:vAlign w:val="center"/>
          </w:tcPr>
          <w:p w14:paraId="2A5AC918" w14:textId="77777777" w:rsidR="0017587A" w:rsidRDefault="001F1235">
            <w:pPr>
              <w:rPr>
                <w:rFonts w:ascii="Times New Roman" w:hAnsi="Times New Roman"/>
                <w:b/>
              </w:rPr>
            </w:pPr>
            <w:r>
              <w:rPr>
                <w:rFonts w:ascii="Times New Roman" w:hAnsi="Times New Roman"/>
                <w:b/>
              </w:rPr>
              <w:t>Tidsschema</w:t>
            </w:r>
          </w:p>
        </w:tc>
        <w:tc>
          <w:tcPr>
            <w:tcW w:w="3150" w:type="dxa"/>
            <w:shd w:val="clear" w:color="auto" w:fill="auto"/>
            <w:vAlign w:val="center"/>
          </w:tcPr>
          <w:p w14:paraId="77E1717C" w14:textId="77777777" w:rsidR="0017587A" w:rsidRDefault="001F1235">
            <w:pPr>
              <w:rPr>
                <w:rFonts w:ascii="Times New Roman" w:hAnsi="Times New Roman"/>
                <w:b/>
              </w:rPr>
            </w:pPr>
            <w:r>
              <w:rPr>
                <w:rFonts w:ascii="Times New Roman" w:hAnsi="Times New Roman"/>
                <w:b/>
              </w:rPr>
              <w:t>Uppgifter</w:t>
            </w:r>
          </w:p>
        </w:tc>
        <w:tc>
          <w:tcPr>
            <w:tcW w:w="2916" w:type="dxa"/>
            <w:shd w:val="clear" w:color="auto" w:fill="auto"/>
            <w:vAlign w:val="center"/>
          </w:tcPr>
          <w:p w14:paraId="1ECBA519" w14:textId="77777777" w:rsidR="0017587A" w:rsidRDefault="001F1235">
            <w:pPr>
              <w:rPr>
                <w:rFonts w:ascii="Times New Roman" w:hAnsi="Times New Roman"/>
                <w:b/>
              </w:rPr>
            </w:pPr>
            <w:r>
              <w:rPr>
                <w:rFonts w:ascii="Times New Roman" w:hAnsi="Times New Roman"/>
                <w:b/>
              </w:rPr>
              <w:t>Omfattning</w:t>
            </w:r>
          </w:p>
        </w:tc>
      </w:tr>
      <w:tr w:rsidR="0017587A" w14:paraId="3856F012" w14:textId="77777777" w:rsidTr="00601A28">
        <w:trPr>
          <w:trHeight w:val="594"/>
        </w:trPr>
        <w:tc>
          <w:tcPr>
            <w:tcW w:w="2372" w:type="dxa"/>
            <w:shd w:val="clear" w:color="auto" w:fill="auto"/>
          </w:tcPr>
          <w:p w14:paraId="06B6C8D8" w14:textId="77777777" w:rsidR="0017587A" w:rsidRDefault="001F1235">
            <w:pPr>
              <w:rPr>
                <w:rFonts w:ascii="Times New Roman" w:hAnsi="Times New Roman"/>
                <w:sz w:val="20"/>
                <w:szCs w:val="20"/>
              </w:rPr>
            </w:pPr>
            <w:r>
              <w:rPr>
                <w:rFonts w:ascii="Times New Roman" w:hAnsi="Times New Roman"/>
                <w:sz w:val="20"/>
                <w:szCs w:val="20"/>
              </w:rPr>
              <w:t>1 januari–30 april år x</w:t>
            </w:r>
          </w:p>
        </w:tc>
        <w:tc>
          <w:tcPr>
            <w:tcW w:w="3150" w:type="dxa"/>
            <w:shd w:val="clear" w:color="auto" w:fill="auto"/>
          </w:tcPr>
          <w:p w14:paraId="2D43B873" w14:textId="77777777" w:rsidR="0017587A" w:rsidRDefault="001F1235">
            <w:pPr>
              <w:rPr>
                <w:rFonts w:ascii="Times New Roman" w:hAnsi="Times New Roman"/>
                <w:sz w:val="20"/>
                <w:szCs w:val="20"/>
              </w:rPr>
            </w:pPr>
            <w:r>
              <w:rPr>
                <w:rFonts w:ascii="Times New Roman" w:hAnsi="Times New Roman"/>
                <w:sz w:val="20"/>
                <w:szCs w:val="20"/>
              </w:rPr>
              <w:t>Uppdatering av gratis tilldelning för el- och värmeproduktion (artikel 10c)</w:t>
            </w:r>
          </w:p>
        </w:tc>
        <w:tc>
          <w:tcPr>
            <w:tcW w:w="2916" w:type="dxa"/>
            <w:shd w:val="clear" w:color="auto" w:fill="auto"/>
          </w:tcPr>
          <w:p w14:paraId="1A07CD2D" w14:textId="77777777" w:rsidR="0017587A" w:rsidRDefault="001F1235">
            <w:pPr>
              <w:rPr>
                <w:rFonts w:ascii="Times New Roman" w:hAnsi="Times New Roman"/>
                <w:sz w:val="20"/>
                <w:szCs w:val="20"/>
              </w:rPr>
            </w:pPr>
            <w:r>
              <w:rPr>
                <w:rFonts w:ascii="Times New Roman" w:hAnsi="Times New Roman"/>
                <w:sz w:val="20"/>
                <w:szCs w:val="20"/>
              </w:rPr>
              <w:t>År x−1</w:t>
            </w:r>
          </w:p>
        </w:tc>
      </w:tr>
      <w:tr w:rsidR="0017587A" w14:paraId="42ED03B0" w14:textId="77777777" w:rsidTr="00601A28">
        <w:trPr>
          <w:trHeight w:val="969"/>
        </w:trPr>
        <w:tc>
          <w:tcPr>
            <w:tcW w:w="2372" w:type="dxa"/>
            <w:shd w:val="clear" w:color="auto" w:fill="auto"/>
          </w:tcPr>
          <w:p w14:paraId="7A44A945" w14:textId="77777777" w:rsidR="0017587A" w:rsidRDefault="001F1235">
            <w:pPr>
              <w:rPr>
                <w:rFonts w:ascii="Times New Roman" w:hAnsi="Times New Roman"/>
                <w:sz w:val="20"/>
                <w:szCs w:val="20"/>
              </w:rPr>
            </w:pPr>
            <w:r>
              <w:rPr>
                <w:rFonts w:ascii="Times New Roman" w:hAnsi="Times New Roman"/>
                <w:sz w:val="20"/>
                <w:szCs w:val="20"/>
              </w:rPr>
              <w:t>1 april år x</w:t>
            </w:r>
          </w:p>
        </w:tc>
        <w:tc>
          <w:tcPr>
            <w:tcW w:w="3150" w:type="dxa"/>
            <w:shd w:val="clear" w:color="auto" w:fill="auto"/>
          </w:tcPr>
          <w:p w14:paraId="371EA7E4" w14:textId="77777777" w:rsidR="0017587A" w:rsidRDefault="001F1235">
            <w:pPr>
              <w:rPr>
                <w:rFonts w:ascii="Times New Roman" w:hAnsi="Times New Roman"/>
                <w:sz w:val="20"/>
                <w:szCs w:val="20"/>
              </w:rPr>
            </w:pPr>
            <w:r>
              <w:rPr>
                <w:rFonts w:ascii="Times New Roman" w:hAnsi="Times New Roman"/>
                <w:sz w:val="20"/>
                <w:szCs w:val="20"/>
              </w:rPr>
              <w:t>Verifierade utsläpp</w:t>
            </w:r>
          </w:p>
          <w:p w14:paraId="2E1B97FE" w14:textId="77777777" w:rsidR="0017587A" w:rsidRDefault="001F1235">
            <w:pPr>
              <w:rPr>
                <w:rFonts w:ascii="Times New Roman" w:hAnsi="Times New Roman"/>
                <w:sz w:val="20"/>
                <w:szCs w:val="20"/>
              </w:rPr>
            </w:pPr>
            <w:r>
              <w:rPr>
                <w:rFonts w:ascii="Times New Roman" w:hAnsi="Times New Roman"/>
                <w:sz w:val="20"/>
                <w:szCs w:val="20"/>
              </w:rPr>
              <w:t>Gratis tilldelning (artikel 10a.5 – NIM)</w:t>
            </w:r>
          </w:p>
        </w:tc>
        <w:tc>
          <w:tcPr>
            <w:tcW w:w="2916" w:type="dxa"/>
            <w:shd w:val="clear" w:color="auto" w:fill="auto"/>
          </w:tcPr>
          <w:p w14:paraId="73A2ADA8" w14:textId="77777777" w:rsidR="0017587A" w:rsidRDefault="001F1235">
            <w:pPr>
              <w:rPr>
                <w:rFonts w:ascii="Times New Roman" w:hAnsi="Times New Roman"/>
                <w:sz w:val="20"/>
                <w:szCs w:val="20"/>
              </w:rPr>
            </w:pPr>
            <w:r>
              <w:rPr>
                <w:rFonts w:ascii="Times New Roman" w:hAnsi="Times New Roman"/>
                <w:sz w:val="20"/>
                <w:szCs w:val="20"/>
              </w:rPr>
              <w:t>År x−1</w:t>
            </w:r>
          </w:p>
        </w:tc>
      </w:tr>
      <w:tr w:rsidR="0017587A" w14:paraId="48C83F57" w14:textId="77777777" w:rsidTr="00601A28">
        <w:trPr>
          <w:trHeight w:val="814"/>
        </w:trPr>
        <w:tc>
          <w:tcPr>
            <w:tcW w:w="2372" w:type="dxa"/>
            <w:shd w:val="clear" w:color="auto" w:fill="auto"/>
          </w:tcPr>
          <w:p w14:paraId="19B341F2" w14:textId="77777777" w:rsidR="0017587A" w:rsidRDefault="001F1235">
            <w:pPr>
              <w:rPr>
                <w:rFonts w:ascii="Times New Roman" w:hAnsi="Times New Roman"/>
                <w:sz w:val="20"/>
                <w:szCs w:val="20"/>
              </w:rPr>
            </w:pPr>
            <w:r>
              <w:rPr>
                <w:rFonts w:ascii="Times New Roman" w:hAnsi="Times New Roman"/>
                <w:sz w:val="20"/>
                <w:szCs w:val="20"/>
              </w:rPr>
              <w:t>1 maj år x</w:t>
            </w:r>
          </w:p>
        </w:tc>
        <w:tc>
          <w:tcPr>
            <w:tcW w:w="3150" w:type="dxa"/>
            <w:shd w:val="clear" w:color="auto" w:fill="auto"/>
          </w:tcPr>
          <w:p w14:paraId="0CF58D93" w14:textId="77777777" w:rsidR="0017587A" w:rsidRDefault="001F1235">
            <w:pPr>
              <w:rPr>
                <w:rFonts w:ascii="Times New Roman" w:hAnsi="Times New Roman"/>
                <w:sz w:val="20"/>
                <w:szCs w:val="20"/>
              </w:rPr>
            </w:pPr>
            <w:r>
              <w:rPr>
                <w:rFonts w:ascii="Times New Roman" w:hAnsi="Times New Roman"/>
                <w:sz w:val="20"/>
                <w:szCs w:val="20"/>
              </w:rPr>
              <w:t>Tidsfrist för efterlevnad: verifierade utsläpp och överlämnade utsläppsrätter</w:t>
            </w:r>
          </w:p>
        </w:tc>
        <w:tc>
          <w:tcPr>
            <w:tcW w:w="2916" w:type="dxa"/>
            <w:shd w:val="clear" w:color="auto" w:fill="auto"/>
          </w:tcPr>
          <w:p w14:paraId="4344FDC5" w14:textId="77777777" w:rsidR="0017587A" w:rsidRDefault="001F1235">
            <w:pPr>
              <w:rPr>
                <w:rFonts w:ascii="Times New Roman" w:hAnsi="Times New Roman"/>
                <w:sz w:val="20"/>
                <w:szCs w:val="20"/>
              </w:rPr>
            </w:pPr>
            <w:r>
              <w:rPr>
                <w:rFonts w:ascii="Times New Roman" w:hAnsi="Times New Roman"/>
                <w:sz w:val="20"/>
                <w:szCs w:val="20"/>
              </w:rPr>
              <w:t>År x−1</w:t>
            </w:r>
          </w:p>
        </w:tc>
      </w:tr>
      <w:tr w:rsidR="0017587A" w14:paraId="7FF377F4" w14:textId="77777777" w:rsidTr="00601A28">
        <w:trPr>
          <w:trHeight w:val="375"/>
        </w:trPr>
        <w:tc>
          <w:tcPr>
            <w:tcW w:w="2372" w:type="dxa"/>
            <w:shd w:val="clear" w:color="auto" w:fill="auto"/>
          </w:tcPr>
          <w:p w14:paraId="4532BF1A" w14:textId="77777777" w:rsidR="0017587A" w:rsidRDefault="001F1235">
            <w:pPr>
              <w:rPr>
                <w:rFonts w:ascii="Times New Roman" w:hAnsi="Times New Roman"/>
                <w:sz w:val="20"/>
                <w:szCs w:val="20"/>
              </w:rPr>
            </w:pPr>
            <w:r>
              <w:rPr>
                <w:rFonts w:ascii="Times New Roman" w:hAnsi="Times New Roman"/>
                <w:sz w:val="20"/>
                <w:szCs w:val="20"/>
              </w:rPr>
              <w:t>Maj/oktober år x</w:t>
            </w:r>
          </w:p>
        </w:tc>
        <w:tc>
          <w:tcPr>
            <w:tcW w:w="3150" w:type="dxa"/>
            <w:shd w:val="clear" w:color="auto" w:fill="auto"/>
          </w:tcPr>
          <w:p w14:paraId="46DA21C2" w14:textId="77777777" w:rsidR="0017587A" w:rsidRDefault="001F1235">
            <w:pPr>
              <w:rPr>
                <w:rFonts w:ascii="Times New Roman" w:hAnsi="Times New Roman"/>
                <w:sz w:val="20"/>
                <w:szCs w:val="20"/>
              </w:rPr>
            </w:pPr>
            <w:r>
              <w:rPr>
                <w:rFonts w:ascii="Times New Roman" w:hAnsi="Times New Roman"/>
                <w:sz w:val="20"/>
                <w:szCs w:val="20"/>
              </w:rPr>
              <w:t>Internationella reduktionsenheter som har utbytts</w:t>
            </w:r>
          </w:p>
        </w:tc>
        <w:tc>
          <w:tcPr>
            <w:tcW w:w="2916" w:type="dxa"/>
            <w:shd w:val="clear" w:color="auto" w:fill="auto"/>
          </w:tcPr>
          <w:p w14:paraId="394DFD19" w14:textId="77777777" w:rsidR="0017587A" w:rsidRDefault="0017587A">
            <w:pPr>
              <w:rPr>
                <w:rFonts w:ascii="Times New Roman" w:hAnsi="Times New Roman"/>
                <w:sz w:val="20"/>
                <w:szCs w:val="20"/>
              </w:rPr>
            </w:pPr>
          </w:p>
        </w:tc>
      </w:tr>
      <w:tr w:rsidR="0017587A" w14:paraId="5F9DDA2F" w14:textId="77777777" w:rsidTr="00601A28">
        <w:trPr>
          <w:trHeight w:val="366"/>
        </w:trPr>
        <w:tc>
          <w:tcPr>
            <w:tcW w:w="2372" w:type="dxa"/>
            <w:shd w:val="clear" w:color="auto" w:fill="auto"/>
          </w:tcPr>
          <w:p w14:paraId="3A4DBD9B" w14:textId="77777777" w:rsidR="0017587A" w:rsidRDefault="001F1235">
            <w:pPr>
              <w:rPr>
                <w:rFonts w:ascii="Times New Roman" w:hAnsi="Times New Roman"/>
                <w:sz w:val="20"/>
                <w:szCs w:val="20"/>
              </w:rPr>
            </w:pPr>
            <w:r>
              <w:rPr>
                <w:rFonts w:ascii="Times New Roman" w:hAnsi="Times New Roman"/>
                <w:sz w:val="20"/>
                <w:szCs w:val="20"/>
              </w:rPr>
              <w:t>Sista kvartalet år x</w:t>
            </w:r>
          </w:p>
        </w:tc>
        <w:tc>
          <w:tcPr>
            <w:tcW w:w="3150" w:type="dxa"/>
            <w:shd w:val="clear" w:color="auto" w:fill="auto"/>
          </w:tcPr>
          <w:p w14:paraId="536FC7C9" w14:textId="77777777" w:rsidR="0017587A" w:rsidRDefault="001F1235">
            <w:pPr>
              <w:rPr>
                <w:rFonts w:ascii="Times New Roman" w:hAnsi="Times New Roman"/>
                <w:sz w:val="20"/>
                <w:szCs w:val="20"/>
              </w:rPr>
            </w:pPr>
            <w:r>
              <w:rPr>
                <w:rFonts w:ascii="Times New Roman" w:hAnsi="Times New Roman"/>
                <w:sz w:val="20"/>
                <w:szCs w:val="20"/>
              </w:rPr>
              <w:t>Rapport om koldioxidmarknaden</w:t>
            </w:r>
          </w:p>
        </w:tc>
        <w:tc>
          <w:tcPr>
            <w:tcW w:w="2916" w:type="dxa"/>
            <w:shd w:val="clear" w:color="auto" w:fill="auto"/>
          </w:tcPr>
          <w:p w14:paraId="02505A1E" w14:textId="77777777" w:rsidR="0017587A" w:rsidRDefault="001F1235">
            <w:pPr>
              <w:rPr>
                <w:rFonts w:ascii="Times New Roman" w:hAnsi="Times New Roman"/>
                <w:sz w:val="20"/>
                <w:szCs w:val="20"/>
              </w:rPr>
            </w:pPr>
            <w:r>
              <w:rPr>
                <w:rFonts w:ascii="Times New Roman" w:hAnsi="Times New Roman"/>
                <w:sz w:val="20"/>
                <w:szCs w:val="20"/>
              </w:rPr>
              <w:t>År x−1</w:t>
            </w:r>
          </w:p>
        </w:tc>
      </w:tr>
      <w:tr w:rsidR="0017587A" w14:paraId="2C1CF353" w14:textId="77777777" w:rsidTr="00601A28">
        <w:trPr>
          <w:trHeight w:val="594"/>
        </w:trPr>
        <w:tc>
          <w:tcPr>
            <w:tcW w:w="2372" w:type="dxa"/>
            <w:shd w:val="clear" w:color="auto" w:fill="auto"/>
          </w:tcPr>
          <w:p w14:paraId="45C81A23" w14:textId="77777777" w:rsidR="0017587A" w:rsidRDefault="001F1235">
            <w:pPr>
              <w:rPr>
                <w:rFonts w:ascii="Times New Roman" w:hAnsi="Times New Roman"/>
                <w:sz w:val="20"/>
                <w:szCs w:val="20"/>
              </w:rPr>
            </w:pPr>
            <w:r>
              <w:rPr>
                <w:rFonts w:ascii="Times New Roman" w:hAnsi="Times New Roman"/>
                <w:sz w:val="20"/>
                <w:szCs w:val="20"/>
              </w:rPr>
              <w:t>Januari/juli år x</w:t>
            </w:r>
          </w:p>
        </w:tc>
        <w:tc>
          <w:tcPr>
            <w:tcW w:w="3150" w:type="dxa"/>
            <w:shd w:val="clear" w:color="auto" w:fill="auto"/>
          </w:tcPr>
          <w:p w14:paraId="289F9220" w14:textId="77777777" w:rsidR="0017587A" w:rsidRDefault="001F1235">
            <w:pPr>
              <w:rPr>
                <w:rFonts w:ascii="Times New Roman" w:hAnsi="Times New Roman"/>
                <w:sz w:val="20"/>
                <w:szCs w:val="20"/>
              </w:rPr>
            </w:pPr>
            <w:r>
              <w:rPr>
                <w:rFonts w:ascii="Times New Roman" w:hAnsi="Times New Roman"/>
                <w:sz w:val="20"/>
                <w:szCs w:val="20"/>
              </w:rPr>
              <w:t>Status för reserven för nya deltagare – NER-tabell</w:t>
            </w:r>
          </w:p>
        </w:tc>
        <w:tc>
          <w:tcPr>
            <w:tcW w:w="2916" w:type="dxa"/>
            <w:shd w:val="clear" w:color="auto" w:fill="auto"/>
          </w:tcPr>
          <w:p w14:paraId="0CB58E33" w14:textId="77777777" w:rsidR="0017587A" w:rsidRDefault="0017587A">
            <w:pPr>
              <w:rPr>
                <w:rFonts w:ascii="Times New Roman" w:hAnsi="Times New Roman"/>
                <w:sz w:val="20"/>
                <w:szCs w:val="20"/>
                <w:highlight w:val="yellow"/>
              </w:rPr>
            </w:pPr>
          </w:p>
        </w:tc>
      </w:tr>
      <w:tr w:rsidR="0017587A" w14:paraId="76F0BFB6" w14:textId="77777777" w:rsidTr="00601A28">
        <w:trPr>
          <w:trHeight w:val="603"/>
        </w:trPr>
        <w:tc>
          <w:tcPr>
            <w:tcW w:w="2372" w:type="dxa"/>
            <w:shd w:val="clear" w:color="auto" w:fill="auto"/>
          </w:tcPr>
          <w:p w14:paraId="6DAF84DA" w14:textId="77777777" w:rsidR="0017587A" w:rsidRDefault="001F1235">
            <w:pPr>
              <w:rPr>
                <w:rFonts w:ascii="Times New Roman" w:hAnsi="Times New Roman"/>
                <w:sz w:val="20"/>
                <w:szCs w:val="20"/>
              </w:rPr>
            </w:pPr>
            <w:r>
              <w:rPr>
                <w:rFonts w:ascii="Times New Roman" w:hAnsi="Times New Roman"/>
                <w:sz w:val="20"/>
                <w:szCs w:val="20"/>
              </w:rPr>
              <w:t>Offentliggörs inte på EU-nivå</w:t>
            </w:r>
          </w:p>
        </w:tc>
        <w:tc>
          <w:tcPr>
            <w:tcW w:w="3150" w:type="dxa"/>
            <w:shd w:val="clear" w:color="auto" w:fill="auto"/>
          </w:tcPr>
          <w:p w14:paraId="018886E6" w14:textId="77777777" w:rsidR="0017587A" w:rsidRDefault="001F1235">
            <w:pPr>
              <w:rPr>
                <w:rFonts w:ascii="Times New Roman" w:hAnsi="Times New Roman"/>
                <w:sz w:val="20"/>
                <w:szCs w:val="20"/>
              </w:rPr>
            </w:pPr>
            <w:r>
              <w:rPr>
                <w:rFonts w:ascii="Times New Roman" w:hAnsi="Times New Roman"/>
                <w:sz w:val="20"/>
                <w:szCs w:val="20"/>
              </w:rPr>
              <w:t>Gratis tilldelning till luftfart offentliggörs på medlemsstatsnivå</w:t>
            </w:r>
          </w:p>
        </w:tc>
        <w:tc>
          <w:tcPr>
            <w:tcW w:w="2916" w:type="dxa"/>
            <w:shd w:val="clear" w:color="auto" w:fill="auto"/>
          </w:tcPr>
          <w:p w14:paraId="6DABE803" w14:textId="77777777" w:rsidR="0017587A" w:rsidRDefault="0017587A">
            <w:pPr>
              <w:rPr>
                <w:rFonts w:ascii="Times New Roman" w:hAnsi="Times New Roman"/>
                <w:sz w:val="20"/>
                <w:szCs w:val="20"/>
              </w:rPr>
            </w:pPr>
          </w:p>
        </w:tc>
      </w:tr>
    </w:tbl>
    <w:p w14:paraId="0CF7A1D5" w14:textId="77777777" w:rsidR="0017587A" w:rsidRDefault="0017587A">
      <w:pPr>
        <w:rPr>
          <w:rFonts w:ascii="Times New Roman" w:hAnsi="Times New Roman"/>
          <w:b/>
          <w:highlight w:val="yellow"/>
        </w:rPr>
      </w:pPr>
    </w:p>
    <w:p w14:paraId="13080D79" w14:textId="77777777" w:rsidR="0017587A" w:rsidRDefault="0057434D">
      <w:pPr>
        <w:rPr>
          <w:rFonts w:ascii="Times New Roman" w:hAnsi="Times New Roman"/>
          <w:b/>
        </w:rPr>
      </w:pPr>
      <w:r>
        <w:rPr>
          <w:rFonts w:ascii="Times New Roman" w:hAnsi="Times New Roman"/>
          <w:b/>
        </w:rPr>
        <w:t>Tillägg 5</w:t>
      </w:r>
    </w:p>
    <w:p w14:paraId="36F98B10" w14:textId="77777777" w:rsidR="0017587A" w:rsidRDefault="00E9293A">
      <w:pPr>
        <w:rPr>
          <w:rFonts w:ascii="Times New Roman" w:hAnsi="Times New Roman"/>
          <w:b/>
        </w:rPr>
      </w:pPr>
      <w:r>
        <w:rPr>
          <w:rFonts w:ascii="Times New Roman" w:hAnsi="Times New Roman"/>
          <w:b/>
          <w:sz w:val="20"/>
          <w:szCs w:val="20"/>
        </w:rPr>
        <w:t>Tabell 5.1 Verifierade andra utsläpp än koldioxidutsläpp inom utsläppshandelssystemet från anläggningar uppdelade per typen av växthusgas 2013–2018 (i miljoner ton)</w:t>
      </w:r>
      <w:r>
        <w:rPr>
          <w:rStyle w:val="FootnoteReference"/>
          <w:rFonts w:ascii="Times New Roman" w:hAnsi="Times New Roman"/>
          <w:b/>
        </w:rPr>
        <w:footnoteReference w:id="80"/>
      </w:r>
      <w:r>
        <w:rPr>
          <w:rFonts w:ascii="Times New Roman" w:hAnsi="Times New Roman"/>
          <w:b/>
        </w:rPr>
        <w:fldChar w:fldCharType="begin"/>
      </w:r>
      <w:r>
        <w:rPr>
          <w:rFonts w:ascii="Times New Roman" w:hAnsi="Times New Roman"/>
          <w:b/>
        </w:rPr>
        <w:instrText xml:space="preserve"> LINK Excel.Sheet.12 "\\\\net1.cec.eu.int\\CLIMA\\B\\1\\23.01 General\\23.01-7.6 Carbon market reports\\2019\\Copy of Report emissions_N2O_PFC_CO2.xlsx" Sheet1!R20C1:R24C9 \a \f 5 \h  \* MERGEFORMAT </w:instrText>
      </w:r>
      <w:r>
        <w:rPr>
          <w:rFonts w:ascii="Times New Roman" w:hAnsi="Times New Roman"/>
          <w:b/>
        </w:rPr>
        <w:fldChar w:fldCharType="separate"/>
      </w:r>
    </w:p>
    <w:tbl>
      <w:tblPr>
        <w:tblStyle w:val="TableGrid"/>
        <w:tblW w:w="68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2"/>
        <w:gridCol w:w="973"/>
        <w:gridCol w:w="972"/>
        <w:gridCol w:w="973"/>
        <w:gridCol w:w="973"/>
        <w:gridCol w:w="973"/>
        <w:gridCol w:w="973"/>
      </w:tblGrid>
      <w:tr w:rsidR="0017587A" w14:paraId="3E6D9B55" w14:textId="77777777" w:rsidTr="007F5B1E">
        <w:trPr>
          <w:trHeight w:val="506"/>
        </w:trPr>
        <w:tc>
          <w:tcPr>
            <w:tcW w:w="972" w:type="dxa"/>
            <w:noWrap/>
            <w:vAlign w:val="center"/>
            <w:hideMark/>
          </w:tcPr>
          <w:p w14:paraId="1E58AFD1" w14:textId="77777777" w:rsidR="0017587A" w:rsidRDefault="0017587A">
            <w:pPr>
              <w:rPr>
                <w:rFonts w:ascii="Times New Roman" w:hAnsi="Times New Roman"/>
              </w:rPr>
            </w:pPr>
          </w:p>
        </w:tc>
        <w:tc>
          <w:tcPr>
            <w:tcW w:w="973" w:type="dxa"/>
            <w:noWrap/>
            <w:vAlign w:val="center"/>
            <w:hideMark/>
          </w:tcPr>
          <w:p w14:paraId="4B5DB7F2" w14:textId="77777777" w:rsidR="0017587A" w:rsidRDefault="00E9293A">
            <w:pPr>
              <w:jc w:val="center"/>
              <w:rPr>
                <w:rFonts w:ascii="Times New Roman" w:hAnsi="Times New Roman"/>
                <w:b/>
              </w:rPr>
            </w:pPr>
            <w:r>
              <w:rPr>
                <w:rFonts w:ascii="Times New Roman" w:hAnsi="Times New Roman"/>
                <w:b/>
              </w:rPr>
              <w:t>2013</w:t>
            </w:r>
          </w:p>
        </w:tc>
        <w:tc>
          <w:tcPr>
            <w:tcW w:w="972" w:type="dxa"/>
            <w:noWrap/>
            <w:vAlign w:val="center"/>
            <w:hideMark/>
          </w:tcPr>
          <w:p w14:paraId="6566A2A4" w14:textId="77777777" w:rsidR="0017587A" w:rsidRDefault="00E9293A">
            <w:pPr>
              <w:jc w:val="center"/>
              <w:rPr>
                <w:rFonts w:ascii="Times New Roman" w:hAnsi="Times New Roman"/>
                <w:b/>
              </w:rPr>
            </w:pPr>
            <w:r>
              <w:rPr>
                <w:rFonts w:ascii="Times New Roman" w:hAnsi="Times New Roman"/>
                <w:b/>
              </w:rPr>
              <w:t>2014</w:t>
            </w:r>
          </w:p>
        </w:tc>
        <w:tc>
          <w:tcPr>
            <w:tcW w:w="973" w:type="dxa"/>
            <w:noWrap/>
            <w:vAlign w:val="center"/>
            <w:hideMark/>
          </w:tcPr>
          <w:p w14:paraId="2D7A64B7" w14:textId="77777777" w:rsidR="0017587A" w:rsidRDefault="00E9293A">
            <w:pPr>
              <w:jc w:val="center"/>
              <w:rPr>
                <w:rFonts w:ascii="Times New Roman" w:hAnsi="Times New Roman"/>
                <w:b/>
              </w:rPr>
            </w:pPr>
            <w:r>
              <w:rPr>
                <w:rFonts w:ascii="Times New Roman" w:hAnsi="Times New Roman"/>
                <w:b/>
              </w:rPr>
              <w:t>2015</w:t>
            </w:r>
          </w:p>
        </w:tc>
        <w:tc>
          <w:tcPr>
            <w:tcW w:w="973" w:type="dxa"/>
            <w:noWrap/>
            <w:vAlign w:val="center"/>
            <w:hideMark/>
          </w:tcPr>
          <w:p w14:paraId="4B7692FA" w14:textId="77777777" w:rsidR="0017587A" w:rsidRDefault="00E9293A">
            <w:pPr>
              <w:jc w:val="center"/>
              <w:rPr>
                <w:rFonts w:ascii="Times New Roman" w:hAnsi="Times New Roman"/>
                <w:b/>
              </w:rPr>
            </w:pPr>
            <w:r>
              <w:rPr>
                <w:rFonts w:ascii="Times New Roman" w:hAnsi="Times New Roman"/>
                <w:b/>
              </w:rPr>
              <w:t>2016</w:t>
            </w:r>
          </w:p>
        </w:tc>
        <w:tc>
          <w:tcPr>
            <w:tcW w:w="973" w:type="dxa"/>
            <w:noWrap/>
            <w:vAlign w:val="center"/>
            <w:hideMark/>
          </w:tcPr>
          <w:p w14:paraId="1EF15A23" w14:textId="77777777" w:rsidR="0017587A" w:rsidRDefault="00E9293A">
            <w:pPr>
              <w:jc w:val="center"/>
              <w:rPr>
                <w:rFonts w:ascii="Times New Roman" w:hAnsi="Times New Roman"/>
                <w:b/>
              </w:rPr>
            </w:pPr>
            <w:r>
              <w:rPr>
                <w:rFonts w:ascii="Times New Roman" w:hAnsi="Times New Roman"/>
                <w:b/>
              </w:rPr>
              <w:t>2017</w:t>
            </w:r>
          </w:p>
        </w:tc>
        <w:tc>
          <w:tcPr>
            <w:tcW w:w="973" w:type="dxa"/>
            <w:noWrap/>
            <w:vAlign w:val="center"/>
            <w:hideMark/>
          </w:tcPr>
          <w:p w14:paraId="2C1BB7F9" w14:textId="77777777" w:rsidR="0017587A" w:rsidRDefault="00E9293A">
            <w:pPr>
              <w:jc w:val="center"/>
              <w:rPr>
                <w:rFonts w:ascii="Times New Roman" w:hAnsi="Times New Roman"/>
                <w:b/>
              </w:rPr>
            </w:pPr>
            <w:r>
              <w:rPr>
                <w:rFonts w:ascii="Times New Roman" w:hAnsi="Times New Roman"/>
                <w:b/>
              </w:rPr>
              <w:t>2018</w:t>
            </w:r>
          </w:p>
        </w:tc>
      </w:tr>
      <w:tr w:rsidR="0017587A" w14:paraId="37A0761C" w14:textId="77777777" w:rsidTr="007F5B1E">
        <w:trPr>
          <w:trHeight w:val="506"/>
        </w:trPr>
        <w:tc>
          <w:tcPr>
            <w:tcW w:w="972" w:type="dxa"/>
            <w:noWrap/>
            <w:vAlign w:val="center"/>
            <w:hideMark/>
          </w:tcPr>
          <w:p w14:paraId="0DECD77C" w14:textId="77777777" w:rsidR="0017587A" w:rsidRDefault="00E9293A">
            <w:pPr>
              <w:rPr>
                <w:rFonts w:ascii="Times New Roman" w:hAnsi="Times New Roman"/>
                <w:b/>
              </w:rPr>
            </w:pPr>
            <w:r>
              <w:rPr>
                <w:rFonts w:ascii="Times New Roman" w:hAnsi="Times New Roman"/>
                <w:b/>
              </w:rPr>
              <w:t>PFCs</w:t>
            </w:r>
          </w:p>
        </w:tc>
        <w:tc>
          <w:tcPr>
            <w:tcW w:w="973" w:type="dxa"/>
            <w:noWrap/>
            <w:vAlign w:val="center"/>
            <w:hideMark/>
          </w:tcPr>
          <w:p w14:paraId="52136E16" w14:textId="77777777" w:rsidR="0017587A" w:rsidRDefault="00E9293A">
            <w:pPr>
              <w:jc w:val="center"/>
              <w:rPr>
                <w:rFonts w:ascii="Times New Roman" w:hAnsi="Times New Roman"/>
              </w:rPr>
            </w:pPr>
            <w:r>
              <w:rPr>
                <w:rFonts w:ascii="Times New Roman" w:hAnsi="Times New Roman"/>
              </w:rPr>
              <w:t>0,40</w:t>
            </w:r>
          </w:p>
        </w:tc>
        <w:tc>
          <w:tcPr>
            <w:tcW w:w="972" w:type="dxa"/>
            <w:noWrap/>
            <w:vAlign w:val="center"/>
            <w:hideMark/>
          </w:tcPr>
          <w:p w14:paraId="4E732B1E" w14:textId="77777777" w:rsidR="0017587A" w:rsidRDefault="00E9293A">
            <w:pPr>
              <w:jc w:val="center"/>
              <w:rPr>
                <w:rFonts w:ascii="Times New Roman" w:hAnsi="Times New Roman"/>
              </w:rPr>
            </w:pPr>
            <w:r>
              <w:rPr>
                <w:rFonts w:ascii="Times New Roman" w:hAnsi="Times New Roman"/>
              </w:rPr>
              <w:t>0,74</w:t>
            </w:r>
          </w:p>
        </w:tc>
        <w:tc>
          <w:tcPr>
            <w:tcW w:w="973" w:type="dxa"/>
            <w:noWrap/>
            <w:vAlign w:val="center"/>
            <w:hideMark/>
          </w:tcPr>
          <w:p w14:paraId="3349F1AB" w14:textId="77777777" w:rsidR="0017587A" w:rsidRDefault="00E9293A">
            <w:pPr>
              <w:jc w:val="center"/>
              <w:rPr>
                <w:rFonts w:ascii="Times New Roman" w:hAnsi="Times New Roman"/>
              </w:rPr>
            </w:pPr>
            <w:r>
              <w:rPr>
                <w:rFonts w:ascii="Times New Roman" w:hAnsi="Times New Roman"/>
              </w:rPr>
              <w:t>0,58</w:t>
            </w:r>
          </w:p>
        </w:tc>
        <w:tc>
          <w:tcPr>
            <w:tcW w:w="973" w:type="dxa"/>
            <w:noWrap/>
            <w:vAlign w:val="center"/>
            <w:hideMark/>
          </w:tcPr>
          <w:p w14:paraId="36C909CF" w14:textId="77777777" w:rsidR="0017587A" w:rsidRDefault="00E9293A">
            <w:pPr>
              <w:jc w:val="center"/>
              <w:rPr>
                <w:rFonts w:ascii="Times New Roman" w:hAnsi="Times New Roman"/>
              </w:rPr>
            </w:pPr>
            <w:r>
              <w:rPr>
                <w:rFonts w:ascii="Times New Roman" w:hAnsi="Times New Roman"/>
              </w:rPr>
              <w:t>0,64</w:t>
            </w:r>
          </w:p>
        </w:tc>
        <w:tc>
          <w:tcPr>
            <w:tcW w:w="973" w:type="dxa"/>
            <w:noWrap/>
            <w:vAlign w:val="center"/>
            <w:hideMark/>
          </w:tcPr>
          <w:p w14:paraId="598A1820" w14:textId="77777777" w:rsidR="0017587A" w:rsidRDefault="00E9293A">
            <w:pPr>
              <w:jc w:val="center"/>
              <w:rPr>
                <w:rFonts w:ascii="Times New Roman" w:hAnsi="Times New Roman"/>
              </w:rPr>
            </w:pPr>
            <w:r>
              <w:rPr>
                <w:rFonts w:ascii="Times New Roman" w:hAnsi="Times New Roman"/>
              </w:rPr>
              <w:t>0,47</w:t>
            </w:r>
          </w:p>
        </w:tc>
        <w:tc>
          <w:tcPr>
            <w:tcW w:w="973" w:type="dxa"/>
            <w:noWrap/>
            <w:vAlign w:val="center"/>
            <w:hideMark/>
          </w:tcPr>
          <w:p w14:paraId="21CC59DF" w14:textId="77777777" w:rsidR="0017587A" w:rsidRDefault="00E9293A">
            <w:pPr>
              <w:jc w:val="center"/>
              <w:rPr>
                <w:rFonts w:ascii="Times New Roman" w:hAnsi="Times New Roman"/>
              </w:rPr>
            </w:pPr>
            <w:r>
              <w:rPr>
                <w:rFonts w:ascii="Times New Roman" w:hAnsi="Times New Roman"/>
              </w:rPr>
              <w:t>0,60</w:t>
            </w:r>
          </w:p>
        </w:tc>
      </w:tr>
      <w:tr w:rsidR="0017587A" w14:paraId="698D48F6" w14:textId="77777777" w:rsidTr="007F5B1E">
        <w:trPr>
          <w:trHeight w:val="506"/>
        </w:trPr>
        <w:tc>
          <w:tcPr>
            <w:tcW w:w="972" w:type="dxa"/>
            <w:noWrap/>
            <w:vAlign w:val="center"/>
            <w:hideMark/>
          </w:tcPr>
          <w:p w14:paraId="21DFEF8F" w14:textId="77777777" w:rsidR="0017587A" w:rsidRDefault="00E9293A">
            <w:pPr>
              <w:rPr>
                <w:rFonts w:ascii="Times New Roman" w:hAnsi="Times New Roman"/>
                <w:b/>
              </w:rPr>
            </w:pPr>
            <w:r>
              <w:rPr>
                <w:rFonts w:ascii="Times New Roman" w:hAnsi="Times New Roman"/>
                <w:b/>
                <w:bCs/>
                <w:color w:val="262626"/>
              </w:rPr>
              <w:t>N</w:t>
            </w:r>
            <w:r>
              <w:rPr>
                <w:rFonts w:ascii="Times New Roman" w:hAnsi="Times New Roman"/>
                <w:b/>
                <w:bCs/>
                <w:color w:val="262626"/>
                <w:bdr w:val="none" w:sz="0" w:space="0" w:color="auto" w:frame="1"/>
                <w:vertAlign w:val="subscript"/>
              </w:rPr>
              <w:t>2</w:t>
            </w:r>
            <w:r>
              <w:rPr>
                <w:rFonts w:ascii="Times New Roman" w:hAnsi="Times New Roman"/>
                <w:b/>
                <w:bCs/>
                <w:color w:val="262626"/>
              </w:rPr>
              <w:t>O</w:t>
            </w:r>
          </w:p>
        </w:tc>
        <w:tc>
          <w:tcPr>
            <w:tcW w:w="973" w:type="dxa"/>
            <w:noWrap/>
            <w:vAlign w:val="center"/>
            <w:hideMark/>
          </w:tcPr>
          <w:p w14:paraId="26F5FD32" w14:textId="77777777" w:rsidR="0017587A" w:rsidRDefault="00E9293A">
            <w:pPr>
              <w:jc w:val="center"/>
              <w:rPr>
                <w:rFonts w:ascii="Times New Roman" w:hAnsi="Times New Roman"/>
              </w:rPr>
            </w:pPr>
            <w:r>
              <w:rPr>
                <w:rFonts w:ascii="Times New Roman" w:hAnsi="Times New Roman"/>
              </w:rPr>
              <w:t>2,47</w:t>
            </w:r>
          </w:p>
        </w:tc>
        <w:tc>
          <w:tcPr>
            <w:tcW w:w="972" w:type="dxa"/>
            <w:noWrap/>
            <w:vAlign w:val="center"/>
            <w:hideMark/>
          </w:tcPr>
          <w:p w14:paraId="45FF1C23" w14:textId="77777777" w:rsidR="0017587A" w:rsidRDefault="00E9293A">
            <w:pPr>
              <w:jc w:val="center"/>
              <w:rPr>
                <w:rFonts w:ascii="Times New Roman" w:hAnsi="Times New Roman"/>
              </w:rPr>
            </w:pPr>
            <w:r>
              <w:rPr>
                <w:rFonts w:ascii="Times New Roman" w:hAnsi="Times New Roman"/>
              </w:rPr>
              <w:t>5,49</w:t>
            </w:r>
          </w:p>
        </w:tc>
        <w:tc>
          <w:tcPr>
            <w:tcW w:w="973" w:type="dxa"/>
            <w:noWrap/>
            <w:vAlign w:val="center"/>
            <w:hideMark/>
          </w:tcPr>
          <w:p w14:paraId="66E754A9" w14:textId="77777777" w:rsidR="0017587A" w:rsidRDefault="00E9293A">
            <w:pPr>
              <w:jc w:val="center"/>
              <w:rPr>
                <w:rFonts w:ascii="Times New Roman" w:hAnsi="Times New Roman"/>
              </w:rPr>
            </w:pPr>
            <w:r>
              <w:rPr>
                <w:rFonts w:ascii="Times New Roman" w:hAnsi="Times New Roman"/>
              </w:rPr>
              <w:t>5,32</w:t>
            </w:r>
          </w:p>
        </w:tc>
        <w:tc>
          <w:tcPr>
            <w:tcW w:w="973" w:type="dxa"/>
            <w:noWrap/>
            <w:vAlign w:val="center"/>
            <w:hideMark/>
          </w:tcPr>
          <w:p w14:paraId="53A7D174" w14:textId="77777777" w:rsidR="0017587A" w:rsidRDefault="00E9293A">
            <w:pPr>
              <w:jc w:val="center"/>
              <w:rPr>
                <w:rFonts w:ascii="Times New Roman" w:hAnsi="Times New Roman"/>
              </w:rPr>
            </w:pPr>
            <w:r>
              <w:rPr>
                <w:rFonts w:ascii="Times New Roman" w:hAnsi="Times New Roman"/>
              </w:rPr>
              <w:t>4,62</w:t>
            </w:r>
          </w:p>
        </w:tc>
        <w:tc>
          <w:tcPr>
            <w:tcW w:w="973" w:type="dxa"/>
            <w:noWrap/>
            <w:vAlign w:val="center"/>
            <w:hideMark/>
          </w:tcPr>
          <w:p w14:paraId="681B24DB" w14:textId="77777777" w:rsidR="0017587A" w:rsidRDefault="00E9293A">
            <w:pPr>
              <w:jc w:val="center"/>
              <w:rPr>
                <w:rFonts w:ascii="Times New Roman" w:hAnsi="Times New Roman"/>
              </w:rPr>
            </w:pPr>
            <w:r>
              <w:rPr>
                <w:rFonts w:ascii="Times New Roman" w:hAnsi="Times New Roman"/>
              </w:rPr>
              <w:t>4,96</w:t>
            </w:r>
          </w:p>
        </w:tc>
        <w:tc>
          <w:tcPr>
            <w:tcW w:w="973" w:type="dxa"/>
            <w:noWrap/>
            <w:vAlign w:val="center"/>
            <w:hideMark/>
          </w:tcPr>
          <w:p w14:paraId="7461DDF7" w14:textId="77777777" w:rsidR="0017587A" w:rsidRDefault="00E9293A">
            <w:pPr>
              <w:jc w:val="center"/>
              <w:rPr>
                <w:rFonts w:ascii="Times New Roman" w:hAnsi="Times New Roman"/>
              </w:rPr>
            </w:pPr>
            <w:r>
              <w:rPr>
                <w:rFonts w:ascii="Times New Roman" w:hAnsi="Times New Roman"/>
              </w:rPr>
              <w:t>4,11</w:t>
            </w:r>
          </w:p>
        </w:tc>
      </w:tr>
    </w:tbl>
    <w:p w14:paraId="6C34E57F" w14:textId="77777777" w:rsidR="0017587A" w:rsidRDefault="00E9293A">
      <w:pPr>
        <w:rPr>
          <w:rFonts w:ascii="Times New Roman" w:hAnsi="Times New Roman"/>
          <w:sz w:val="18"/>
          <w:szCs w:val="18"/>
        </w:rPr>
      </w:pPr>
      <w:r>
        <w:rPr>
          <w:rFonts w:ascii="Times New Roman" w:hAnsi="Times New Roman"/>
        </w:rPr>
        <w:fldChar w:fldCharType="end"/>
      </w:r>
      <w:r>
        <w:rPr>
          <w:rFonts w:ascii="Times New Roman" w:hAnsi="Times New Roman"/>
          <w:sz w:val="18"/>
          <w:szCs w:val="18"/>
        </w:rPr>
        <w:t>Källa: EUTL</w:t>
      </w:r>
    </w:p>
    <w:p w14:paraId="44553B10" w14:textId="77777777" w:rsidR="0017587A" w:rsidRDefault="0017587A">
      <w:pPr>
        <w:rPr>
          <w:rFonts w:ascii="Times New Roman" w:hAnsi="Times New Roman"/>
          <w:b/>
        </w:rPr>
      </w:pPr>
    </w:p>
    <w:p w14:paraId="14C7AD75" w14:textId="77777777" w:rsidR="0017587A" w:rsidRDefault="003A348D">
      <w:pPr>
        <w:rPr>
          <w:rFonts w:ascii="Times New Roman" w:hAnsi="Times New Roman"/>
          <w:b/>
        </w:rPr>
      </w:pPr>
      <w:r>
        <w:rPr>
          <w:rFonts w:ascii="Times New Roman" w:hAnsi="Times New Roman"/>
          <w:b/>
        </w:rPr>
        <w:t>Tillägg 6</w:t>
      </w:r>
    </w:p>
    <w:p w14:paraId="4B561069" w14:textId="77777777" w:rsidR="0017587A" w:rsidRDefault="003A348D">
      <w:pPr>
        <w:rPr>
          <w:rFonts w:ascii="Times New Roman" w:hAnsi="Times New Roman"/>
          <w:b/>
          <w:sz w:val="20"/>
          <w:szCs w:val="20"/>
        </w:rPr>
      </w:pPr>
      <w:r>
        <w:rPr>
          <w:rFonts w:ascii="Times New Roman" w:hAnsi="Times New Roman"/>
          <w:b/>
          <w:sz w:val="20"/>
          <w:szCs w:val="20"/>
        </w:rPr>
        <w:t>Tabell 6.1: EU-domstolens domar som rör EU:s utsläppshandelssystems funktionssätt under perioden juli 2018 till juni 2019</w:t>
      </w:r>
    </w:p>
    <w:tbl>
      <w:tblPr>
        <w:tblStyle w:val="TableGrid4"/>
        <w:tblW w:w="956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5"/>
        <w:gridCol w:w="1382"/>
        <w:gridCol w:w="1382"/>
        <w:gridCol w:w="2640"/>
        <w:gridCol w:w="753"/>
        <w:gridCol w:w="2403"/>
      </w:tblGrid>
      <w:tr w:rsidR="0017587A" w14:paraId="663D26AF" w14:textId="77777777" w:rsidTr="00601A28">
        <w:trPr>
          <w:trHeight w:val="551"/>
        </w:trPr>
        <w:tc>
          <w:tcPr>
            <w:tcW w:w="1005" w:type="dxa"/>
            <w:vAlign w:val="center"/>
            <w:hideMark/>
          </w:tcPr>
          <w:p w14:paraId="3FC05ABF" w14:textId="77777777" w:rsidR="0017587A" w:rsidRDefault="003A348D">
            <w:pPr>
              <w:rPr>
                <w:rFonts w:ascii="Times New Roman" w:hAnsi="Times New Roman"/>
                <w:b/>
                <w:bCs/>
                <w:sz w:val="20"/>
                <w:szCs w:val="20"/>
              </w:rPr>
            </w:pPr>
            <w:r>
              <w:rPr>
                <w:rFonts w:ascii="Times New Roman" w:hAnsi="Times New Roman"/>
                <w:b/>
                <w:bCs/>
                <w:sz w:val="20"/>
                <w:szCs w:val="20"/>
              </w:rPr>
              <w:t>Målnummer</w:t>
            </w:r>
          </w:p>
        </w:tc>
        <w:tc>
          <w:tcPr>
            <w:tcW w:w="1382" w:type="dxa"/>
            <w:vAlign w:val="center"/>
          </w:tcPr>
          <w:p w14:paraId="5166199E" w14:textId="77777777" w:rsidR="0017587A" w:rsidRDefault="003A348D">
            <w:pPr>
              <w:rPr>
                <w:rFonts w:ascii="Times New Roman" w:hAnsi="Times New Roman"/>
                <w:b/>
                <w:sz w:val="20"/>
                <w:szCs w:val="20"/>
              </w:rPr>
            </w:pPr>
            <w:r>
              <w:rPr>
                <w:rFonts w:ascii="Times New Roman" w:hAnsi="Times New Roman"/>
                <w:b/>
                <w:sz w:val="20"/>
                <w:szCs w:val="20"/>
              </w:rPr>
              <w:t>Berörd lagstiftning</w:t>
            </w:r>
          </w:p>
        </w:tc>
        <w:tc>
          <w:tcPr>
            <w:tcW w:w="1382" w:type="dxa"/>
            <w:vAlign w:val="center"/>
          </w:tcPr>
          <w:p w14:paraId="54F1A022" w14:textId="77777777" w:rsidR="0017587A" w:rsidRDefault="003A348D">
            <w:pPr>
              <w:rPr>
                <w:rFonts w:ascii="Times New Roman" w:hAnsi="Times New Roman"/>
                <w:b/>
                <w:sz w:val="20"/>
                <w:szCs w:val="20"/>
              </w:rPr>
            </w:pPr>
            <w:r>
              <w:rPr>
                <w:rFonts w:ascii="Times New Roman" w:hAnsi="Times New Roman"/>
                <w:b/>
                <w:sz w:val="20"/>
                <w:szCs w:val="20"/>
              </w:rPr>
              <w:t>Parter</w:t>
            </w:r>
          </w:p>
        </w:tc>
        <w:tc>
          <w:tcPr>
            <w:tcW w:w="2640" w:type="dxa"/>
            <w:vAlign w:val="center"/>
          </w:tcPr>
          <w:p w14:paraId="54991B1B" w14:textId="77777777" w:rsidR="0017587A" w:rsidRDefault="003A348D">
            <w:pPr>
              <w:jc w:val="center"/>
              <w:rPr>
                <w:rFonts w:ascii="Times New Roman" w:hAnsi="Times New Roman"/>
                <w:b/>
                <w:bCs/>
                <w:sz w:val="20"/>
                <w:szCs w:val="20"/>
              </w:rPr>
            </w:pPr>
            <w:r>
              <w:rPr>
                <w:rFonts w:ascii="Times New Roman" w:hAnsi="Times New Roman"/>
                <w:b/>
                <w:bCs/>
                <w:sz w:val="20"/>
                <w:szCs w:val="20"/>
              </w:rPr>
              <w:t>Bakgrund till målet</w:t>
            </w:r>
          </w:p>
        </w:tc>
        <w:tc>
          <w:tcPr>
            <w:tcW w:w="753" w:type="dxa"/>
            <w:vAlign w:val="center"/>
            <w:hideMark/>
          </w:tcPr>
          <w:p w14:paraId="10B1C416" w14:textId="77777777" w:rsidR="0017587A" w:rsidRDefault="003A348D">
            <w:pPr>
              <w:jc w:val="center"/>
              <w:rPr>
                <w:rFonts w:ascii="Times New Roman" w:hAnsi="Times New Roman"/>
                <w:b/>
                <w:bCs/>
                <w:sz w:val="20"/>
                <w:szCs w:val="20"/>
              </w:rPr>
            </w:pPr>
            <w:r>
              <w:rPr>
                <w:rFonts w:ascii="Times New Roman" w:hAnsi="Times New Roman"/>
                <w:b/>
                <w:bCs/>
                <w:sz w:val="20"/>
                <w:szCs w:val="20"/>
              </w:rPr>
              <w:t>Datum</w:t>
            </w:r>
          </w:p>
        </w:tc>
        <w:tc>
          <w:tcPr>
            <w:tcW w:w="2403" w:type="dxa"/>
            <w:vAlign w:val="center"/>
            <w:hideMark/>
          </w:tcPr>
          <w:p w14:paraId="0EBC3B57" w14:textId="77777777" w:rsidR="0017587A" w:rsidRDefault="003A348D">
            <w:pPr>
              <w:jc w:val="center"/>
              <w:rPr>
                <w:rFonts w:ascii="Times New Roman" w:hAnsi="Times New Roman"/>
                <w:b/>
                <w:bCs/>
                <w:sz w:val="20"/>
                <w:szCs w:val="20"/>
              </w:rPr>
            </w:pPr>
            <w:r>
              <w:rPr>
                <w:rFonts w:ascii="Times New Roman" w:hAnsi="Times New Roman"/>
                <w:b/>
                <w:bCs/>
                <w:sz w:val="20"/>
                <w:szCs w:val="20"/>
              </w:rPr>
              <w:t>Domstolens dom</w:t>
            </w:r>
          </w:p>
        </w:tc>
      </w:tr>
      <w:tr w:rsidR="0017587A" w14:paraId="5BE19430" w14:textId="77777777" w:rsidTr="00601A28">
        <w:trPr>
          <w:trHeight w:val="1384"/>
        </w:trPr>
        <w:tc>
          <w:tcPr>
            <w:tcW w:w="1005" w:type="dxa"/>
          </w:tcPr>
          <w:p w14:paraId="5301FC9D" w14:textId="77777777" w:rsidR="0017587A" w:rsidRDefault="00FA645E">
            <w:pPr>
              <w:rPr>
                <w:rFonts w:ascii="Times New Roman" w:hAnsi="Times New Roman"/>
                <w:bCs/>
                <w:sz w:val="20"/>
                <w:szCs w:val="20"/>
              </w:rPr>
            </w:pPr>
            <w:r>
              <w:rPr>
                <w:rFonts w:ascii="Times New Roman" w:hAnsi="Times New Roman"/>
                <w:bCs/>
                <w:sz w:val="20"/>
                <w:szCs w:val="20"/>
              </w:rPr>
              <w:t>Mål C-682/17</w:t>
            </w:r>
          </w:p>
        </w:tc>
        <w:tc>
          <w:tcPr>
            <w:tcW w:w="1382" w:type="dxa"/>
          </w:tcPr>
          <w:p w14:paraId="0E44E23D" w14:textId="77777777" w:rsidR="0017587A" w:rsidRDefault="00FA645E">
            <w:pPr>
              <w:rPr>
                <w:rFonts w:ascii="Times New Roman" w:hAnsi="Times New Roman"/>
                <w:sz w:val="20"/>
                <w:szCs w:val="20"/>
              </w:rPr>
            </w:pPr>
            <w:r>
              <w:rPr>
                <w:rFonts w:ascii="Times New Roman" w:hAnsi="Times New Roman"/>
                <w:sz w:val="20"/>
                <w:szCs w:val="20"/>
              </w:rPr>
              <w:t xml:space="preserve">Direktiv 2003/87/EG, </w:t>
            </w:r>
          </w:p>
          <w:p w14:paraId="03A7F16A" w14:textId="77777777" w:rsidR="0017587A" w:rsidRDefault="00FA645E">
            <w:pPr>
              <w:rPr>
                <w:rFonts w:ascii="Times New Roman" w:hAnsi="Times New Roman"/>
                <w:sz w:val="20"/>
                <w:szCs w:val="20"/>
              </w:rPr>
            </w:pPr>
            <w:r>
              <w:rPr>
                <w:rFonts w:ascii="Times New Roman" w:hAnsi="Times New Roman"/>
                <w:sz w:val="20"/>
                <w:szCs w:val="20"/>
              </w:rPr>
              <w:t>beslut nr 2011/278/EU</w:t>
            </w:r>
          </w:p>
        </w:tc>
        <w:tc>
          <w:tcPr>
            <w:tcW w:w="1382" w:type="dxa"/>
          </w:tcPr>
          <w:p w14:paraId="5CE52C46" w14:textId="77777777" w:rsidR="0017587A" w:rsidRDefault="00FA645E">
            <w:pPr>
              <w:rPr>
                <w:rFonts w:ascii="Times New Roman" w:hAnsi="Times New Roman"/>
                <w:sz w:val="20"/>
                <w:szCs w:val="20"/>
              </w:rPr>
            </w:pPr>
            <w:r>
              <w:rPr>
                <w:rFonts w:ascii="Times New Roman" w:hAnsi="Times New Roman"/>
                <w:sz w:val="20"/>
                <w:szCs w:val="20"/>
              </w:rPr>
              <w:t>ExxonMobil Production Deutschland GmbH/Tyskland</w:t>
            </w:r>
          </w:p>
        </w:tc>
        <w:tc>
          <w:tcPr>
            <w:tcW w:w="2640" w:type="dxa"/>
          </w:tcPr>
          <w:p w14:paraId="5EE05F2E" w14:textId="77777777" w:rsidR="0017587A" w:rsidRDefault="00AA1C54">
            <w:pPr>
              <w:rPr>
                <w:rFonts w:ascii="Times New Roman" w:hAnsi="Times New Roman"/>
                <w:bCs/>
                <w:sz w:val="20"/>
                <w:szCs w:val="20"/>
              </w:rPr>
            </w:pPr>
            <w:r>
              <w:rPr>
                <w:rFonts w:ascii="Times New Roman" w:hAnsi="Times New Roman"/>
                <w:bCs/>
                <w:sz w:val="20"/>
                <w:szCs w:val="20"/>
              </w:rPr>
              <w:t>Ska en anläggning betraktas som en elproducent om det inte bedrivs någon sådan verksamhet som avses i bilaga I där, utöver elproduktionen, och har anläggningen i sådana fall rätt till gratis tilldelning?</w:t>
            </w:r>
          </w:p>
        </w:tc>
        <w:tc>
          <w:tcPr>
            <w:tcW w:w="753" w:type="dxa"/>
          </w:tcPr>
          <w:p w14:paraId="60B05B2C" w14:textId="77777777" w:rsidR="0017587A" w:rsidRDefault="00AA1C54">
            <w:pPr>
              <w:rPr>
                <w:rFonts w:ascii="Times New Roman" w:hAnsi="Times New Roman"/>
                <w:bCs/>
                <w:sz w:val="20"/>
                <w:szCs w:val="20"/>
              </w:rPr>
            </w:pPr>
            <w:r>
              <w:rPr>
                <w:rFonts w:ascii="Times New Roman" w:hAnsi="Times New Roman"/>
                <w:bCs/>
                <w:sz w:val="20"/>
                <w:szCs w:val="20"/>
              </w:rPr>
              <w:t>20.6.2019</w:t>
            </w:r>
          </w:p>
        </w:tc>
        <w:tc>
          <w:tcPr>
            <w:tcW w:w="2403" w:type="dxa"/>
          </w:tcPr>
          <w:p w14:paraId="68A6A3AA" w14:textId="77777777" w:rsidR="0017587A" w:rsidRDefault="00AA1C54">
            <w:pPr>
              <w:rPr>
                <w:rFonts w:ascii="Times New Roman" w:hAnsi="Times New Roman"/>
                <w:bCs/>
                <w:sz w:val="20"/>
                <w:szCs w:val="20"/>
              </w:rPr>
            </w:pPr>
            <w:r>
              <w:rPr>
                <w:rFonts w:ascii="Times New Roman" w:hAnsi="Times New Roman"/>
                <w:bCs/>
                <w:sz w:val="20"/>
                <w:szCs w:val="20"/>
              </w:rPr>
              <w:t>Domstolen bekräftade den ordagranna tolkningen av begreppet ”elproducent” i direktiv 2003/87/EG.</w:t>
            </w:r>
          </w:p>
        </w:tc>
      </w:tr>
      <w:tr w:rsidR="0017587A" w14:paraId="30DE2FAD" w14:textId="77777777" w:rsidTr="00601A28">
        <w:trPr>
          <w:trHeight w:val="1384"/>
        </w:trPr>
        <w:tc>
          <w:tcPr>
            <w:tcW w:w="1005" w:type="dxa"/>
          </w:tcPr>
          <w:p w14:paraId="77FED0B2" w14:textId="77777777" w:rsidR="0017587A" w:rsidRDefault="00FA4E9C">
            <w:pPr>
              <w:rPr>
                <w:rFonts w:ascii="Times New Roman" w:hAnsi="Times New Roman"/>
                <w:bCs/>
                <w:sz w:val="20"/>
                <w:szCs w:val="20"/>
              </w:rPr>
            </w:pPr>
            <w:r>
              <w:rPr>
                <w:rFonts w:ascii="Times New Roman" w:hAnsi="Times New Roman"/>
                <w:bCs/>
                <w:sz w:val="20"/>
                <w:szCs w:val="20"/>
              </w:rPr>
              <w:t>Mål T-330/18</w:t>
            </w:r>
          </w:p>
        </w:tc>
        <w:tc>
          <w:tcPr>
            <w:tcW w:w="1382" w:type="dxa"/>
          </w:tcPr>
          <w:p w14:paraId="05994603" w14:textId="77777777" w:rsidR="0017587A" w:rsidRDefault="00FA4E9C">
            <w:pPr>
              <w:rPr>
                <w:rFonts w:ascii="Times New Roman" w:hAnsi="Times New Roman"/>
                <w:sz w:val="20"/>
                <w:szCs w:val="20"/>
              </w:rPr>
            </w:pPr>
            <w:r>
              <w:rPr>
                <w:rFonts w:ascii="Times New Roman" w:hAnsi="Times New Roman"/>
                <w:sz w:val="20"/>
                <w:szCs w:val="20"/>
              </w:rPr>
              <w:t>Direktiv (EU) 2018/410, förordning (EU) 2018/842 och förordning (EU) 2018/841</w:t>
            </w:r>
          </w:p>
        </w:tc>
        <w:tc>
          <w:tcPr>
            <w:tcW w:w="1382" w:type="dxa"/>
          </w:tcPr>
          <w:p w14:paraId="641F929E" w14:textId="77777777" w:rsidR="0017587A" w:rsidRDefault="00FA4E9C">
            <w:pPr>
              <w:rPr>
                <w:rFonts w:ascii="Times New Roman" w:hAnsi="Times New Roman"/>
                <w:sz w:val="20"/>
                <w:szCs w:val="20"/>
              </w:rPr>
            </w:pPr>
            <w:r>
              <w:rPr>
                <w:rFonts w:ascii="Times New Roman" w:hAnsi="Times New Roman"/>
                <w:sz w:val="20"/>
                <w:szCs w:val="20"/>
              </w:rPr>
              <w:t>Carvalho m.fl./parlamentet och rådet</w:t>
            </w:r>
          </w:p>
        </w:tc>
        <w:tc>
          <w:tcPr>
            <w:tcW w:w="2640" w:type="dxa"/>
          </w:tcPr>
          <w:p w14:paraId="2A4893B6" w14:textId="77777777" w:rsidR="0017587A" w:rsidRDefault="00DF6D22">
            <w:pPr>
              <w:rPr>
                <w:rFonts w:ascii="Times New Roman" w:hAnsi="Times New Roman"/>
                <w:bCs/>
                <w:sz w:val="20"/>
                <w:szCs w:val="20"/>
              </w:rPr>
            </w:pPr>
            <w:r>
              <w:rPr>
                <w:rFonts w:ascii="Times New Roman" w:hAnsi="Times New Roman"/>
                <w:bCs/>
                <w:sz w:val="20"/>
                <w:szCs w:val="20"/>
              </w:rPr>
              <w:t xml:space="preserve">37 privatpersoner begärde ogiltigförklaring av direktiv (EU) 2018/410, förordning (EU) 2018/842 och förordning (EU) 2018/841 eftersom de hävdade att de planerade minskningarna av växthusgasutsläppen var otillräckliga. </w:t>
            </w:r>
          </w:p>
          <w:p w14:paraId="3D577E91" w14:textId="77777777" w:rsidR="0017587A" w:rsidRDefault="00376A62">
            <w:pPr>
              <w:rPr>
                <w:rFonts w:ascii="Times New Roman" w:hAnsi="Times New Roman"/>
                <w:bCs/>
                <w:sz w:val="20"/>
                <w:szCs w:val="20"/>
              </w:rPr>
            </w:pPr>
            <w:r>
              <w:rPr>
                <w:rFonts w:ascii="Times New Roman" w:hAnsi="Times New Roman"/>
                <w:bCs/>
                <w:sz w:val="20"/>
                <w:szCs w:val="20"/>
              </w:rPr>
              <w:t>Europaparlamentet och rådet begärde att talan skulle ogiltigförklaras.</w:t>
            </w:r>
          </w:p>
        </w:tc>
        <w:tc>
          <w:tcPr>
            <w:tcW w:w="753" w:type="dxa"/>
          </w:tcPr>
          <w:p w14:paraId="609F4529" w14:textId="77777777" w:rsidR="0017587A" w:rsidRDefault="00A95247">
            <w:pPr>
              <w:rPr>
                <w:rFonts w:ascii="Times New Roman" w:hAnsi="Times New Roman"/>
                <w:bCs/>
                <w:sz w:val="20"/>
                <w:szCs w:val="20"/>
              </w:rPr>
            </w:pPr>
            <w:r>
              <w:rPr>
                <w:rFonts w:ascii="Times New Roman" w:hAnsi="Times New Roman"/>
                <w:bCs/>
                <w:sz w:val="20"/>
                <w:szCs w:val="20"/>
              </w:rPr>
              <w:t>8.5.2019</w:t>
            </w:r>
          </w:p>
        </w:tc>
        <w:tc>
          <w:tcPr>
            <w:tcW w:w="2403" w:type="dxa"/>
          </w:tcPr>
          <w:p w14:paraId="592D107B" w14:textId="77777777" w:rsidR="0017587A" w:rsidRDefault="00A95247">
            <w:pPr>
              <w:rPr>
                <w:rFonts w:ascii="Times New Roman" w:hAnsi="Times New Roman"/>
                <w:bCs/>
                <w:sz w:val="20"/>
                <w:szCs w:val="20"/>
              </w:rPr>
            </w:pPr>
            <w:r>
              <w:rPr>
                <w:rFonts w:ascii="Times New Roman" w:hAnsi="Times New Roman"/>
                <w:bCs/>
                <w:sz w:val="20"/>
                <w:szCs w:val="20"/>
              </w:rPr>
              <w:t>Domstolen avvisade talan fullt ut.</w:t>
            </w:r>
          </w:p>
        </w:tc>
      </w:tr>
      <w:tr w:rsidR="0017587A" w14:paraId="3720A04D" w14:textId="77777777" w:rsidTr="00601A28">
        <w:trPr>
          <w:trHeight w:val="1384"/>
        </w:trPr>
        <w:tc>
          <w:tcPr>
            <w:tcW w:w="1005" w:type="dxa"/>
          </w:tcPr>
          <w:p w14:paraId="56D7D664" w14:textId="77777777" w:rsidR="0017587A" w:rsidRDefault="00D3027D">
            <w:pPr>
              <w:rPr>
                <w:rFonts w:ascii="Times New Roman" w:hAnsi="Times New Roman"/>
                <w:bCs/>
                <w:sz w:val="20"/>
                <w:szCs w:val="20"/>
              </w:rPr>
            </w:pPr>
            <w:r>
              <w:rPr>
                <w:rFonts w:ascii="Times New Roman" w:hAnsi="Times New Roman"/>
                <w:bCs/>
                <w:sz w:val="20"/>
                <w:szCs w:val="20"/>
              </w:rPr>
              <w:t>Mål C-561/18</w:t>
            </w:r>
          </w:p>
        </w:tc>
        <w:tc>
          <w:tcPr>
            <w:tcW w:w="1382" w:type="dxa"/>
          </w:tcPr>
          <w:p w14:paraId="31488C4D" w14:textId="77777777" w:rsidR="0017587A" w:rsidRDefault="00D3027D">
            <w:pPr>
              <w:rPr>
                <w:rFonts w:ascii="Times New Roman" w:hAnsi="Times New Roman"/>
                <w:sz w:val="20"/>
                <w:szCs w:val="20"/>
              </w:rPr>
            </w:pPr>
            <w:r>
              <w:rPr>
                <w:rFonts w:ascii="Times New Roman" w:hAnsi="Times New Roman"/>
                <w:sz w:val="20"/>
                <w:szCs w:val="20"/>
              </w:rPr>
              <w:t>Kommissionens förordning (EU) nr 601/2012</w:t>
            </w:r>
          </w:p>
        </w:tc>
        <w:tc>
          <w:tcPr>
            <w:tcW w:w="1382" w:type="dxa"/>
          </w:tcPr>
          <w:p w14:paraId="473B34DF" w14:textId="77777777" w:rsidR="0017587A" w:rsidRDefault="00D3027D">
            <w:pPr>
              <w:rPr>
                <w:rFonts w:ascii="Times New Roman" w:hAnsi="Times New Roman"/>
                <w:sz w:val="20"/>
                <w:szCs w:val="20"/>
              </w:rPr>
            </w:pPr>
            <w:r>
              <w:rPr>
                <w:rFonts w:ascii="Times New Roman" w:hAnsi="Times New Roman"/>
                <w:sz w:val="20"/>
                <w:szCs w:val="20"/>
              </w:rPr>
              <w:t>Solvay Chemicals GmbH/Tyskland</w:t>
            </w:r>
          </w:p>
        </w:tc>
        <w:tc>
          <w:tcPr>
            <w:tcW w:w="2640" w:type="dxa"/>
          </w:tcPr>
          <w:p w14:paraId="4568331E" w14:textId="77777777" w:rsidR="0017587A" w:rsidRDefault="00D3027D">
            <w:pPr>
              <w:rPr>
                <w:rFonts w:ascii="Times New Roman" w:hAnsi="Times New Roman"/>
                <w:bCs/>
                <w:sz w:val="20"/>
                <w:szCs w:val="20"/>
              </w:rPr>
            </w:pPr>
            <w:r>
              <w:rPr>
                <w:rFonts w:ascii="Times New Roman" w:hAnsi="Times New Roman"/>
                <w:sz w:val="20"/>
                <w:szCs w:val="20"/>
              </w:rPr>
              <w:t>– Är förordning (EU) nr 601/2012 ogiltig, och strider den mot de mål som uppställs i direktiv 2003/87/EG där det föreskrivs att koldioxid som inte överförs i den mening som avses i artikel 49.1 första stycket ska betraktas som utsläpp från den anläggning som producerat koldioxiden i fråga, oavsett om koldioxiden har släppts ut i atmosfären eller ej?</w:t>
            </w:r>
          </w:p>
          <w:p w14:paraId="497DD326" w14:textId="77777777" w:rsidR="0017587A" w:rsidRDefault="00D3027D">
            <w:pPr>
              <w:rPr>
                <w:rFonts w:ascii="Times New Roman" w:hAnsi="Times New Roman"/>
                <w:bCs/>
                <w:sz w:val="20"/>
                <w:szCs w:val="20"/>
              </w:rPr>
            </w:pPr>
            <w:r>
              <w:rPr>
                <w:rFonts w:ascii="Times New Roman" w:hAnsi="Times New Roman"/>
                <w:bCs/>
                <w:sz w:val="20"/>
                <w:szCs w:val="20"/>
              </w:rPr>
              <w:t>–</w:t>
            </w:r>
            <w:r>
              <w:rPr>
                <w:rFonts w:ascii="Times New Roman" w:hAnsi="Times New Roman"/>
                <w:color w:val="333333"/>
                <w:sz w:val="20"/>
                <w:szCs w:val="20"/>
              </w:rPr>
              <w:t xml:space="preserve"> Är förordning (EU) 601/2012 ogiltig, och strider den mot de mål som uppställs i direktiv 2003/87/EG där det föreskrivs att koldioxid som överförs från en anläggning för produktion av natriumkarbonat och som överförts till en annan anläggning för produktion av </w:t>
            </w:r>
            <w:r>
              <w:rPr>
                <w:rFonts w:ascii="Times New Roman" w:hAnsi="Times New Roman"/>
                <w:sz w:val="20"/>
                <w:szCs w:val="20"/>
              </w:rPr>
              <w:t>utfällt kalciumkarbonat systematiskt ska inbegripas i utsläppen från den anläggningen?</w:t>
            </w:r>
          </w:p>
        </w:tc>
        <w:tc>
          <w:tcPr>
            <w:tcW w:w="753" w:type="dxa"/>
          </w:tcPr>
          <w:p w14:paraId="7B1A3D0E" w14:textId="77777777" w:rsidR="0017587A" w:rsidRDefault="00D3027D">
            <w:pPr>
              <w:rPr>
                <w:rFonts w:ascii="Times New Roman" w:hAnsi="Times New Roman"/>
                <w:bCs/>
                <w:sz w:val="20"/>
                <w:szCs w:val="20"/>
              </w:rPr>
            </w:pPr>
            <w:r>
              <w:rPr>
                <w:rFonts w:ascii="Times New Roman" w:hAnsi="Times New Roman"/>
                <w:bCs/>
                <w:sz w:val="20"/>
                <w:szCs w:val="20"/>
              </w:rPr>
              <w:t>6.2.2019</w:t>
            </w:r>
          </w:p>
        </w:tc>
        <w:tc>
          <w:tcPr>
            <w:tcW w:w="2403" w:type="dxa"/>
          </w:tcPr>
          <w:p w14:paraId="38A543A3" w14:textId="77777777" w:rsidR="0017587A" w:rsidRDefault="00D3027D">
            <w:pPr>
              <w:rPr>
                <w:rFonts w:ascii="Times New Roman" w:hAnsi="Times New Roman"/>
                <w:bCs/>
                <w:sz w:val="20"/>
                <w:szCs w:val="20"/>
              </w:rPr>
            </w:pPr>
            <w:r>
              <w:rPr>
                <w:rFonts w:ascii="Times New Roman" w:hAnsi="Times New Roman"/>
                <w:bCs/>
                <w:sz w:val="20"/>
                <w:szCs w:val="20"/>
              </w:rPr>
              <w:t xml:space="preserve">Domstolen fastställde att artikel 49.1 andra stycket och punkt 20 B i bilaga IV till förordning (EU) nr 601/2012 är ogiltiga i den mån som de i utsläppen från en anläggning för produktion av natriumkarbonat systematiskt inbegriper den koldioxid som överförts till en annan anläggning för produktion av utfällt kalciumkarbonat, oberoende av om denna koldioxid släppts ut i atmosfären eller ej. </w:t>
            </w:r>
          </w:p>
        </w:tc>
      </w:tr>
    </w:tbl>
    <w:p w14:paraId="79B28CE0" w14:textId="77777777" w:rsidR="0017587A" w:rsidRDefault="0017587A">
      <w:pPr>
        <w:rPr>
          <w:rFonts w:ascii="Times New Roman" w:hAnsi="Times New Roman"/>
          <w:b/>
        </w:rPr>
      </w:pPr>
    </w:p>
    <w:p w14:paraId="51D36496" w14:textId="77777777" w:rsidR="0017587A" w:rsidRDefault="003A348D">
      <w:pPr>
        <w:rPr>
          <w:rFonts w:ascii="Times New Roman" w:hAnsi="Times New Roman"/>
          <w:b/>
        </w:rPr>
      </w:pPr>
      <w:r>
        <w:rPr>
          <w:rFonts w:ascii="Times New Roman" w:hAnsi="Times New Roman"/>
          <w:b/>
        </w:rPr>
        <w:t>Tillägg 7</w:t>
      </w:r>
    </w:p>
    <w:p w14:paraId="35C6A808" w14:textId="77777777" w:rsidR="0017587A" w:rsidRDefault="003A348D">
      <w:pPr>
        <w:rPr>
          <w:rFonts w:ascii="Times New Roman" w:hAnsi="Times New Roman"/>
          <w:b/>
          <w:sz w:val="20"/>
          <w:szCs w:val="20"/>
        </w:rPr>
      </w:pPr>
      <w:r>
        <w:rPr>
          <w:rFonts w:ascii="Times New Roman" w:hAnsi="Times New Roman"/>
          <w:b/>
          <w:sz w:val="20"/>
          <w:szCs w:val="20"/>
        </w:rPr>
        <w:t xml:space="preserve">Tabell 7.1: Lägesrapport för genomförandet av fas 4 av EU:s utsläppshandelssystem </w:t>
      </w:r>
    </w:p>
    <w:tbl>
      <w:tblPr>
        <w:tblStyle w:val="TableGrid"/>
        <w:tblW w:w="96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30"/>
        <w:gridCol w:w="3808"/>
        <w:gridCol w:w="1862"/>
        <w:gridCol w:w="1994"/>
      </w:tblGrid>
      <w:tr w:rsidR="0017587A" w14:paraId="67112C11" w14:textId="77777777" w:rsidTr="00601A28">
        <w:trPr>
          <w:trHeight w:val="230"/>
        </w:trPr>
        <w:tc>
          <w:tcPr>
            <w:tcW w:w="2030" w:type="dxa"/>
            <w:vMerge w:val="restart"/>
            <w:vAlign w:val="center"/>
          </w:tcPr>
          <w:p w14:paraId="21291712" w14:textId="77777777" w:rsidR="0017587A" w:rsidRDefault="003A348D">
            <w:pPr>
              <w:jc w:val="center"/>
              <w:rPr>
                <w:rFonts w:ascii="Times New Roman" w:hAnsi="Times New Roman"/>
                <w:b/>
              </w:rPr>
            </w:pPr>
            <w:r>
              <w:rPr>
                <w:rFonts w:ascii="Times New Roman" w:hAnsi="Times New Roman"/>
                <w:b/>
              </w:rPr>
              <w:t>Åtgärd</w:t>
            </w:r>
          </w:p>
        </w:tc>
        <w:tc>
          <w:tcPr>
            <w:tcW w:w="3808" w:type="dxa"/>
            <w:vMerge w:val="restart"/>
            <w:vAlign w:val="center"/>
          </w:tcPr>
          <w:p w14:paraId="4066D10D" w14:textId="77777777" w:rsidR="0017587A" w:rsidRDefault="003A348D">
            <w:pPr>
              <w:jc w:val="center"/>
              <w:rPr>
                <w:rFonts w:ascii="Times New Roman" w:hAnsi="Times New Roman"/>
                <w:b/>
              </w:rPr>
            </w:pPr>
            <w:r>
              <w:rPr>
                <w:rFonts w:ascii="Times New Roman" w:hAnsi="Times New Roman"/>
                <w:b/>
              </w:rPr>
              <w:t>Syfte</w:t>
            </w:r>
          </w:p>
        </w:tc>
        <w:tc>
          <w:tcPr>
            <w:tcW w:w="1862" w:type="dxa"/>
            <w:vMerge w:val="restart"/>
            <w:vAlign w:val="center"/>
          </w:tcPr>
          <w:p w14:paraId="436EAC73" w14:textId="77777777" w:rsidR="0017587A" w:rsidRDefault="003A348D">
            <w:pPr>
              <w:jc w:val="center"/>
              <w:rPr>
                <w:rFonts w:ascii="Times New Roman" w:hAnsi="Times New Roman"/>
                <w:b/>
              </w:rPr>
            </w:pPr>
            <w:r>
              <w:rPr>
                <w:rFonts w:ascii="Times New Roman" w:hAnsi="Times New Roman"/>
                <w:b/>
              </w:rPr>
              <w:t>Typ av rättsakt</w:t>
            </w:r>
          </w:p>
        </w:tc>
        <w:tc>
          <w:tcPr>
            <w:tcW w:w="1994" w:type="dxa"/>
            <w:vMerge w:val="restart"/>
            <w:vAlign w:val="center"/>
          </w:tcPr>
          <w:p w14:paraId="07DA919F" w14:textId="77777777" w:rsidR="0017587A" w:rsidRDefault="003A348D">
            <w:pPr>
              <w:jc w:val="center"/>
              <w:rPr>
                <w:rFonts w:ascii="Times New Roman" w:hAnsi="Times New Roman"/>
                <w:b/>
              </w:rPr>
            </w:pPr>
            <w:r>
              <w:rPr>
                <w:rFonts w:ascii="Times New Roman" w:hAnsi="Times New Roman"/>
                <w:b/>
              </w:rPr>
              <w:t>Tidsplan för antagande</w:t>
            </w:r>
          </w:p>
        </w:tc>
      </w:tr>
      <w:tr w:rsidR="0017587A" w14:paraId="1591A0AE" w14:textId="77777777" w:rsidTr="00601A28">
        <w:trPr>
          <w:trHeight w:val="230"/>
        </w:trPr>
        <w:tc>
          <w:tcPr>
            <w:tcW w:w="2030" w:type="dxa"/>
            <w:vMerge/>
            <w:vAlign w:val="center"/>
          </w:tcPr>
          <w:p w14:paraId="18D487EE" w14:textId="77777777" w:rsidR="0017587A" w:rsidRDefault="0017587A">
            <w:pPr>
              <w:rPr>
                <w:rFonts w:ascii="Times New Roman" w:hAnsi="Times New Roman"/>
                <w:b/>
              </w:rPr>
            </w:pPr>
          </w:p>
        </w:tc>
        <w:tc>
          <w:tcPr>
            <w:tcW w:w="3808" w:type="dxa"/>
            <w:vMerge/>
          </w:tcPr>
          <w:p w14:paraId="2C6F83B0" w14:textId="77777777" w:rsidR="0017587A" w:rsidRDefault="0017587A">
            <w:pPr>
              <w:rPr>
                <w:rFonts w:ascii="Times New Roman" w:hAnsi="Times New Roman"/>
                <w:b/>
              </w:rPr>
            </w:pPr>
          </w:p>
        </w:tc>
        <w:tc>
          <w:tcPr>
            <w:tcW w:w="1862" w:type="dxa"/>
            <w:vMerge/>
            <w:vAlign w:val="center"/>
          </w:tcPr>
          <w:p w14:paraId="4D1BC2B1" w14:textId="77777777" w:rsidR="0017587A" w:rsidRDefault="0017587A">
            <w:pPr>
              <w:rPr>
                <w:rFonts w:ascii="Times New Roman" w:hAnsi="Times New Roman"/>
                <w:b/>
              </w:rPr>
            </w:pPr>
          </w:p>
        </w:tc>
        <w:tc>
          <w:tcPr>
            <w:tcW w:w="1994" w:type="dxa"/>
            <w:vMerge/>
            <w:vAlign w:val="center"/>
          </w:tcPr>
          <w:p w14:paraId="3D08CC47" w14:textId="77777777" w:rsidR="0017587A" w:rsidRDefault="0017587A">
            <w:pPr>
              <w:rPr>
                <w:rFonts w:ascii="Times New Roman" w:hAnsi="Times New Roman"/>
                <w:b/>
              </w:rPr>
            </w:pPr>
          </w:p>
        </w:tc>
      </w:tr>
      <w:tr w:rsidR="0017587A" w14:paraId="65A2B942" w14:textId="77777777" w:rsidTr="00601A28">
        <w:trPr>
          <w:trHeight w:val="247"/>
        </w:trPr>
        <w:tc>
          <w:tcPr>
            <w:tcW w:w="2030" w:type="dxa"/>
            <w:shd w:val="clear" w:color="auto" w:fill="CCFFCC"/>
            <w:vAlign w:val="center"/>
          </w:tcPr>
          <w:p w14:paraId="0ECDE15F" w14:textId="77777777" w:rsidR="0017587A" w:rsidRDefault="003A348D">
            <w:pPr>
              <w:rPr>
                <w:rFonts w:ascii="Times New Roman" w:hAnsi="Times New Roman"/>
              </w:rPr>
            </w:pPr>
            <w:r>
              <w:rPr>
                <w:rFonts w:ascii="Times New Roman" w:hAnsi="Times New Roman"/>
              </w:rPr>
              <w:t>Koldioxidläckageförteckning för 2021–2030</w:t>
            </w:r>
          </w:p>
        </w:tc>
        <w:tc>
          <w:tcPr>
            <w:tcW w:w="3808" w:type="dxa"/>
            <w:shd w:val="clear" w:color="auto" w:fill="CCFFCC"/>
            <w:vAlign w:val="center"/>
          </w:tcPr>
          <w:p w14:paraId="0B4BA8CC" w14:textId="77777777" w:rsidR="0017587A" w:rsidRDefault="003A348D">
            <w:pPr>
              <w:rPr>
                <w:rFonts w:ascii="Times New Roman" w:hAnsi="Times New Roman"/>
              </w:rPr>
            </w:pPr>
            <w:r>
              <w:rPr>
                <w:rFonts w:ascii="Times New Roman" w:hAnsi="Times New Roman"/>
              </w:rPr>
              <w:t>Inrättar den nya koldioxidläckageförteckningen för fas 4 i EU:s utsläppshandelssystem, baserat på kriterierna för att fastställa vilka sektorer som har en avsevärd exponering för risken för koldioxidläckage</w:t>
            </w:r>
          </w:p>
        </w:tc>
        <w:tc>
          <w:tcPr>
            <w:tcW w:w="1862" w:type="dxa"/>
            <w:shd w:val="clear" w:color="auto" w:fill="CCFFCC"/>
            <w:vAlign w:val="center"/>
          </w:tcPr>
          <w:p w14:paraId="70973ED2" w14:textId="77777777" w:rsidR="0017587A" w:rsidRDefault="000E4949">
            <w:pPr>
              <w:jc w:val="center"/>
              <w:rPr>
                <w:rFonts w:ascii="Times New Roman" w:hAnsi="Times New Roman"/>
              </w:rPr>
            </w:pPr>
            <w:r>
              <w:rPr>
                <w:rFonts w:ascii="Times New Roman" w:hAnsi="Times New Roman"/>
              </w:rPr>
              <w:t>Kommissionens delegerade beslut</w:t>
            </w:r>
          </w:p>
        </w:tc>
        <w:tc>
          <w:tcPr>
            <w:tcW w:w="1994" w:type="dxa"/>
            <w:shd w:val="clear" w:color="auto" w:fill="CCFFCC"/>
            <w:vAlign w:val="center"/>
          </w:tcPr>
          <w:p w14:paraId="7551FEA3" w14:textId="77777777" w:rsidR="0017587A" w:rsidRDefault="00D4406F">
            <w:pPr>
              <w:jc w:val="center"/>
              <w:rPr>
                <w:rFonts w:ascii="Times New Roman" w:hAnsi="Times New Roman"/>
              </w:rPr>
            </w:pPr>
            <w:r>
              <w:rPr>
                <w:rFonts w:ascii="Times New Roman" w:hAnsi="Times New Roman"/>
              </w:rPr>
              <w:t xml:space="preserve">Antogs den 15 februari 2019 och offentliggjordes i </w:t>
            </w:r>
            <w:r>
              <w:rPr>
                <w:rFonts w:ascii="Times New Roman" w:hAnsi="Times New Roman"/>
                <w:i/>
              </w:rPr>
              <w:t>Europeiska unionens officiella tidning</w:t>
            </w:r>
            <w:r>
              <w:rPr>
                <w:rFonts w:ascii="Times New Roman" w:hAnsi="Times New Roman"/>
              </w:rPr>
              <w:t xml:space="preserve"> den 8 maj 2019</w:t>
            </w:r>
            <w:r>
              <w:rPr>
                <w:rStyle w:val="FootnoteReference"/>
                <w:rFonts w:ascii="Times New Roman" w:hAnsi="Times New Roman"/>
              </w:rPr>
              <w:footnoteReference w:id="81"/>
            </w:r>
          </w:p>
        </w:tc>
      </w:tr>
      <w:tr w:rsidR="0017587A" w14:paraId="2441DD23" w14:textId="77777777" w:rsidTr="00601A28">
        <w:trPr>
          <w:trHeight w:val="247"/>
        </w:trPr>
        <w:tc>
          <w:tcPr>
            <w:tcW w:w="2030" w:type="dxa"/>
            <w:shd w:val="clear" w:color="auto" w:fill="CCFFCC"/>
            <w:vAlign w:val="center"/>
          </w:tcPr>
          <w:p w14:paraId="2EAA1788" w14:textId="77777777" w:rsidR="0017587A" w:rsidRDefault="003A348D">
            <w:pPr>
              <w:rPr>
                <w:rFonts w:ascii="Times New Roman" w:hAnsi="Times New Roman"/>
              </w:rPr>
            </w:pPr>
            <w:r>
              <w:rPr>
                <w:rFonts w:ascii="Times New Roman" w:hAnsi="Times New Roman"/>
              </w:rPr>
              <w:t>Översyn av reglerna för gratis tilldelning för 2021–2030</w:t>
            </w:r>
          </w:p>
        </w:tc>
        <w:tc>
          <w:tcPr>
            <w:tcW w:w="3808" w:type="dxa"/>
            <w:shd w:val="clear" w:color="auto" w:fill="CCFFCC"/>
            <w:vAlign w:val="center"/>
          </w:tcPr>
          <w:p w14:paraId="4E558E3A" w14:textId="77777777" w:rsidR="0017587A" w:rsidRDefault="003A348D">
            <w:pPr>
              <w:rPr>
                <w:rFonts w:ascii="Times New Roman" w:hAnsi="Times New Roman"/>
              </w:rPr>
            </w:pPr>
            <w:r>
              <w:rPr>
                <w:rFonts w:ascii="Times New Roman" w:hAnsi="Times New Roman"/>
              </w:rPr>
              <w:t>En översyn av kommissionens beslut 2011/278/EU om fastställande av unionstäckande övergångsbestämmelser för harmoniserad gratis tilldelning av utsläppsrätter för att anpassa det efter det nya rättsliga sammanhanget för fas 4</w:t>
            </w:r>
          </w:p>
        </w:tc>
        <w:tc>
          <w:tcPr>
            <w:tcW w:w="1862" w:type="dxa"/>
            <w:shd w:val="clear" w:color="auto" w:fill="CCFFCC"/>
            <w:vAlign w:val="center"/>
          </w:tcPr>
          <w:p w14:paraId="433E2E66" w14:textId="77777777" w:rsidR="0017587A" w:rsidRDefault="000E4949">
            <w:pPr>
              <w:jc w:val="center"/>
              <w:rPr>
                <w:rFonts w:ascii="Times New Roman" w:hAnsi="Times New Roman"/>
              </w:rPr>
            </w:pPr>
            <w:r>
              <w:rPr>
                <w:rFonts w:ascii="Times New Roman" w:hAnsi="Times New Roman"/>
              </w:rPr>
              <w:t>Kommissionens delegerade förordning</w:t>
            </w:r>
          </w:p>
        </w:tc>
        <w:tc>
          <w:tcPr>
            <w:tcW w:w="1994" w:type="dxa"/>
            <w:shd w:val="clear" w:color="auto" w:fill="CCFFCC"/>
            <w:vAlign w:val="center"/>
          </w:tcPr>
          <w:p w14:paraId="4386C50A" w14:textId="77777777" w:rsidR="0017587A" w:rsidRDefault="00D4406F">
            <w:pPr>
              <w:jc w:val="center"/>
              <w:rPr>
                <w:rFonts w:ascii="Times New Roman" w:hAnsi="Times New Roman"/>
              </w:rPr>
            </w:pPr>
            <w:r>
              <w:rPr>
                <w:rFonts w:ascii="Times New Roman" w:hAnsi="Times New Roman"/>
              </w:rPr>
              <w:t xml:space="preserve">Antogs den 19 december 2018 och offentliggjordes i </w:t>
            </w:r>
            <w:r>
              <w:rPr>
                <w:rFonts w:ascii="Times New Roman" w:hAnsi="Times New Roman"/>
                <w:i/>
              </w:rPr>
              <w:t>Europeiska unionens officiella tidning</w:t>
            </w:r>
            <w:r>
              <w:rPr>
                <w:rFonts w:ascii="Times New Roman" w:hAnsi="Times New Roman"/>
              </w:rPr>
              <w:t xml:space="preserve"> den 27 februari 2019</w:t>
            </w:r>
            <w:r>
              <w:rPr>
                <w:rStyle w:val="FootnoteReference"/>
                <w:rFonts w:ascii="Times New Roman" w:hAnsi="Times New Roman"/>
              </w:rPr>
              <w:footnoteReference w:id="82"/>
            </w:r>
          </w:p>
        </w:tc>
      </w:tr>
      <w:tr w:rsidR="0017587A" w14:paraId="16B65DAE" w14:textId="77777777" w:rsidTr="00601A28">
        <w:trPr>
          <w:trHeight w:val="247"/>
        </w:trPr>
        <w:tc>
          <w:tcPr>
            <w:tcW w:w="2030" w:type="dxa"/>
            <w:shd w:val="clear" w:color="auto" w:fill="FFFFCC"/>
            <w:vAlign w:val="center"/>
          </w:tcPr>
          <w:p w14:paraId="0DCD4CA7" w14:textId="77777777" w:rsidR="0017587A" w:rsidRDefault="003A348D">
            <w:pPr>
              <w:rPr>
                <w:rFonts w:ascii="Times New Roman" w:hAnsi="Times New Roman"/>
              </w:rPr>
            </w:pPr>
            <w:r>
              <w:rPr>
                <w:rFonts w:ascii="Times New Roman" w:hAnsi="Times New Roman"/>
              </w:rPr>
              <w:t>Justering av gratis tilldelning till följd av förändringar i produktionen</w:t>
            </w:r>
          </w:p>
        </w:tc>
        <w:tc>
          <w:tcPr>
            <w:tcW w:w="3808" w:type="dxa"/>
            <w:shd w:val="clear" w:color="auto" w:fill="FFFFCC"/>
            <w:vAlign w:val="center"/>
          </w:tcPr>
          <w:p w14:paraId="18025A58" w14:textId="77777777" w:rsidR="0017587A" w:rsidRDefault="003A348D">
            <w:pPr>
              <w:rPr>
                <w:rFonts w:ascii="Times New Roman" w:hAnsi="Times New Roman"/>
              </w:rPr>
            </w:pPr>
            <w:r>
              <w:rPr>
                <w:rFonts w:ascii="Times New Roman" w:hAnsi="Times New Roman"/>
              </w:rPr>
              <w:t>Utformning av lösningarna för att justera nivån på tilldelningen av gratis utsläppsrätter för anläggningar på grundval av höjningar eller sänkningar i driftsnivån på mer än 15 % i genomsnitt under en tvåårsperiod</w:t>
            </w:r>
          </w:p>
        </w:tc>
        <w:tc>
          <w:tcPr>
            <w:tcW w:w="1862" w:type="dxa"/>
            <w:shd w:val="clear" w:color="auto" w:fill="FFFFCC"/>
            <w:vAlign w:val="center"/>
          </w:tcPr>
          <w:p w14:paraId="2D5093DF" w14:textId="77777777" w:rsidR="0017587A" w:rsidRDefault="00D4406F">
            <w:pPr>
              <w:jc w:val="center"/>
              <w:rPr>
                <w:rFonts w:ascii="Times New Roman" w:hAnsi="Times New Roman"/>
              </w:rPr>
            </w:pPr>
            <w:r>
              <w:rPr>
                <w:rFonts w:ascii="Times New Roman" w:hAnsi="Times New Roman"/>
              </w:rPr>
              <w:t>Kommissionens genomförandeförordning</w:t>
            </w:r>
          </w:p>
        </w:tc>
        <w:tc>
          <w:tcPr>
            <w:tcW w:w="1994" w:type="dxa"/>
            <w:shd w:val="clear" w:color="auto" w:fill="FFFFCC"/>
            <w:vAlign w:val="center"/>
          </w:tcPr>
          <w:p w14:paraId="0745AACE" w14:textId="77777777" w:rsidR="0017587A" w:rsidRDefault="003A348D">
            <w:pPr>
              <w:jc w:val="center"/>
              <w:rPr>
                <w:rFonts w:ascii="Times New Roman" w:hAnsi="Times New Roman"/>
              </w:rPr>
            </w:pPr>
            <w:r>
              <w:rPr>
                <w:rFonts w:ascii="Times New Roman" w:hAnsi="Times New Roman"/>
              </w:rPr>
              <w:t>2019</w:t>
            </w:r>
          </w:p>
        </w:tc>
      </w:tr>
      <w:tr w:rsidR="0017587A" w14:paraId="1EEE4228" w14:textId="77777777" w:rsidTr="00601A28">
        <w:trPr>
          <w:trHeight w:val="247"/>
        </w:trPr>
        <w:tc>
          <w:tcPr>
            <w:tcW w:w="2030" w:type="dxa"/>
            <w:vAlign w:val="center"/>
          </w:tcPr>
          <w:p w14:paraId="6D34A291" w14:textId="77777777" w:rsidR="0017587A" w:rsidRDefault="003A348D">
            <w:pPr>
              <w:rPr>
                <w:rFonts w:ascii="Times New Roman" w:hAnsi="Times New Roman"/>
              </w:rPr>
            </w:pPr>
            <w:r>
              <w:rPr>
                <w:rFonts w:ascii="Times New Roman" w:hAnsi="Times New Roman"/>
              </w:rPr>
              <w:t>Uppdatering av riktmärkesvärdena för gratis tilldelning för 2021–2025</w:t>
            </w:r>
          </w:p>
        </w:tc>
        <w:tc>
          <w:tcPr>
            <w:tcW w:w="3808" w:type="dxa"/>
            <w:vAlign w:val="center"/>
          </w:tcPr>
          <w:p w14:paraId="174D8406" w14:textId="77777777" w:rsidR="0017587A" w:rsidRDefault="003A348D">
            <w:pPr>
              <w:rPr>
                <w:rFonts w:ascii="Times New Roman" w:hAnsi="Times New Roman"/>
              </w:rPr>
            </w:pPr>
            <w:r>
              <w:rPr>
                <w:rFonts w:ascii="Times New Roman" w:hAnsi="Times New Roman"/>
              </w:rPr>
              <w:t>Fastställande av uppdaterade riktmärken för 2021–2025 på grundval av de uppgifter som medlemsstaterna lämnat in den 30 september 2019 för åren 2016 och 2017</w:t>
            </w:r>
          </w:p>
        </w:tc>
        <w:tc>
          <w:tcPr>
            <w:tcW w:w="1862" w:type="dxa"/>
            <w:vAlign w:val="center"/>
          </w:tcPr>
          <w:p w14:paraId="13CE8AA9" w14:textId="77777777" w:rsidR="0017587A" w:rsidRDefault="003A348D">
            <w:pPr>
              <w:jc w:val="center"/>
              <w:rPr>
                <w:rFonts w:ascii="Times New Roman" w:hAnsi="Times New Roman"/>
              </w:rPr>
            </w:pPr>
            <w:r>
              <w:rPr>
                <w:rFonts w:ascii="Times New Roman" w:hAnsi="Times New Roman"/>
              </w:rPr>
              <w:t>Genomförandeakt</w:t>
            </w:r>
          </w:p>
        </w:tc>
        <w:tc>
          <w:tcPr>
            <w:tcW w:w="1994" w:type="dxa"/>
            <w:vAlign w:val="center"/>
          </w:tcPr>
          <w:p w14:paraId="75AA3CE0" w14:textId="77777777" w:rsidR="0017587A" w:rsidRDefault="003A348D">
            <w:pPr>
              <w:jc w:val="center"/>
              <w:rPr>
                <w:rFonts w:ascii="Times New Roman" w:hAnsi="Times New Roman"/>
              </w:rPr>
            </w:pPr>
            <w:r>
              <w:rPr>
                <w:rFonts w:ascii="Times New Roman" w:hAnsi="Times New Roman"/>
              </w:rPr>
              <w:t>2020</w:t>
            </w:r>
          </w:p>
        </w:tc>
      </w:tr>
      <w:tr w:rsidR="0017587A" w14:paraId="3FC676C8" w14:textId="77777777" w:rsidTr="00601A28">
        <w:trPr>
          <w:trHeight w:val="259"/>
        </w:trPr>
        <w:tc>
          <w:tcPr>
            <w:tcW w:w="2030" w:type="dxa"/>
            <w:shd w:val="clear" w:color="auto" w:fill="CCFFCC"/>
            <w:vAlign w:val="center"/>
          </w:tcPr>
          <w:p w14:paraId="356CB7D9" w14:textId="77777777" w:rsidR="0017587A" w:rsidRDefault="003A348D">
            <w:pPr>
              <w:rPr>
                <w:rFonts w:ascii="Times New Roman" w:hAnsi="Times New Roman"/>
              </w:rPr>
            </w:pPr>
            <w:r>
              <w:rPr>
                <w:rFonts w:ascii="Times New Roman" w:hAnsi="Times New Roman"/>
              </w:rPr>
              <w:t>Inrättande av innovationsfonden</w:t>
            </w:r>
          </w:p>
        </w:tc>
        <w:tc>
          <w:tcPr>
            <w:tcW w:w="3808" w:type="dxa"/>
            <w:shd w:val="clear" w:color="auto" w:fill="CCFFCC"/>
            <w:vAlign w:val="center"/>
          </w:tcPr>
          <w:p w14:paraId="26D5C5F7" w14:textId="77777777" w:rsidR="0017587A" w:rsidRDefault="003A348D">
            <w:pPr>
              <w:rPr>
                <w:rFonts w:ascii="Times New Roman" w:hAnsi="Times New Roman"/>
              </w:rPr>
            </w:pPr>
            <w:r>
              <w:rPr>
                <w:rFonts w:ascii="Times New Roman" w:hAnsi="Times New Roman"/>
              </w:rPr>
              <w:t>Fastställande av reglerna för innovationsfondens verksamhet, däribland urvalsförfarandet och kriterierna.</w:t>
            </w:r>
          </w:p>
        </w:tc>
        <w:tc>
          <w:tcPr>
            <w:tcW w:w="1862" w:type="dxa"/>
            <w:shd w:val="clear" w:color="auto" w:fill="CCFFCC"/>
            <w:vAlign w:val="center"/>
          </w:tcPr>
          <w:p w14:paraId="72186F2B" w14:textId="77777777" w:rsidR="0017587A" w:rsidRDefault="000E4949">
            <w:pPr>
              <w:jc w:val="center"/>
              <w:rPr>
                <w:rFonts w:ascii="Times New Roman" w:hAnsi="Times New Roman"/>
              </w:rPr>
            </w:pPr>
            <w:r>
              <w:rPr>
                <w:rFonts w:ascii="Times New Roman" w:hAnsi="Times New Roman"/>
              </w:rPr>
              <w:t>Kommissionens delegerade förordning</w:t>
            </w:r>
          </w:p>
        </w:tc>
        <w:tc>
          <w:tcPr>
            <w:tcW w:w="1994" w:type="dxa"/>
            <w:shd w:val="clear" w:color="auto" w:fill="CCFFCC"/>
            <w:vAlign w:val="center"/>
          </w:tcPr>
          <w:p w14:paraId="2E6DA7AD" w14:textId="77777777" w:rsidR="0017587A" w:rsidRDefault="000E7891">
            <w:pPr>
              <w:jc w:val="center"/>
              <w:rPr>
                <w:rFonts w:ascii="Times New Roman" w:hAnsi="Times New Roman"/>
              </w:rPr>
            </w:pPr>
            <w:r>
              <w:rPr>
                <w:rFonts w:ascii="Times New Roman" w:hAnsi="Times New Roman"/>
              </w:rPr>
              <w:t xml:space="preserve">Antogs den 26 februari 2019 och offentliggjordes i </w:t>
            </w:r>
            <w:r>
              <w:rPr>
                <w:rFonts w:ascii="Times New Roman" w:hAnsi="Times New Roman"/>
                <w:i/>
              </w:rPr>
              <w:t>Europeiska unionens officiella tidning</w:t>
            </w:r>
            <w:r>
              <w:rPr>
                <w:rFonts w:ascii="Times New Roman" w:hAnsi="Times New Roman"/>
              </w:rPr>
              <w:t xml:space="preserve"> den 28 maj 2019</w:t>
            </w:r>
            <w:r>
              <w:rPr>
                <w:rStyle w:val="FootnoteReference"/>
                <w:rFonts w:ascii="Times New Roman" w:hAnsi="Times New Roman"/>
              </w:rPr>
              <w:footnoteReference w:id="83"/>
            </w:r>
          </w:p>
        </w:tc>
      </w:tr>
      <w:tr w:rsidR="0017587A" w14:paraId="545A3AA7" w14:textId="77777777" w:rsidTr="00601A28">
        <w:trPr>
          <w:trHeight w:val="154"/>
        </w:trPr>
        <w:tc>
          <w:tcPr>
            <w:tcW w:w="2030" w:type="dxa"/>
            <w:shd w:val="clear" w:color="auto" w:fill="FFFFCC"/>
            <w:vAlign w:val="center"/>
          </w:tcPr>
          <w:p w14:paraId="3BC7B5D1" w14:textId="77777777" w:rsidR="0017587A" w:rsidRDefault="003A348D">
            <w:pPr>
              <w:rPr>
                <w:rFonts w:ascii="Times New Roman" w:hAnsi="Times New Roman"/>
              </w:rPr>
            </w:pPr>
            <w:r>
              <w:rPr>
                <w:rFonts w:ascii="Times New Roman" w:hAnsi="Times New Roman"/>
              </w:rPr>
              <w:t>Inrättande av moderniseringsfonden</w:t>
            </w:r>
          </w:p>
        </w:tc>
        <w:tc>
          <w:tcPr>
            <w:tcW w:w="3808" w:type="dxa"/>
            <w:shd w:val="clear" w:color="auto" w:fill="FFFFCC"/>
            <w:vAlign w:val="center"/>
          </w:tcPr>
          <w:p w14:paraId="7796E0A0" w14:textId="77777777" w:rsidR="0017587A" w:rsidRDefault="003A348D">
            <w:pPr>
              <w:rPr>
                <w:rFonts w:ascii="Times New Roman" w:hAnsi="Times New Roman"/>
              </w:rPr>
            </w:pPr>
            <w:r>
              <w:rPr>
                <w:rFonts w:ascii="Times New Roman" w:hAnsi="Times New Roman"/>
              </w:rPr>
              <w:t>Fastställande av reglerna för moderniseringsfondens verksamhet.</w:t>
            </w:r>
          </w:p>
        </w:tc>
        <w:tc>
          <w:tcPr>
            <w:tcW w:w="1862" w:type="dxa"/>
            <w:shd w:val="clear" w:color="auto" w:fill="FFFFCC"/>
            <w:vAlign w:val="center"/>
          </w:tcPr>
          <w:p w14:paraId="723441D3" w14:textId="77777777" w:rsidR="0017587A" w:rsidRDefault="003A348D">
            <w:pPr>
              <w:jc w:val="center"/>
              <w:rPr>
                <w:rFonts w:ascii="Times New Roman" w:hAnsi="Times New Roman"/>
              </w:rPr>
            </w:pPr>
            <w:r>
              <w:rPr>
                <w:rFonts w:ascii="Times New Roman" w:hAnsi="Times New Roman"/>
              </w:rPr>
              <w:t>Genomförandeakt</w:t>
            </w:r>
          </w:p>
        </w:tc>
        <w:tc>
          <w:tcPr>
            <w:tcW w:w="1994" w:type="dxa"/>
            <w:shd w:val="clear" w:color="auto" w:fill="FFFFCC"/>
            <w:vAlign w:val="center"/>
          </w:tcPr>
          <w:p w14:paraId="59CE247A" w14:textId="77777777" w:rsidR="0017587A" w:rsidRDefault="003A348D">
            <w:pPr>
              <w:jc w:val="center"/>
              <w:rPr>
                <w:rFonts w:ascii="Times New Roman" w:hAnsi="Times New Roman"/>
              </w:rPr>
            </w:pPr>
            <w:r>
              <w:rPr>
                <w:rFonts w:ascii="Times New Roman" w:hAnsi="Times New Roman"/>
              </w:rPr>
              <w:t>2020</w:t>
            </w:r>
          </w:p>
        </w:tc>
      </w:tr>
      <w:tr w:rsidR="0017587A" w14:paraId="657BE359" w14:textId="77777777" w:rsidTr="00601A28">
        <w:trPr>
          <w:trHeight w:val="154"/>
        </w:trPr>
        <w:tc>
          <w:tcPr>
            <w:tcW w:w="2030" w:type="dxa"/>
            <w:shd w:val="clear" w:color="auto" w:fill="CCFFCC"/>
            <w:vAlign w:val="center"/>
          </w:tcPr>
          <w:p w14:paraId="24890CCF" w14:textId="77777777" w:rsidR="0017587A" w:rsidRDefault="003A348D">
            <w:pPr>
              <w:rPr>
                <w:rFonts w:ascii="Times New Roman" w:hAnsi="Times New Roman"/>
              </w:rPr>
            </w:pPr>
            <w:r>
              <w:rPr>
                <w:rFonts w:ascii="Times New Roman" w:hAnsi="Times New Roman"/>
              </w:rPr>
              <w:t>Översyn av förordning (EU) nr 389/2013 (förordningen om ett unionsregister)</w:t>
            </w:r>
          </w:p>
        </w:tc>
        <w:tc>
          <w:tcPr>
            <w:tcW w:w="3808" w:type="dxa"/>
            <w:shd w:val="clear" w:color="auto" w:fill="CCFFCC"/>
            <w:vAlign w:val="center"/>
          </w:tcPr>
          <w:p w14:paraId="38BD2981" w14:textId="77777777" w:rsidR="0017587A" w:rsidRDefault="003A348D">
            <w:pPr>
              <w:rPr>
                <w:rFonts w:ascii="Times New Roman" w:hAnsi="Times New Roman"/>
              </w:rPr>
            </w:pPr>
            <w:r>
              <w:rPr>
                <w:rFonts w:ascii="Times New Roman" w:hAnsi="Times New Roman"/>
              </w:rPr>
              <w:t>Fastställande av kraven för unionsregistret för fas 4 i form av standardiserade elektroniska databaser som innehåller gemensamma dataelement för att spåra utfärdande, innehav, överföring och annullering av utsläppsrätter samt införa bestämmelser om allmän tillgång och konfidentialitet</w:t>
            </w:r>
          </w:p>
        </w:tc>
        <w:tc>
          <w:tcPr>
            <w:tcW w:w="1862" w:type="dxa"/>
            <w:shd w:val="clear" w:color="auto" w:fill="CCFFCC"/>
            <w:vAlign w:val="center"/>
          </w:tcPr>
          <w:p w14:paraId="4BEE1E91" w14:textId="77777777" w:rsidR="0017587A" w:rsidRDefault="000E4949">
            <w:pPr>
              <w:jc w:val="center"/>
              <w:rPr>
                <w:rFonts w:ascii="Times New Roman" w:hAnsi="Times New Roman"/>
              </w:rPr>
            </w:pPr>
            <w:r>
              <w:rPr>
                <w:rFonts w:ascii="Times New Roman" w:hAnsi="Times New Roman"/>
              </w:rPr>
              <w:t>Kommissionens delegerade förordning</w:t>
            </w:r>
          </w:p>
        </w:tc>
        <w:tc>
          <w:tcPr>
            <w:tcW w:w="1994" w:type="dxa"/>
            <w:shd w:val="clear" w:color="auto" w:fill="CCFFCC"/>
            <w:vAlign w:val="center"/>
          </w:tcPr>
          <w:p w14:paraId="09177F50" w14:textId="77777777" w:rsidR="0017587A" w:rsidRDefault="00970C68">
            <w:pPr>
              <w:jc w:val="center"/>
              <w:rPr>
                <w:rFonts w:ascii="Times New Roman" w:hAnsi="Times New Roman"/>
              </w:rPr>
            </w:pPr>
            <w:r>
              <w:rPr>
                <w:rFonts w:ascii="Times New Roman" w:hAnsi="Times New Roman"/>
              </w:rPr>
              <w:t xml:space="preserve">Antogs den 12 mars 2019 och offentliggjordes i </w:t>
            </w:r>
            <w:r>
              <w:rPr>
                <w:rFonts w:ascii="Times New Roman" w:hAnsi="Times New Roman"/>
                <w:i/>
              </w:rPr>
              <w:t>Europeiska unionens officiella tidning</w:t>
            </w:r>
            <w:r>
              <w:rPr>
                <w:rFonts w:ascii="Times New Roman" w:hAnsi="Times New Roman"/>
              </w:rPr>
              <w:t xml:space="preserve"> den 2 juli 2019</w:t>
            </w:r>
            <w:r>
              <w:rPr>
                <w:rStyle w:val="FootnoteReference"/>
                <w:rFonts w:ascii="Times New Roman" w:hAnsi="Times New Roman"/>
              </w:rPr>
              <w:footnoteReference w:id="84"/>
            </w:r>
          </w:p>
        </w:tc>
      </w:tr>
      <w:tr w:rsidR="0017587A" w14:paraId="3E6D4906" w14:textId="77777777" w:rsidTr="00601A28">
        <w:trPr>
          <w:trHeight w:val="154"/>
        </w:trPr>
        <w:tc>
          <w:tcPr>
            <w:tcW w:w="2030" w:type="dxa"/>
            <w:shd w:val="clear" w:color="auto" w:fill="CCFFCC"/>
            <w:vAlign w:val="center"/>
          </w:tcPr>
          <w:p w14:paraId="5CCDAB84" w14:textId="77777777" w:rsidR="0017587A" w:rsidRDefault="003A348D">
            <w:pPr>
              <w:rPr>
                <w:rFonts w:ascii="Times New Roman" w:hAnsi="Times New Roman"/>
              </w:rPr>
            </w:pPr>
            <w:r>
              <w:rPr>
                <w:rFonts w:ascii="Times New Roman" w:hAnsi="Times New Roman"/>
              </w:rPr>
              <w:t>Ändring av förordning (EU) nr 1031/2010 (auktioneringsförordningen)</w:t>
            </w:r>
          </w:p>
        </w:tc>
        <w:tc>
          <w:tcPr>
            <w:tcW w:w="3808" w:type="dxa"/>
            <w:shd w:val="clear" w:color="auto" w:fill="CCFFCC"/>
            <w:vAlign w:val="center"/>
          </w:tcPr>
          <w:p w14:paraId="5939CD27" w14:textId="77777777" w:rsidR="0017587A" w:rsidRDefault="003A348D">
            <w:pPr>
              <w:rPr>
                <w:rFonts w:ascii="Times New Roman" w:hAnsi="Times New Roman"/>
              </w:rPr>
            </w:pPr>
            <w:r>
              <w:rPr>
                <w:rFonts w:ascii="Times New Roman" w:hAnsi="Times New Roman"/>
              </w:rPr>
              <w:t>Möjliggöra auktioneringen av de första 50 miljoner utsläppsrätter för innovationsfonden som tagits från reserven för marknadsstabilitet under 2020</w:t>
            </w:r>
          </w:p>
        </w:tc>
        <w:tc>
          <w:tcPr>
            <w:tcW w:w="1862" w:type="dxa"/>
            <w:shd w:val="clear" w:color="auto" w:fill="CCFFCC"/>
            <w:vAlign w:val="center"/>
          </w:tcPr>
          <w:p w14:paraId="19804815" w14:textId="77777777" w:rsidR="0017587A" w:rsidRDefault="00EE5825">
            <w:pPr>
              <w:jc w:val="center"/>
              <w:rPr>
                <w:rFonts w:ascii="Times New Roman" w:hAnsi="Times New Roman"/>
              </w:rPr>
            </w:pPr>
            <w:r>
              <w:rPr>
                <w:rFonts w:ascii="Times New Roman" w:hAnsi="Times New Roman"/>
              </w:rPr>
              <w:t>Kommissionens delegerade förordning</w:t>
            </w:r>
          </w:p>
        </w:tc>
        <w:tc>
          <w:tcPr>
            <w:tcW w:w="1994" w:type="dxa"/>
            <w:shd w:val="clear" w:color="auto" w:fill="CCFFCC"/>
            <w:vAlign w:val="center"/>
          </w:tcPr>
          <w:p w14:paraId="695A0B38" w14:textId="77777777" w:rsidR="0017587A" w:rsidRDefault="00EE5825">
            <w:pPr>
              <w:jc w:val="center"/>
              <w:rPr>
                <w:rFonts w:ascii="Times New Roman" w:hAnsi="Times New Roman"/>
              </w:rPr>
            </w:pPr>
            <w:r>
              <w:rPr>
                <w:rFonts w:ascii="Times New Roman" w:hAnsi="Times New Roman"/>
              </w:rPr>
              <w:t xml:space="preserve">Antogs den 30 oktober 2018 och offentliggjordes i </w:t>
            </w:r>
            <w:r>
              <w:rPr>
                <w:rFonts w:ascii="Times New Roman" w:hAnsi="Times New Roman"/>
                <w:i/>
              </w:rPr>
              <w:t>Europeiska unionens officiella tidning</w:t>
            </w:r>
            <w:r>
              <w:rPr>
                <w:rFonts w:ascii="Times New Roman" w:hAnsi="Times New Roman"/>
              </w:rPr>
              <w:t xml:space="preserve"> den 4 januari 2019</w:t>
            </w:r>
            <w:r>
              <w:rPr>
                <w:rStyle w:val="FootnoteReference"/>
                <w:rFonts w:ascii="Times New Roman" w:hAnsi="Times New Roman"/>
              </w:rPr>
              <w:footnoteReference w:id="85"/>
            </w:r>
          </w:p>
        </w:tc>
      </w:tr>
      <w:tr w:rsidR="0017587A" w14:paraId="1734A4E3" w14:textId="77777777" w:rsidTr="00601A28">
        <w:trPr>
          <w:trHeight w:val="154"/>
        </w:trPr>
        <w:tc>
          <w:tcPr>
            <w:tcW w:w="2030" w:type="dxa"/>
            <w:shd w:val="clear" w:color="auto" w:fill="FFFFCC"/>
            <w:vAlign w:val="center"/>
          </w:tcPr>
          <w:p w14:paraId="01973151" w14:textId="77777777" w:rsidR="0017587A" w:rsidRDefault="003A348D">
            <w:pPr>
              <w:rPr>
                <w:rFonts w:ascii="Times New Roman" w:hAnsi="Times New Roman"/>
              </w:rPr>
            </w:pPr>
            <w:r>
              <w:rPr>
                <w:rFonts w:ascii="Times New Roman" w:hAnsi="Times New Roman"/>
              </w:rPr>
              <w:t>Översyn av förordning (EU) nr 1031/2010 (auktioneringsförordningen)</w:t>
            </w:r>
          </w:p>
        </w:tc>
        <w:tc>
          <w:tcPr>
            <w:tcW w:w="3808" w:type="dxa"/>
            <w:shd w:val="clear" w:color="auto" w:fill="FFFFCC"/>
            <w:vAlign w:val="center"/>
          </w:tcPr>
          <w:p w14:paraId="204BA481" w14:textId="77777777" w:rsidR="0017587A" w:rsidRDefault="003A348D">
            <w:pPr>
              <w:spacing w:after="120"/>
              <w:rPr>
                <w:rFonts w:ascii="Times New Roman" w:hAnsi="Times New Roman"/>
              </w:rPr>
            </w:pPr>
            <w:r>
              <w:rPr>
                <w:rFonts w:ascii="Times New Roman" w:hAnsi="Times New Roman"/>
              </w:rPr>
              <w:t>Ändring av vissa aspekter av auktioneringsförfarandet för att genomföra krav för fas 4, framför allt för att möjliggöra auktionering av utsläppsrätter för innovationsfonden och moderniseringsfonden och för att avspegla klassificeringen av utsläppsrätter i EU:s utsläppshandelssystem som finansiella instrument enligt direktiv 2014/65/EU om marknader för finansiella instrument (Mifid II)</w:t>
            </w:r>
          </w:p>
        </w:tc>
        <w:tc>
          <w:tcPr>
            <w:tcW w:w="1862" w:type="dxa"/>
            <w:shd w:val="clear" w:color="auto" w:fill="FFFFCC"/>
            <w:vAlign w:val="center"/>
          </w:tcPr>
          <w:p w14:paraId="10F2A58F" w14:textId="77777777" w:rsidR="0017587A" w:rsidRDefault="003A348D">
            <w:pPr>
              <w:jc w:val="center"/>
              <w:rPr>
                <w:rFonts w:ascii="Times New Roman" w:hAnsi="Times New Roman"/>
              </w:rPr>
            </w:pPr>
            <w:r>
              <w:rPr>
                <w:rFonts w:ascii="Times New Roman" w:hAnsi="Times New Roman"/>
              </w:rPr>
              <w:t>Delegerad akt</w:t>
            </w:r>
          </w:p>
        </w:tc>
        <w:tc>
          <w:tcPr>
            <w:tcW w:w="1994" w:type="dxa"/>
            <w:shd w:val="clear" w:color="auto" w:fill="FFFFCC"/>
            <w:vAlign w:val="center"/>
          </w:tcPr>
          <w:p w14:paraId="47C622DF" w14:textId="77777777" w:rsidR="0017587A" w:rsidRDefault="003A348D">
            <w:pPr>
              <w:jc w:val="center"/>
              <w:rPr>
                <w:rFonts w:ascii="Times New Roman" w:hAnsi="Times New Roman"/>
              </w:rPr>
            </w:pPr>
            <w:r>
              <w:rPr>
                <w:rFonts w:ascii="Times New Roman" w:hAnsi="Times New Roman"/>
              </w:rPr>
              <w:t>2019</w:t>
            </w:r>
          </w:p>
        </w:tc>
      </w:tr>
      <w:tr w:rsidR="0017587A" w14:paraId="10BEBB1D" w14:textId="77777777" w:rsidTr="00601A28">
        <w:trPr>
          <w:trHeight w:val="154"/>
        </w:trPr>
        <w:tc>
          <w:tcPr>
            <w:tcW w:w="2030" w:type="dxa"/>
            <w:shd w:val="clear" w:color="auto" w:fill="CCFFCC"/>
            <w:vAlign w:val="center"/>
          </w:tcPr>
          <w:p w14:paraId="59A6486B" w14:textId="77777777" w:rsidR="0017587A" w:rsidRDefault="003A348D">
            <w:pPr>
              <w:rPr>
                <w:rFonts w:ascii="Times New Roman" w:hAnsi="Times New Roman"/>
              </w:rPr>
            </w:pPr>
            <w:r>
              <w:rPr>
                <w:rFonts w:ascii="Times New Roman" w:hAnsi="Times New Roman"/>
              </w:rPr>
              <w:t>Översyn av förordning (EU) nr 601/2012 om övervakning och rapportering</w:t>
            </w:r>
          </w:p>
        </w:tc>
        <w:tc>
          <w:tcPr>
            <w:tcW w:w="3808" w:type="dxa"/>
            <w:shd w:val="clear" w:color="auto" w:fill="CCFFCC"/>
            <w:vAlign w:val="center"/>
          </w:tcPr>
          <w:p w14:paraId="5B35144D" w14:textId="77777777" w:rsidR="0017587A" w:rsidRDefault="003A348D">
            <w:pPr>
              <w:rPr>
                <w:rFonts w:ascii="Times New Roman" w:hAnsi="Times New Roman"/>
              </w:rPr>
            </w:pPr>
            <w:r>
              <w:rPr>
                <w:rFonts w:ascii="Times New Roman" w:hAnsi="Times New Roman"/>
              </w:rPr>
              <w:t>Förenkla, förbättra och förtydliga övervaknings- och rapporteringsreglerna och minska den administrativa bördan, med utgångspunkt i erfarenheterna av genomförandet under fas 3</w:t>
            </w:r>
          </w:p>
        </w:tc>
        <w:tc>
          <w:tcPr>
            <w:tcW w:w="1862" w:type="dxa"/>
            <w:shd w:val="clear" w:color="auto" w:fill="CCFFCC"/>
            <w:vAlign w:val="center"/>
          </w:tcPr>
          <w:p w14:paraId="1E58A93D" w14:textId="77777777" w:rsidR="0017587A" w:rsidRDefault="002A3783">
            <w:pPr>
              <w:jc w:val="center"/>
              <w:rPr>
                <w:rFonts w:ascii="Times New Roman" w:hAnsi="Times New Roman"/>
              </w:rPr>
            </w:pPr>
            <w:r>
              <w:rPr>
                <w:rFonts w:ascii="Times New Roman" w:hAnsi="Times New Roman"/>
              </w:rPr>
              <w:t>Kommissionens genomförandeförordning</w:t>
            </w:r>
          </w:p>
        </w:tc>
        <w:tc>
          <w:tcPr>
            <w:tcW w:w="1994" w:type="dxa"/>
            <w:shd w:val="clear" w:color="auto" w:fill="CCFFCC"/>
            <w:vAlign w:val="center"/>
          </w:tcPr>
          <w:p w14:paraId="4A6145C7" w14:textId="77777777" w:rsidR="0017587A" w:rsidRDefault="009A6369">
            <w:pPr>
              <w:jc w:val="center"/>
              <w:rPr>
                <w:rFonts w:ascii="Times New Roman" w:hAnsi="Times New Roman"/>
              </w:rPr>
            </w:pPr>
            <w:r>
              <w:rPr>
                <w:rFonts w:ascii="Times New Roman" w:hAnsi="Times New Roman"/>
              </w:rPr>
              <w:t xml:space="preserve">Antogs den 19 december 2018 och offentliggjordes i </w:t>
            </w:r>
            <w:r>
              <w:rPr>
                <w:rFonts w:ascii="Times New Roman" w:hAnsi="Times New Roman"/>
                <w:i/>
              </w:rPr>
              <w:t>Europeiska unionens officiella tidning</w:t>
            </w:r>
            <w:r>
              <w:rPr>
                <w:rFonts w:ascii="Times New Roman" w:hAnsi="Times New Roman"/>
              </w:rPr>
              <w:t xml:space="preserve"> den 31 december 2018</w:t>
            </w:r>
            <w:r>
              <w:rPr>
                <w:rStyle w:val="FootnoteReference"/>
                <w:rFonts w:ascii="Times New Roman" w:hAnsi="Times New Roman"/>
              </w:rPr>
              <w:footnoteReference w:id="86"/>
            </w:r>
          </w:p>
        </w:tc>
      </w:tr>
      <w:tr w:rsidR="0017587A" w14:paraId="7F53BE0B" w14:textId="77777777" w:rsidTr="00A324A5">
        <w:trPr>
          <w:trHeight w:val="154"/>
        </w:trPr>
        <w:tc>
          <w:tcPr>
            <w:tcW w:w="2030" w:type="dxa"/>
            <w:tcBorders>
              <w:bottom w:val="double" w:sz="4" w:space="0" w:color="auto"/>
            </w:tcBorders>
            <w:shd w:val="clear" w:color="auto" w:fill="CCFFCC"/>
            <w:vAlign w:val="center"/>
          </w:tcPr>
          <w:p w14:paraId="001CF685" w14:textId="77777777" w:rsidR="0017587A" w:rsidRDefault="003A348D">
            <w:pPr>
              <w:rPr>
                <w:rFonts w:ascii="Times New Roman" w:hAnsi="Times New Roman"/>
              </w:rPr>
            </w:pPr>
            <w:r>
              <w:rPr>
                <w:rFonts w:ascii="Times New Roman" w:hAnsi="Times New Roman"/>
              </w:rPr>
              <w:t>Översyn av förordning (EU) nr 600/2012 om verifiering och ackreditering</w:t>
            </w:r>
          </w:p>
        </w:tc>
        <w:tc>
          <w:tcPr>
            <w:tcW w:w="3808" w:type="dxa"/>
            <w:tcBorders>
              <w:bottom w:val="double" w:sz="4" w:space="0" w:color="auto"/>
            </w:tcBorders>
            <w:shd w:val="clear" w:color="auto" w:fill="CCFFCC"/>
            <w:vAlign w:val="center"/>
          </w:tcPr>
          <w:p w14:paraId="7229FB85" w14:textId="77777777" w:rsidR="0017587A" w:rsidRDefault="003A348D">
            <w:pPr>
              <w:rPr>
                <w:rFonts w:ascii="Times New Roman" w:hAnsi="Times New Roman"/>
              </w:rPr>
            </w:pPr>
            <w:r>
              <w:rPr>
                <w:rFonts w:ascii="Times New Roman" w:hAnsi="Times New Roman"/>
              </w:rPr>
              <w:t>Förenkla, förbättra och förtydliga ackrediterings- och verifieringsreglerna och minska den administrativa bördan så mycket som möjligt, med utgångspunkt i erfarenheterna av genomförandet under fas 3</w:t>
            </w:r>
          </w:p>
        </w:tc>
        <w:tc>
          <w:tcPr>
            <w:tcW w:w="1862" w:type="dxa"/>
            <w:tcBorders>
              <w:bottom w:val="double" w:sz="4" w:space="0" w:color="auto"/>
            </w:tcBorders>
            <w:shd w:val="clear" w:color="auto" w:fill="CCFFCC"/>
            <w:vAlign w:val="center"/>
          </w:tcPr>
          <w:p w14:paraId="4FA307CA" w14:textId="77777777" w:rsidR="0017587A" w:rsidRDefault="009A6369">
            <w:pPr>
              <w:jc w:val="center"/>
              <w:rPr>
                <w:rFonts w:ascii="Times New Roman" w:hAnsi="Times New Roman"/>
              </w:rPr>
            </w:pPr>
            <w:r>
              <w:rPr>
                <w:rFonts w:ascii="Times New Roman" w:hAnsi="Times New Roman"/>
              </w:rPr>
              <w:t xml:space="preserve">Kommissionens genomförandeförordning </w:t>
            </w:r>
          </w:p>
        </w:tc>
        <w:tc>
          <w:tcPr>
            <w:tcW w:w="1994" w:type="dxa"/>
            <w:tcBorders>
              <w:bottom w:val="double" w:sz="4" w:space="0" w:color="auto"/>
            </w:tcBorders>
            <w:shd w:val="clear" w:color="auto" w:fill="CCFFCC"/>
            <w:vAlign w:val="center"/>
          </w:tcPr>
          <w:p w14:paraId="3C6EBCF4" w14:textId="77777777" w:rsidR="0017587A" w:rsidRDefault="005F547A">
            <w:pPr>
              <w:jc w:val="center"/>
              <w:rPr>
                <w:rFonts w:ascii="Times New Roman" w:hAnsi="Times New Roman"/>
              </w:rPr>
            </w:pPr>
            <w:r>
              <w:rPr>
                <w:rFonts w:ascii="Times New Roman" w:hAnsi="Times New Roman"/>
              </w:rPr>
              <w:t xml:space="preserve">Antogs den 19 december 2018 och offentliggjordes i </w:t>
            </w:r>
            <w:r>
              <w:rPr>
                <w:rFonts w:ascii="Times New Roman" w:hAnsi="Times New Roman"/>
                <w:i/>
              </w:rPr>
              <w:t>Europeiska unionens officiella tidning</w:t>
            </w:r>
            <w:r>
              <w:rPr>
                <w:rFonts w:ascii="Times New Roman" w:hAnsi="Times New Roman"/>
              </w:rPr>
              <w:t xml:space="preserve"> den 31 december 2018</w:t>
            </w:r>
            <w:r>
              <w:rPr>
                <w:rStyle w:val="FootnoteReference"/>
                <w:rFonts w:ascii="Times New Roman" w:hAnsi="Times New Roman"/>
              </w:rPr>
              <w:footnoteReference w:id="87"/>
            </w:r>
          </w:p>
        </w:tc>
      </w:tr>
      <w:tr w:rsidR="0017587A" w14:paraId="0E1CEEA2" w14:textId="77777777" w:rsidTr="00A324A5">
        <w:trPr>
          <w:trHeight w:val="154"/>
        </w:trPr>
        <w:tc>
          <w:tcPr>
            <w:tcW w:w="2030" w:type="dxa"/>
            <w:shd w:val="clear" w:color="auto" w:fill="FFFFCC"/>
            <w:vAlign w:val="center"/>
          </w:tcPr>
          <w:p w14:paraId="4AAEB14B" w14:textId="77777777" w:rsidR="0017587A" w:rsidRDefault="00EE1C77">
            <w:pPr>
              <w:rPr>
                <w:rFonts w:ascii="Times New Roman" w:hAnsi="Times New Roman"/>
              </w:rPr>
            </w:pPr>
            <w:r>
              <w:rPr>
                <w:rFonts w:ascii="Times New Roman" w:hAnsi="Times New Roman"/>
              </w:rPr>
              <w:t>Förordning om komplettering av direktiv 2003/87/EG vad gäller Corsia</w:t>
            </w:r>
          </w:p>
        </w:tc>
        <w:tc>
          <w:tcPr>
            <w:tcW w:w="3808" w:type="dxa"/>
            <w:shd w:val="clear" w:color="auto" w:fill="FFFFCC"/>
            <w:vAlign w:val="center"/>
          </w:tcPr>
          <w:p w14:paraId="2AD4697B" w14:textId="77777777" w:rsidR="0017587A" w:rsidRDefault="00EE1C77">
            <w:pPr>
              <w:rPr>
                <w:rFonts w:ascii="Times New Roman" w:hAnsi="Times New Roman"/>
              </w:rPr>
            </w:pPr>
            <w:r>
              <w:rPr>
                <w:rFonts w:ascii="Times New Roman" w:hAnsi="Times New Roman"/>
              </w:rPr>
              <w:t>Komplettera direktivet om EU:s utsläppshandelssystem beträffande de åtgärder som antagits av Internationella civila luftfartsorganisationen för övervakning, rapportering och verifiering av utsläpp från luftfarten för genomförandet av Corsia</w:t>
            </w:r>
          </w:p>
        </w:tc>
        <w:tc>
          <w:tcPr>
            <w:tcW w:w="1862" w:type="dxa"/>
            <w:shd w:val="clear" w:color="auto" w:fill="FFFFCC"/>
            <w:vAlign w:val="center"/>
          </w:tcPr>
          <w:p w14:paraId="31DF685B" w14:textId="77777777" w:rsidR="0017587A" w:rsidRDefault="00EE1C77">
            <w:pPr>
              <w:jc w:val="center"/>
              <w:rPr>
                <w:rFonts w:ascii="Times New Roman" w:hAnsi="Times New Roman"/>
              </w:rPr>
            </w:pPr>
            <w:r>
              <w:rPr>
                <w:rFonts w:ascii="Times New Roman" w:hAnsi="Times New Roman"/>
              </w:rPr>
              <w:t>Kommissionens delegerade förordning</w:t>
            </w:r>
          </w:p>
        </w:tc>
        <w:tc>
          <w:tcPr>
            <w:tcW w:w="1994" w:type="dxa"/>
            <w:shd w:val="clear" w:color="auto" w:fill="FFFFCC"/>
            <w:vAlign w:val="center"/>
          </w:tcPr>
          <w:p w14:paraId="62B32846" w14:textId="77777777" w:rsidR="0017587A" w:rsidRDefault="00EE1C77">
            <w:pPr>
              <w:jc w:val="center"/>
              <w:rPr>
                <w:rFonts w:ascii="Times New Roman" w:hAnsi="Times New Roman"/>
              </w:rPr>
            </w:pPr>
            <w:r>
              <w:rPr>
                <w:rFonts w:ascii="Times New Roman" w:hAnsi="Times New Roman"/>
              </w:rPr>
              <w:t>2019</w:t>
            </w:r>
          </w:p>
        </w:tc>
      </w:tr>
      <w:tr w:rsidR="0017587A" w14:paraId="61D9C793" w14:textId="77777777" w:rsidTr="00601A28">
        <w:trPr>
          <w:trHeight w:val="154"/>
        </w:trPr>
        <w:tc>
          <w:tcPr>
            <w:tcW w:w="2030" w:type="dxa"/>
            <w:shd w:val="clear" w:color="auto" w:fill="FFFFCC"/>
            <w:vAlign w:val="center"/>
          </w:tcPr>
          <w:p w14:paraId="06FB713B" w14:textId="77777777" w:rsidR="0017587A" w:rsidRDefault="006E77EE">
            <w:pPr>
              <w:rPr>
                <w:rFonts w:ascii="Times New Roman" w:hAnsi="Times New Roman"/>
              </w:rPr>
            </w:pPr>
            <w:r>
              <w:rPr>
                <w:rFonts w:ascii="Times New Roman" w:hAnsi="Times New Roman"/>
              </w:rPr>
              <w:t>Riktlinjer för statligt stöd inom ramen för systemet för handel med utsläppsrätter 2021–2030</w:t>
            </w:r>
          </w:p>
        </w:tc>
        <w:tc>
          <w:tcPr>
            <w:tcW w:w="3808" w:type="dxa"/>
            <w:shd w:val="clear" w:color="auto" w:fill="FFFFCC"/>
            <w:vAlign w:val="center"/>
          </w:tcPr>
          <w:p w14:paraId="773396A2" w14:textId="77777777" w:rsidR="0017587A" w:rsidRDefault="006E77EE">
            <w:pPr>
              <w:rPr>
                <w:rFonts w:ascii="Times New Roman" w:hAnsi="Times New Roman"/>
              </w:rPr>
            </w:pPr>
            <w:r>
              <w:rPr>
                <w:rFonts w:ascii="Times New Roman" w:hAnsi="Times New Roman"/>
              </w:rPr>
              <w:t>Översyn av EU:s riktlinjer för statligt stöd inom ramen för systemet för handel med utsläppsrätter inför fas 4 för att ta hänsyn till de nya bestämmelser som införs genom det reviderade direktivet om EU:s utsläppshandelssystem för stödordningar för kompensation för indirekta koldioxidkostnader</w:t>
            </w:r>
          </w:p>
        </w:tc>
        <w:tc>
          <w:tcPr>
            <w:tcW w:w="1862" w:type="dxa"/>
            <w:shd w:val="clear" w:color="auto" w:fill="FFFFCC"/>
            <w:vAlign w:val="center"/>
          </w:tcPr>
          <w:p w14:paraId="1126B985" w14:textId="77777777" w:rsidR="0017587A" w:rsidRDefault="006E77EE">
            <w:pPr>
              <w:jc w:val="center"/>
              <w:rPr>
                <w:rFonts w:ascii="Times New Roman" w:hAnsi="Times New Roman"/>
              </w:rPr>
            </w:pPr>
            <w:r>
              <w:rPr>
                <w:rFonts w:ascii="Times New Roman" w:hAnsi="Times New Roman"/>
              </w:rPr>
              <w:t>Meddelande från kommissionen</w:t>
            </w:r>
          </w:p>
        </w:tc>
        <w:tc>
          <w:tcPr>
            <w:tcW w:w="1994" w:type="dxa"/>
            <w:shd w:val="clear" w:color="auto" w:fill="FFFFCC"/>
            <w:vAlign w:val="center"/>
          </w:tcPr>
          <w:p w14:paraId="15A7CFC0" w14:textId="77777777" w:rsidR="0017587A" w:rsidRDefault="006E77EE">
            <w:pPr>
              <w:jc w:val="center"/>
              <w:rPr>
                <w:rFonts w:ascii="Times New Roman" w:hAnsi="Times New Roman"/>
              </w:rPr>
            </w:pPr>
            <w:r>
              <w:rPr>
                <w:rFonts w:ascii="Times New Roman" w:hAnsi="Times New Roman"/>
              </w:rPr>
              <w:t>2020</w:t>
            </w:r>
          </w:p>
        </w:tc>
      </w:tr>
    </w:tbl>
    <w:tbl>
      <w:tblPr>
        <w:tblStyle w:val="TableGrid6"/>
        <w:tblpPr w:leftFromText="180" w:rightFromText="180" w:vertAnchor="text" w:horzAnchor="margin" w:tblpY="72"/>
        <w:tblW w:w="1851" w:type="dxa"/>
        <w:tblLook w:val="04A0" w:firstRow="1" w:lastRow="0" w:firstColumn="1" w:lastColumn="0" w:noHBand="0" w:noVBand="1"/>
      </w:tblPr>
      <w:tblGrid>
        <w:gridCol w:w="1851"/>
      </w:tblGrid>
      <w:tr w:rsidR="0017587A" w14:paraId="398E9281" w14:textId="77777777" w:rsidTr="007F5B1E">
        <w:trPr>
          <w:trHeight w:val="251"/>
        </w:trPr>
        <w:tc>
          <w:tcPr>
            <w:tcW w:w="1851" w:type="dxa"/>
          </w:tcPr>
          <w:p w14:paraId="7ACA2F89" w14:textId="77777777" w:rsidR="0017587A" w:rsidRDefault="007F5B1E">
            <w:pPr>
              <w:rPr>
                <w:rFonts w:ascii="Times New Roman" w:hAnsi="Times New Roman"/>
                <w:b/>
              </w:rPr>
            </w:pPr>
            <w:r>
              <w:rPr>
                <w:rFonts w:ascii="Times New Roman" w:hAnsi="Times New Roman"/>
                <w:b/>
              </w:rPr>
              <w:t xml:space="preserve">Aktuell situation </w:t>
            </w:r>
          </w:p>
        </w:tc>
      </w:tr>
      <w:tr w:rsidR="0017587A" w14:paraId="1EEE117A" w14:textId="77777777" w:rsidTr="007F5B1E">
        <w:trPr>
          <w:trHeight w:val="251"/>
        </w:trPr>
        <w:tc>
          <w:tcPr>
            <w:tcW w:w="1851" w:type="dxa"/>
            <w:tcBorders>
              <w:bottom w:val="single" w:sz="4" w:space="0" w:color="auto"/>
            </w:tcBorders>
          </w:tcPr>
          <w:p w14:paraId="2D9742E5" w14:textId="77777777" w:rsidR="0017587A" w:rsidRDefault="007F5B1E">
            <w:pPr>
              <w:rPr>
                <w:rFonts w:ascii="Times New Roman" w:hAnsi="Times New Roman"/>
              </w:rPr>
            </w:pPr>
            <w:r>
              <w:rPr>
                <w:rFonts w:ascii="Times New Roman" w:hAnsi="Times New Roman"/>
              </w:rPr>
              <w:t>Planerade</w:t>
            </w:r>
          </w:p>
        </w:tc>
      </w:tr>
      <w:tr w:rsidR="0017587A" w14:paraId="4B5492B1" w14:textId="77777777" w:rsidTr="007F5B1E">
        <w:trPr>
          <w:trHeight w:val="251"/>
        </w:trPr>
        <w:tc>
          <w:tcPr>
            <w:tcW w:w="1851" w:type="dxa"/>
            <w:tcBorders>
              <w:bottom w:val="single" w:sz="4" w:space="0" w:color="auto"/>
            </w:tcBorders>
            <w:shd w:val="clear" w:color="auto" w:fill="FFFFCC"/>
          </w:tcPr>
          <w:p w14:paraId="2E213755" w14:textId="77777777" w:rsidR="0017587A" w:rsidRDefault="007F5B1E">
            <w:pPr>
              <w:rPr>
                <w:rFonts w:ascii="Times New Roman" w:hAnsi="Times New Roman"/>
              </w:rPr>
            </w:pPr>
            <w:r>
              <w:rPr>
                <w:rFonts w:ascii="Times New Roman" w:hAnsi="Times New Roman"/>
              </w:rPr>
              <w:t>Pågående</w:t>
            </w:r>
          </w:p>
        </w:tc>
      </w:tr>
      <w:tr w:rsidR="0017587A" w14:paraId="54AB2EEC" w14:textId="77777777" w:rsidTr="007F5B1E">
        <w:trPr>
          <w:trHeight w:val="264"/>
        </w:trPr>
        <w:tc>
          <w:tcPr>
            <w:tcW w:w="1851" w:type="dxa"/>
            <w:shd w:val="clear" w:color="auto" w:fill="CCFFCC"/>
          </w:tcPr>
          <w:p w14:paraId="068C6FD7" w14:textId="77777777" w:rsidR="0017587A" w:rsidRDefault="007F5B1E">
            <w:pPr>
              <w:rPr>
                <w:rFonts w:ascii="Times New Roman" w:hAnsi="Times New Roman"/>
              </w:rPr>
            </w:pPr>
            <w:r>
              <w:rPr>
                <w:rFonts w:ascii="Times New Roman" w:hAnsi="Times New Roman"/>
              </w:rPr>
              <w:t>Genomförda</w:t>
            </w:r>
          </w:p>
        </w:tc>
      </w:tr>
    </w:tbl>
    <w:p w14:paraId="4633E6D4" w14:textId="77777777" w:rsidR="0017587A" w:rsidRDefault="0017587A">
      <w:pPr>
        <w:spacing w:after="0"/>
        <w:rPr>
          <w:rFonts w:ascii="Times New Roman" w:hAnsi="Times New Roman"/>
          <w:b/>
        </w:rPr>
      </w:pPr>
    </w:p>
    <w:p w14:paraId="502B3DB6" w14:textId="77777777" w:rsidR="0017587A" w:rsidRDefault="0017587A">
      <w:pPr>
        <w:rPr>
          <w:rFonts w:ascii="Times New Roman" w:hAnsi="Times New Roman"/>
          <w:b/>
        </w:rPr>
      </w:pPr>
    </w:p>
    <w:p w14:paraId="25EB6222" w14:textId="77777777" w:rsidR="0017587A" w:rsidRDefault="0017587A">
      <w:pPr>
        <w:rPr>
          <w:rFonts w:ascii="Times New Roman" w:hAnsi="Times New Roman"/>
          <w:b/>
        </w:rPr>
      </w:pPr>
    </w:p>
    <w:p w14:paraId="52208539" w14:textId="77777777" w:rsidR="0017587A" w:rsidRDefault="0017587A">
      <w:pPr>
        <w:rPr>
          <w:rFonts w:ascii="Times New Roman" w:hAnsi="Times New Roman"/>
          <w:b/>
        </w:rPr>
      </w:pPr>
    </w:p>
    <w:p w14:paraId="44A3B180" w14:textId="77777777" w:rsidR="0017587A" w:rsidRDefault="003A348D">
      <w:pPr>
        <w:rPr>
          <w:rFonts w:ascii="Times New Roman" w:hAnsi="Times New Roman"/>
          <w:b/>
        </w:rPr>
      </w:pPr>
      <w:r>
        <w:rPr>
          <w:rFonts w:ascii="Times New Roman" w:hAnsi="Times New Roman"/>
          <w:b/>
        </w:rPr>
        <w:t>Tillägg 8</w:t>
      </w:r>
    </w:p>
    <w:p w14:paraId="56DD5484" w14:textId="77777777" w:rsidR="0017587A" w:rsidRDefault="00707619">
      <w:pPr>
        <w:keepNext/>
        <w:rPr>
          <w:rFonts w:ascii="Times New Roman" w:hAnsi="Times New Roman"/>
          <w:b/>
          <w:bCs/>
          <w:sz w:val="20"/>
          <w:szCs w:val="20"/>
        </w:rPr>
      </w:pPr>
      <w:r>
        <w:rPr>
          <w:rFonts w:ascii="Times New Roman" w:hAnsi="Times New Roman"/>
          <w:b/>
          <w:bCs/>
          <w:sz w:val="20"/>
          <w:szCs w:val="20"/>
        </w:rPr>
        <w:t>Tabell 8.1:</w:t>
      </w:r>
      <w:r>
        <w:rPr>
          <w:b/>
          <w:bCs/>
          <w:sz w:val="20"/>
          <w:szCs w:val="20"/>
        </w:rPr>
        <w:t xml:space="preserve"> </w:t>
      </w:r>
      <w:r>
        <w:rPr>
          <w:rFonts w:ascii="Times New Roman" w:hAnsi="Times New Roman"/>
          <w:b/>
          <w:bCs/>
          <w:sz w:val="20"/>
          <w:szCs w:val="20"/>
        </w:rPr>
        <w:t>Medlemsstaternas bidrag till reserven för marknadsstabilitet 2019</w:t>
      </w:r>
      <w:r>
        <w:rPr>
          <w:rStyle w:val="FootnoteReference"/>
          <w:b/>
          <w:sz w:val="20"/>
          <w:szCs w:val="20"/>
        </w:rPr>
        <w:footnoteReference w:id="88"/>
      </w:r>
      <w:r>
        <w:rPr>
          <w:rFonts w:ascii="Times New Roman" w:hAnsi="Times New Roman"/>
          <w:b/>
          <w:sz w:val="20"/>
          <w:szCs w:val="20"/>
        </w:rPr>
        <w:t xml:space="preserve"> och 2020</w:t>
      </w:r>
      <w:r>
        <w:rPr>
          <w:rStyle w:val="FootnoteReference"/>
          <w:b/>
          <w:sz w:val="20"/>
          <w:szCs w:val="20"/>
        </w:rPr>
        <w:footnoteReference w:id="89"/>
      </w:r>
    </w:p>
    <w:tbl>
      <w:tblPr>
        <w:tblW w:w="9302"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02"/>
        <w:gridCol w:w="3100"/>
        <w:gridCol w:w="3100"/>
      </w:tblGrid>
      <w:tr w:rsidR="0017587A" w14:paraId="4DD3BAAA" w14:textId="77777777" w:rsidTr="00601A28">
        <w:trPr>
          <w:trHeight w:val="1274"/>
        </w:trPr>
        <w:tc>
          <w:tcPr>
            <w:tcW w:w="3102" w:type="dxa"/>
            <w:shd w:val="clear" w:color="auto" w:fill="auto"/>
            <w:vAlign w:val="bottom"/>
            <w:hideMark/>
          </w:tcPr>
          <w:p w14:paraId="04001DB4" w14:textId="77777777" w:rsidR="0017587A" w:rsidRDefault="00707619">
            <w:pPr>
              <w:spacing w:after="0" w:line="240" w:lineRule="auto"/>
              <w:rPr>
                <w:rFonts w:ascii="Times New Roman" w:eastAsia="Times New Roman" w:hAnsi="Times New Roman"/>
                <w:b/>
                <w:bCs/>
                <w:sz w:val="20"/>
                <w:szCs w:val="20"/>
              </w:rPr>
            </w:pPr>
            <w:r>
              <w:rPr>
                <w:rFonts w:ascii="Times New Roman" w:hAnsi="Times New Roman"/>
                <w:b/>
                <w:bCs/>
                <w:sz w:val="20"/>
                <w:szCs w:val="20"/>
              </w:rPr>
              <w:t>Medlemsstat/EES</w:t>
            </w:r>
            <w:r>
              <w:rPr>
                <w:rFonts w:ascii="Times New Roman" w:hAnsi="Times New Roman"/>
                <w:b/>
                <w:bCs/>
                <w:sz w:val="20"/>
                <w:szCs w:val="20"/>
              </w:rPr>
              <w:br/>
              <w:t>Eftastat</w:t>
            </w:r>
          </w:p>
        </w:tc>
        <w:tc>
          <w:tcPr>
            <w:tcW w:w="3100" w:type="dxa"/>
            <w:shd w:val="clear" w:color="auto" w:fill="auto"/>
            <w:vAlign w:val="bottom"/>
            <w:hideMark/>
          </w:tcPr>
          <w:p w14:paraId="13803C63" w14:textId="77777777" w:rsidR="0017587A" w:rsidRDefault="00707619">
            <w:pPr>
              <w:spacing w:after="0" w:line="240" w:lineRule="auto"/>
              <w:rPr>
                <w:rFonts w:ascii="Times New Roman" w:eastAsia="Times New Roman" w:hAnsi="Times New Roman"/>
                <w:b/>
                <w:bCs/>
                <w:sz w:val="20"/>
                <w:szCs w:val="20"/>
              </w:rPr>
            </w:pPr>
            <w:r>
              <w:rPr>
                <w:rFonts w:ascii="Times New Roman" w:hAnsi="Times New Roman"/>
                <w:b/>
                <w:bCs/>
                <w:sz w:val="20"/>
                <w:szCs w:val="20"/>
              </w:rPr>
              <w:t>Bidrag till reserven för marknadsstabilitet 2019</w:t>
            </w:r>
          </w:p>
        </w:tc>
        <w:tc>
          <w:tcPr>
            <w:tcW w:w="3100" w:type="dxa"/>
            <w:shd w:val="clear" w:color="auto" w:fill="auto"/>
            <w:vAlign w:val="bottom"/>
            <w:hideMark/>
          </w:tcPr>
          <w:p w14:paraId="39996C12" w14:textId="77777777" w:rsidR="0017587A" w:rsidRDefault="00707619">
            <w:pPr>
              <w:spacing w:after="0" w:line="240" w:lineRule="auto"/>
              <w:rPr>
                <w:rFonts w:ascii="Times New Roman" w:eastAsia="Times New Roman" w:hAnsi="Times New Roman"/>
                <w:b/>
                <w:bCs/>
                <w:sz w:val="20"/>
                <w:szCs w:val="20"/>
              </w:rPr>
            </w:pPr>
            <w:r>
              <w:rPr>
                <w:rFonts w:ascii="Times New Roman" w:hAnsi="Times New Roman"/>
                <w:b/>
                <w:bCs/>
                <w:sz w:val="20"/>
                <w:szCs w:val="20"/>
              </w:rPr>
              <w:t>Kända bidrag till reserven för marknadsstabilitet 2020</w:t>
            </w:r>
            <w:r>
              <w:rPr>
                <w:rStyle w:val="FootnoteReference"/>
                <w:rFonts w:ascii="Times New Roman" w:eastAsia="Times New Roman" w:hAnsi="Times New Roman"/>
                <w:b/>
                <w:bCs/>
                <w:sz w:val="20"/>
                <w:szCs w:val="20"/>
              </w:rPr>
              <w:footnoteReference w:id="90"/>
            </w:r>
          </w:p>
        </w:tc>
      </w:tr>
      <w:tr w:rsidR="0017587A" w14:paraId="777FF85C" w14:textId="77777777" w:rsidTr="00601A28">
        <w:trPr>
          <w:trHeight w:val="292"/>
        </w:trPr>
        <w:tc>
          <w:tcPr>
            <w:tcW w:w="3102" w:type="dxa"/>
            <w:shd w:val="clear" w:color="auto" w:fill="auto"/>
            <w:noWrap/>
            <w:vAlign w:val="bottom"/>
            <w:hideMark/>
          </w:tcPr>
          <w:p w14:paraId="4EACFA94"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Österrike</w:t>
            </w:r>
          </w:p>
        </w:tc>
        <w:tc>
          <w:tcPr>
            <w:tcW w:w="3100" w:type="dxa"/>
            <w:shd w:val="clear" w:color="auto" w:fill="auto"/>
            <w:noWrap/>
            <w:vAlign w:val="bottom"/>
            <w:hideMark/>
          </w:tcPr>
          <w:p w14:paraId="5D15CC0B"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5 935 748</w:t>
            </w:r>
          </w:p>
        </w:tc>
        <w:tc>
          <w:tcPr>
            <w:tcW w:w="3100" w:type="dxa"/>
            <w:shd w:val="clear" w:color="auto" w:fill="auto"/>
            <w:noWrap/>
            <w:vAlign w:val="bottom"/>
            <w:hideMark/>
          </w:tcPr>
          <w:p w14:paraId="28419864"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3 957 699</w:t>
            </w:r>
          </w:p>
        </w:tc>
      </w:tr>
      <w:tr w:rsidR="0017587A" w14:paraId="7DE4C650" w14:textId="77777777" w:rsidTr="00601A28">
        <w:trPr>
          <w:trHeight w:val="292"/>
        </w:trPr>
        <w:tc>
          <w:tcPr>
            <w:tcW w:w="3102" w:type="dxa"/>
            <w:shd w:val="clear" w:color="auto" w:fill="auto"/>
            <w:noWrap/>
            <w:vAlign w:val="bottom"/>
            <w:hideMark/>
          </w:tcPr>
          <w:p w14:paraId="0367DEEE"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Belgien</w:t>
            </w:r>
          </w:p>
        </w:tc>
        <w:tc>
          <w:tcPr>
            <w:tcW w:w="3100" w:type="dxa"/>
            <w:shd w:val="clear" w:color="auto" w:fill="auto"/>
            <w:noWrap/>
            <w:vAlign w:val="bottom"/>
            <w:hideMark/>
          </w:tcPr>
          <w:p w14:paraId="42E00D87"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9 846 994</w:t>
            </w:r>
          </w:p>
        </w:tc>
        <w:tc>
          <w:tcPr>
            <w:tcW w:w="3100" w:type="dxa"/>
            <w:shd w:val="clear" w:color="auto" w:fill="auto"/>
            <w:noWrap/>
            <w:vAlign w:val="bottom"/>
            <w:hideMark/>
          </w:tcPr>
          <w:p w14:paraId="2873CF4F"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6 565 549</w:t>
            </w:r>
          </w:p>
        </w:tc>
      </w:tr>
      <w:tr w:rsidR="0017587A" w14:paraId="0CF67E75" w14:textId="77777777" w:rsidTr="00601A28">
        <w:trPr>
          <w:trHeight w:val="292"/>
        </w:trPr>
        <w:tc>
          <w:tcPr>
            <w:tcW w:w="3102" w:type="dxa"/>
            <w:shd w:val="clear" w:color="auto" w:fill="auto"/>
            <w:noWrap/>
            <w:vAlign w:val="bottom"/>
            <w:hideMark/>
          </w:tcPr>
          <w:p w14:paraId="4C98E93E"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Bulgarien</w:t>
            </w:r>
          </w:p>
        </w:tc>
        <w:tc>
          <w:tcPr>
            <w:tcW w:w="3100" w:type="dxa"/>
            <w:shd w:val="clear" w:color="auto" w:fill="auto"/>
            <w:noWrap/>
            <w:vAlign w:val="bottom"/>
            <w:hideMark/>
          </w:tcPr>
          <w:p w14:paraId="2138C4DE"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8 292 720</w:t>
            </w:r>
          </w:p>
        </w:tc>
        <w:tc>
          <w:tcPr>
            <w:tcW w:w="3100" w:type="dxa"/>
            <w:shd w:val="clear" w:color="auto" w:fill="auto"/>
            <w:noWrap/>
            <w:vAlign w:val="bottom"/>
            <w:hideMark/>
          </w:tcPr>
          <w:p w14:paraId="19E54E38"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5 529 227</w:t>
            </w:r>
          </w:p>
        </w:tc>
      </w:tr>
      <w:tr w:rsidR="0017587A" w14:paraId="6E6E390F" w14:textId="77777777" w:rsidTr="00601A28">
        <w:trPr>
          <w:trHeight w:val="292"/>
        </w:trPr>
        <w:tc>
          <w:tcPr>
            <w:tcW w:w="3102" w:type="dxa"/>
            <w:shd w:val="clear" w:color="auto" w:fill="auto"/>
            <w:noWrap/>
            <w:vAlign w:val="bottom"/>
            <w:hideMark/>
          </w:tcPr>
          <w:p w14:paraId="675E0640"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Kroatien</w:t>
            </w:r>
          </w:p>
        </w:tc>
        <w:tc>
          <w:tcPr>
            <w:tcW w:w="3100" w:type="dxa"/>
            <w:shd w:val="clear" w:color="auto" w:fill="auto"/>
            <w:noWrap/>
            <w:vAlign w:val="bottom"/>
            <w:hideMark/>
          </w:tcPr>
          <w:p w14:paraId="1D22A47C"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1 614 984</w:t>
            </w:r>
          </w:p>
        </w:tc>
        <w:tc>
          <w:tcPr>
            <w:tcW w:w="3100" w:type="dxa"/>
            <w:shd w:val="clear" w:color="auto" w:fill="auto"/>
            <w:noWrap/>
            <w:vAlign w:val="bottom"/>
            <w:hideMark/>
          </w:tcPr>
          <w:p w14:paraId="550CFDB7"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1 076 801</w:t>
            </w:r>
          </w:p>
        </w:tc>
      </w:tr>
      <w:tr w:rsidR="0017587A" w14:paraId="3E404C9D" w14:textId="77777777" w:rsidTr="00601A28">
        <w:trPr>
          <w:trHeight w:val="292"/>
        </w:trPr>
        <w:tc>
          <w:tcPr>
            <w:tcW w:w="3102" w:type="dxa"/>
            <w:shd w:val="clear" w:color="auto" w:fill="auto"/>
            <w:noWrap/>
            <w:vAlign w:val="bottom"/>
            <w:hideMark/>
          </w:tcPr>
          <w:p w14:paraId="158FDDA7"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Cypern</w:t>
            </w:r>
          </w:p>
        </w:tc>
        <w:tc>
          <w:tcPr>
            <w:tcW w:w="3100" w:type="dxa"/>
            <w:shd w:val="clear" w:color="auto" w:fill="auto"/>
            <w:noWrap/>
            <w:vAlign w:val="bottom"/>
            <w:hideMark/>
          </w:tcPr>
          <w:p w14:paraId="4B37040B"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932 844</w:t>
            </w:r>
          </w:p>
        </w:tc>
        <w:tc>
          <w:tcPr>
            <w:tcW w:w="3100" w:type="dxa"/>
            <w:shd w:val="clear" w:color="auto" w:fill="auto"/>
            <w:noWrap/>
            <w:vAlign w:val="bottom"/>
            <w:hideMark/>
          </w:tcPr>
          <w:p w14:paraId="18A2F290"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621 980</w:t>
            </w:r>
          </w:p>
        </w:tc>
      </w:tr>
      <w:tr w:rsidR="0017587A" w14:paraId="19F268B7" w14:textId="77777777" w:rsidTr="00601A28">
        <w:trPr>
          <w:trHeight w:val="292"/>
        </w:trPr>
        <w:tc>
          <w:tcPr>
            <w:tcW w:w="3102" w:type="dxa"/>
            <w:shd w:val="clear" w:color="auto" w:fill="auto"/>
            <w:noWrap/>
            <w:vAlign w:val="bottom"/>
            <w:hideMark/>
          </w:tcPr>
          <w:p w14:paraId="43C7F5C2"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Tjeckien</w:t>
            </w:r>
          </w:p>
        </w:tc>
        <w:tc>
          <w:tcPr>
            <w:tcW w:w="3100" w:type="dxa"/>
            <w:shd w:val="clear" w:color="auto" w:fill="auto"/>
            <w:noWrap/>
            <w:vAlign w:val="bottom"/>
            <w:hideMark/>
          </w:tcPr>
          <w:p w14:paraId="692BDB55"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15 406 858</w:t>
            </w:r>
          </w:p>
        </w:tc>
        <w:tc>
          <w:tcPr>
            <w:tcW w:w="3100" w:type="dxa"/>
            <w:shd w:val="clear" w:color="auto" w:fill="auto"/>
            <w:noWrap/>
            <w:vAlign w:val="bottom"/>
            <w:hideMark/>
          </w:tcPr>
          <w:p w14:paraId="528A2D23"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10 272 626</w:t>
            </w:r>
          </w:p>
        </w:tc>
      </w:tr>
      <w:tr w:rsidR="0017587A" w14:paraId="158FE017" w14:textId="77777777" w:rsidTr="00601A28">
        <w:trPr>
          <w:trHeight w:val="292"/>
        </w:trPr>
        <w:tc>
          <w:tcPr>
            <w:tcW w:w="3102" w:type="dxa"/>
            <w:shd w:val="clear" w:color="auto" w:fill="auto"/>
            <w:noWrap/>
            <w:vAlign w:val="bottom"/>
            <w:hideMark/>
          </w:tcPr>
          <w:p w14:paraId="03A7F586"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Danmark</w:t>
            </w:r>
          </w:p>
        </w:tc>
        <w:tc>
          <w:tcPr>
            <w:tcW w:w="3100" w:type="dxa"/>
            <w:shd w:val="clear" w:color="auto" w:fill="auto"/>
            <w:noWrap/>
            <w:vAlign w:val="bottom"/>
            <w:hideMark/>
          </w:tcPr>
          <w:p w14:paraId="5D82BC44"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5 340 750</w:t>
            </w:r>
          </w:p>
        </w:tc>
        <w:tc>
          <w:tcPr>
            <w:tcW w:w="3100" w:type="dxa"/>
            <w:shd w:val="clear" w:color="auto" w:fill="auto"/>
            <w:noWrap/>
            <w:vAlign w:val="bottom"/>
            <w:hideMark/>
          </w:tcPr>
          <w:p w14:paraId="7B7D6B72"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3 560 981</w:t>
            </w:r>
          </w:p>
        </w:tc>
      </w:tr>
      <w:tr w:rsidR="0017587A" w14:paraId="442C62CA" w14:textId="77777777" w:rsidTr="00601A28">
        <w:trPr>
          <w:trHeight w:val="292"/>
        </w:trPr>
        <w:tc>
          <w:tcPr>
            <w:tcW w:w="3102" w:type="dxa"/>
            <w:shd w:val="clear" w:color="auto" w:fill="auto"/>
            <w:noWrap/>
            <w:vAlign w:val="bottom"/>
            <w:hideMark/>
          </w:tcPr>
          <w:p w14:paraId="4B948695"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Estland</w:t>
            </w:r>
          </w:p>
        </w:tc>
        <w:tc>
          <w:tcPr>
            <w:tcW w:w="3100" w:type="dxa"/>
            <w:shd w:val="clear" w:color="auto" w:fill="auto"/>
            <w:noWrap/>
            <w:vAlign w:val="bottom"/>
            <w:hideMark/>
          </w:tcPr>
          <w:p w14:paraId="1BFBCCC3"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2 904 319</w:t>
            </w:r>
          </w:p>
        </w:tc>
        <w:tc>
          <w:tcPr>
            <w:tcW w:w="3100" w:type="dxa"/>
            <w:shd w:val="clear" w:color="auto" w:fill="auto"/>
            <w:noWrap/>
            <w:vAlign w:val="bottom"/>
            <w:hideMark/>
          </w:tcPr>
          <w:p w14:paraId="25EB0505"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1 936 474</w:t>
            </w:r>
          </w:p>
        </w:tc>
      </w:tr>
      <w:tr w:rsidR="0017587A" w14:paraId="5888A41C" w14:textId="77777777" w:rsidTr="00601A28">
        <w:trPr>
          <w:trHeight w:val="292"/>
        </w:trPr>
        <w:tc>
          <w:tcPr>
            <w:tcW w:w="3102" w:type="dxa"/>
            <w:shd w:val="clear" w:color="auto" w:fill="auto"/>
            <w:noWrap/>
            <w:vAlign w:val="bottom"/>
            <w:hideMark/>
          </w:tcPr>
          <w:p w14:paraId="75D6AE48"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Finland</w:t>
            </w:r>
          </w:p>
        </w:tc>
        <w:tc>
          <w:tcPr>
            <w:tcW w:w="3100" w:type="dxa"/>
            <w:shd w:val="clear" w:color="auto" w:fill="auto"/>
            <w:noWrap/>
            <w:vAlign w:val="bottom"/>
            <w:hideMark/>
          </w:tcPr>
          <w:p w14:paraId="47E8E443"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7 130 025</w:t>
            </w:r>
          </w:p>
        </w:tc>
        <w:tc>
          <w:tcPr>
            <w:tcW w:w="3100" w:type="dxa"/>
            <w:shd w:val="clear" w:color="auto" w:fill="auto"/>
            <w:noWrap/>
            <w:vAlign w:val="bottom"/>
            <w:hideMark/>
          </w:tcPr>
          <w:p w14:paraId="4C89AB97"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4 753 992</w:t>
            </w:r>
          </w:p>
        </w:tc>
      </w:tr>
      <w:tr w:rsidR="0017587A" w14:paraId="3645574F" w14:textId="77777777" w:rsidTr="00601A28">
        <w:trPr>
          <w:trHeight w:val="292"/>
        </w:trPr>
        <w:tc>
          <w:tcPr>
            <w:tcW w:w="3102" w:type="dxa"/>
            <w:shd w:val="clear" w:color="auto" w:fill="auto"/>
            <w:noWrap/>
            <w:vAlign w:val="bottom"/>
            <w:hideMark/>
          </w:tcPr>
          <w:p w14:paraId="0D0CA15D"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Frankrike</w:t>
            </w:r>
          </w:p>
        </w:tc>
        <w:tc>
          <w:tcPr>
            <w:tcW w:w="3100" w:type="dxa"/>
            <w:shd w:val="clear" w:color="auto" w:fill="auto"/>
            <w:noWrap/>
            <w:vAlign w:val="bottom"/>
            <w:hideMark/>
          </w:tcPr>
          <w:p w14:paraId="3897226F"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23 346 791</w:t>
            </w:r>
          </w:p>
        </w:tc>
        <w:tc>
          <w:tcPr>
            <w:tcW w:w="3100" w:type="dxa"/>
            <w:shd w:val="clear" w:color="auto" w:fill="auto"/>
            <w:noWrap/>
            <w:vAlign w:val="bottom"/>
            <w:hideMark/>
          </w:tcPr>
          <w:p w14:paraId="1910D844"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15 566 629</w:t>
            </w:r>
          </w:p>
        </w:tc>
      </w:tr>
      <w:tr w:rsidR="0017587A" w14:paraId="14F46345" w14:textId="77777777" w:rsidTr="00601A28">
        <w:trPr>
          <w:trHeight w:val="292"/>
        </w:trPr>
        <w:tc>
          <w:tcPr>
            <w:tcW w:w="3102" w:type="dxa"/>
            <w:shd w:val="clear" w:color="auto" w:fill="auto"/>
            <w:noWrap/>
            <w:vAlign w:val="bottom"/>
            <w:hideMark/>
          </w:tcPr>
          <w:p w14:paraId="1D334ACB"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Tyskland</w:t>
            </w:r>
          </w:p>
        </w:tc>
        <w:tc>
          <w:tcPr>
            <w:tcW w:w="3100" w:type="dxa"/>
            <w:shd w:val="clear" w:color="auto" w:fill="auto"/>
            <w:noWrap/>
            <w:vAlign w:val="bottom"/>
            <w:hideMark/>
          </w:tcPr>
          <w:p w14:paraId="53C90019"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85 389 770</w:t>
            </w:r>
          </w:p>
        </w:tc>
        <w:tc>
          <w:tcPr>
            <w:tcW w:w="3100" w:type="dxa"/>
            <w:shd w:val="clear" w:color="auto" w:fill="auto"/>
            <w:noWrap/>
            <w:vAlign w:val="bottom"/>
            <w:hideMark/>
          </w:tcPr>
          <w:p w14:paraId="61159B51"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56 934 202</w:t>
            </w:r>
          </w:p>
        </w:tc>
      </w:tr>
      <w:tr w:rsidR="0017587A" w14:paraId="03D83480" w14:textId="77777777" w:rsidTr="00601A28">
        <w:trPr>
          <w:trHeight w:val="292"/>
        </w:trPr>
        <w:tc>
          <w:tcPr>
            <w:tcW w:w="3102" w:type="dxa"/>
            <w:shd w:val="clear" w:color="auto" w:fill="auto"/>
            <w:noWrap/>
            <w:vAlign w:val="bottom"/>
            <w:hideMark/>
          </w:tcPr>
          <w:p w14:paraId="7E9116AB"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Grekland</w:t>
            </w:r>
          </w:p>
        </w:tc>
        <w:tc>
          <w:tcPr>
            <w:tcW w:w="3100" w:type="dxa"/>
            <w:shd w:val="clear" w:color="auto" w:fill="auto"/>
            <w:noWrap/>
            <w:vAlign w:val="bottom"/>
            <w:hideMark/>
          </w:tcPr>
          <w:p w14:paraId="1F1F9EB3"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12 684 492</w:t>
            </w:r>
          </w:p>
        </w:tc>
        <w:tc>
          <w:tcPr>
            <w:tcW w:w="3100" w:type="dxa"/>
            <w:shd w:val="clear" w:color="auto" w:fill="auto"/>
            <w:noWrap/>
            <w:vAlign w:val="bottom"/>
            <w:hideMark/>
          </w:tcPr>
          <w:p w14:paraId="1B18072E"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8 457 470</w:t>
            </w:r>
          </w:p>
        </w:tc>
      </w:tr>
      <w:tr w:rsidR="0017587A" w14:paraId="3313AF20" w14:textId="77777777" w:rsidTr="00601A28">
        <w:trPr>
          <w:trHeight w:val="292"/>
        </w:trPr>
        <w:tc>
          <w:tcPr>
            <w:tcW w:w="3102" w:type="dxa"/>
            <w:shd w:val="clear" w:color="auto" w:fill="auto"/>
            <w:noWrap/>
            <w:vAlign w:val="bottom"/>
            <w:hideMark/>
          </w:tcPr>
          <w:p w14:paraId="1862BC3D"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Ungern</w:t>
            </w:r>
          </w:p>
        </w:tc>
        <w:tc>
          <w:tcPr>
            <w:tcW w:w="3100" w:type="dxa"/>
            <w:shd w:val="clear" w:color="auto" w:fill="auto"/>
            <w:noWrap/>
            <w:vAlign w:val="bottom"/>
            <w:hideMark/>
          </w:tcPr>
          <w:p w14:paraId="1EDC2A4F"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5 115 708</w:t>
            </w:r>
          </w:p>
        </w:tc>
        <w:tc>
          <w:tcPr>
            <w:tcW w:w="3100" w:type="dxa"/>
            <w:shd w:val="clear" w:color="auto" w:fill="auto"/>
            <w:noWrap/>
            <w:vAlign w:val="bottom"/>
            <w:hideMark/>
          </w:tcPr>
          <w:p w14:paraId="7F4FCA60"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3 410 933</w:t>
            </w:r>
          </w:p>
        </w:tc>
      </w:tr>
      <w:tr w:rsidR="0017587A" w14:paraId="44C56151" w14:textId="77777777" w:rsidTr="00601A28">
        <w:trPr>
          <w:trHeight w:val="292"/>
        </w:trPr>
        <w:tc>
          <w:tcPr>
            <w:tcW w:w="3102" w:type="dxa"/>
            <w:shd w:val="clear" w:color="auto" w:fill="auto"/>
            <w:noWrap/>
            <w:vAlign w:val="bottom"/>
            <w:hideMark/>
          </w:tcPr>
          <w:p w14:paraId="153227FC"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Island</w:t>
            </w:r>
          </w:p>
        </w:tc>
        <w:tc>
          <w:tcPr>
            <w:tcW w:w="3100" w:type="dxa"/>
            <w:shd w:val="clear" w:color="auto" w:fill="auto"/>
            <w:noWrap/>
            <w:vAlign w:val="bottom"/>
            <w:hideMark/>
          </w:tcPr>
          <w:p w14:paraId="40349B5B"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166 450</w:t>
            </w:r>
          </w:p>
        </w:tc>
        <w:tc>
          <w:tcPr>
            <w:tcW w:w="3100" w:type="dxa"/>
            <w:shd w:val="clear" w:color="auto" w:fill="auto"/>
            <w:noWrap/>
            <w:vAlign w:val="bottom"/>
            <w:hideMark/>
          </w:tcPr>
          <w:p w14:paraId="3D38BD5D"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110 982</w:t>
            </w:r>
          </w:p>
        </w:tc>
      </w:tr>
      <w:tr w:rsidR="0017587A" w14:paraId="5F82ED15" w14:textId="77777777" w:rsidTr="00601A28">
        <w:trPr>
          <w:trHeight w:val="292"/>
        </w:trPr>
        <w:tc>
          <w:tcPr>
            <w:tcW w:w="3102" w:type="dxa"/>
            <w:shd w:val="clear" w:color="auto" w:fill="auto"/>
            <w:noWrap/>
            <w:vAlign w:val="bottom"/>
            <w:hideMark/>
          </w:tcPr>
          <w:p w14:paraId="633333AB"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Irland</w:t>
            </w:r>
          </w:p>
        </w:tc>
        <w:tc>
          <w:tcPr>
            <w:tcW w:w="3100" w:type="dxa"/>
            <w:shd w:val="clear" w:color="auto" w:fill="auto"/>
            <w:noWrap/>
            <w:vAlign w:val="bottom"/>
            <w:hideMark/>
          </w:tcPr>
          <w:p w14:paraId="3E521FC2"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3 991 393</w:t>
            </w:r>
          </w:p>
        </w:tc>
        <w:tc>
          <w:tcPr>
            <w:tcW w:w="3100" w:type="dxa"/>
            <w:shd w:val="clear" w:color="auto" w:fill="auto"/>
            <w:noWrap/>
            <w:vAlign w:val="bottom"/>
            <w:hideMark/>
          </w:tcPr>
          <w:p w14:paraId="6F9919E2"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2 661 288</w:t>
            </w:r>
          </w:p>
        </w:tc>
      </w:tr>
      <w:tr w:rsidR="0017587A" w14:paraId="04BB7FC1" w14:textId="77777777" w:rsidTr="00601A28">
        <w:trPr>
          <w:trHeight w:val="292"/>
        </w:trPr>
        <w:tc>
          <w:tcPr>
            <w:tcW w:w="3102" w:type="dxa"/>
            <w:shd w:val="clear" w:color="auto" w:fill="auto"/>
            <w:noWrap/>
            <w:vAlign w:val="bottom"/>
            <w:hideMark/>
          </w:tcPr>
          <w:p w14:paraId="3CCE33BE"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Italien</w:t>
            </w:r>
          </w:p>
        </w:tc>
        <w:tc>
          <w:tcPr>
            <w:tcW w:w="3100" w:type="dxa"/>
            <w:shd w:val="clear" w:color="auto" w:fill="auto"/>
            <w:noWrap/>
            <w:vAlign w:val="bottom"/>
            <w:hideMark/>
          </w:tcPr>
          <w:p w14:paraId="4DA3D631"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40 304 729</w:t>
            </w:r>
          </w:p>
        </w:tc>
        <w:tc>
          <w:tcPr>
            <w:tcW w:w="3100" w:type="dxa"/>
            <w:shd w:val="clear" w:color="auto" w:fill="auto"/>
            <w:noWrap/>
            <w:vAlign w:val="bottom"/>
            <w:hideMark/>
          </w:tcPr>
          <w:p w14:paraId="215CEB4C"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26 873 449</w:t>
            </w:r>
          </w:p>
        </w:tc>
      </w:tr>
      <w:tr w:rsidR="0017587A" w14:paraId="1EAF1743" w14:textId="77777777" w:rsidTr="00601A28">
        <w:trPr>
          <w:trHeight w:val="292"/>
        </w:trPr>
        <w:tc>
          <w:tcPr>
            <w:tcW w:w="3102" w:type="dxa"/>
            <w:shd w:val="clear" w:color="auto" w:fill="auto"/>
            <w:noWrap/>
            <w:vAlign w:val="bottom"/>
            <w:hideMark/>
          </w:tcPr>
          <w:p w14:paraId="2820CAFC"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Lettland</w:t>
            </w:r>
          </w:p>
        </w:tc>
        <w:tc>
          <w:tcPr>
            <w:tcW w:w="3100" w:type="dxa"/>
            <w:shd w:val="clear" w:color="auto" w:fill="auto"/>
            <w:noWrap/>
            <w:vAlign w:val="bottom"/>
            <w:hideMark/>
          </w:tcPr>
          <w:p w14:paraId="0D17DE0C"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865 501</w:t>
            </w:r>
          </w:p>
        </w:tc>
        <w:tc>
          <w:tcPr>
            <w:tcW w:w="3100" w:type="dxa"/>
            <w:shd w:val="clear" w:color="auto" w:fill="auto"/>
            <w:noWrap/>
            <w:vAlign w:val="bottom"/>
            <w:hideMark/>
          </w:tcPr>
          <w:p w14:paraId="67AE242F"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577 079</w:t>
            </w:r>
          </w:p>
        </w:tc>
      </w:tr>
      <w:tr w:rsidR="0017587A" w14:paraId="1208642F" w14:textId="77777777" w:rsidTr="00601A28">
        <w:trPr>
          <w:trHeight w:val="292"/>
        </w:trPr>
        <w:tc>
          <w:tcPr>
            <w:tcW w:w="3102" w:type="dxa"/>
            <w:shd w:val="clear" w:color="auto" w:fill="auto"/>
            <w:noWrap/>
            <w:vAlign w:val="bottom"/>
            <w:hideMark/>
          </w:tcPr>
          <w:p w14:paraId="3E1C264E"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Liechtenstein</w:t>
            </w:r>
          </w:p>
        </w:tc>
        <w:tc>
          <w:tcPr>
            <w:tcW w:w="3100" w:type="dxa"/>
            <w:shd w:val="clear" w:color="auto" w:fill="auto"/>
            <w:noWrap/>
            <w:vAlign w:val="bottom"/>
            <w:hideMark/>
          </w:tcPr>
          <w:p w14:paraId="58F64451"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3 725</w:t>
            </w:r>
          </w:p>
        </w:tc>
        <w:tc>
          <w:tcPr>
            <w:tcW w:w="3100" w:type="dxa"/>
            <w:shd w:val="clear" w:color="auto" w:fill="auto"/>
            <w:noWrap/>
            <w:vAlign w:val="bottom"/>
            <w:hideMark/>
          </w:tcPr>
          <w:p w14:paraId="7AA7CA4A"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2 484</w:t>
            </w:r>
          </w:p>
        </w:tc>
      </w:tr>
      <w:tr w:rsidR="0017587A" w14:paraId="466C4BB5" w14:textId="77777777" w:rsidTr="00601A28">
        <w:trPr>
          <w:trHeight w:val="292"/>
        </w:trPr>
        <w:tc>
          <w:tcPr>
            <w:tcW w:w="3102" w:type="dxa"/>
            <w:shd w:val="clear" w:color="auto" w:fill="auto"/>
            <w:noWrap/>
            <w:vAlign w:val="bottom"/>
            <w:hideMark/>
          </w:tcPr>
          <w:p w14:paraId="66F816BE"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Litauen</w:t>
            </w:r>
          </w:p>
        </w:tc>
        <w:tc>
          <w:tcPr>
            <w:tcW w:w="3100" w:type="dxa"/>
            <w:shd w:val="clear" w:color="auto" w:fill="auto"/>
            <w:noWrap/>
            <w:vAlign w:val="bottom"/>
            <w:hideMark/>
          </w:tcPr>
          <w:p w14:paraId="568D75A7"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1 792 324</w:t>
            </w:r>
          </w:p>
        </w:tc>
        <w:tc>
          <w:tcPr>
            <w:tcW w:w="3100" w:type="dxa"/>
            <w:shd w:val="clear" w:color="auto" w:fill="auto"/>
            <w:noWrap/>
            <w:vAlign w:val="bottom"/>
            <w:hideMark/>
          </w:tcPr>
          <w:p w14:paraId="0BE76076"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1 195 044</w:t>
            </w:r>
          </w:p>
        </w:tc>
      </w:tr>
      <w:tr w:rsidR="0017587A" w14:paraId="20F109AB" w14:textId="77777777" w:rsidTr="00601A28">
        <w:trPr>
          <w:trHeight w:val="292"/>
        </w:trPr>
        <w:tc>
          <w:tcPr>
            <w:tcW w:w="3102" w:type="dxa"/>
            <w:shd w:val="clear" w:color="auto" w:fill="auto"/>
            <w:noWrap/>
            <w:vAlign w:val="bottom"/>
            <w:hideMark/>
          </w:tcPr>
          <w:p w14:paraId="43A14B7A"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Luxemburg</w:t>
            </w:r>
          </w:p>
        </w:tc>
        <w:tc>
          <w:tcPr>
            <w:tcW w:w="3100" w:type="dxa"/>
            <w:shd w:val="clear" w:color="auto" w:fill="auto"/>
            <w:noWrap/>
            <w:vAlign w:val="bottom"/>
            <w:hideMark/>
          </w:tcPr>
          <w:p w14:paraId="1DD9504E"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467 394</w:t>
            </w:r>
          </w:p>
        </w:tc>
        <w:tc>
          <w:tcPr>
            <w:tcW w:w="3100" w:type="dxa"/>
            <w:shd w:val="clear" w:color="auto" w:fill="auto"/>
            <w:noWrap/>
            <w:vAlign w:val="bottom"/>
            <w:hideMark/>
          </w:tcPr>
          <w:p w14:paraId="34EA70AA"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311 638</w:t>
            </w:r>
          </w:p>
        </w:tc>
      </w:tr>
      <w:tr w:rsidR="0017587A" w14:paraId="2E0EF27F" w14:textId="77777777" w:rsidTr="00601A28">
        <w:trPr>
          <w:trHeight w:val="292"/>
        </w:trPr>
        <w:tc>
          <w:tcPr>
            <w:tcW w:w="3102" w:type="dxa"/>
            <w:shd w:val="clear" w:color="auto" w:fill="auto"/>
            <w:noWrap/>
            <w:vAlign w:val="bottom"/>
            <w:hideMark/>
          </w:tcPr>
          <w:p w14:paraId="5A0CABC7"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Malta</w:t>
            </w:r>
          </w:p>
        </w:tc>
        <w:tc>
          <w:tcPr>
            <w:tcW w:w="3100" w:type="dxa"/>
            <w:shd w:val="clear" w:color="auto" w:fill="auto"/>
            <w:noWrap/>
            <w:vAlign w:val="bottom"/>
            <w:hideMark/>
          </w:tcPr>
          <w:p w14:paraId="3326D626"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354 798</w:t>
            </w:r>
          </w:p>
        </w:tc>
        <w:tc>
          <w:tcPr>
            <w:tcW w:w="3100" w:type="dxa"/>
            <w:shd w:val="clear" w:color="auto" w:fill="auto"/>
            <w:noWrap/>
            <w:vAlign w:val="bottom"/>
            <w:hideMark/>
          </w:tcPr>
          <w:p w14:paraId="73F23602"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236 564</w:t>
            </w:r>
          </w:p>
        </w:tc>
      </w:tr>
      <w:tr w:rsidR="0017587A" w14:paraId="7D3CD558" w14:textId="77777777" w:rsidTr="00601A28">
        <w:trPr>
          <w:trHeight w:val="292"/>
        </w:trPr>
        <w:tc>
          <w:tcPr>
            <w:tcW w:w="3102" w:type="dxa"/>
            <w:shd w:val="clear" w:color="auto" w:fill="auto"/>
            <w:noWrap/>
            <w:vAlign w:val="bottom"/>
            <w:hideMark/>
          </w:tcPr>
          <w:p w14:paraId="0E79D113"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Nederländerna</w:t>
            </w:r>
          </w:p>
        </w:tc>
        <w:tc>
          <w:tcPr>
            <w:tcW w:w="3100" w:type="dxa"/>
            <w:shd w:val="clear" w:color="auto" w:fill="auto"/>
            <w:noWrap/>
            <w:vAlign w:val="bottom"/>
            <w:hideMark/>
          </w:tcPr>
          <w:p w14:paraId="72567EB2"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14 291 411</w:t>
            </w:r>
          </w:p>
        </w:tc>
        <w:tc>
          <w:tcPr>
            <w:tcW w:w="3100" w:type="dxa"/>
            <w:shd w:val="clear" w:color="auto" w:fill="auto"/>
            <w:noWrap/>
            <w:vAlign w:val="bottom"/>
            <w:hideMark/>
          </w:tcPr>
          <w:p w14:paraId="7B4766BA"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9 528 894</w:t>
            </w:r>
          </w:p>
        </w:tc>
      </w:tr>
      <w:tr w:rsidR="0017587A" w14:paraId="0F3D8F27" w14:textId="77777777" w:rsidTr="00601A28">
        <w:trPr>
          <w:trHeight w:val="292"/>
        </w:trPr>
        <w:tc>
          <w:tcPr>
            <w:tcW w:w="3102" w:type="dxa"/>
            <w:shd w:val="clear" w:color="auto" w:fill="auto"/>
            <w:noWrap/>
            <w:vAlign w:val="bottom"/>
            <w:hideMark/>
          </w:tcPr>
          <w:p w14:paraId="21D180D7"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Norge</w:t>
            </w:r>
          </w:p>
        </w:tc>
        <w:tc>
          <w:tcPr>
            <w:tcW w:w="3100" w:type="dxa"/>
            <w:shd w:val="clear" w:color="auto" w:fill="auto"/>
            <w:noWrap/>
            <w:vAlign w:val="bottom"/>
            <w:hideMark/>
          </w:tcPr>
          <w:p w14:paraId="7D4872EC"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3 314 570</w:t>
            </w:r>
          </w:p>
        </w:tc>
        <w:tc>
          <w:tcPr>
            <w:tcW w:w="3100" w:type="dxa"/>
            <w:shd w:val="clear" w:color="auto" w:fill="auto"/>
            <w:noWrap/>
            <w:vAlign w:val="bottom"/>
            <w:hideMark/>
          </w:tcPr>
          <w:p w14:paraId="5F6DB820"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2 210 012</w:t>
            </w:r>
          </w:p>
        </w:tc>
      </w:tr>
      <w:tr w:rsidR="0017587A" w14:paraId="7DA928EE" w14:textId="77777777" w:rsidTr="00601A28">
        <w:trPr>
          <w:trHeight w:val="292"/>
        </w:trPr>
        <w:tc>
          <w:tcPr>
            <w:tcW w:w="3102" w:type="dxa"/>
            <w:shd w:val="clear" w:color="auto" w:fill="auto"/>
            <w:noWrap/>
            <w:vAlign w:val="bottom"/>
            <w:hideMark/>
          </w:tcPr>
          <w:p w14:paraId="47A97162"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Polen</w:t>
            </w:r>
          </w:p>
        </w:tc>
        <w:tc>
          <w:tcPr>
            <w:tcW w:w="3100" w:type="dxa"/>
            <w:shd w:val="clear" w:color="auto" w:fill="auto"/>
            <w:noWrap/>
            <w:vAlign w:val="bottom"/>
            <w:hideMark/>
          </w:tcPr>
          <w:p w14:paraId="4A6F8881"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39 282 170</w:t>
            </w:r>
          </w:p>
        </w:tc>
        <w:tc>
          <w:tcPr>
            <w:tcW w:w="3100" w:type="dxa"/>
            <w:shd w:val="clear" w:color="auto" w:fill="auto"/>
            <w:noWrap/>
            <w:vAlign w:val="bottom"/>
            <w:hideMark/>
          </w:tcPr>
          <w:p w14:paraId="33D496C7"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26 191 650</w:t>
            </w:r>
          </w:p>
        </w:tc>
      </w:tr>
      <w:tr w:rsidR="0017587A" w14:paraId="3F22C055" w14:textId="77777777" w:rsidTr="00601A28">
        <w:trPr>
          <w:trHeight w:val="292"/>
        </w:trPr>
        <w:tc>
          <w:tcPr>
            <w:tcW w:w="3102" w:type="dxa"/>
            <w:shd w:val="clear" w:color="auto" w:fill="auto"/>
            <w:noWrap/>
            <w:vAlign w:val="bottom"/>
            <w:hideMark/>
          </w:tcPr>
          <w:p w14:paraId="5D942E17"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Portugal</w:t>
            </w:r>
          </w:p>
        </w:tc>
        <w:tc>
          <w:tcPr>
            <w:tcW w:w="3100" w:type="dxa"/>
            <w:shd w:val="clear" w:color="auto" w:fill="auto"/>
            <w:noWrap/>
            <w:vAlign w:val="bottom"/>
            <w:hideMark/>
          </w:tcPr>
          <w:p w14:paraId="18B91D79"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6 478 775</w:t>
            </w:r>
          </w:p>
        </w:tc>
        <w:tc>
          <w:tcPr>
            <w:tcW w:w="3100" w:type="dxa"/>
            <w:shd w:val="clear" w:color="auto" w:fill="auto"/>
            <w:noWrap/>
            <w:vAlign w:val="bottom"/>
            <w:hideMark/>
          </w:tcPr>
          <w:p w14:paraId="10AC5AC4"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4 319 767</w:t>
            </w:r>
          </w:p>
        </w:tc>
      </w:tr>
      <w:tr w:rsidR="0017587A" w14:paraId="65281759" w14:textId="77777777" w:rsidTr="00601A28">
        <w:trPr>
          <w:trHeight w:val="292"/>
        </w:trPr>
        <w:tc>
          <w:tcPr>
            <w:tcW w:w="3102" w:type="dxa"/>
            <w:shd w:val="clear" w:color="auto" w:fill="auto"/>
            <w:noWrap/>
            <w:vAlign w:val="bottom"/>
            <w:hideMark/>
          </w:tcPr>
          <w:p w14:paraId="33396063"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Rumänien</w:t>
            </w:r>
          </w:p>
        </w:tc>
        <w:tc>
          <w:tcPr>
            <w:tcW w:w="3100" w:type="dxa"/>
            <w:shd w:val="clear" w:color="auto" w:fill="auto"/>
            <w:noWrap/>
            <w:vAlign w:val="bottom"/>
            <w:hideMark/>
          </w:tcPr>
          <w:p w14:paraId="3B3371D5"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14 941 290</w:t>
            </w:r>
          </w:p>
        </w:tc>
        <w:tc>
          <w:tcPr>
            <w:tcW w:w="3100" w:type="dxa"/>
            <w:shd w:val="clear" w:color="auto" w:fill="auto"/>
            <w:noWrap/>
            <w:vAlign w:val="bottom"/>
            <w:hideMark/>
          </w:tcPr>
          <w:p w14:paraId="3FA2D73D"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9 962 205</w:t>
            </w:r>
          </w:p>
        </w:tc>
      </w:tr>
      <w:tr w:rsidR="0017587A" w14:paraId="664D3594" w14:textId="77777777" w:rsidTr="00601A28">
        <w:trPr>
          <w:trHeight w:val="292"/>
        </w:trPr>
        <w:tc>
          <w:tcPr>
            <w:tcW w:w="3102" w:type="dxa"/>
            <w:shd w:val="clear" w:color="auto" w:fill="auto"/>
            <w:noWrap/>
            <w:vAlign w:val="bottom"/>
            <w:hideMark/>
          </w:tcPr>
          <w:p w14:paraId="4E14A984"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Slovakien</w:t>
            </w:r>
          </w:p>
        </w:tc>
        <w:tc>
          <w:tcPr>
            <w:tcW w:w="3100" w:type="dxa"/>
            <w:shd w:val="clear" w:color="auto" w:fill="auto"/>
            <w:noWrap/>
            <w:vAlign w:val="bottom"/>
            <w:hideMark/>
          </w:tcPr>
          <w:p w14:paraId="09B81448"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4 752 513</w:t>
            </w:r>
          </w:p>
        </w:tc>
        <w:tc>
          <w:tcPr>
            <w:tcW w:w="3100" w:type="dxa"/>
            <w:shd w:val="clear" w:color="auto" w:fill="auto"/>
            <w:noWrap/>
            <w:vAlign w:val="bottom"/>
            <w:hideMark/>
          </w:tcPr>
          <w:p w14:paraId="75EED423"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3 168 770</w:t>
            </w:r>
          </w:p>
        </w:tc>
      </w:tr>
      <w:tr w:rsidR="0017587A" w14:paraId="7DAB0E12" w14:textId="77777777" w:rsidTr="00601A28">
        <w:trPr>
          <w:trHeight w:val="292"/>
        </w:trPr>
        <w:tc>
          <w:tcPr>
            <w:tcW w:w="3102" w:type="dxa"/>
            <w:shd w:val="clear" w:color="auto" w:fill="auto"/>
            <w:noWrap/>
            <w:vAlign w:val="bottom"/>
            <w:hideMark/>
          </w:tcPr>
          <w:p w14:paraId="3B0D5A23"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Slovenien</w:t>
            </w:r>
          </w:p>
        </w:tc>
        <w:tc>
          <w:tcPr>
            <w:tcW w:w="3100" w:type="dxa"/>
            <w:shd w:val="clear" w:color="auto" w:fill="auto"/>
            <w:noWrap/>
            <w:vAlign w:val="bottom"/>
            <w:hideMark/>
          </w:tcPr>
          <w:p w14:paraId="0A47D5B9"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1 577 714</w:t>
            </w:r>
          </w:p>
        </w:tc>
        <w:tc>
          <w:tcPr>
            <w:tcW w:w="3100" w:type="dxa"/>
            <w:shd w:val="clear" w:color="auto" w:fill="auto"/>
            <w:noWrap/>
            <w:vAlign w:val="bottom"/>
            <w:hideMark/>
          </w:tcPr>
          <w:p w14:paraId="00DEC7FE"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1 051 951</w:t>
            </w:r>
          </w:p>
        </w:tc>
      </w:tr>
      <w:tr w:rsidR="0017587A" w14:paraId="4CE5242E" w14:textId="77777777" w:rsidTr="00601A28">
        <w:trPr>
          <w:trHeight w:val="292"/>
        </w:trPr>
        <w:tc>
          <w:tcPr>
            <w:tcW w:w="3102" w:type="dxa"/>
            <w:shd w:val="clear" w:color="auto" w:fill="auto"/>
            <w:noWrap/>
            <w:vAlign w:val="bottom"/>
            <w:hideMark/>
          </w:tcPr>
          <w:p w14:paraId="2647CE97"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Spanien</w:t>
            </w:r>
          </w:p>
        </w:tc>
        <w:tc>
          <w:tcPr>
            <w:tcW w:w="3100" w:type="dxa"/>
            <w:shd w:val="clear" w:color="auto" w:fill="auto"/>
            <w:noWrap/>
            <w:vAlign w:val="bottom"/>
            <w:hideMark/>
          </w:tcPr>
          <w:p w14:paraId="2BCD3439"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32 660 234</w:t>
            </w:r>
          </w:p>
        </w:tc>
        <w:tc>
          <w:tcPr>
            <w:tcW w:w="3100" w:type="dxa"/>
            <w:shd w:val="clear" w:color="auto" w:fill="auto"/>
            <w:noWrap/>
            <w:vAlign w:val="bottom"/>
            <w:hideMark/>
          </w:tcPr>
          <w:p w14:paraId="7A593F7A"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21 776 430</w:t>
            </w:r>
          </w:p>
        </w:tc>
      </w:tr>
      <w:tr w:rsidR="0017587A" w14:paraId="59699F23" w14:textId="77777777" w:rsidTr="00601A28">
        <w:trPr>
          <w:trHeight w:val="292"/>
        </w:trPr>
        <w:tc>
          <w:tcPr>
            <w:tcW w:w="3102" w:type="dxa"/>
            <w:shd w:val="clear" w:color="auto" w:fill="auto"/>
            <w:noWrap/>
            <w:vAlign w:val="bottom"/>
            <w:hideMark/>
          </w:tcPr>
          <w:p w14:paraId="0DA9D21B"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Sverige</w:t>
            </w:r>
          </w:p>
        </w:tc>
        <w:tc>
          <w:tcPr>
            <w:tcW w:w="3100" w:type="dxa"/>
            <w:shd w:val="clear" w:color="auto" w:fill="auto"/>
            <w:noWrap/>
            <w:vAlign w:val="bottom"/>
            <w:hideMark/>
          </w:tcPr>
          <w:p w14:paraId="46EDFDAC"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3 457 106</w:t>
            </w:r>
          </w:p>
        </w:tc>
        <w:tc>
          <w:tcPr>
            <w:tcW w:w="3100" w:type="dxa"/>
            <w:shd w:val="clear" w:color="auto" w:fill="auto"/>
            <w:noWrap/>
            <w:vAlign w:val="bottom"/>
            <w:hideMark/>
          </w:tcPr>
          <w:p w14:paraId="33297B3D"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2 305 049</w:t>
            </w:r>
          </w:p>
        </w:tc>
      </w:tr>
      <w:tr w:rsidR="0017587A" w14:paraId="79F9E881" w14:textId="77777777" w:rsidTr="00601A28">
        <w:trPr>
          <w:trHeight w:val="292"/>
        </w:trPr>
        <w:tc>
          <w:tcPr>
            <w:tcW w:w="3102" w:type="dxa"/>
            <w:shd w:val="clear" w:color="auto" w:fill="auto"/>
            <w:noWrap/>
            <w:vAlign w:val="bottom"/>
            <w:hideMark/>
          </w:tcPr>
          <w:p w14:paraId="440AE299" w14:textId="77777777" w:rsidR="0017587A" w:rsidRDefault="00707619">
            <w:pPr>
              <w:spacing w:after="0" w:line="240" w:lineRule="auto"/>
              <w:rPr>
                <w:rFonts w:ascii="Times New Roman" w:eastAsia="Times New Roman" w:hAnsi="Times New Roman"/>
                <w:sz w:val="20"/>
                <w:szCs w:val="20"/>
              </w:rPr>
            </w:pPr>
            <w:r>
              <w:rPr>
                <w:rFonts w:ascii="Times New Roman" w:hAnsi="Times New Roman"/>
                <w:sz w:val="20"/>
                <w:szCs w:val="20"/>
              </w:rPr>
              <w:t>Storbritannien</w:t>
            </w:r>
          </w:p>
        </w:tc>
        <w:tc>
          <w:tcPr>
            <w:tcW w:w="3100" w:type="dxa"/>
            <w:shd w:val="clear" w:color="auto" w:fill="auto"/>
            <w:noWrap/>
            <w:vAlign w:val="bottom"/>
            <w:hideMark/>
          </w:tcPr>
          <w:p w14:paraId="70A3DC19"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44 480 623</w:t>
            </w:r>
          </w:p>
        </w:tc>
        <w:tc>
          <w:tcPr>
            <w:tcW w:w="3100" w:type="dxa"/>
            <w:shd w:val="clear" w:color="auto" w:fill="auto"/>
            <w:noWrap/>
            <w:vAlign w:val="bottom"/>
            <w:hideMark/>
          </w:tcPr>
          <w:p w14:paraId="593FA716" w14:textId="77777777" w:rsidR="0017587A" w:rsidRDefault="00707619">
            <w:pPr>
              <w:spacing w:after="0" w:line="240" w:lineRule="auto"/>
              <w:jc w:val="right"/>
              <w:rPr>
                <w:rFonts w:ascii="Times New Roman" w:eastAsia="Times New Roman" w:hAnsi="Times New Roman"/>
                <w:sz w:val="20"/>
                <w:szCs w:val="20"/>
              </w:rPr>
            </w:pPr>
            <w:r>
              <w:rPr>
                <w:rFonts w:ascii="Times New Roman" w:hAnsi="Times New Roman"/>
                <w:sz w:val="20"/>
                <w:szCs w:val="20"/>
              </w:rPr>
              <w:t>29 657 753</w:t>
            </w:r>
          </w:p>
        </w:tc>
      </w:tr>
      <w:tr w:rsidR="0017587A" w14:paraId="40842BFA" w14:textId="77777777" w:rsidTr="00601A28">
        <w:trPr>
          <w:trHeight w:val="292"/>
        </w:trPr>
        <w:tc>
          <w:tcPr>
            <w:tcW w:w="3102" w:type="dxa"/>
            <w:shd w:val="clear" w:color="auto" w:fill="auto"/>
            <w:noWrap/>
            <w:vAlign w:val="bottom"/>
            <w:hideMark/>
          </w:tcPr>
          <w:p w14:paraId="0359A430" w14:textId="77777777" w:rsidR="0017587A" w:rsidRDefault="00707619">
            <w:pPr>
              <w:spacing w:after="0" w:line="240" w:lineRule="auto"/>
              <w:rPr>
                <w:rFonts w:ascii="Times New Roman" w:eastAsia="Times New Roman" w:hAnsi="Times New Roman"/>
                <w:b/>
                <w:bCs/>
                <w:sz w:val="20"/>
                <w:szCs w:val="20"/>
              </w:rPr>
            </w:pPr>
            <w:r>
              <w:rPr>
                <w:rFonts w:ascii="Times New Roman" w:hAnsi="Times New Roman"/>
                <w:b/>
                <w:bCs/>
                <w:sz w:val="20"/>
                <w:szCs w:val="20"/>
              </w:rPr>
              <w:t>Summa</w:t>
            </w:r>
          </w:p>
        </w:tc>
        <w:tc>
          <w:tcPr>
            <w:tcW w:w="3100" w:type="dxa"/>
            <w:shd w:val="clear" w:color="auto" w:fill="auto"/>
            <w:noWrap/>
            <w:vAlign w:val="bottom"/>
            <w:hideMark/>
          </w:tcPr>
          <w:p w14:paraId="20FC7AB7" w14:textId="77777777" w:rsidR="0017587A" w:rsidRDefault="00707619">
            <w:pPr>
              <w:spacing w:after="0" w:line="240" w:lineRule="auto"/>
              <w:jc w:val="right"/>
              <w:rPr>
                <w:rFonts w:ascii="Times New Roman" w:eastAsia="Times New Roman" w:hAnsi="Times New Roman"/>
                <w:b/>
                <w:bCs/>
                <w:sz w:val="20"/>
                <w:szCs w:val="20"/>
              </w:rPr>
            </w:pPr>
            <w:r>
              <w:rPr>
                <w:rFonts w:ascii="Times New Roman" w:hAnsi="Times New Roman"/>
                <w:b/>
                <w:bCs/>
                <w:sz w:val="20"/>
                <w:szCs w:val="20"/>
              </w:rPr>
              <w:t>397 124 723</w:t>
            </w:r>
          </w:p>
        </w:tc>
        <w:tc>
          <w:tcPr>
            <w:tcW w:w="3100" w:type="dxa"/>
            <w:shd w:val="clear" w:color="auto" w:fill="auto"/>
            <w:noWrap/>
            <w:vAlign w:val="bottom"/>
            <w:hideMark/>
          </w:tcPr>
          <w:p w14:paraId="10FC7794" w14:textId="77777777" w:rsidR="0017587A" w:rsidRDefault="00707619">
            <w:pPr>
              <w:spacing w:after="0" w:line="240" w:lineRule="auto"/>
              <w:jc w:val="right"/>
              <w:rPr>
                <w:rFonts w:ascii="Times New Roman" w:eastAsia="Times New Roman" w:hAnsi="Times New Roman"/>
                <w:b/>
                <w:bCs/>
                <w:sz w:val="20"/>
                <w:szCs w:val="20"/>
              </w:rPr>
            </w:pPr>
            <w:r>
              <w:rPr>
                <w:rFonts w:ascii="Times New Roman" w:hAnsi="Times New Roman"/>
                <w:b/>
                <w:bCs/>
                <w:sz w:val="20"/>
                <w:szCs w:val="20"/>
              </w:rPr>
              <w:t>264 785 572</w:t>
            </w:r>
          </w:p>
        </w:tc>
      </w:tr>
    </w:tbl>
    <w:p w14:paraId="2997ED0A" w14:textId="77777777" w:rsidR="0017587A" w:rsidRDefault="00707619">
      <w:pPr>
        <w:tabs>
          <w:tab w:val="left" w:pos="3491"/>
        </w:tabs>
      </w:pPr>
      <w:r>
        <w:tab/>
      </w:r>
    </w:p>
    <w:p w14:paraId="446D5C98" w14:textId="77777777" w:rsidR="0017587A" w:rsidRDefault="00862924">
      <w:pPr>
        <w:rPr>
          <w:rFonts w:ascii="Times New Roman" w:hAnsi="Times New Roman"/>
          <w:b/>
        </w:rPr>
      </w:pPr>
      <w:r>
        <w:rPr>
          <w:rFonts w:ascii="Times New Roman" w:hAnsi="Times New Roman"/>
          <w:b/>
        </w:rPr>
        <w:t>Tillägg 9</w:t>
      </w:r>
    </w:p>
    <w:p w14:paraId="32860365" w14:textId="77777777" w:rsidR="0017587A" w:rsidRDefault="00862924">
      <w:pPr>
        <w:rPr>
          <w:rFonts w:ascii="Times New Roman" w:hAnsi="Times New Roman"/>
          <w:b/>
          <w:sz w:val="20"/>
          <w:szCs w:val="20"/>
        </w:rPr>
      </w:pPr>
      <w:r>
        <w:rPr>
          <w:rFonts w:ascii="Times New Roman" w:hAnsi="Times New Roman"/>
          <w:b/>
          <w:sz w:val="20"/>
          <w:szCs w:val="20"/>
        </w:rPr>
        <w:t>Tabell 9.1: Outnyttjade medel i NER300 inom energidemonstrationsprojekten InnovFin: projekt som fått stöd</w:t>
      </w:r>
    </w:p>
    <w:tbl>
      <w:tblPr>
        <w:tblStyle w:val="TableGrid"/>
        <w:tblW w:w="98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8"/>
        <w:gridCol w:w="2893"/>
        <w:gridCol w:w="4140"/>
      </w:tblGrid>
      <w:tr w:rsidR="0017587A" w14:paraId="09597A6C" w14:textId="77777777" w:rsidTr="00601A28">
        <w:trPr>
          <w:trHeight w:val="178"/>
        </w:trPr>
        <w:tc>
          <w:tcPr>
            <w:tcW w:w="2838" w:type="dxa"/>
            <w:shd w:val="clear" w:color="auto" w:fill="D9D9D9" w:themeFill="background1" w:themeFillShade="D9"/>
          </w:tcPr>
          <w:p w14:paraId="5A3CFACE" w14:textId="77777777" w:rsidR="0017587A" w:rsidRDefault="00862924">
            <w:pPr>
              <w:rPr>
                <w:rFonts w:ascii="Times New Roman" w:hAnsi="Times New Roman"/>
                <w:b/>
              </w:rPr>
            </w:pPr>
            <w:r>
              <w:rPr>
                <w:rFonts w:ascii="Times New Roman" w:hAnsi="Times New Roman"/>
                <w:b/>
              </w:rPr>
              <w:t>Projektets titel</w:t>
            </w:r>
          </w:p>
        </w:tc>
        <w:tc>
          <w:tcPr>
            <w:tcW w:w="2893" w:type="dxa"/>
            <w:shd w:val="clear" w:color="auto" w:fill="D9D9D9" w:themeFill="background1" w:themeFillShade="D9"/>
          </w:tcPr>
          <w:p w14:paraId="706E84C1" w14:textId="77777777" w:rsidR="0017587A" w:rsidRDefault="00862924">
            <w:pPr>
              <w:rPr>
                <w:rFonts w:ascii="Times New Roman" w:hAnsi="Times New Roman"/>
                <w:b/>
              </w:rPr>
            </w:pPr>
            <w:r>
              <w:rPr>
                <w:rFonts w:ascii="Times New Roman" w:hAnsi="Times New Roman"/>
                <w:b/>
              </w:rPr>
              <w:t>Beskrivning</w:t>
            </w:r>
          </w:p>
        </w:tc>
        <w:tc>
          <w:tcPr>
            <w:tcW w:w="4140" w:type="dxa"/>
            <w:shd w:val="clear" w:color="auto" w:fill="D9D9D9" w:themeFill="background1" w:themeFillShade="D9"/>
          </w:tcPr>
          <w:p w14:paraId="5AE7CABC" w14:textId="77777777" w:rsidR="0017587A" w:rsidRDefault="00862924">
            <w:pPr>
              <w:rPr>
                <w:rFonts w:ascii="Times New Roman" w:hAnsi="Times New Roman"/>
                <w:b/>
              </w:rPr>
            </w:pPr>
            <w:r>
              <w:rPr>
                <w:rFonts w:ascii="Times New Roman" w:hAnsi="Times New Roman"/>
                <w:b/>
              </w:rPr>
              <w:t>Bild</w:t>
            </w:r>
          </w:p>
        </w:tc>
      </w:tr>
      <w:tr w:rsidR="0017587A" w14:paraId="6A65AE4E" w14:textId="77777777" w:rsidTr="00601A28">
        <w:trPr>
          <w:trHeight w:val="2161"/>
        </w:trPr>
        <w:tc>
          <w:tcPr>
            <w:tcW w:w="2838" w:type="dxa"/>
          </w:tcPr>
          <w:p w14:paraId="48BA38D5" w14:textId="77777777" w:rsidR="0017587A" w:rsidRDefault="00862924">
            <w:pPr>
              <w:rPr>
                <w:rFonts w:ascii="Times New Roman" w:hAnsi="Times New Roman"/>
              </w:rPr>
            </w:pPr>
            <w:r>
              <w:rPr>
                <w:rFonts w:ascii="Times New Roman" w:hAnsi="Times New Roman"/>
              </w:rPr>
              <w:t>WAVE ROLLER</w:t>
            </w:r>
          </w:p>
        </w:tc>
        <w:tc>
          <w:tcPr>
            <w:tcW w:w="2893" w:type="dxa"/>
          </w:tcPr>
          <w:p w14:paraId="2B2314AD" w14:textId="77777777" w:rsidR="0017587A" w:rsidRDefault="00862924">
            <w:pPr>
              <w:rPr>
                <w:rFonts w:ascii="Times New Roman" w:hAnsi="Times New Roman"/>
              </w:rPr>
            </w:pPr>
            <w:r>
              <w:rPr>
                <w:rFonts w:ascii="Times New Roman" w:hAnsi="Times New Roman"/>
              </w:rPr>
              <w:t>Syftet med Wave Roller är att demonstrera genomförbarheten av vågenergiteknik på kommersiell nivå, genom att överbrygga klyftan mellan demonstratorn och den kommersiella utvecklingen av en oscillerande vågvallskonverterare nära kusten som konverterar vågenergi till elkraft.</w:t>
            </w:r>
            <w:r>
              <w:t xml:space="preserve"> </w:t>
            </w:r>
            <w:r>
              <w:rPr>
                <w:rFonts w:ascii="Times New Roman" w:hAnsi="Times New Roman"/>
              </w:rPr>
              <w:t>NER300-bidraget kommer att uppgå till 10 miljoner euro.</w:t>
            </w:r>
          </w:p>
        </w:tc>
        <w:tc>
          <w:tcPr>
            <w:tcW w:w="4140" w:type="dxa"/>
          </w:tcPr>
          <w:p w14:paraId="7BDD0DC1" w14:textId="77777777" w:rsidR="0017587A" w:rsidRDefault="00862924">
            <w:pPr>
              <w:jc w:val="center"/>
              <w:rPr>
                <w:rFonts w:ascii="Times New Roman" w:hAnsi="Times New Roman"/>
              </w:rPr>
            </w:pPr>
            <w:r>
              <w:rPr>
                <w:rFonts w:ascii="Times New Roman" w:hAnsi="Times New Roman"/>
                <w:b/>
                <w:noProof/>
                <w:lang w:val="en-GB"/>
              </w:rPr>
              <w:drawing>
                <wp:inline distT="0" distB="0" distL="0" distR="0" wp14:anchorId="19546FE2" wp14:editId="5754F609">
                  <wp:extent cx="2310130" cy="1645526"/>
                  <wp:effectExtent l="0" t="0" r="0" b="0"/>
                  <wp:docPr id="17" name="Picture 17" descr="C:\Users\zmijeag\AppData\Local\Microsoft\Windows\INetCache\Content.Outlook\W4UI1M3B\Waveroller (0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Waveroller (002) (00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8942" cy="1658926"/>
                          </a:xfrm>
                          <a:prstGeom prst="rect">
                            <a:avLst/>
                          </a:prstGeom>
                          <a:noFill/>
                          <a:ln>
                            <a:noFill/>
                          </a:ln>
                        </pic:spPr>
                      </pic:pic>
                    </a:graphicData>
                  </a:graphic>
                </wp:inline>
              </w:drawing>
            </w:r>
          </w:p>
        </w:tc>
      </w:tr>
      <w:tr w:rsidR="0017587A" w14:paraId="6C25214E" w14:textId="77777777" w:rsidTr="00601A28">
        <w:trPr>
          <w:trHeight w:val="4681"/>
        </w:trPr>
        <w:tc>
          <w:tcPr>
            <w:tcW w:w="2838" w:type="dxa"/>
          </w:tcPr>
          <w:p w14:paraId="59DCD6A7" w14:textId="77777777" w:rsidR="0017587A" w:rsidRDefault="00862924">
            <w:pPr>
              <w:rPr>
                <w:rFonts w:ascii="Times New Roman" w:hAnsi="Times New Roman"/>
              </w:rPr>
            </w:pPr>
            <w:r>
              <w:rPr>
                <w:rFonts w:ascii="Times New Roman" w:hAnsi="Times New Roman"/>
              </w:rPr>
              <w:t>WINDFLOAT</w:t>
            </w:r>
          </w:p>
        </w:tc>
        <w:tc>
          <w:tcPr>
            <w:tcW w:w="2893" w:type="dxa"/>
          </w:tcPr>
          <w:p w14:paraId="0823A93A" w14:textId="77777777" w:rsidR="0017587A" w:rsidRDefault="00862924">
            <w:pPr>
              <w:rPr>
                <w:rFonts w:ascii="Times New Roman" w:hAnsi="Times New Roman"/>
              </w:rPr>
            </w:pPr>
            <w:r>
              <w:rPr>
                <w:rFonts w:ascii="Times New Roman" w:hAnsi="Times New Roman"/>
              </w:rPr>
              <w:t>Windfloat-projektet är en innovativ havsbaserad vindkraftpark på en flytande plattform som till hälften ligger under vatten cirka 20 km utanför Portugals kust. Syftet med projektet är att främja den senaste tekniken med flytande stödstrukturer genom att demonstrera Windfloat-projektets skalbarhet för större turbiner. Därefter främjas utvecklingen av djuphavsbaserade vindkraftparker.</w:t>
            </w:r>
            <w:r>
              <w:t xml:space="preserve"> </w:t>
            </w:r>
            <w:r>
              <w:rPr>
                <w:rFonts w:ascii="Times New Roman" w:hAnsi="Times New Roman"/>
              </w:rPr>
              <w:t>NER300-bidraget inom energidemonstrationsprojekten InnovFin kommer att uppgå till 60 miljoner euro. Windfloat-projektet får också ett bidrag på nästan 30 miljoner euro inom ramen för det ursprungliga NER300-programmet.</w:t>
            </w:r>
          </w:p>
        </w:tc>
        <w:tc>
          <w:tcPr>
            <w:tcW w:w="4140" w:type="dxa"/>
          </w:tcPr>
          <w:p w14:paraId="5B1FC067" w14:textId="77777777" w:rsidR="0017587A" w:rsidRDefault="00862924">
            <w:pPr>
              <w:jc w:val="center"/>
              <w:rPr>
                <w:rFonts w:ascii="Times New Roman" w:hAnsi="Times New Roman"/>
              </w:rPr>
            </w:pPr>
            <w:r>
              <w:rPr>
                <w:rFonts w:ascii="Times New Roman" w:hAnsi="Times New Roman"/>
                <w:b/>
                <w:noProof/>
                <w:lang w:val="en-GB"/>
              </w:rPr>
              <w:drawing>
                <wp:inline distT="0" distB="0" distL="0" distR="0" wp14:anchorId="716F954D" wp14:editId="60BFA99A">
                  <wp:extent cx="2318385" cy="1697126"/>
                  <wp:effectExtent l="0" t="0" r="5715" b="0"/>
                  <wp:docPr id="12" name="Picture 12" descr="C:\Users\zmijeag\AppData\Local\Microsoft\Windows\INetCache\Content.Outlook\W4UI1M3B\windfloat_ copyright principle pow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ijeag\AppData\Local\Microsoft\Windows\INetCache\Content.Outlook\W4UI1M3B\windfloat_ copyright principle power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2191" cy="1721873"/>
                          </a:xfrm>
                          <a:prstGeom prst="rect">
                            <a:avLst/>
                          </a:prstGeom>
                          <a:noFill/>
                          <a:ln>
                            <a:noFill/>
                          </a:ln>
                        </pic:spPr>
                      </pic:pic>
                    </a:graphicData>
                  </a:graphic>
                </wp:inline>
              </w:drawing>
            </w:r>
          </w:p>
        </w:tc>
      </w:tr>
      <w:tr w:rsidR="0017587A" w14:paraId="087EE2EC" w14:textId="77777777" w:rsidTr="00601A28">
        <w:trPr>
          <w:trHeight w:val="3604"/>
        </w:trPr>
        <w:tc>
          <w:tcPr>
            <w:tcW w:w="2838" w:type="dxa"/>
          </w:tcPr>
          <w:p w14:paraId="677BB122" w14:textId="77777777" w:rsidR="0017587A" w:rsidRDefault="00862924">
            <w:pPr>
              <w:rPr>
                <w:rFonts w:ascii="Times New Roman" w:hAnsi="Times New Roman"/>
              </w:rPr>
            </w:pPr>
            <w:r>
              <w:rPr>
                <w:rFonts w:ascii="Times New Roman" w:hAnsi="Times New Roman"/>
              </w:rPr>
              <w:t>LADDNINGSNÄTET GREENWAY</w:t>
            </w:r>
          </w:p>
        </w:tc>
        <w:tc>
          <w:tcPr>
            <w:tcW w:w="2893" w:type="dxa"/>
          </w:tcPr>
          <w:p w14:paraId="0F4752AD" w14:textId="77777777" w:rsidR="0017587A" w:rsidRDefault="00862924">
            <w:pPr>
              <w:rPr>
                <w:rFonts w:ascii="Times New Roman" w:hAnsi="Times New Roman"/>
              </w:rPr>
            </w:pPr>
            <w:r>
              <w:rPr>
                <w:rFonts w:ascii="Times New Roman" w:hAnsi="Times New Roman"/>
              </w:rPr>
              <w:t>Projektet kommer att bidra till en snabbare utveckling av infrastrukturen för elfordon. Det demonstrerar genomförbarheten när det gäller den kommersiella utvecklingen av ultrasnabba laddningsstationer för elfordon och pilotmodellen till ett integrerat system för batteriers energilagring. Demonstrationen kommer att göras i Slovakien, Polen, Tjeckien och Baltikum.</w:t>
            </w:r>
            <w:r>
              <w:t xml:space="preserve"> </w:t>
            </w:r>
            <w:r>
              <w:rPr>
                <w:rFonts w:ascii="Times New Roman" w:hAnsi="Times New Roman"/>
              </w:rPr>
              <w:t>Finansieringen inom energidemonstrationsprojekten InnovFin uppgår till 17 miljoner euro, varav nästan 3 miljoner euro backas upp med outnyttjade medel från NER300.</w:t>
            </w:r>
          </w:p>
        </w:tc>
        <w:tc>
          <w:tcPr>
            <w:tcW w:w="4140" w:type="dxa"/>
          </w:tcPr>
          <w:p w14:paraId="3E3B6AD9" w14:textId="77777777" w:rsidR="0017587A" w:rsidRDefault="00862924">
            <w:pPr>
              <w:jc w:val="center"/>
              <w:rPr>
                <w:rFonts w:ascii="Times New Roman" w:hAnsi="Times New Roman"/>
              </w:rPr>
            </w:pPr>
            <w:r>
              <w:rPr>
                <w:rFonts w:ascii="Times New Roman" w:hAnsi="Times New Roman"/>
                <w:noProof/>
                <w:lang w:val="en-GB"/>
              </w:rPr>
              <w:drawing>
                <wp:inline distT="0" distB="0" distL="0" distR="0" wp14:anchorId="33DA51E3" wp14:editId="59843C3E">
                  <wp:extent cx="2310159" cy="1667510"/>
                  <wp:effectExtent l="0" t="0" r="0" b="8890"/>
                  <wp:docPr id="9" name="Picture 9" descr="C:\Users\zmijeag\AppData\Local\Microsoft\Windows\INetCache\Content.Outlook\W4UI1M3B\greenway copyright greenwa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greenway copyright greenway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1833" cy="1690373"/>
                          </a:xfrm>
                          <a:prstGeom prst="rect">
                            <a:avLst/>
                          </a:prstGeom>
                          <a:noFill/>
                          <a:ln>
                            <a:noFill/>
                          </a:ln>
                        </pic:spPr>
                      </pic:pic>
                    </a:graphicData>
                  </a:graphic>
                </wp:inline>
              </w:drawing>
            </w:r>
          </w:p>
        </w:tc>
      </w:tr>
    </w:tbl>
    <w:p w14:paraId="06D43448" w14:textId="77777777" w:rsidR="0017587A" w:rsidRPr="000039C4" w:rsidRDefault="0017587A">
      <w:pPr>
        <w:rPr>
          <w:rFonts w:ascii="Times New Roman" w:hAnsi="Times New Roman"/>
          <w:sz w:val="20"/>
          <w:szCs w:val="20"/>
        </w:rPr>
      </w:pPr>
    </w:p>
    <w:sectPr w:rsidR="0017587A" w:rsidRPr="000039C4" w:rsidSect="002802C4">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E97C30" w16cid:durableId="1D584DA1"/>
  <w16cid:commentId w16cid:paraId="5F4E4608" w16cid:durableId="1D584DA2"/>
  <w16cid:commentId w16cid:paraId="58E17FD7" w16cid:durableId="1D584DA3"/>
  <w16cid:commentId w16cid:paraId="5DF23A43" w16cid:durableId="1D584DA4"/>
  <w16cid:commentId w16cid:paraId="30B21068" w16cid:durableId="1D584DA5"/>
  <w16cid:commentId w16cid:paraId="3A2C271F" w16cid:durableId="1D584DA6"/>
  <w16cid:commentId w16cid:paraId="4AE592B9" w16cid:durableId="1D584DA7"/>
  <w16cid:commentId w16cid:paraId="643AA177" w16cid:durableId="1D584DA8"/>
  <w16cid:commentId w16cid:paraId="38513F67" w16cid:durableId="1D584DA9"/>
  <w16cid:commentId w16cid:paraId="1FFA1ED9" w16cid:durableId="1D584DAA"/>
  <w16cid:commentId w16cid:paraId="597E28CC" w16cid:durableId="1D584DAB"/>
  <w16cid:commentId w16cid:paraId="57EFFC44" w16cid:durableId="1D584DA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9D7AF" w14:textId="77777777" w:rsidR="002C7A57" w:rsidRDefault="002C7A57">
      <w:pPr>
        <w:spacing w:after="0" w:line="240" w:lineRule="auto"/>
      </w:pPr>
      <w:r>
        <w:separator/>
      </w:r>
    </w:p>
  </w:endnote>
  <w:endnote w:type="continuationSeparator" w:id="0">
    <w:p w14:paraId="75F5E68E" w14:textId="77777777" w:rsidR="002C7A57" w:rsidRDefault="002C7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36098" w14:textId="77777777" w:rsidR="000039C4" w:rsidRPr="000039C4" w:rsidRDefault="000039C4" w:rsidP="000039C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D47DB" w14:textId="77777777" w:rsidR="00137D8B" w:rsidRDefault="00137D8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E8E05" w14:textId="30A72F7E" w:rsidR="00137D8B" w:rsidRDefault="00137D8B">
    <w:pPr>
      <w:pStyle w:val="Footer"/>
      <w:jc w:val="center"/>
    </w:pPr>
    <w:r>
      <w:fldChar w:fldCharType="begin"/>
    </w:r>
    <w:r>
      <w:instrText xml:space="preserve"> PAGE   \* MERGEFORMAT </w:instrText>
    </w:r>
    <w:r>
      <w:fldChar w:fldCharType="separate"/>
    </w:r>
    <w:r w:rsidR="000039C4">
      <w:rPr>
        <w:noProof/>
      </w:rPr>
      <w:t>53</w:t>
    </w:r>
    <w:r>
      <w:fldChar w:fldCharType="end"/>
    </w:r>
  </w:p>
  <w:p w14:paraId="1E6B2EE9" w14:textId="77777777" w:rsidR="00137D8B" w:rsidRDefault="00137D8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DB2F3" w14:textId="77777777" w:rsidR="00137D8B" w:rsidRDefault="00137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A339C" w14:textId="2CC4BD40" w:rsidR="000039C4" w:rsidRPr="000039C4" w:rsidRDefault="000039C4" w:rsidP="000039C4">
    <w:pPr>
      <w:pStyle w:val="FooterCoverPage"/>
      <w:rPr>
        <w:rFonts w:ascii="Arial" w:hAnsi="Arial" w:cs="Arial"/>
        <w:b/>
        <w:sz w:val="48"/>
      </w:rPr>
    </w:pPr>
    <w:r w:rsidRPr="000039C4">
      <w:rPr>
        <w:rFonts w:ascii="Arial" w:hAnsi="Arial" w:cs="Arial"/>
        <w:b/>
        <w:sz w:val="48"/>
      </w:rPr>
      <w:t>SV</w:t>
    </w:r>
    <w:r w:rsidRPr="000039C4">
      <w:rPr>
        <w:rFonts w:ascii="Arial" w:hAnsi="Arial" w:cs="Arial"/>
        <w:b/>
        <w:sz w:val="48"/>
      </w:rPr>
      <w:tab/>
    </w:r>
    <w:r w:rsidRPr="000039C4">
      <w:rPr>
        <w:rFonts w:ascii="Arial" w:hAnsi="Arial" w:cs="Arial"/>
        <w:b/>
        <w:sz w:val="48"/>
      </w:rPr>
      <w:tab/>
    </w:r>
    <w:r w:rsidRPr="000039C4">
      <w:tab/>
    </w:r>
    <w:r w:rsidRPr="000039C4">
      <w:rPr>
        <w:rFonts w:ascii="Arial" w:hAnsi="Arial" w:cs="Arial"/>
        <w:b/>
        <w:sz w:val="48"/>
      </w:rPr>
      <w:t>SV</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907B7" w14:textId="77777777" w:rsidR="000039C4" w:rsidRPr="000039C4" w:rsidRDefault="000039C4" w:rsidP="000039C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F7BF0" w14:textId="77777777" w:rsidR="00516F65" w:rsidRDefault="00516F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F087" w14:textId="55BE6EF3" w:rsidR="00516F65" w:rsidRDefault="00516F65">
    <w:pPr>
      <w:pStyle w:val="Footer"/>
      <w:jc w:val="center"/>
    </w:pPr>
    <w:r>
      <w:fldChar w:fldCharType="begin"/>
    </w:r>
    <w:r>
      <w:instrText xml:space="preserve"> PAGE   \* MERGEFORMAT </w:instrText>
    </w:r>
    <w:r>
      <w:fldChar w:fldCharType="separate"/>
    </w:r>
    <w:r w:rsidR="000039C4">
      <w:rPr>
        <w:noProof/>
      </w:rPr>
      <w:t>1</w:t>
    </w:r>
    <w:r>
      <w:fldChar w:fldCharType="end"/>
    </w:r>
  </w:p>
  <w:p w14:paraId="1D6D3F6A" w14:textId="77777777" w:rsidR="00516F65" w:rsidRDefault="00516F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32645" w14:textId="77777777" w:rsidR="00516F65" w:rsidRDefault="00516F6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44130" w14:textId="77777777" w:rsidR="00137D8B" w:rsidRDefault="00137D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A5DE" w14:textId="6BBE9910" w:rsidR="00137D8B" w:rsidRDefault="00137D8B">
    <w:pPr>
      <w:pStyle w:val="Footer"/>
      <w:jc w:val="center"/>
    </w:pPr>
    <w:r>
      <w:fldChar w:fldCharType="begin"/>
    </w:r>
    <w:r>
      <w:instrText xml:space="preserve"> PAGE   \* MERGEFORMAT </w:instrText>
    </w:r>
    <w:r>
      <w:fldChar w:fldCharType="separate"/>
    </w:r>
    <w:r w:rsidR="000039C4">
      <w:rPr>
        <w:noProof/>
      </w:rPr>
      <w:t>44</w:t>
    </w:r>
    <w:r>
      <w:fldChar w:fldCharType="end"/>
    </w:r>
  </w:p>
  <w:p w14:paraId="130FFDCF" w14:textId="77777777" w:rsidR="00137D8B" w:rsidRDefault="00137D8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74B4B" w14:textId="77777777" w:rsidR="00137D8B" w:rsidRDefault="00137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6D583" w14:textId="77777777" w:rsidR="002C7A57" w:rsidRDefault="002C7A57">
      <w:pPr>
        <w:spacing w:after="0" w:line="240" w:lineRule="auto"/>
      </w:pPr>
      <w:r>
        <w:separator/>
      </w:r>
    </w:p>
  </w:footnote>
  <w:footnote w:type="continuationSeparator" w:id="0">
    <w:p w14:paraId="54674F5C" w14:textId="77777777" w:rsidR="002C7A57" w:rsidRDefault="002C7A57">
      <w:pPr>
        <w:spacing w:after="0" w:line="240" w:lineRule="auto"/>
      </w:pPr>
      <w:r>
        <w:continuationSeparator/>
      </w:r>
    </w:p>
  </w:footnote>
  <w:footnote w:id="1">
    <w:p w14:paraId="2C3470E2" w14:textId="77777777" w:rsidR="0017587A" w:rsidRDefault="00516F65">
      <w:pPr>
        <w:pStyle w:val="FootnoteText"/>
      </w:pPr>
      <w:r>
        <w:rPr>
          <w:rStyle w:val="FootnoteReference"/>
        </w:rPr>
        <w:footnoteRef/>
      </w:r>
      <w:r>
        <w:t xml:space="preserve"> https://ec.europa.eu/commission/sites/beta-political/files/political-guidelines-next-commission_sv.pdf</w:t>
      </w:r>
    </w:p>
  </w:footnote>
  <w:footnote w:id="2">
    <w:p w14:paraId="72DB6577" w14:textId="77777777" w:rsidR="0017587A" w:rsidRDefault="00516F65">
      <w:pPr>
        <w:pStyle w:val="FootnoteText"/>
      </w:pPr>
      <w:r>
        <w:rPr>
          <w:rStyle w:val="FootnoteReference"/>
        </w:rPr>
        <w:footnoteRef/>
      </w:r>
      <w:r>
        <w:t xml:space="preserve"> Europaparlamentets och rådets direktiv (EU) 2018/410 av den 14 mars 2018 om ändring av direktiv 2003/87/EG för att främja kostnadseffektiva utsläppsminskningar och koldioxidsnåla investeringar, och beslut (EU) 2015/1814 (EUT L 76, 19.3.2018, s. 3).</w:t>
      </w:r>
    </w:p>
  </w:footnote>
  <w:footnote w:id="3">
    <w:p w14:paraId="65D07E7D" w14:textId="4A1C96C3" w:rsidR="0017587A" w:rsidRDefault="00516F65">
      <w:pPr>
        <w:pStyle w:val="FootnoteText"/>
        <w:jc w:val="both"/>
      </w:pPr>
      <w:r>
        <w:rPr>
          <w:rStyle w:val="FootnoteReference"/>
        </w:rPr>
        <w:footnoteRef/>
      </w:r>
      <w:r>
        <w:t xml:space="preserve"> Europaparlamentets och rådets direktiv 2003/87/EG av den 13 oktober 2003 om ett system för handel med utsläppsrätter för växthusgaser inom </w:t>
      </w:r>
      <w:r w:rsidR="00F12944">
        <w:t>unionen</w:t>
      </w:r>
      <w:r>
        <w:t xml:space="preserve"> och om ändring av rådets direktiv 96/61/EG (EUT L 275, 25.10.2003, s. 32).</w:t>
      </w:r>
    </w:p>
  </w:footnote>
  <w:footnote w:id="4">
    <w:p w14:paraId="0A916FC8" w14:textId="77777777" w:rsidR="0017587A" w:rsidRDefault="00516F65">
      <w:pPr>
        <w:pStyle w:val="FootnoteText"/>
        <w:jc w:val="both"/>
      </w:pPr>
      <w:r>
        <w:rPr>
          <w:rStyle w:val="FootnoteReference"/>
        </w:rPr>
        <w:footnoteRef/>
      </w:r>
      <w:r>
        <w:t xml:space="preserve"> Det slutdatum som användes var den 28 juni 2019. </w:t>
      </w:r>
    </w:p>
  </w:footnote>
  <w:footnote w:id="5">
    <w:p w14:paraId="087A147E" w14:textId="77777777" w:rsidR="0017587A" w:rsidRDefault="00516F65">
      <w:pPr>
        <w:pStyle w:val="FootnoteText"/>
      </w:pPr>
      <w:r>
        <w:rPr>
          <w:rStyle w:val="FootnoteReference"/>
        </w:rPr>
        <w:footnoteRef/>
      </w:r>
      <w:r>
        <w:t xml:space="preserve"> Vid hänvisningar till artikel 21-rapporterna omfattar uttrycken ”deltagande länder” eller ”länder” de 28 EU-medlemsstaterna plus EES-länderna (Island, Norge och Liechtenstein).</w:t>
      </w:r>
    </w:p>
  </w:footnote>
  <w:footnote w:id="6">
    <w:p w14:paraId="4E70C82A" w14:textId="77777777" w:rsidR="0017587A" w:rsidRDefault="00516F65">
      <w:pPr>
        <w:pStyle w:val="FootnoteText"/>
        <w:jc w:val="both"/>
      </w:pPr>
      <w:r>
        <w:rPr>
          <w:rStyle w:val="FootnoteReference"/>
        </w:rPr>
        <w:footnoteRef/>
      </w:r>
      <w:r>
        <w:t xml:space="preserve"> Inom EU:s utsläppshandelssystem fastställs emissionsfaktorn för biomassa till noll om definitionen av begreppet ”biomassa” tillgodoses och om – vad biobränslen och flytande biobränslen beträffar – hållbarhetskriterierna enligt artikel 17.1 i direktiv 2009/28/EG (direktivet om främjande av användningen av energi från förnybara energikällor) uppfylls. Inga utsläppsrätter behöver överlämnas för utsläpp med emissionsfaktor noll. I 2019 års artikel 21-rapporter rapporterade tre deltagande länder (Lettland, Litauen och Danmark) endast energiinnehållet i biomassa med emissionsfaktor noll och inte de faktiska utsläppen. Deras utsläpp räknas därför inte med i de totala utsläppen. </w:t>
      </w:r>
    </w:p>
  </w:footnote>
  <w:footnote w:id="7">
    <w:p w14:paraId="57BBDB68" w14:textId="77777777" w:rsidR="0017587A" w:rsidRDefault="00516F65">
      <w:pPr>
        <w:pStyle w:val="FootnoteText"/>
        <w:jc w:val="both"/>
      </w:pPr>
      <w:r>
        <w:rPr>
          <w:rStyle w:val="FootnoteReference"/>
        </w:rPr>
        <w:footnoteRef/>
      </w:r>
      <w:r>
        <w:t xml:space="preserve"> Kategori C-anläggningar släpper ut mer än 500 000 ton koldioxidekvivalenter per år, kategori B-anläggningar mellan 500 000 och 50 000 ton koldioxidekvivalenter per år och kategori A-anläggningar mindre än 50 000 ton per år. Se kommissionens förordning (EU) nr 601/2012 av den 21 juni 2012 om övervakning och rapportering av växthusgasutsläpp i enlighet med Europaparlamentets och rådets direktiv 2003/87/EG (EUT L 181, 12.7.2012, s. 30).</w:t>
      </w:r>
    </w:p>
  </w:footnote>
  <w:footnote w:id="8">
    <w:p w14:paraId="5CDD110D" w14:textId="16CF3687" w:rsidR="0017587A" w:rsidRDefault="00880749">
      <w:pPr>
        <w:pStyle w:val="FootnoteText"/>
        <w:jc w:val="both"/>
      </w:pPr>
      <w:r>
        <w:rPr>
          <w:rStyle w:val="FootnoteReference"/>
        </w:rPr>
        <w:footnoteRef/>
      </w:r>
      <w:r>
        <w:t xml:space="preserve"> Som ”anläggningar med låga utsläpp” betecknas kategori A-anläggningar vilka släpper ut mindre än 25 000 ton koldioxidekvivalenter per år (se artikel 47.2 i förordning (EU) nr 601/2012). </w:t>
      </w:r>
    </w:p>
  </w:footnote>
  <w:footnote w:id="9">
    <w:p w14:paraId="27E40B9F" w14:textId="77777777" w:rsidR="0017587A" w:rsidRDefault="00516F65">
      <w:pPr>
        <w:pStyle w:val="FootnoteText"/>
        <w:jc w:val="both"/>
      </w:pPr>
      <w:r>
        <w:rPr>
          <w:rStyle w:val="FootnoteReference"/>
        </w:rPr>
        <w:footnoteRef/>
      </w:r>
      <w:r>
        <w:t xml:space="preserve"> Kommissionens förordning (EU) nr 601/2012 av den 21 juni 2012 om övervakning och rapportering av växthusgasutsläpp i enlighet med Europaparlamentets och rådets direktiv 2003/87/EG (EUT L 181, 12.7.2012, s. 30).</w:t>
      </w:r>
    </w:p>
  </w:footnote>
  <w:footnote w:id="10">
    <w:p w14:paraId="729E9BD0" w14:textId="77777777" w:rsidR="0017587A" w:rsidRDefault="00516F65">
      <w:pPr>
        <w:pStyle w:val="FootnoteText"/>
        <w:jc w:val="both"/>
      </w:pPr>
      <w:r>
        <w:rPr>
          <w:rStyle w:val="FootnoteReference"/>
        </w:rPr>
        <w:footnoteRef/>
      </w:r>
      <w:r>
        <w:t xml:space="preserve"> Ett flygbolag som transporterar passagerare och riktar sig till allmänheten är ett exempel på en kommersiell luftfartygsoperatör. Ett privatägt flygplan är ett exempel på en icke-kommersiell luftfartygsoperatör.</w:t>
      </w:r>
    </w:p>
  </w:footnote>
  <w:footnote w:id="11">
    <w:p w14:paraId="49CC7E96" w14:textId="77777777" w:rsidR="0017587A" w:rsidRPr="009438AB" w:rsidRDefault="00516F65">
      <w:pPr>
        <w:pStyle w:val="FootnoteText"/>
        <w:jc w:val="both"/>
        <w:rPr>
          <w:lang w:val="en-US"/>
        </w:rPr>
      </w:pPr>
      <w:r>
        <w:rPr>
          <w:rStyle w:val="FootnoteReference"/>
        </w:rPr>
        <w:footnoteRef/>
      </w:r>
      <w:r w:rsidRPr="009438AB">
        <w:rPr>
          <w:lang w:val="en-US"/>
        </w:rPr>
        <w:t xml:space="preserve"> </w:t>
      </w:r>
      <w:r w:rsidRPr="009438AB">
        <w:rPr>
          <w:i/>
          <w:lang w:val="en-US"/>
        </w:rPr>
        <w:t>Commission Decision of 17 December 2018 on instructing the central administrator to temporarily suspend the acceptance by the European Union Transaction Log of relevant processes for the United Kingdom relating to free allocation, auctioning and the exchange of international credits (C(2018) 8707)</w:t>
      </w:r>
      <w:r w:rsidRPr="009438AB">
        <w:rPr>
          <w:lang w:val="en-US"/>
        </w:rPr>
        <w:t xml:space="preserve"> (ej översatt till svenska). </w:t>
      </w:r>
    </w:p>
  </w:footnote>
  <w:footnote w:id="12">
    <w:p w14:paraId="45211C6E" w14:textId="77777777" w:rsidR="0017587A" w:rsidRDefault="00516F65">
      <w:pPr>
        <w:pStyle w:val="FootnoteText"/>
        <w:jc w:val="both"/>
      </w:pPr>
      <w:r>
        <w:rPr>
          <w:rStyle w:val="FootnoteReference"/>
        </w:rPr>
        <w:footnoteRef/>
      </w:r>
      <w:r>
        <w:t xml:space="preserve"> Kommissionens förordning (EU) 2018/208 av den 12 februari 2018 om ändring av förordning (EU) nr 389/2013 om upprättande av ett unionsregister (EUT L 39, 13.2.2018, s. 3).</w:t>
      </w:r>
    </w:p>
  </w:footnote>
  <w:footnote w:id="13">
    <w:p w14:paraId="224C7CEF" w14:textId="77777777" w:rsidR="0017587A" w:rsidRDefault="00516F65">
      <w:pPr>
        <w:pStyle w:val="FootnoteText"/>
        <w:jc w:val="both"/>
      </w:pPr>
      <w:r>
        <w:rPr>
          <w:rStyle w:val="FootnoteReference"/>
        </w:rPr>
        <w:footnoteRef/>
      </w:r>
      <w:r>
        <w:t xml:space="preserve"> Kommissionens delegerade förordning (EU) 2019/1122 av den 12 mars 2019 om komplettering av Europaparlamentets och rådets direktiv 2003/87/EG vad gäller unionsregistrets funktion (EUT L 177, 2.7.2019. s. 3).</w:t>
      </w:r>
    </w:p>
  </w:footnote>
  <w:footnote w:id="14">
    <w:p w14:paraId="6B618F8C" w14:textId="58132D6F" w:rsidR="0017587A" w:rsidRDefault="00516F65">
      <w:pPr>
        <w:pStyle w:val="FootnoteText"/>
      </w:pPr>
      <w:r>
        <w:rPr>
          <w:rStyle w:val="FootnoteReference"/>
        </w:rPr>
        <w:footnoteRef/>
      </w:r>
      <w:r>
        <w:t xml:space="preserve"> Europaparlamentets och rådets direktiv 2014/65/EU av den 15 maj 2014 om marknader för finansiella instrument och om ändring av direktiv 2002/92/EG och av direktiv 2011/61/EU</w:t>
      </w:r>
      <w:r w:rsidR="005E4DAD">
        <w:t>,</w:t>
      </w:r>
      <w:r w:rsidR="005E4DAD" w:rsidRPr="00A61B78">
        <w:t xml:space="preserve"> </w:t>
      </w:r>
      <w:r w:rsidR="005E4DAD">
        <w:t>EUT</w:t>
      </w:r>
      <w:r w:rsidR="005E4DAD" w:rsidRPr="00A61B78">
        <w:t xml:space="preserve"> L 173, 12.6.2014, </w:t>
      </w:r>
      <w:r w:rsidR="005E4DAD">
        <w:t>s</w:t>
      </w:r>
      <w:r w:rsidR="005E4DAD" w:rsidRPr="00A61B78">
        <w:t>. 349</w:t>
      </w:r>
      <w:r>
        <w:t>.</w:t>
      </w:r>
    </w:p>
  </w:footnote>
  <w:footnote w:id="15">
    <w:p w14:paraId="18CCECF1" w14:textId="77777777" w:rsidR="0017587A" w:rsidRDefault="00516F65">
      <w:pPr>
        <w:pStyle w:val="FootnoteText"/>
        <w:jc w:val="both"/>
      </w:pPr>
      <w:r>
        <w:rPr>
          <w:rStyle w:val="FootnoteReference"/>
        </w:rPr>
        <w:footnoteRef/>
      </w:r>
      <w:r>
        <w:t xml:space="preserve"> Antalet utsläppsrätter för luftfart som har satts i omlopp sedan 2013 är resultatet av en bottom-up-strategi som börjar med gratis tilldelning (fastställd på basis av verksamhetsbaserade riktmärken för operatörernas verksamhet inom EES). Därefter härleds det antal utsläppsrätter som utauktioneras från det faktum att 85 % av det totala antalet ska tilldelas gratis (med en särskild reserv för senare tilldelningar till snabbväxande luftfartygsoperatörer och nya aktörer) och 15 % utauktioneras.</w:t>
      </w:r>
    </w:p>
  </w:footnote>
  <w:footnote w:id="16">
    <w:p w14:paraId="08AA8F6E" w14:textId="77777777" w:rsidR="0017587A" w:rsidRDefault="00516F65">
      <w:pPr>
        <w:pStyle w:val="FootnoteText"/>
        <w:jc w:val="both"/>
      </w:pPr>
      <w:r>
        <w:rPr>
          <w:rStyle w:val="FootnoteReference"/>
        </w:rPr>
        <w:footnoteRef/>
      </w:r>
      <w:r>
        <w:t xml:space="preserve"> De uppdaterade siffrorna omfattar utbytet av internationella reduktionsenheter utöver utsläppsrätter som tilldelats gratis och auktionerade utsläppsrätter. </w:t>
      </w:r>
    </w:p>
  </w:footnote>
  <w:footnote w:id="17">
    <w:p w14:paraId="124D1314" w14:textId="77777777" w:rsidR="0017587A" w:rsidRDefault="00516F65">
      <w:pPr>
        <w:pStyle w:val="FootnoteText"/>
        <w:jc w:val="both"/>
      </w:pPr>
      <w:r>
        <w:rPr>
          <w:rStyle w:val="FootnoteReference"/>
        </w:rPr>
        <w:footnoteRef/>
      </w:r>
      <w:r>
        <w:t xml:space="preserve"> Inkluderar information från luftfartsauktionskalendern för 2019. De brittiska uppgifterna för 2019 finns inte med på grund av de skyddsåtgärder som kommissionen vidtagit för att skydda miljönyttan av EU:s utsläppshandelssystem i de fall där EU-lagstiftningen upphör att gälla för en medlemsstat som lämnar EU (se kapitel 2.2).</w:t>
      </w:r>
    </w:p>
  </w:footnote>
  <w:footnote w:id="18">
    <w:p w14:paraId="31E1AEDF" w14:textId="77777777" w:rsidR="0017587A" w:rsidRDefault="00516F65">
      <w:pPr>
        <w:pStyle w:val="FootnoteText"/>
      </w:pPr>
      <w:r>
        <w:rPr>
          <w:rStyle w:val="FootnoteReference"/>
        </w:rPr>
        <w:footnoteRef/>
      </w:r>
      <w:r>
        <w:t xml:space="preserve"> Denna siffra omfattar anmälningar från medlemsstaterna som har tagits emot fram till juni 2019 och kan komma att ändras på grund av senare anmälningar.</w:t>
      </w:r>
    </w:p>
  </w:footnote>
  <w:footnote w:id="19">
    <w:p w14:paraId="39FE7B3A" w14:textId="77777777" w:rsidR="0017587A" w:rsidRDefault="00516F65">
      <w:pPr>
        <w:pStyle w:val="FootnoteText"/>
      </w:pPr>
      <w:r>
        <w:rPr>
          <w:rStyle w:val="FootnoteReference"/>
        </w:rPr>
        <w:footnoteRef/>
      </w:r>
      <w:r>
        <w:t xml:space="preserve"> Ursprunglig mängd, före tillämpning av de minskningar som anges nedan. </w:t>
      </w:r>
    </w:p>
  </w:footnote>
  <w:footnote w:id="20">
    <w:p w14:paraId="72CA2E38" w14:textId="77777777" w:rsidR="0017587A" w:rsidRDefault="009B58A9">
      <w:pPr>
        <w:pStyle w:val="FootnoteText"/>
        <w:jc w:val="both"/>
      </w:pPr>
      <w:r>
        <w:rPr>
          <w:rStyle w:val="FootnoteReference"/>
        </w:rPr>
        <w:footnoteRef/>
      </w:r>
      <w:r>
        <w:t xml:space="preserve"> Tilldelningen för Storbritannien (48,0 miljoner utsläppsrätter av det totala antalet 2019) avbröts på grund av de skyddsåtgärder som kommissionen vidtagit för att skydda miljönyttan av EU:s utsläppshandelssystem i de fall där EU-lagstiftningen upphör att gälla för en medlemsstat som lämnar EU (se kapitel 2.2).</w:t>
      </w:r>
    </w:p>
  </w:footnote>
  <w:footnote w:id="21">
    <w:p w14:paraId="515C057E" w14:textId="77777777" w:rsidR="0017587A" w:rsidRDefault="00516F65">
      <w:pPr>
        <w:pStyle w:val="FootnoteText"/>
        <w:jc w:val="both"/>
      </w:pPr>
      <w:r>
        <w:rPr>
          <w:rStyle w:val="FootnoteReference"/>
        </w:rPr>
        <w:footnoteRef/>
      </w:r>
      <w:r>
        <w:t xml:space="preserve"> Kommissionens beslut 2013/448/EU (EUT L 240, 7.9.2013, s. 27).</w:t>
      </w:r>
    </w:p>
  </w:footnote>
  <w:footnote w:id="22">
    <w:p w14:paraId="524B8305" w14:textId="77777777" w:rsidR="0017587A" w:rsidRDefault="00516F65">
      <w:pPr>
        <w:pStyle w:val="FootnoteText"/>
        <w:jc w:val="both"/>
      </w:pPr>
      <w:r>
        <w:rPr>
          <w:rStyle w:val="FootnoteReference"/>
        </w:rPr>
        <w:footnoteRef/>
      </w:r>
      <w:r>
        <w:t xml:space="preserve"> Kommissionens beslut 2017/126/EU (EUT L 19, 25.1.2017, s. 93).</w:t>
      </w:r>
    </w:p>
  </w:footnote>
  <w:footnote w:id="23">
    <w:p w14:paraId="35EE4543" w14:textId="204E62BA" w:rsidR="0017587A" w:rsidRDefault="00516F65">
      <w:pPr>
        <w:pStyle w:val="FootnoteText"/>
        <w:jc w:val="both"/>
      </w:pPr>
      <w:r>
        <w:rPr>
          <w:rStyle w:val="FootnoteReference"/>
        </w:rPr>
        <w:footnoteRef/>
      </w:r>
      <w:r w:rsidR="001C5413">
        <w:t xml:space="preserve"> </w:t>
      </w:r>
      <w:r>
        <w:t>Kommissionens delegerade beslut (EU) 2019/708, https://eur-lex.europa.eu/legal-content/SV/TXT/PDF/?uri=OJ:L:2019:120:FULL&amp;from=SV.</w:t>
      </w:r>
    </w:p>
  </w:footnote>
  <w:footnote w:id="24">
    <w:p w14:paraId="10E3EB24" w14:textId="77777777" w:rsidR="0017587A" w:rsidRDefault="00516F65">
      <w:pPr>
        <w:pStyle w:val="FootnoteText"/>
      </w:pPr>
      <w:r>
        <w:rPr>
          <w:rStyle w:val="FootnoteReference"/>
        </w:rPr>
        <w:footnoteRef/>
      </w:r>
      <w:r>
        <w:t xml:space="preserve"> Kommissionens delegerade förordning (EU) 2019/331, https://eur-lex.europa.eu/legal-content/SV/TXT/PDF/?uri=OJ:L:2019:059:FULL&amp;from=SV.</w:t>
      </w:r>
    </w:p>
  </w:footnote>
  <w:footnote w:id="25">
    <w:p w14:paraId="12C088B7" w14:textId="77777777" w:rsidR="0017587A" w:rsidRDefault="00516F65">
      <w:pPr>
        <w:pStyle w:val="FootnoteText"/>
      </w:pPr>
      <w:r>
        <w:rPr>
          <w:rStyle w:val="FootnoteReference"/>
        </w:rPr>
        <w:footnoteRef/>
      </w:r>
      <w:r>
        <w:t xml:space="preserve"> Kommissionens beslut (EU) 2017/2172 av den 20 november 2017 om ändring av beslut 2010/670/EU vad gäller användningen av icke-utbetalda intäkter från den första ansökningsomgången.</w:t>
      </w:r>
    </w:p>
  </w:footnote>
  <w:footnote w:id="26">
    <w:p w14:paraId="7F4996A3" w14:textId="77777777" w:rsidR="0017587A" w:rsidRDefault="00516F65">
      <w:pPr>
        <w:pStyle w:val="FootnoteText"/>
        <w:jc w:val="both"/>
      </w:pPr>
      <w:r>
        <w:rPr>
          <w:rStyle w:val="FootnoteReference"/>
        </w:rPr>
        <w:footnoteRef/>
      </w:r>
      <w:r>
        <w:t xml:space="preserve"> I linje med kommissionens beslut 2010/670/EU måste slutliga investeringsbeslut för de projekt som fick anslag i den första ansökningsomgången fattas före 2016 års utgång. För de projekt som fick anslag i den andra ansökningsomgången måste beslut fattas före utgången av juni 2018.</w:t>
      </w:r>
    </w:p>
  </w:footnote>
  <w:footnote w:id="27">
    <w:p w14:paraId="4524FA54" w14:textId="77777777" w:rsidR="0017587A" w:rsidRDefault="00516F65">
      <w:pPr>
        <w:pStyle w:val="FootnoteText"/>
        <w:jc w:val="both"/>
      </w:pPr>
      <w:r>
        <w:rPr>
          <w:rStyle w:val="FootnoteReference"/>
        </w:rPr>
        <w:footnoteRef/>
      </w:r>
      <w:r>
        <w:t xml:space="preserve"> Värdet av de 450 miljoner utsläppsrätter som finns tillgängliga för fonden kommer att styras av koldioxidpriset. Med ett genomsnittspris på 25 euro per utsläppsrätt skulle fondens resurser uppgå till 11,3 miljarder euro. </w:t>
      </w:r>
    </w:p>
  </w:footnote>
  <w:footnote w:id="28">
    <w:p w14:paraId="36A43FF5" w14:textId="77777777" w:rsidR="0017587A" w:rsidRDefault="00516F65">
      <w:pPr>
        <w:pStyle w:val="FootnoteText"/>
        <w:jc w:val="both"/>
      </w:pPr>
      <w:r>
        <w:rPr>
          <w:rStyle w:val="FootnoteReference"/>
        </w:rPr>
        <w:footnoteRef/>
      </w:r>
      <w:r>
        <w:t xml:space="preserve"> Kommissionens delegerade förordning (EU) 2019/856 av den 26 februari 2019 om komplettering av Europaparlamentets och rådets direktiv 2003/87/EG vad gäller driften av innovationsfonden (EUT L 140, 28.5.2019. s. 6).</w:t>
      </w:r>
    </w:p>
  </w:footnote>
  <w:footnote w:id="29">
    <w:p w14:paraId="563672DE" w14:textId="77777777" w:rsidR="0017587A" w:rsidRDefault="00516F65">
      <w:pPr>
        <w:pStyle w:val="FootnoteText"/>
      </w:pPr>
      <w:r>
        <w:rPr>
          <w:rStyle w:val="FootnoteReference"/>
        </w:rPr>
        <w:footnoteRef/>
      </w:r>
      <w:r>
        <w:t xml:space="preserve"> Dessutom har ändringar godkänts för de franska och spanska ordningarna.</w:t>
      </w:r>
    </w:p>
  </w:footnote>
  <w:footnote w:id="30">
    <w:p w14:paraId="01E198D3" w14:textId="77777777" w:rsidR="0017587A" w:rsidRDefault="006B0912">
      <w:pPr>
        <w:pStyle w:val="FootnoteText"/>
      </w:pPr>
      <w:r>
        <w:rPr>
          <w:rStyle w:val="FootnoteReference"/>
        </w:rPr>
        <w:footnoteRef/>
      </w:r>
      <w:r>
        <w:t xml:space="preserve"> Informationen om utbetalad kompensation och antalet mottagare baseras på rapporteringsskyldigheten enligt artikel 10a.6 i direktiv (EU) 2018/410.</w:t>
      </w:r>
    </w:p>
  </w:footnote>
  <w:footnote w:id="31">
    <w:p w14:paraId="46B098E4" w14:textId="77777777" w:rsidR="0017587A" w:rsidRDefault="00516F65">
      <w:pPr>
        <w:pStyle w:val="FootnoteText"/>
      </w:pPr>
      <w:r>
        <w:rPr>
          <w:rStyle w:val="FootnoteReference"/>
        </w:rPr>
        <w:footnoteRef/>
      </w:r>
      <w:r>
        <w:t xml:space="preserve"> 19,7 miljoner brittiska pund (för indirekta kostnader som uppkom 2018), baserat på en genomsnittlig växelkurs mellan brittiska pund och euro på 1,1355.</w:t>
      </w:r>
    </w:p>
  </w:footnote>
  <w:footnote w:id="32">
    <w:p w14:paraId="7FE62C2F" w14:textId="77777777" w:rsidR="0017587A" w:rsidRDefault="006B0912">
      <w:pPr>
        <w:pStyle w:val="FootnoteText"/>
      </w:pPr>
      <w:r>
        <w:rPr>
          <w:rStyle w:val="FootnoteReference"/>
        </w:rPr>
        <w:footnoteRef/>
      </w:r>
      <w:r>
        <w:t xml:space="preserve"> Storbritannien har inte rapporterat anläggningar utan företag.</w:t>
      </w:r>
    </w:p>
  </w:footnote>
  <w:footnote w:id="33">
    <w:p w14:paraId="3C39F140" w14:textId="77777777" w:rsidR="0017587A" w:rsidRDefault="00513707">
      <w:pPr>
        <w:pStyle w:val="FootnoteText"/>
      </w:pPr>
      <w:r>
        <w:rPr>
          <w:rStyle w:val="FootnoteReference"/>
        </w:rPr>
        <w:footnoteRef/>
      </w:r>
      <w:r>
        <w:t xml:space="preserve"> Storbritannien har utbetalat 2019 års stöd för indirekta kostnader som uppkom 2018. Därför visas Storbritanniens auktionsintäkter från 2018. </w:t>
      </w:r>
    </w:p>
  </w:footnote>
  <w:footnote w:id="34">
    <w:p w14:paraId="15E8E690" w14:textId="77777777" w:rsidR="0017587A" w:rsidRDefault="001B4818">
      <w:pPr>
        <w:pStyle w:val="FootnoteText"/>
      </w:pPr>
      <w:r>
        <w:rPr>
          <w:rStyle w:val="FootnoteReference"/>
        </w:rPr>
        <w:footnoteRef/>
      </w:r>
      <w:r>
        <w:t xml:space="preserve"> Polen tas inte med här, eftersom landet kommer att börja utbetala stöd 2020 för indirekta kostnader som uppkommit 2019.</w:t>
      </w:r>
    </w:p>
  </w:footnote>
  <w:footnote w:id="35">
    <w:p w14:paraId="22E1F2A3" w14:textId="77777777" w:rsidR="0017587A" w:rsidRDefault="00516F65">
      <w:pPr>
        <w:pStyle w:val="FootnoteText"/>
      </w:pPr>
      <w:r>
        <w:rPr>
          <w:rStyle w:val="FootnoteReference"/>
        </w:rPr>
        <w:footnoteRef/>
      </w:r>
      <w:r>
        <w:t xml:space="preserve"> Anledningen till att 2018 års utbetalningar jämförs med 2017 års auktionsintäkter är att utbetalningarna 2018 generellt sett är en kompensation för konsumenternas indirekta kostnader under kalenderåret 2017. </w:t>
      </w:r>
    </w:p>
  </w:footnote>
  <w:footnote w:id="36">
    <w:p w14:paraId="51262643" w14:textId="77777777" w:rsidR="0017587A" w:rsidRDefault="00516F65">
      <w:pPr>
        <w:pStyle w:val="FootnoteText"/>
      </w:pPr>
      <w:r>
        <w:rPr>
          <w:rStyle w:val="FootnoteReference"/>
        </w:rPr>
        <w:footnoteRef/>
      </w:r>
      <w:r>
        <w:t xml:space="preserve"> Kommissionens delegerade förordning (EU) 2019/7 av den 30 oktober 2018 om ändring av förordning (EU) nr 1031/2010 vad gäller auktioneringen av 50 miljoner outnyttjade utsläppsrätter från reserven för marknadsstabilitet till förmån för innovationsfonden och förteckning av en auktionsplattform som ska förordnas av Tyskland (EUT L 2, 4.1.2019, s. 1).</w:t>
      </w:r>
    </w:p>
  </w:footnote>
  <w:footnote w:id="37">
    <w:p w14:paraId="3F96CA62" w14:textId="77777777" w:rsidR="0017587A" w:rsidRDefault="00516F65">
      <w:pPr>
        <w:pStyle w:val="FootnoteText"/>
      </w:pPr>
      <w:r>
        <w:rPr>
          <w:rStyle w:val="FootnoteReference"/>
        </w:rPr>
        <w:footnoteRef/>
      </w:r>
      <w:r>
        <w:t xml:space="preserve"> Antalet allmänna utsläppsrätter har fastställts med hänsyn till beslut nr 1359/2013/EU. Antalet utsläppsrätter för luftfart har fastställts i enlighet med beslut nr 377/2013/EU och förordning (EU) nr 421/2014.</w:t>
      </w:r>
    </w:p>
  </w:footnote>
  <w:footnote w:id="38">
    <w:p w14:paraId="16DED69D" w14:textId="77777777" w:rsidR="0017587A" w:rsidRDefault="00516F65">
      <w:pPr>
        <w:pStyle w:val="FootnoteText"/>
      </w:pPr>
      <w:r>
        <w:rPr>
          <w:rStyle w:val="FootnoteReference"/>
        </w:rPr>
        <w:footnoteRef/>
      </w:r>
      <w:r>
        <w:rPr>
          <w:rStyle w:val="FootnoteReference"/>
        </w:rPr>
        <w:t xml:space="preserve"> </w:t>
      </w:r>
      <w:r>
        <w:t>Tidiga auktioner av utsläppsrätter för fas 3 hölls 2012 med hänsyn till den vanliga affärsmetoden inom elsektorn, som går ut på att sälja el på forwardkontraktsbasis och köpa in den inmatning som behövs (inklusive utsläppsrätter) när de säljer sin produktion.</w:t>
      </w:r>
    </w:p>
  </w:footnote>
  <w:footnote w:id="39">
    <w:p w14:paraId="7DDC03AC" w14:textId="77777777" w:rsidR="0017587A" w:rsidRDefault="007C76F9">
      <w:pPr>
        <w:pStyle w:val="FootnoteText"/>
      </w:pPr>
      <w:r>
        <w:rPr>
          <w:rStyle w:val="FootnoteReference"/>
        </w:rPr>
        <w:footnoteRef/>
      </w:r>
      <w:r>
        <w:t xml:space="preserve"> 2019 års uppgifter för Storbritannien tas inte med här på grund av de skyddsåtgärder som kommissionen vidtagit för att skydda miljönyttan av EU:s utsläppshandelssystem i de fall där EU-lagstiftningen upphör att gälla för en medlemsstat som lämnar EU (se kapitel 2.2).</w:t>
      </w:r>
    </w:p>
  </w:footnote>
  <w:footnote w:id="40">
    <w:p w14:paraId="7C85D7FD" w14:textId="77777777" w:rsidR="0017587A" w:rsidRDefault="00516F65">
      <w:pPr>
        <w:pStyle w:val="FootnoteText"/>
      </w:pPr>
      <w:r>
        <w:rPr>
          <w:rStyle w:val="FootnoteReference"/>
        </w:rPr>
        <w:footnoteRef/>
      </w:r>
      <w:r>
        <w:t xml:space="preserve"> </w:t>
      </w:r>
      <w:hyperlink r:id="rId1" w:history="1">
        <w:r>
          <w:rPr>
            <w:rStyle w:val="Hyperlink"/>
          </w:rPr>
          <w:t>http://ec.europa.eu/clima/policies/ets/auctioning/documentation_sv.htm</w:t>
        </w:r>
      </w:hyperlink>
    </w:p>
  </w:footnote>
  <w:footnote w:id="41">
    <w:p w14:paraId="35BC0484" w14:textId="77777777" w:rsidR="0017587A" w:rsidRDefault="00516F65">
      <w:pPr>
        <w:pStyle w:val="FootnoteText"/>
      </w:pPr>
      <w:r>
        <w:rPr>
          <w:rStyle w:val="FootnoteReference"/>
        </w:rPr>
        <w:footnoteRef/>
      </w:r>
      <w:r>
        <w:t xml:space="preserve"> Siffrorna inbegriper de mängder utsläppsrätter som ska auktioneras enligt auktionskalendern 2019, och därmed avspeglas de 55,8 miljoner icke tilldelade utsläppsrätter som Polen bad om att få auktionera 2019.</w:t>
      </w:r>
    </w:p>
  </w:footnote>
  <w:footnote w:id="42">
    <w:p w14:paraId="0905FC52" w14:textId="1AD71895" w:rsidR="0017587A" w:rsidRDefault="00516F65">
      <w:pPr>
        <w:pStyle w:val="FootnoteText"/>
      </w:pPr>
      <w:r>
        <w:rPr>
          <w:rStyle w:val="FootnoteReference"/>
        </w:rPr>
        <w:footnoteRef/>
      </w:r>
      <w:r>
        <w:t xml:space="preserve"> Siffrorna innefattar de mängder som ska auktioneras från auktionskalendern för 2019 (från utsläppsrätter för åren 2013–2018). </w:t>
      </w:r>
    </w:p>
  </w:footnote>
  <w:footnote w:id="43">
    <w:p w14:paraId="45AD8A64" w14:textId="77777777" w:rsidR="0017587A" w:rsidRDefault="00516F65">
      <w:pPr>
        <w:pStyle w:val="FootnoteText"/>
      </w:pPr>
      <w:r>
        <w:rPr>
          <w:rStyle w:val="FootnoteReference"/>
        </w:rPr>
        <w:footnoteRef/>
      </w:r>
      <w:r>
        <w:t xml:space="preserve"> Den klassificering i kategorierna el- och värmeproduktion samt industri som används i tabell 7 överensstämmer med den Naceklassificering under fas 4 som använts för att fastställa koldioxidläckageförteckningen för nästa handelsperiod.</w:t>
      </w:r>
    </w:p>
  </w:footnote>
  <w:footnote w:id="44">
    <w:p w14:paraId="2DA2E570" w14:textId="77777777" w:rsidR="0017587A" w:rsidRDefault="00516F65">
      <w:pPr>
        <w:pStyle w:val="FootnoteText"/>
        <w:jc w:val="both"/>
      </w:pPr>
      <w:r>
        <w:rPr>
          <w:rStyle w:val="FootnoteReference"/>
        </w:rPr>
        <w:footnoteRef/>
      </w:r>
      <w:r>
        <w:t xml:space="preserve"> Europaparlamentets och rådets beslut (EU) 2015/1814 av den 6 oktober 2015 om upprättande och användning av en reserv för marknadsstabilitet för unionens utsläppshandelssystem och om ändring av direktiv 2003/87/EG (EUT L 264, 9.10.2015, s. 1).</w:t>
      </w:r>
    </w:p>
  </w:footnote>
  <w:footnote w:id="45">
    <w:p w14:paraId="5D48BB9F" w14:textId="77777777" w:rsidR="0017587A" w:rsidRDefault="00516F65">
      <w:pPr>
        <w:pStyle w:val="FootnoteText"/>
        <w:jc w:val="both"/>
      </w:pPr>
      <w:r>
        <w:rPr>
          <w:rStyle w:val="FootnoteReference"/>
        </w:rPr>
        <w:footnoteRef/>
      </w:r>
      <w:r>
        <w:t xml:space="preserve"> Europaparlamentets och rådets direktiv (EU) 2018/410 av den 14 mars 2018 om ändring av direktiv 2003/87/EG för att främja kostnadseffektiva utsläppsminskningar och koldioxidsnåla investeringar, och beslut (EU) 2015/1814 (EUT L 76, 19.3.2018, s. 3), finns på </w:t>
      </w:r>
      <w:hyperlink r:id="rId2" w:history="1">
        <w:r>
          <w:rPr>
            <w:rStyle w:val="Hyperlink"/>
          </w:rPr>
          <w:t>http://eur-lex.europa.eu/legal-content/SV/TXT/?uri=uriserv:OJ.L_.2018.076.01.0003.01.SWE&amp;toc=OJ:L:2018:076:TOC</w:t>
        </w:r>
      </w:hyperlink>
      <w:r>
        <w:t xml:space="preserve"> </w:t>
      </w:r>
    </w:p>
  </w:footnote>
  <w:footnote w:id="46">
    <w:p w14:paraId="4A52BCF8" w14:textId="77777777" w:rsidR="0017587A" w:rsidRPr="009438AB" w:rsidRDefault="00516F65">
      <w:pPr>
        <w:pStyle w:val="Default"/>
        <w:rPr>
          <w:color w:val="auto"/>
          <w:sz w:val="18"/>
          <w:szCs w:val="18"/>
          <w:lang w:val="en-US"/>
        </w:rPr>
      </w:pPr>
      <w:r>
        <w:rPr>
          <w:rStyle w:val="FootnoteReference"/>
          <w:sz w:val="20"/>
          <w:szCs w:val="20"/>
        </w:rPr>
        <w:footnoteRef/>
      </w:r>
      <w:r w:rsidRPr="009438AB">
        <w:rPr>
          <w:sz w:val="20"/>
          <w:szCs w:val="20"/>
          <w:lang w:val="en-US"/>
        </w:rPr>
        <w:t xml:space="preserve"> </w:t>
      </w:r>
      <w:r w:rsidRPr="009438AB">
        <w:rPr>
          <w:sz w:val="18"/>
          <w:szCs w:val="18"/>
          <w:lang w:val="en-US"/>
        </w:rPr>
        <w:t>C(2019) 3288 final, https://ec.europa.eu/clima/sites/clima/files/ets/reform/docs/c_2019_3288_en.pdf.</w:t>
      </w:r>
    </w:p>
  </w:footnote>
  <w:footnote w:id="47">
    <w:p w14:paraId="632859BF" w14:textId="77777777" w:rsidR="0017587A" w:rsidRPr="009438AB" w:rsidRDefault="00516F65">
      <w:pPr>
        <w:pStyle w:val="FootnoteText"/>
        <w:jc w:val="both"/>
        <w:rPr>
          <w:lang w:val="en-US"/>
        </w:rPr>
      </w:pPr>
      <w:r>
        <w:rPr>
          <w:rStyle w:val="FootnoteReference"/>
        </w:rPr>
        <w:footnoteRef/>
      </w:r>
      <w:r w:rsidRPr="009438AB">
        <w:rPr>
          <w:lang w:val="en-US"/>
        </w:rPr>
        <w:t xml:space="preserve"> C(2017) 3228 final, https://ec.europa.eu/clima/sites/clima/files/ets/reform/docs/c_2017_3228_en.pdf.</w:t>
      </w:r>
    </w:p>
  </w:footnote>
  <w:footnote w:id="48">
    <w:p w14:paraId="1E07E48F" w14:textId="77777777" w:rsidR="0017587A" w:rsidRPr="009438AB" w:rsidRDefault="00516F65">
      <w:pPr>
        <w:pStyle w:val="FootnoteText"/>
        <w:jc w:val="both"/>
        <w:rPr>
          <w:lang w:val="en-US"/>
        </w:rPr>
      </w:pPr>
      <w:r>
        <w:rPr>
          <w:rStyle w:val="FootnoteReference"/>
        </w:rPr>
        <w:footnoteRef/>
      </w:r>
      <w:r w:rsidRPr="009438AB">
        <w:rPr>
          <w:lang w:val="en-US"/>
        </w:rPr>
        <w:t xml:space="preserve"> C(2019) 3288 final, https://ec.europa.eu/clima/sites/clima/files/ets/reform/docs/c_2019_3288_en.pdf.</w:t>
      </w:r>
    </w:p>
  </w:footnote>
  <w:footnote w:id="49">
    <w:p w14:paraId="2FD7F234" w14:textId="77777777" w:rsidR="0017587A" w:rsidRDefault="00516F65">
      <w:pPr>
        <w:pStyle w:val="FootnoteText"/>
        <w:jc w:val="both"/>
      </w:pPr>
      <w:r>
        <w:rPr>
          <w:rStyle w:val="FootnoteReference"/>
        </w:rPr>
        <w:footnoteRef/>
      </w:r>
      <w:r>
        <w:t xml:space="preserve"> Den volym som ska läggas till i reserven för marknadsstabilitet för perioden 1 januari–31 augusti 2020 fastställdes i 2019 års offentliggörande av överskottsindikatorn och uppgick till nästan 265 miljoner utsläppsrätter. Resterande volym som ska läggas till i reserven för marknadsstabilitet 2020 kommer att fastställas i 2020 års offentliggörande av överskottsindikatorn.</w:t>
      </w:r>
    </w:p>
  </w:footnote>
  <w:footnote w:id="50">
    <w:p w14:paraId="0A738DD6" w14:textId="77777777" w:rsidR="0017587A" w:rsidRDefault="00516F65">
      <w:pPr>
        <w:pStyle w:val="FootnoteText"/>
        <w:jc w:val="both"/>
      </w:pPr>
      <w:r>
        <w:rPr>
          <w:rStyle w:val="FootnoteReference"/>
        </w:rPr>
        <w:footnoteRef/>
      </w:r>
      <w:r>
        <w:t xml:space="preserve"> De faktiska auktionerade volymerna beror även på andra faktorer, t.ex. auktionering av kvarstående utsläppsrätter från undantagen enligt artikel 10c och EES-/Eftastaternas deltagande i EU:s utsläppshandelssystem.</w:t>
      </w:r>
    </w:p>
  </w:footnote>
  <w:footnote w:id="51">
    <w:p w14:paraId="0E14EF29" w14:textId="77777777" w:rsidR="0017587A" w:rsidRDefault="00516F65">
      <w:pPr>
        <w:pStyle w:val="FootnoteText"/>
        <w:jc w:val="both"/>
      </w:pPr>
      <w:r>
        <w:rPr>
          <w:rStyle w:val="FootnoteReference"/>
        </w:rPr>
        <w:footnoteRef/>
      </w:r>
      <w:r>
        <w:t xml:space="preserve"> Med hänsyn tagen till att auktionsvolymerna mellan januari och augusti 2019 redan hade minskats genom reserven för marknadsstabilitet baserat på 2017 års överskott.</w:t>
      </w:r>
    </w:p>
  </w:footnote>
  <w:footnote w:id="52">
    <w:p w14:paraId="5427B602" w14:textId="77777777" w:rsidR="0017587A" w:rsidRDefault="00516F65">
      <w:pPr>
        <w:pStyle w:val="FootnoteText"/>
        <w:jc w:val="both"/>
      </w:pPr>
      <w:r>
        <w:rPr>
          <w:rStyle w:val="FootnoteReference"/>
        </w:rPr>
        <w:footnoteRef/>
      </w:r>
      <w:r>
        <w:t xml:space="preserve"> Dessa siffror tar inte hänsyn till samtliga nedläggningar av luftfartygsoperatörer.</w:t>
      </w:r>
    </w:p>
  </w:footnote>
  <w:footnote w:id="53">
    <w:p w14:paraId="127E5AD3" w14:textId="77777777" w:rsidR="0017587A" w:rsidRDefault="00BE6633">
      <w:pPr>
        <w:pStyle w:val="FootnoteText"/>
        <w:jc w:val="both"/>
      </w:pPr>
      <w:r>
        <w:rPr>
          <w:rStyle w:val="FootnoteReference"/>
        </w:rPr>
        <w:footnoteRef/>
      </w:r>
      <w:r>
        <w:t xml:space="preserve"> Tilldelningen för Storbritannien (4,31 miljoner utsläppsrätter av det totala antalet 2019) avbröts på grund av de skyddsåtgärder som kommissionen vidtagit för att skydda miljönyttan av EU:s utsläppshandelssystem i de fall där EU-lagstiftningen upphör att gälla för en medlemsstat som lämnar EU (se kapitel 2.2).</w:t>
      </w:r>
    </w:p>
  </w:footnote>
  <w:footnote w:id="54">
    <w:p w14:paraId="146EF9F1" w14:textId="77777777" w:rsidR="0017587A" w:rsidRDefault="00516F65">
      <w:pPr>
        <w:pStyle w:val="FootnoteText"/>
        <w:jc w:val="both"/>
      </w:pPr>
      <w:r>
        <w:rPr>
          <w:rStyle w:val="FootnoteReference"/>
        </w:rPr>
        <w:footnoteRef/>
      </w:r>
      <w:r>
        <w:t xml:space="preserve"> Fram till utgången av juni 2019.</w:t>
      </w:r>
    </w:p>
  </w:footnote>
  <w:footnote w:id="55">
    <w:p w14:paraId="00774941" w14:textId="77777777" w:rsidR="0017587A" w:rsidRDefault="00516F65">
      <w:pPr>
        <w:pStyle w:val="FootnoteText"/>
        <w:jc w:val="both"/>
      </w:pPr>
      <w:r>
        <w:rPr>
          <w:rStyle w:val="FootnoteReference"/>
        </w:rPr>
        <w:footnoteRef/>
      </w:r>
      <w:r>
        <w:t xml:space="preserve"> Europaparlamentets och rådets beslut nr 377/2013/EU av den 24 april 2013 om tillfälligt undantag från direktiv 2003/87/EG om ett system för handel med utsläppsrätter för växthusgaser inom gemenskapen (Text av betydelse för EES) (EUT L 113, 25.4.2013, s. 1).</w:t>
      </w:r>
    </w:p>
  </w:footnote>
  <w:footnote w:id="56">
    <w:p w14:paraId="7B41E6A7" w14:textId="77777777" w:rsidR="0017587A" w:rsidRDefault="00516F65">
      <w:pPr>
        <w:pStyle w:val="FootnoteText"/>
        <w:jc w:val="both"/>
      </w:pPr>
      <w:r>
        <w:rPr>
          <w:rStyle w:val="FootnoteReference"/>
        </w:rPr>
        <w:footnoteRef/>
      </w:r>
      <w:r>
        <w:t xml:space="preserve"> https://www.icao.int/environmental-protection/CORSIA/Pages/SARPs-Annex-16-Volume-IV.aspx</w:t>
      </w:r>
    </w:p>
  </w:footnote>
  <w:footnote w:id="57">
    <w:p w14:paraId="2A3A7CAC" w14:textId="77777777" w:rsidR="0017587A" w:rsidRDefault="000E17BF">
      <w:pPr>
        <w:pStyle w:val="FootnoteText"/>
        <w:jc w:val="both"/>
      </w:pPr>
      <w:r>
        <w:rPr>
          <w:rStyle w:val="FootnoteReference"/>
        </w:rPr>
        <w:footnoteRef/>
      </w:r>
      <w:r>
        <w:t xml:space="preserve"> Rådets beslut (EU) 2018/2027 av den 29 november 2018 om den ståndpunkt som ska intas på Europeiska unionens vägnar i internationella civila luftfartsorganisationen vad gäller den första utgåvan av internationella standarder och rekommenderad praxis på miljöskyddsområdet – Systemet för kompensation för och minskning av koldioxidutsläpp från internationell luftfart (Corsia) (EUT L 325, 20.12.2018, s. 25).</w:t>
      </w:r>
    </w:p>
  </w:footnote>
  <w:footnote w:id="58">
    <w:p w14:paraId="20CD95FF" w14:textId="77777777" w:rsidR="0017587A" w:rsidRDefault="00B508EC">
      <w:pPr>
        <w:pStyle w:val="FootnoteText"/>
        <w:jc w:val="both"/>
      </w:pPr>
      <w:r>
        <w:rPr>
          <w:rStyle w:val="FootnoteReference"/>
        </w:rPr>
        <w:footnoteRef/>
      </w:r>
      <w:r>
        <w:t xml:space="preserve"> Alla uppgifter har hämtats från den gemensamma auktionsplattformens (CAP2) månadsrapporter till kommissionen.</w:t>
      </w:r>
    </w:p>
  </w:footnote>
  <w:footnote w:id="59">
    <w:p w14:paraId="0A00245E" w14:textId="77777777" w:rsidR="0017587A" w:rsidRDefault="00516F65">
      <w:pPr>
        <w:pStyle w:val="FootnoteText"/>
        <w:jc w:val="both"/>
      </w:pPr>
      <w:r>
        <w:rPr>
          <w:rStyle w:val="FootnoteReference"/>
        </w:rPr>
        <w:footnoteRef/>
      </w:r>
      <w:r>
        <w:t xml:space="preserve"> Enligt artikel 18.2 i auktionsförordningen.</w:t>
      </w:r>
    </w:p>
  </w:footnote>
  <w:footnote w:id="60">
    <w:p w14:paraId="427FDDA0" w14:textId="77777777" w:rsidR="0017587A" w:rsidRDefault="00516F65">
      <w:pPr>
        <w:pStyle w:val="FootnoteText"/>
        <w:jc w:val="both"/>
      </w:pPr>
      <w:r>
        <w:rPr>
          <w:rStyle w:val="FootnoteReference"/>
        </w:rPr>
        <w:footnoteRef/>
      </w:r>
      <w:r>
        <w:t xml:space="preserve"> Förteckningen över nationella behöriga myndigheter finns på https://ec.europa.eu/info/system/files/mar-2014-596-art-22-list_en.pdf.  </w:t>
      </w:r>
    </w:p>
  </w:footnote>
  <w:footnote w:id="61">
    <w:p w14:paraId="3E6614CC" w14:textId="77777777" w:rsidR="0017587A" w:rsidRDefault="00516F65">
      <w:pPr>
        <w:pStyle w:val="FootnoteText"/>
        <w:jc w:val="both"/>
      </w:pPr>
      <w:r>
        <w:rPr>
          <w:rStyle w:val="FootnoteReference"/>
        </w:rPr>
        <w:footnoteRef/>
      </w:r>
      <w:r>
        <w:t xml:space="preserve"> Enligt artikel 26 i Europaparlamentets och rådets förordning (EU) nr 600/2014 av den 15 maj 2014 om marknader för finansiella instrument ska handelsplatser och värdepappersföretag lämna utförliga uppgifter om transaktioner med utsläppsrätter och derivat därav till behöriga myndigheter.</w:t>
      </w:r>
    </w:p>
  </w:footnote>
  <w:footnote w:id="62">
    <w:p w14:paraId="6D38AF7F" w14:textId="77777777" w:rsidR="0017587A" w:rsidRDefault="00516F65">
      <w:pPr>
        <w:pStyle w:val="FootnoteText"/>
        <w:jc w:val="both"/>
      </w:pPr>
      <w:r>
        <w:rPr>
          <w:rStyle w:val="FootnoteReference"/>
        </w:rPr>
        <w:footnoteRef/>
      </w:r>
      <w:r>
        <w:t xml:space="preserve"> Syftet med skyldigheten att rapportera positionsuppgifter enligt artikel 58 i Mifid II är att övervaka de positioner som olika kategorier av personer har när det gäller utsläppsrätter.</w:t>
      </w:r>
    </w:p>
  </w:footnote>
  <w:footnote w:id="63">
    <w:p w14:paraId="32B18FBA" w14:textId="77777777" w:rsidR="0017587A" w:rsidRDefault="00B508EC">
      <w:pPr>
        <w:pStyle w:val="FootnoteText"/>
        <w:jc w:val="both"/>
      </w:pPr>
      <w:r>
        <w:rPr>
          <w:rStyle w:val="FootnoteReference"/>
        </w:rPr>
        <w:footnoteRef/>
      </w:r>
      <w:r>
        <w:t xml:space="preserve"> Det krav om öppenhet före och efter handel som föreskrivs i artiklarna 8, 10 och 21 i förordningen om marknader för finansiella instrument (Mifir) syftar till att säkerställa att marknadsdeltagarna har mer tillförlitlig och tillgänglig information om handelsmöjligheter och priser.</w:t>
      </w:r>
    </w:p>
  </w:footnote>
  <w:footnote w:id="64">
    <w:p w14:paraId="60E39E52" w14:textId="19786A34" w:rsidR="0017587A" w:rsidRDefault="00516F65">
      <w:pPr>
        <w:pStyle w:val="FootnoteText"/>
        <w:jc w:val="both"/>
      </w:pPr>
      <w:r>
        <w:rPr>
          <w:rStyle w:val="FootnoteReference"/>
        </w:rPr>
        <w:footnoteRef/>
      </w:r>
      <w:r>
        <w:t xml:space="preserve"> Allmänt tillgängliga veckorapporter om positionsuppgifter ger insyn i hur vissa kategorier av finansmarknadsaktörer kan uppfatta marknaden.</w:t>
      </w:r>
    </w:p>
  </w:footnote>
  <w:footnote w:id="65">
    <w:p w14:paraId="173DA222" w14:textId="77777777" w:rsidR="0017587A" w:rsidRDefault="00516F65">
      <w:pPr>
        <w:pStyle w:val="FootnoteText"/>
        <w:jc w:val="both"/>
      </w:pPr>
      <w:r>
        <w:rPr>
          <w:rStyle w:val="FootnoteReference"/>
        </w:rPr>
        <w:footnoteRef/>
      </w:r>
      <w:r>
        <w:t xml:space="preserve"> Studien finns på följande länk: https://publications.europa.eu/en/publication-detail/-/publication/9d985256-a6a9-11e9-9d01-01aa75ed71a1/language-en.</w:t>
      </w:r>
    </w:p>
  </w:footnote>
  <w:footnote w:id="66">
    <w:p w14:paraId="3281ACDF" w14:textId="77777777" w:rsidR="0017587A" w:rsidRDefault="00516F65">
      <w:pPr>
        <w:pStyle w:val="FootnoteText"/>
        <w:jc w:val="both"/>
        <w:rPr>
          <w:sz w:val="16"/>
          <w:szCs w:val="16"/>
        </w:rPr>
      </w:pPr>
      <w:r>
        <w:rPr>
          <w:rStyle w:val="FootnoteReference"/>
        </w:rPr>
        <w:footnoteRef/>
      </w:r>
      <w:r>
        <w:t xml:space="preserve"> Europaparlamentets och rådets direktiv 2014/65/EU av den 15 maj 2014 om marknader för finansiella instrument och om ändring av direktiv 2002/92/EG och av direktiv 2011/61/EU (EUT L 173, 12.6.2014, s. 349). Tillgänglig på: </w:t>
      </w:r>
      <w:hyperlink r:id="rId3" w:history="1">
        <w:r>
          <w:rPr>
            <w:rStyle w:val="Hyperlink"/>
            <w:sz w:val="16"/>
            <w:szCs w:val="16"/>
          </w:rPr>
          <w:t>https://eur-lex.europa.eu/legal-content/SV/TXT/?qid=1536584176375&amp;uri=CELEX:02014L0065-20160701</w:t>
        </w:r>
      </w:hyperlink>
      <w:r>
        <w:t>.</w:t>
      </w:r>
    </w:p>
  </w:footnote>
  <w:footnote w:id="67">
    <w:p w14:paraId="33D1BB88" w14:textId="77777777" w:rsidR="0017587A" w:rsidRDefault="00516F65">
      <w:pPr>
        <w:pStyle w:val="FootnoteText"/>
        <w:jc w:val="both"/>
      </w:pPr>
      <w:r>
        <w:rPr>
          <w:rStyle w:val="FootnoteReference"/>
        </w:rPr>
        <w:footnoteRef/>
      </w:r>
      <w:r>
        <w:t xml:space="preserve"> Rådets direktiv (EU) 2018/1695 av den 6 november 2018 om ändring av direktiv 2006/112/EG om ett gemensamt system för mervärdesskatt vad gäller perioden för frivillig tillämpning av förfarandet för omvänd betalningsskyldighet på leveranser av vissa varor och tjänster som är känsliga för bedrägerier och mekanismen för snabba insatser mot mervärdesskattebedrägeri (EUT L 282, 12.11.2018, s. 5).</w:t>
      </w:r>
    </w:p>
  </w:footnote>
  <w:footnote w:id="68">
    <w:p w14:paraId="1014260D" w14:textId="77777777" w:rsidR="0017587A" w:rsidRDefault="00516F65">
      <w:pPr>
        <w:pStyle w:val="FootnoteText"/>
        <w:jc w:val="both"/>
      </w:pPr>
      <w:r>
        <w:rPr>
          <w:rStyle w:val="FootnoteReference"/>
        </w:rPr>
        <w:footnoteRef/>
      </w:r>
      <w:r>
        <w:t xml:space="preserve"> Kommissionens genomförandeförordning (EU) 2018/2066 av den 19 december 2018 om övervakning och rapportering av växthusgasutsläpp i enlighet med Europaparlamentets och rådets direktiv 2003/87/EG och om ändring av kommissionens förordning (EU) nr 601/2012 (EUT L 334, 31.12.2018, s. 1).</w:t>
      </w:r>
    </w:p>
  </w:footnote>
  <w:footnote w:id="69">
    <w:p w14:paraId="70048BCC" w14:textId="77777777" w:rsidR="0017587A" w:rsidRDefault="00516F65">
      <w:pPr>
        <w:pStyle w:val="FootnoteText"/>
        <w:jc w:val="both"/>
      </w:pPr>
      <w:r>
        <w:rPr>
          <w:rStyle w:val="FootnoteReference"/>
        </w:rPr>
        <w:footnoteRef/>
      </w:r>
      <w:r>
        <w:t xml:space="preserve"> Kommissionens genomförandeförordning (EU) 2018/2067 av den 19 december 2018 om verifiering av uppgifter och ackreditering av kontrollörer i enlighet med Europaparlamentets och rådets direktiv 2003/87/EG (EUT L 334, 31.12.2018, s. 94).</w:t>
      </w:r>
    </w:p>
  </w:footnote>
  <w:footnote w:id="70">
    <w:p w14:paraId="79741175" w14:textId="77777777" w:rsidR="0017587A" w:rsidRDefault="00516F65">
      <w:pPr>
        <w:pStyle w:val="FootnoteText"/>
        <w:jc w:val="both"/>
      </w:pPr>
      <w:r>
        <w:rPr>
          <w:rStyle w:val="FootnoteReference"/>
        </w:rPr>
        <w:footnoteRef/>
      </w:r>
      <w:r>
        <w:t xml:space="preserve"> Den främsta anledningen är att den mätningsbaserade metoden kräver stora resurser och kunskaper för att man kontinuerligt ska kunna mäta koncentrationen av relevanta växthusgaser. Många mindre operatörer har inte dessa resurser och kunskaper.</w:t>
      </w:r>
    </w:p>
  </w:footnote>
  <w:footnote w:id="71">
    <w:p w14:paraId="74CEBB8C" w14:textId="77777777" w:rsidR="0017587A" w:rsidRDefault="00516F65">
      <w:pPr>
        <w:pStyle w:val="FootnoteText"/>
        <w:jc w:val="both"/>
      </w:pPr>
      <w:r>
        <w:rPr>
          <w:rStyle w:val="FootnoteReference"/>
        </w:rPr>
        <w:footnoteRef/>
      </w:r>
      <w:r>
        <w:t xml:space="preserve"> Kommissionens förordning (EU) nr 601/2012 innebär att alla verksamhetsutövare måste nå vissa miniminivåer och att stora utsläppskällor måste nå högre nivåer (t.ex. högre tillförlitlighet i uppgifterna), medan mindre utsläppskällor omfattas av mindre stränga krav av kostnadseffektivitetsskäl.</w:t>
      </w:r>
    </w:p>
  </w:footnote>
  <w:footnote w:id="72">
    <w:p w14:paraId="39FDE86A" w14:textId="77777777" w:rsidR="0017587A" w:rsidRDefault="00516F65">
      <w:pPr>
        <w:pStyle w:val="FootnoteText"/>
        <w:jc w:val="both"/>
      </w:pPr>
      <w:r>
        <w:rPr>
          <w:rStyle w:val="FootnoteReference"/>
        </w:rPr>
        <w:footnoteRef/>
      </w:r>
      <w:r>
        <w:t xml:space="preserve"> EA:s lista med kontaktuppgifter för nationella ackrediteringsorgan som ackrediterar kontrollörer inom EU:s utsläppshandelssystem: https://european-accreditation.org/national-accreditation-bodies-having-successfully-undergone-peer-evaluation-by-ea/.</w:t>
      </w:r>
    </w:p>
  </w:footnote>
  <w:footnote w:id="73">
    <w:p w14:paraId="5CC9FC67" w14:textId="7F82D2B7" w:rsidR="0017587A" w:rsidRDefault="00516F65">
      <w:pPr>
        <w:pStyle w:val="FootnoteText"/>
        <w:jc w:val="both"/>
      </w:pPr>
      <w:r>
        <w:rPr>
          <w:rStyle w:val="FootnoteReference"/>
        </w:rPr>
        <w:footnoteRef/>
      </w:r>
      <w:r>
        <w:t xml:space="preserve"> I vissa fall kan länderna rapportera flera regionala/lokala myndigheter som en behörig myndighet.</w:t>
      </w:r>
    </w:p>
  </w:footnote>
  <w:footnote w:id="74">
    <w:p w14:paraId="4BE4E9B6" w14:textId="77777777" w:rsidR="0017587A" w:rsidRDefault="00516F65">
      <w:pPr>
        <w:pStyle w:val="FootnoteText"/>
      </w:pPr>
      <w:r>
        <w:rPr>
          <w:rStyle w:val="FootnoteReference"/>
        </w:rPr>
        <w:footnoteRef/>
      </w:r>
      <w:r>
        <w:t xml:space="preserve"> Detta sammanlagda belopp omfattar inte böter som har utdömts för luftfartssektorn i Portugal, eftersom de slutliga beloppen ännu inte hade fastställts på grund av de pågående påföljdsprocesserna. </w:t>
      </w:r>
    </w:p>
  </w:footnote>
  <w:footnote w:id="75">
    <w:p w14:paraId="27E6D358" w14:textId="77777777" w:rsidR="0017587A" w:rsidRDefault="00516F65">
      <w:pPr>
        <w:pStyle w:val="FootnoteText"/>
      </w:pPr>
      <w:r>
        <w:rPr>
          <w:rStyle w:val="FootnoteReference"/>
        </w:rPr>
        <w:footnoteRef/>
      </w:r>
      <w:r>
        <w:t xml:space="preserve"> Ungern utnyttjade endast undantaget i artikel 10c under 2013. </w:t>
      </w:r>
    </w:p>
  </w:footnote>
  <w:footnote w:id="76">
    <w:p w14:paraId="5D46A3D8" w14:textId="77777777" w:rsidR="0017587A" w:rsidRDefault="00516F65">
      <w:pPr>
        <w:pStyle w:val="FootnoteText"/>
      </w:pPr>
      <w:r>
        <w:rPr>
          <w:rStyle w:val="FootnoteReference"/>
        </w:rPr>
        <w:footnoteRef/>
      </w:r>
      <w:r>
        <w:t xml:space="preserve"> Inga outnyttjade utsläppsrätter enligt artikel 10c auktionerades 2013 och 2014.</w:t>
      </w:r>
    </w:p>
  </w:footnote>
  <w:footnote w:id="77">
    <w:p w14:paraId="7A087D3E" w14:textId="77777777" w:rsidR="0017587A" w:rsidRDefault="00526348">
      <w:pPr>
        <w:pStyle w:val="FootnoteText"/>
      </w:pPr>
      <w:r>
        <w:rPr>
          <w:rStyle w:val="FootnoteReference"/>
        </w:rPr>
        <w:footnoteRef/>
      </w:r>
      <w:r>
        <w:t xml:space="preserve"> Källa: EEX</w:t>
      </w:r>
    </w:p>
  </w:footnote>
  <w:footnote w:id="78">
    <w:p w14:paraId="32B9A351" w14:textId="77777777" w:rsidR="0017587A" w:rsidRDefault="00620C74">
      <w:pPr>
        <w:pStyle w:val="FootnoteText"/>
      </w:pPr>
      <w:r>
        <w:rPr>
          <w:rStyle w:val="FootnoteReference"/>
        </w:rPr>
        <w:footnoteRef/>
      </w:r>
      <w:r>
        <w:t xml:space="preserve"> 2019 års uppgifter för Storbritannien tas inte med i tabellerna 3.1 och 3.2 på grund av de skyddsåtgärder som kommissionen vidtagit för att skydda miljönyttan av EU:s utsläppshandelssystem i de fall där EU-lagstiftningen upphör att gälla för en medlemsstat som lämnar EU (se kapitel 2.2).</w:t>
      </w:r>
    </w:p>
  </w:footnote>
  <w:footnote w:id="79">
    <w:p w14:paraId="16BB3491" w14:textId="77777777" w:rsidR="0017587A" w:rsidRDefault="00516F65">
      <w:pPr>
        <w:pStyle w:val="FootnoteText"/>
      </w:pPr>
      <w:r>
        <w:rPr>
          <w:rStyle w:val="FootnoteReference"/>
        </w:rPr>
        <w:footnoteRef/>
      </w:r>
      <w:r>
        <w:t xml:space="preserve"> Uppgifterna om efterlevnad för föregående år kan korrigeras retroaktivt, t.ex. till följd av sena inlämningar.</w:t>
      </w:r>
    </w:p>
  </w:footnote>
  <w:footnote w:id="80">
    <w:p w14:paraId="26DC65DC" w14:textId="77777777" w:rsidR="0017587A" w:rsidRDefault="00E9293A">
      <w:pPr>
        <w:pStyle w:val="FootnoteText"/>
        <w:jc w:val="both"/>
      </w:pPr>
      <w:r>
        <w:rPr>
          <w:rStyle w:val="FootnoteReference"/>
        </w:rPr>
        <w:footnoteRef/>
      </w:r>
      <w:r>
        <w:t xml:space="preserve"> Det kan förhålla sig så att utsläpp av dikväveoxid eller perfluorkarboner inte har rapporterats separat i unionsregistret för vissa anläggningar, utan de totala utsläppen i ton koldioxidekvivalenter. Uppgifterna i tabellen avspeglar utsläpp uppdelade per växthusgas enligt unionsregistret. Utsläpp av dikväveoxid omfattades av EU:s utsläppshandelssystem från och med fas 2 (fr.o.m. 2008) som en frivillig valmöjlighet för vissa medlemsstater samt perfluorkarboner som en obligatorisk del från och med fas 3 (fr.o.m. 2013).</w:t>
      </w:r>
    </w:p>
  </w:footnote>
  <w:footnote w:id="81">
    <w:p w14:paraId="703C71D3" w14:textId="77777777" w:rsidR="0017587A" w:rsidRDefault="00516F65">
      <w:pPr>
        <w:pStyle w:val="FootnoteText"/>
      </w:pPr>
      <w:r>
        <w:rPr>
          <w:rStyle w:val="FootnoteReference"/>
        </w:rPr>
        <w:footnoteRef/>
      </w:r>
      <w:r>
        <w:t>https://eur-lex.europa.eu/legal-content/SV/TXT/PDF/?uri=OJ:L:2019:120:FULL&amp;from=SV</w:t>
      </w:r>
    </w:p>
  </w:footnote>
  <w:footnote w:id="82">
    <w:p w14:paraId="59E7A1BD" w14:textId="77777777" w:rsidR="0017587A" w:rsidRDefault="00516F65">
      <w:pPr>
        <w:pStyle w:val="FootnoteText"/>
      </w:pPr>
      <w:r>
        <w:rPr>
          <w:rStyle w:val="FootnoteReference"/>
        </w:rPr>
        <w:footnoteRef/>
      </w:r>
      <w:r>
        <w:t>https://eur-lex.europa.eu/legal-content/SV/TXT/PDF/?uri=CELEX:32019R0331&amp;from=SV</w:t>
      </w:r>
    </w:p>
  </w:footnote>
  <w:footnote w:id="83">
    <w:p w14:paraId="2634B3B1" w14:textId="77777777" w:rsidR="0017587A" w:rsidRDefault="00516F65">
      <w:pPr>
        <w:pStyle w:val="FootnoteText"/>
      </w:pPr>
      <w:r>
        <w:rPr>
          <w:rStyle w:val="FootnoteReference"/>
        </w:rPr>
        <w:footnoteRef/>
      </w:r>
      <w:r>
        <w:t>https://eur-lex.europa.eu/legal-content/SV/TXT/PDF/?uri=CELEX:32019R0856&amp;from=SV</w:t>
      </w:r>
    </w:p>
  </w:footnote>
  <w:footnote w:id="84">
    <w:p w14:paraId="4EDE5395" w14:textId="77777777" w:rsidR="0017587A" w:rsidRDefault="00516F65">
      <w:pPr>
        <w:pStyle w:val="FootnoteText"/>
      </w:pPr>
      <w:r>
        <w:rPr>
          <w:rStyle w:val="FootnoteReference"/>
        </w:rPr>
        <w:footnoteRef/>
      </w:r>
      <w:r>
        <w:t xml:space="preserve"> https://eur-lex.europa.eu/legal-content/SV/TXT/PDF/?uri=CELEX:32019R1122&amp;from=SV</w:t>
      </w:r>
    </w:p>
  </w:footnote>
  <w:footnote w:id="85">
    <w:p w14:paraId="42396381" w14:textId="77777777" w:rsidR="0017587A" w:rsidRDefault="00516F65">
      <w:pPr>
        <w:pStyle w:val="FootnoteText"/>
      </w:pPr>
      <w:r>
        <w:rPr>
          <w:rStyle w:val="FootnoteReference"/>
        </w:rPr>
        <w:footnoteRef/>
      </w:r>
      <w:r>
        <w:t xml:space="preserve"> https://eur-lex.europa.eu/legal-content/SV/TXT/PDF/?uri=CELEX:32019R0007</w:t>
      </w:r>
    </w:p>
  </w:footnote>
  <w:footnote w:id="86">
    <w:p w14:paraId="2EAB26AE" w14:textId="77777777" w:rsidR="0017587A" w:rsidRDefault="00516F65">
      <w:pPr>
        <w:pStyle w:val="FootnoteText"/>
      </w:pPr>
      <w:r>
        <w:rPr>
          <w:rStyle w:val="FootnoteReference"/>
        </w:rPr>
        <w:footnoteRef/>
      </w:r>
      <w:r>
        <w:t xml:space="preserve"> https://eur-lex.europa.eu/legal-content/SV/TXT/PDF/?uri=CELEX:32018R2066</w:t>
      </w:r>
    </w:p>
  </w:footnote>
  <w:footnote w:id="87">
    <w:p w14:paraId="76F79A61" w14:textId="77777777" w:rsidR="0017587A" w:rsidRDefault="00516F65">
      <w:pPr>
        <w:pStyle w:val="FootnoteText"/>
      </w:pPr>
      <w:r>
        <w:rPr>
          <w:rStyle w:val="FootnoteReference"/>
        </w:rPr>
        <w:footnoteRef/>
      </w:r>
      <w:r>
        <w:t xml:space="preserve"> https://eur-lex.europa.eu/legal-content/SV/TXT/PDF/?uri=CELEX:32018R2067&amp;from=SV</w:t>
      </w:r>
    </w:p>
  </w:footnote>
  <w:footnote w:id="88">
    <w:p w14:paraId="13EA6BC9" w14:textId="77777777" w:rsidR="0017587A" w:rsidRDefault="00516F65">
      <w:pPr>
        <w:pStyle w:val="FootnoteText"/>
      </w:pPr>
      <w:r>
        <w:rPr>
          <w:rStyle w:val="FootnoteReference"/>
        </w:rPr>
        <w:footnoteRef/>
      </w:r>
      <w:r>
        <w:t xml:space="preserve"> För perioden januari–augusti 2019 baseras siffrorna på kommissionens meddelande C(2018) 2801 final, 15.5.2018, som finns på </w:t>
      </w:r>
      <w:hyperlink r:id="rId4" w:history="1">
        <w:r>
          <w:rPr>
            <w:rStyle w:val="Hyperlink"/>
          </w:rPr>
          <w:t>https://ec.europa.eu/clima/sites/clima/files/ets/reform/docs/c_2018_2801_en.pdf</w:t>
        </w:r>
      </w:hyperlink>
      <w:r>
        <w:t xml:space="preserve">.  </w:t>
      </w:r>
    </w:p>
  </w:footnote>
  <w:footnote w:id="89">
    <w:p w14:paraId="2335AAE7" w14:textId="77777777" w:rsidR="0017587A" w:rsidRDefault="00516F65">
      <w:pPr>
        <w:pStyle w:val="FootnoteText"/>
      </w:pPr>
      <w:r>
        <w:rPr>
          <w:rStyle w:val="FootnoteReference"/>
        </w:rPr>
        <w:footnoteRef/>
      </w:r>
      <w:r>
        <w:t xml:space="preserve"> För perioderna september–december 2019 samt januari–augusti 2020 baseras siffrorna på kommissionens meddelande C(2019) 3288 final, som finns på </w:t>
      </w:r>
      <w:hyperlink r:id="rId5" w:history="1">
        <w:r>
          <w:rPr>
            <w:rStyle w:val="Hyperlink"/>
          </w:rPr>
          <w:t>https://ec.europa.eu/clima/sites/clima/files/ets/reform/docs/c_2019_3288_en.pdf</w:t>
        </w:r>
      </w:hyperlink>
      <w:r>
        <w:t xml:space="preserve">. </w:t>
      </w:r>
    </w:p>
  </w:footnote>
  <w:footnote w:id="90">
    <w:p w14:paraId="5CEA3230" w14:textId="77777777" w:rsidR="0017587A" w:rsidRDefault="00516F65">
      <w:pPr>
        <w:pStyle w:val="FootnoteText"/>
      </w:pPr>
      <w:r>
        <w:rPr>
          <w:rStyle w:val="FootnoteReference"/>
        </w:rPr>
        <w:footnoteRef/>
      </w:r>
      <w:r>
        <w:t xml:space="preserve"> En del av medlemsstaternas bidrag till reserven för marknadsstabilitet 2020 kommer att fastställas efter 2020 års offentliggörande av överskottsindikatorn.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247CB" w14:textId="77777777" w:rsidR="000039C4" w:rsidRPr="000039C4" w:rsidRDefault="000039C4" w:rsidP="000039C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2C2DD" w14:textId="77777777" w:rsidR="00137D8B" w:rsidRDefault="00137D8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F3CFF" w14:textId="77777777" w:rsidR="00137D8B" w:rsidRDefault="00137D8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9F727" w14:textId="77777777" w:rsidR="00137D8B" w:rsidRDefault="00137D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4AF4D" w14:textId="77777777" w:rsidR="000039C4" w:rsidRPr="000039C4" w:rsidRDefault="000039C4" w:rsidP="000039C4">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DB276" w14:textId="77777777" w:rsidR="000039C4" w:rsidRPr="000039C4" w:rsidRDefault="000039C4" w:rsidP="000039C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ED9FA" w14:textId="77777777" w:rsidR="00516F65" w:rsidRDefault="00516F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08593" w14:textId="77777777" w:rsidR="00516F65" w:rsidRDefault="00516F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4A4C" w14:textId="77777777" w:rsidR="00516F65" w:rsidRDefault="00516F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30E12" w14:textId="77777777" w:rsidR="00137D8B" w:rsidRDefault="00137D8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9F92E" w14:textId="77777777" w:rsidR="00137D8B" w:rsidRDefault="00137D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AE3EB" w14:textId="77777777" w:rsidR="00137D8B" w:rsidRDefault="00137D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lvlText w:val=""/>
      <w:lvlJc w:val="left"/>
      <w:pPr>
        <w:tabs>
          <w:tab w:val="num" w:pos="0"/>
        </w:tabs>
        <w:ind w:left="360" w:hanging="360"/>
      </w:pPr>
      <w:rPr>
        <w:rFonts w:ascii="Symbol" w:hAnsi="Symbol" w:cs="Symbol"/>
      </w:rPr>
    </w:lvl>
  </w:abstractNum>
  <w:abstractNum w:abstractNumId="1" w15:restartNumberingAfterBreak="0">
    <w:nsid w:val="00000003"/>
    <w:multiLevelType w:val="singleLevel"/>
    <w:tmpl w:val="00000003"/>
    <w:name w:val="WW8Num2"/>
    <w:lvl w:ilvl="0">
      <w:start w:val="1"/>
      <w:numFmt w:val="bullet"/>
      <w:lvlText w:val="o"/>
      <w:lvlJc w:val="left"/>
      <w:pPr>
        <w:tabs>
          <w:tab w:val="num" w:pos="0"/>
        </w:tabs>
        <w:ind w:left="720" w:hanging="360"/>
      </w:pPr>
      <w:rPr>
        <w:rFonts w:ascii="Courier New" w:hAnsi="Courier New" w:cs="Courier New"/>
      </w:rPr>
    </w:lvl>
  </w:abstractNum>
  <w:abstractNum w:abstractNumId="2" w15:restartNumberingAfterBreak="0">
    <w:nsid w:val="00586663"/>
    <w:multiLevelType w:val="hybridMultilevel"/>
    <w:tmpl w:val="636E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F4A9C"/>
    <w:multiLevelType w:val="multilevel"/>
    <w:tmpl w:val="F476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E1EF7"/>
    <w:multiLevelType w:val="hybridMultilevel"/>
    <w:tmpl w:val="3E6C0D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535361B"/>
    <w:multiLevelType w:val="hybridMultilevel"/>
    <w:tmpl w:val="F0243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46418"/>
    <w:multiLevelType w:val="hybridMultilevel"/>
    <w:tmpl w:val="82B4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B37AA"/>
    <w:multiLevelType w:val="multilevel"/>
    <w:tmpl w:val="AB602AF8"/>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54362E"/>
    <w:multiLevelType w:val="hybridMultilevel"/>
    <w:tmpl w:val="6018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173E9"/>
    <w:multiLevelType w:val="hybridMultilevel"/>
    <w:tmpl w:val="39EA262A"/>
    <w:lvl w:ilvl="0" w:tplc="924A8FE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651550"/>
    <w:multiLevelType w:val="hybridMultilevel"/>
    <w:tmpl w:val="90964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2987CC0"/>
    <w:multiLevelType w:val="hybridMultilevel"/>
    <w:tmpl w:val="48FA1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CF1B1C"/>
    <w:multiLevelType w:val="hybridMultilevel"/>
    <w:tmpl w:val="61D0F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B1D46"/>
    <w:multiLevelType w:val="multilevel"/>
    <w:tmpl w:val="9F0E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D97B9D"/>
    <w:multiLevelType w:val="hybridMultilevel"/>
    <w:tmpl w:val="14823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0C4B58"/>
    <w:multiLevelType w:val="hybridMultilevel"/>
    <w:tmpl w:val="78524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FD65E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277188"/>
    <w:multiLevelType w:val="multilevel"/>
    <w:tmpl w:val="6F66F5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51656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359678A"/>
    <w:multiLevelType w:val="hybridMultilevel"/>
    <w:tmpl w:val="B730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E75877"/>
    <w:multiLevelType w:val="hybridMultilevel"/>
    <w:tmpl w:val="F57C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51DAB"/>
    <w:multiLevelType w:val="hybridMultilevel"/>
    <w:tmpl w:val="CD70F2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20"/>
  </w:num>
  <w:num w:numId="5">
    <w:abstractNumId w:val="10"/>
  </w:num>
  <w:num w:numId="6">
    <w:abstractNumId w:val="19"/>
  </w:num>
  <w:num w:numId="7">
    <w:abstractNumId w:val="22"/>
  </w:num>
  <w:num w:numId="8">
    <w:abstractNumId w:val="13"/>
  </w:num>
  <w:num w:numId="9">
    <w:abstractNumId w:val="9"/>
  </w:num>
  <w:num w:numId="10">
    <w:abstractNumId w:val="16"/>
  </w:num>
  <w:num w:numId="11">
    <w:abstractNumId w:val="17"/>
  </w:num>
  <w:num w:numId="12">
    <w:abstractNumId w:val="6"/>
  </w:num>
  <w:num w:numId="13">
    <w:abstractNumId w:val="12"/>
  </w:num>
  <w:num w:numId="14">
    <w:abstractNumId w:val="21"/>
  </w:num>
  <w:num w:numId="15">
    <w:abstractNumId w:val="2"/>
  </w:num>
  <w:num w:numId="16">
    <w:abstractNumId w:val="3"/>
  </w:num>
  <w:num w:numId="17">
    <w:abstractNumId w:val="14"/>
  </w:num>
  <w:num w:numId="18">
    <w:abstractNumId w:val="18"/>
  </w:num>
  <w:num w:numId="19">
    <w:abstractNumId w:val="12"/>
  </w:num>
  <w:num w:numId="20">
    <w:abstractNumId w:val="21"/>
  </w:num>
  <w:num w:numId="21">
    <w:abstractNumId w:val="15"/>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CORRIGENDUM_x000b_This document corrects document COM/2019/557 final of 31.10.2019._x000b_Concerns all language versions._x000b_Corrections to the following clerical mistakes have been made:_x000b_- Correction of the title of Directive 2003/87/EC on p. 6, footnote 3;_x000b_- Addition of Spain to the list of Member States which have EU ETS installations emitting PFCs and N2O on p. 8; _x000b_- Addition of reference to the OJ publication of Directive 2014/65/EU on p. 10, footnote 14;_x000b_- Correction of the inconsistent and incorrect use of decimal commas and points in Tables 4 and 7;_x000b_- Correction of the number of total cancelled auctions on p. 21;_x000b_- Correction of the publication date of Regulation (EU) No 600/2014 on p. 34, footnote 61;_x000b_- Correction of the title of DG Climate Action in Figures 2, 3, 4, and 5, in Tables 6 and 8, as well as in Tables 1.1., 1.2 and 1.3 of Annex 1, and Table 4.1. of Annex 4._x000b_The text shall read as follows:"/>
    <w:docVar w:name="LW_COVERPAGE_EXISTS" w:val="True"/>
    <w:docVar w:name="LW_COVERPAGE_GUID" w:val="522CC958-E173-4AA5-9156-607627E648CB"/>
    <w:docVar w:name="LW_COVERPAGE_TYPE" w:val="1"/>
    <w:docVar w:name="LW_CROSSREFERENCE" w:val="&lt;UNUSED&gt;"/>
    <w:docVar w:name="LW_DocType" w:val="NORMAL"/>
    <w:docVar w:name="LW_EMISSION" w:val="16.1.2020"/>
    <w:docVar w:name="LW_EMISSION_ISODATE" w:val="2020-01-16"/>
    <w:docVar w:name="LW_EMISSION_LOCATION" w:val="BRX"/>
    <w:docVar w:name="LW_EMISSION_PREFIX" w:val="Bryssel den "/>
    <w:docVar w:name="LW_EMISSION_SUFFIX" w:val=" "/>
    <w:docVar w:name="LW_ID_DOCTYPE_NONLW" w:val="CP-006"/>
    <w:docVar w:name="LW_LANGUE" w:val="SV"/>
    <w:docVar w:name="LW_LEVEL_OF_SENSITIVITY" w:val="Standard treatment"/>
    <w:docVar w:name="LW_NOM.INST" w:val="EUROPEISKA KOMMISSIONEN"/>
    <w:docVar w:name="LW_NOM.INST_JOINTDOC" w:val="&lt;EMPTY&gt;"/>
    <w:docVar w:name="LW_PART_NBR" w:val="1"/>
    <w:docVar w:name="LW_PART_NBR_TOTAL" w:val="1"/>
    <w:docVar w:name="LW_REF.INST.NEW" w:val="COM"/>
    <w:docVar w:name="LW_REF.INST.NEW_ADOPTED" w:val="final/2"/>
    <w:docVar w:name="LW_REF.INST.NEW_TEXT" w:val="(2019) 55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Rapport om den europeiska koldioxidmarknadens funktion"/>
    <w:docVar w:name="LW_TYPE.DOC.CP" w:val="RAPPORT FRÅN KOMMISSIONEN TILL EUROPAPARLAMENTET OCH RÅDET"/>
  </w:docVars>
  <w:rsids>
    <w:rsidRoot w:val="005F6BD0"/>
    <w:rsid w:val="00000FE6"/>
    <w:rsid w:val="000039C4"/>
    <w:rsid w:val="00007933"/>
    <w:rsid w:val="00013E53"/>
    <w:rsid w:val="00024429"/>
    <w:rsid w:val="0004122A"/>
    <w:rsid w:val="0004344A"/>
    <w:rsid w:val="000453E7"/>
    <w:rsid w:val="00055907"/>
    <w:rsid w:val="00067B35"/>
    <w:rsid w:val="00071A92"/>
    <w:rsid w:val="00073948"/>
    <w:rsid w:val="00076507"/>
    <w:rsid w:val="00076795"/>
    <w:rsid w:val="00080803"/>
    <w:rsid w:val="0008149F"/>
    <w:rsid w:val="00081E9A"/>
    <w:rsid w:val="000836BF"/>
    <w:rsid w:val="000847E3"/>
    <w:rsid w:val="00090912"/>
    <w:rsid w:val="00093351"/>
    <w:rsid w:val="00096C9D"/>
    <w:rsid w:val="000971D6"/>
    <w:rsid w:val="00097F99"/>
    <w:rsid w:val="000A114B"/>
    <w:rsid w:val="000A1686"/>
    <w:rsid w:val="000A23BB"/>
    <w:rsid w:val="000A5510"/>
    <w:rsid w:val="000B0169"/>
    <w:rsid w:val="000B2E37"/>
    <w:rsid w:val="000B542C"/>
    <w:rsid w:val="000B5602"/>
    <w:rsid w:val="000B7105"/>
    <w:rsid w:val="000D5EB8"/>
    <w:rsid w:val="000D76F7"/>
    <w:rsid w:val="000E17BF"/>
    <w:rsid w:val="000E1D3A"/>
    <w:rsid w:val="000E2B06"/>
    <w:rsid w:val="000E34D9"/>
    <w:rsid w:val="000E4949"/>
    <w:rsid w:val="000E5992"/>
    <w:rsid w:val="000E5BB1"/>
    <w:rsid w:val="000E76D9"/>
    <w:rsid w:val="000E7891"/>
    <w:rsid w:val="000F340A"/>
    <w:rsid w:val="000F5D4A"/>
    <w:rsid w:val="00103EEF"/>
    <w:rsid w:val="001055F0"/>
    <w:rsid w:val="00107E43"/>
    <w:rsid w:val="00112F06"/>
    <w:rsid w:val="001179D2"/>
    <w:rsid w:val="001179FA"/>
    <w:rsid w:val="00117A8A"/>
    <w:rsid w:val="00123B11"/>
    <w:rsid w:val="001334A3"/>
    <w:rsid w:val="001379D6"/>
    <w:rsid w:val="00137D8B"/>
    <w:rsid w:val="001425D7"/>
    <w:rsid w:val="00143C3B"/>
    <w:rsid w:val="001508F1"/>
    <w:rsid w:val="00151ABC"/>
    <w:rsid w:val="00154103"/>
    <w:rsid w:val="00155185"/>
    <w:rsid w:val="001554C6"/>
    <w:rsid w:val="0015759E"/>
    <w:rsid w:val="00161F92"/>
    <w:rsid w:val="00163AE0"/>
    <w:rsid w:val="00163FD4"/>
    <w:rsid w:val="00167EEC"/>
    <w:rsid w:val="00171CDC"/>
    <w:rsid w:val="0017587A"/>
    <w:rsid w:val="00183216"/>
    <w:rsid w:val="001A0E42"/>
    <w:rsid w:val="001A5FBE"/>
    <w:rsid w:val="001B2D80"/>
    <w:rsid w:val="001B4818"/>
    <w:rsid w:val="001B7FD9"/>
    <w:rsid w:val="001C09BD"/>
    <w:rsid w:val="001C5413"/>
    <w:rsid w:val="001D30E4"/>
    <w:rsid w:val="001D4175"/>
    <w:rsid w:val="001D5A68"/>
    <w:rsid w:val="001D7CEB"/>
    <w:rsid w:val="001E0B39"/>
    <w:rsid w:val="001E289A"/>
    <w:rsid w:val="001E305B"/>
    <w:rsid w:val="001F0457"/>
    <w:rsid w:val="001F1235"/>
    <w:rsid w:val="001F1888"/>
    <w:rsid w:val="001F507B"/>
    <w:rsid w:val="001F66C2"/>
    <w:rsid w:val="002028F1"/>
    <w:rsid w:val="00203778"/>
    <w:rsid w:val="00213AB4"/>
    <w:rsid w:val="00220BC1"/>
    <w:rsid w:val="002221CF"/>
    <w:rsid w:val="002228B7"/>
    <w:rsid w:val="00231101"/>
    <w:rsid w:val="00232561"/>
    <w:rsid w:val="00232E4F"/>
    <w:rsid w:val="0023458A"/>
    <w:rsid w:val="00235970"/>
    <w:rsid w:val="00236AB2"/>
    <w:rsid w:val="00240B9A"/>
    <w:rsid w:val="00240E82"/>
    <w:rsid w:val="00246919"/>
    <w:rsid w:val="00247798"/>
    <w:rsid w:val="00250CD2"/>
    <w:rsid w:val="00254074"/>
    <w:rsid w:val="002546AC"/>
    <w:rsid w:val="002554A7"/>
    <w:rsid w:val="00264CAF"/>
    <w:rsid w:val="00267386"/>
    <w:rsid w:val="00270A06"/>
    <w:rsid w:val="00271E0D"/>
    <w:rsid w:val="00273A5E"/>
    <w:rsid w:val="00273ED1"/>
    <w:rsid w:val="00276918"/>
    <w:rsid w:val="002800C8"/>
    <w:rsid w:val="002802C4"/>
    <w:rsid w:val="00282C36"/>
    <w:rsid w:val="00294A8C"/>
    <w:rsid w:val="002A225D"/>
    <w:rsid w:val="002A3783"/>
    <w:rsid w:val="002A46DE"/>
    <w:rsid w:val="002A6473"/>
    <w:rsid w:val="002B2B9A"/>
    <w:rsid w:val="002B31DD"/>
    <w:rsid w:val="002C021B"/>
    <w:rsid w:val="002C2541"/>
    <w:rsid w:val="002C3142"/>
    <w:rsid w:val="002C43D3"/>
    <w:rsid w:val="002C7A57"/>
    <w:rsid w:val="002D2BCA"/>
    <w:rsid w:val="002E287F"/>
    <w:rsid w:val="00305A3E"/>
    <w:rsid w:val="00310AEE"/>
    <w:rsid w:val="0031283C"/>
    <w:rsid w:val="00313E82"/>
    <w:rsid w:val="00321560"/>
    <w:rsid w:val="00324F32"/>
    <w:rsid w:val="0032559C"/>
    <w:rsid w:val="00326996"/>
    <w:rsid w:val="00332674"/>
    <w:rsid w:val="003403B3"/>
    <w:rsid w:val="00341982"/>
    <w:rsid w:val="003424FE"/>
    <w:rsid w:val="0034758D"/>
    <w:rsid w:val="00350319"/>
    <w:rsid w:val="0035088E"/>
    <w:rsid w:val="00352418"/>
    <w:rsid w:val="003603DF"/>
    <w:rsid w:val="00362D29"/>
    <w:rsid w:val="00365008"/>
    <w:rsid w:val="003755E1"/>
    <w:rsid w:val="00375C63"/>
    <w:rsid w:val="00375FAD"/>
    <w:rsid w:val="00376A62"/>
    <w:rsid w:val="00396CBF"/>
    <w:rsid w:val="003972C7"/>
    <w:rsid w:val="003A0CD7"/>
    <w:rsid w:val="003A348D"/>
    <w:rsid w:val="003B1976"/>
    <w:rsid w:val="003B73EF"/>
    <w:rsid w:val="003C06B3"/>
    <w:rsid w:val="003D2688"/>
    <w:rsid w:val="003D2CB4"/>
    <w:rsid w:val="003D3D7A"/>
    <w:rsid w:val="003D3E6C"/>
    <w:rsid w:val="003D7CEC"/>
    <w:rsid w:val="003E3302"/>
    <w:rsid w:val="003F30A8"/>
    <w:rsid w:val="004009B8"/>
    <w:rsid w:val="0041035E"/>
    <w:rsid w:val="00414972"/>
    <w:rsid w:val="00414F0F"/>
    <w:rsid w:val="00415B88"/>
    <w:rsid w:val="00417A4C"/>
    <w:rsid w:val="00420790"/>
    <w:rsid w:val="0042672C"/>
    <w:rsid w:val="00427EEB"/>
    <w:rsid w:val="00430B6B"/>
    <w:rsid w:val="00430F7D"/>
    <w:rsid w:val="00431A0C"/>
    <w:rsid w:val="00432B47"/>
    <w:rsid w:val="004351EA"/>
    <w:rsid w:val="00436204"/>
    <w:rsid w:val="00447BD5"/>
    <w:rsid w:val="00450852"/>
    <w:rsid w:val="0045349F"/>
    <w:rsid w:val="0045466C"/>
    <w:rsid w:val="0045664F"/>
    <w:rsid w:val="004572E5"/>
    <w:rsid w:val="0046000B"/>
    <w:rsid w:val="004611B0"/>
    <w:rsid w:val="0046130B"/>
    <w:rsid w:val="00462E7F"/>
    <w:rsid w:val="00467859"/>
    <w:rsid w:val="004724FA"/>
    <w:rsid w:val="004727F3"/>
    <w:rsid w:val="00474813"/>
    <w:rsid w:val="00474859"/>
    <w:rsid w:val="004809DF"/>
    <w:rsid w:val="00482F44"/>
    <w:rsid w:val="00487626"/>
    <w:rsid w:val="00490892"/>
    <w:rsid w:val="00491E4C"/>
    <w:rsid w:val="00492E10"/>
    <w:rsid w:val="00493C65"/>
    <w:rsid w:val="004952C2"/>
    <w:rsid w:val="00495FC8"/>
    <w:rsid w:val="004A192A"/>
    <w:rsid w:val="004A322E"/>
    <w:rsid w:val="004A6FE8"/>
    <w:rsid w:val="004B05D2"/>
    <w:rsid w:val="004B22AA"/>
    <w:rsid w:val="004B446A"/>
    <w:rsid w:val="004B4F5B"/>
    <w:rsid w:val="004B68E8"/>
    <w:rsid w:val="004C0390"/>
    <w:rsid w:val="004C116F"/>
    <w:rsid w:val="004C18B2"/>
    <w:rsid w:val="004C3C2E"/>
    <w:rsid w:val="004C3EAB"/>
    <w:rsid w:val="004C64C5"/>
    <w:rsid w:val="004D266B"/>
    <w:rsid w:val="004D7FF1"/>
    <w:rsid w:val="004F7E89"/>
    <w:rsid w:val="00503830"/>
    <w:rsid w:val="00511F9D"/>
    <w:rsid w:val="00513707"/>
    <w:rsid w:val="00513F37"/>
    <w:rsid w:val="005153FF"/>
    <w:rsid w:val="00516F65"/>
    <w:rsid w:val="0052086E"/>
    <w:rsid w:val="00521214"/>
    <w:rsid w:val="00522018"/>
    <w:rsid w:val="005220A0"/>
    <w:rsid w:val="00524AA2"/>
    <w:rsid w:val="00526348"/>
    <w:rsid w:val="00531A9D"/>
    <w:rsid w:val="00531B04"/>
    <w:rsid w:val="00535EF1"/>
    <w:rsid w:val="0054214B"/>
    <w:rsid w:val="00544382"/>
    <w:rsid w:val="005446C1"/>
    <w:rsid w:val="00545994"/>
    <w:rsid w:val="00546BFF"/>
    <w:rsid w:val="0055008A"/>
    <w:rsid w:val="0055016B"/>
    <w:rsid w:val="00564618"/>
    <w:rsid w:val="00572D1B"/>
    <w:rsid w:val="0057434D"/>
    <w:rsid w:val="00587058"/>
    <w:rsid w:val="00593BC0"/>
    <w:rsid w:val="005A3492"/>
    <w:rsid w:val="005A3899"/>
    <w:rsid w:val="005A4F64"/>
    <w:rsid w:val="005B7436"/>
    <w:rsid w:val="005C0D84"/>
    <w:rsid w:val="005C19DA"/>
    <w:rsid w:val="005C40E5"/>
    <w:rsid w:val="005C54C3"/>
    <w:rsid w:val="005C667A"/>
    <w:rsid w:val="005D1F30"/>
    <w:rsid w:val="005D3412"/>
    <w:rsid w:val="005E0796"/>
    <w:rsid w:val="005E3731"/>
    <w:rsid w:val="005E4DAD"/>
    <w:rsid w:val="005E5E7D"/>
    <w:rsid w:val="005F547A"/>
    <w:rsid w:val="005F57E7"/>
    <w:rsid w:val="005F6BD0"/>
    <w:rsid w:val="005F7426"/>
    <w:rsid w:val="00601A28"/>
    <w:rsid w:val="00604EC7"/>
    <w:rsid w:val="00605E73"/>
    <w:rsid w:val="0061725C"/>
    <w:rsid w:val="00620C74"/>
    <w:rsid w:val="00622FFB"/>
    <w:rsid w:val="006239BE"/>
    <w:rsid w:val="00626D3C"/>
    <w:rsid w:val="00630CB3"/>
    <w:rsid w:val="006434B2"/>
    <w:rsid w:val="00647DE9"/>
    <w:rsid w:val="00650419"/>
    <w:rsid w:val="00650B14"/>
    <w:rsid w:val="00650F07"/>
    <w:rsid w:val="006529AB"/>
    <w:rsid w:val="006530AB"/>
    <w:rsid w:val="006576A6"/>
    <w:rsid w:val="00663ABF"/>
    <w:rsid w:val="00670DCE"/>
    <w:rsid w:val="00674F18"/>
    <w:rsid w:val="0067520F"/>
    <w:rsid w:val="00676CF0"/>
    <w:rsid w:val="00677B4F"/>
    <w:rsid w:val="006867CA"/>
    <w:rsid w:val="00687848"/>
    <w:rsid w:val="00693A53"/>
    <w:rsid w:val="0069589D"/>
    <w:rsid w:val="006964C8"/>
    <w:rsid w:val="00696C1E"/>
    <w:rsid w:val="006A1212"/>
    <w:rsid w:val="006A69C6"/>
    <w:rsid w:val="006B0912"/>
    <w:rsid w:val="006B29CE"/>
    <w:rsid w:val="006B33D0"/>
    <w:rsid w:val="006C1CE4"/>
    <w:rsid w:val="006C33FB"/>
    <w:rsid w:val="006C7AF2"/>
    <w:rsid w:val="006C7E2B"/>
    <w:rsid w:val="006D15F4"/>
    <w:rsid w:val="006D1DAA"/>
    <w:rsid w:val="006D7DAA"/>
    <w:rsid w:val="006E0EB4"/>
    <w:rsid w:val="006E35B0"/>
    <w:rsid w:val="006E4040"/>
    <w:rsid w:val="006E6706"/>
    <w:rsid w:val="006E77EE"/>
    <w:rsid w:val="006F08AB"/>
    <w:rsid w:val="006F1C1A"/>
    <w:rsid w:val="006F24C1"/>
    <w:rsid w:val="006F2D6B"/>
    <w:rsid w:val="0070741D"/>
    <w:rsid w:val="00707619"/>
    <w:rsid w:val="00710A2D"/>
    <w:rsid w:val="00711C2B"/>
    <w:rsid w:val="0071246D"/>
    <w:rsid w:val="00715C11"/>
    <w:rsid w:val="00723364"/>
    <w:rsid w:val="007313F8"/>
    <w:rsid w:val="00743ED3"/>
    <w:rsid w:val="007450E6"/>
    <w:rsid w:val="00750C8E"/>
    <w:rsid w:val="007552C1"/>
    <w:rsid w:val="00764777"/>
    <w:rsid w:val="007653E9"/>
    <w:rsid w:val="007708E7"/>
    <w:rsid w:val="00770B96"/>
    <w:rsid w:val="007748C6"/>
    <w:rsid w:val="007770F8"/>
    <w:rsid w:val="00777DC1"/>
    <w:rsid w:val="007840DE"/>
    <w:rsid w:val="0078606D"/>
    <w:rsid w:val="00794E5D"/>
    <w:rsid w:val="00796CB0"/>
    <w:rsid w:val="007A047B"/>
    <w:rsid w:val="007A13AC"/>
    <w:rsid w:val="007A20FC"/>
    <w:rsid w:val="007A50C0"/>
    <w:rsid w:val="007B4315"/>
    <w:rsid w:val="007B526B"/>
    <w:rsid w:val="007B6379"/>
    <w:rsid w:val="007B6B06"/>
    <w:rsid w:val="007B7BDD"/>
    <w:rsid w:val="007C14CE"/>
    <w:rsid w:val="007C478C"/>
    <w:rsid w:val="007C5853"/>
    <w:rsid w:val="007C76F9"/>
    <w:rsid w:val="007D07C5"/>
    <w:rsid w:val="007D74C8"/>
    <w:rsid w:val="007E1F8B"/>
    <w:rsid w:val="007E289C"/>
    <w:rsid w:val="007F41FA"/>
    <w:rsid w:val="007F5B1E"/>
    <w:rsid w:val="0080112A"/>
    <w:rsid w:val="00801F4F"/>
    <w:rsid w:val="00801F90"/>
    <w:rsid w:val="0081348D"/>
    <w:rsid w:val="00820E4C"/>
    <w:rsid w:val="008259B3"/>
    <w:rsid w:val="00825DBF"/>
    <w:rsid w:val="00826298"/>
    <w:rsid w:val="00826FBA"/>
    <w:rsid w:val="00845A09"/>
    <w:rsid w:val="0085272D"/>
    <w:rsid w:val="00852E0F"/>
    <w:rsid w:val="00853FF0"/>
    <w:rsid w:val="00862924"/>
    <w:rsid w:val="00872FA3"/>
    <w:rsid w:val="00880101"/>
    <w:rsid w:val="00880749"/>
    <w:rsid w:val="00886FE8"/>
    <w:rsid w:val="008872EF"/>
    <w:rsid w:val="00897B8F"/>
    <w:rsid w:val="008A5D9B"/>
    <w:rsid w:val="008C2194"/>
    <w:rsid w:val="008D0DEA"/>
    <w:rsid w:val="008D0F40"/>
    <w:rsid w:val="008D4A4D"/>
    <w:rsid w:val="008E412B"/>
    <w:rsid w:val="008E46B6"/>
    <w:rsid w:val="008E69DA"/>
    <w:rsid w:val="008F18A0"/>
    <w:rsid w:val="008F1C88"/>
    <w:rsid w:val="008F796B"/>
    <w:rsid w:val="00901490"/>
    <w:rsid w:val="00903EA2"/>
    <w:rsid w:val="00907E99"/>
    <w:rsid w:val="009167F7"/>
    <w:rsid w:val="0091734F"/>
    <w:rsid w:val="00920F62"/>
    <w:rsid w:val="00923ABD"/>
    <w:rsid w:val="00924594"/>
    <w:rsid w:val="0092568D"/>
    <w:rsid w:val="00926127"/>
    <w:rsid w:val="00935219"/>
    <w:rsid w:val="00936E0E"/>
    <w:rsid w:val="00937242"/>
    <w:rsid w:val="009438AB"/>
    <w:rsid w:val="00943DA5"/>
    <w:rsid w:val="00946F79"/>
    <w:rsid w:val="00952A42"/>
    <w:rsid w:val="00956B5A"/>
    <w:rsid w:val="00957173"/>
    <w:rsid w:val="00964AD1"/>
    <w:rsid w:val="00967BB6"/>
    <w:rsid w:val="00970B92"/>
    <w:rsid w:val="00970C68"/>
    <w:rsid w:val="00971AA1"/>
    <w:rsid w:val="00973D0E"/>
    <w:rsid w:val="009743AF"/>
    <w:rsid w:val="00975138"/>
    <w:rsid w:val="00975465"/>
    <w:rsid w:val="00981142"/>
    <w:rsid w:val="00986C32"/>
    <w:rsid w:val="00986DBE"/>
    <w:rsid w:val="00995D11"/>
    <w:rsid w:val="0099667F"/>
    <w:rsid w:val="00997359"/>
    <w:rsid w:val="009A6369"/>
    <w:rsid w:val="009A7259"/>
    <w:rsid w:val="009A79C3"/>
    <w:rsid w:val="009B1349"/>
    <w:rsid w:val="009B1CC8"/>
    <w:rsid w:val="009B58A9"/>
    <w:rsid w:val="009C2DCE"/>
    <w:rsid w:val="009C2F61"/>
    <w:rsid w:val="009D0411"/>
    <w:rsid w:val="009D1D9B"/>
    <w:rsid w:val="009D4740"/>
    <w:rsid w:val="009D6C7E"/>
    <w:rsid w:val="009E0578"/>
    <w:rsid w:val="009E2F76"/>
    <w:rsid w:val="009E30B4"/>
    <w:rsid w:val="009E7D2F"/>
    <w:rsid w:val="009F1DEA"/>
    <w:rsid w:val="009F7A8D"/>
    <w:rsid w:val="00A01487"/>
    <w:rsid w:val="00A01F53"/>
    <w:rsid w:val="00A063FC"/>
    <w:rsid w:val="00A07445"/>
    <w:rsid w:val="00A12A60"/>
    <w:rsid w:val="00A15287"/>
    <w:rsid w:val="00A1580F"/>
    <w:rsid w:val="00A16C99"/>
    <w:rsid w:val="00A21F92"/>
    <w:rsid w:val="00A309B8"/>
    <w:rsid w:val="00A324A5"/>
    <w:rsid w:val="00A341C7"/>
    <w:rsid w:val="00A3452C"/>
    <w:rsid w:val="00A37088"/>
    <w:rsid w:val="00A40886"/>
    <w:rsid w:val="00A4186B"/>
    <w:rsid w:val="00A42B5E"/>
    <w:rsid w:val="00A47C7B"/>
    <w:rsid w:val="00A52292"/>
    <w:rsid w:val="00A52F4C"/>
    <w:rsid w:val="00A55C5F"/>
    <w:rsid w:val="00A65E8D"/>
    <w:rsid w:val="00A67F00"/>
    <w:rsid w:val="00A729A2"/>
    <w:rsid w:val="00A75105"/>
    <w:rsid w:val="00A76825"/>
    <w:rsid w:val="00A80F28"/>
    <w:rsid w:val="00A81A13"/>
    <w:rsid w:val="00A838C0"/>
    <w:rsid w:val="00A85CA7"/>
    <w:rsid w:val="00A871C2"/>
    <w:rsid w:val="00A90AE4"/>
    <w:rsid w:val="00A90D9A"/>
    <w:rsid w:val="00A92C10"/>
    <w:rsid w:val="00A9462E"/>
    <w:rsid w:val="00A95247"/>
    <w:rsid w:val="00A95C71"/>
    <w:rsid w:val="00A97B86"/>
    <w:rsid w:val="00AA1C54"/>
    <w:rsid w:val="00AA2E4B"/>
    <w:rsid w:val="00AA45F2"/>
    <w:rsid w:val="00AA6C77"/>
    <w:rsid w:val="00AA763C"/>
    <w:rsid w:val="00AA7749"/>
    <w:rsid w:val="00AC45A3"/>
    <w:rsid w:val="00AC49C7"/>
    <w:rsid w:val="00AC71FC"/>
    <w:rsid w:val="00AD25A8"/>
    <w:rsid w:val="00AD3A74"/>
    <w:rsid w:val="00AD3BCF"/>
    <w:rsid w:val="00AD6E42"/>
    <w:rsid w:val="00AE6522"/>
    <w:rsid w:val="00AF188E"/>
    <w:rsid w:val="00AF41CE"/>
    <w:rsid w:val="00AF42BE"/>
    <w:rsid w:val="00AF696E"/>
    <w:rsid w:val="00AF6D56"/>
    <w:rsid w:val="00B014E1"/>
    <w:rsid w:val="00B065B2"/>
    <w:rsid w:val="00B0756E"/>
    <w:rsid w:val="00B13763"/>
    <w:rsid w:val="00B2073D"/>
    <w:rsid w:val="00B27C40"/>
    <w:rsid w:val="00B3113B"/>
    <w:rsid w:val="00B330E6"/>
    <w:rsid w:val="00B34FE0"/>
    <w:rsid w:val="00B36364"/>
    <w:rsid w:val="00B444B8"/>
    <w:rsid w:val="00B47A9B"/>
    <w:rsid w:val="00B508EC"/>
    <w:rsid w:val="00B554D5"/>
    <w:rsid w:val="00B6391E"/>
    <w:rsid w:val="00B7144C"/>
    <w:rsid w:val="00B736F4"/>
    <w:rsid w:val="00B75E76"/>
    <w:rsid w:val="00B774C9"/>
    <w:rsid w:val="00B77E70"/>
    <w:rsid w:val="00B83449"/>
    <w:rsid w:val="00B84FD2"/>
    <w:rsid w:val="00B85598"/>
    <w:rsid w:val="00B86FD5"/>
    <w:rsid w:val="00B951E0"/>
    <w:rsid w:val="00B96804"/>
    <w:rsid w:val="00BB32B4"/>
    <w:rsid w:val="00BB416E"/>
    <w:rsid w:val="00BB5E18"/>
    <w:rsid w:val="00BD381F"/>
    <w:rsid w:val="00BE16E5"/>
    <w:rsid w:val="00BE291F"/>
    <w:rsid w:val="00BE6633"/>
    <w:rsid w:val="00BF0600"/>
    <w:rsid w:val="00BF4C1D"/>
    <w:rsid w:val="00C04BC3"/>
    <w:rsid w:val="00C062A7"/>
    <w:rsid w:val="00C1282D"/>
    <w:rsid w:val="00C1460B"/>
    <w:rsid w:val="00C15793"/>
    <w:rsid w:val="00C206EB"/>
    <w:rsid w:val="00C24BD9"/>
    <w:rsid w:val="00C31FEB"/>
    <w:rsid w:val="00C34412"/>
    <w:rsid w:val="00C3474B"/>
    <w:rsid w:val="00C35710"/>
    <w:rsid w:val="00C43666"/>
    <w:rsid w:val="00C45021"/>
    <w:rsid w:val="00C505AB"/>
    <w:rsid w:val="00C63D34"/>
    <w:rsid w:val="00C67962"/>
    <w:rsid w:val="00C73274"/>
    <w:rsid w:val="00C761C5"/>
    <w:rsid w:val="00C805C9"/>
    <w:rsid w:val="00C80F63"/>
    <w:rsid w:val="00C81DE8"/>
    <w:rsid w:val="00C8227C"/>
    <w:rsid w:val="00C827A2"/>
    <w:rsid w:val="00C82E25"/>
    <w:rsid w:val="00C84C9A"/>
    <w:rsid w:val="00C92807"/>
    <w:rsid w:val="00C94487"/>
    <w:rsid w:val="00C9448A"/>
    <w:rsid w:val="00C9568F"/>
    <w:rsid w:val="00C95B98"/>
    <w:rsid w:val="00CA734B"/>
    <w:rsid w:val="00CB6B3B"/>
    <w:rsid w:val="00CB78DF"/>
    <w:rsid w:val="00CC6DFF"/>
    <w:rsid w:val="00CC705C"/>
    <w:rsid w:val="00CD0154"/>
    <w:rsid w:val="00CD2FAE"/>
    <w:rsid w:val="00CD3438"/>
    <w:rsid w:val="00CD611D"/>
    <w:rsid w:val="00CD7EDD"/>
    <w:rsid w:val="00CE42E1"/>
    <w:rsid w:val="00CE582B"/>
    <w:rsid w:val="00CE7544"/>
    <w:rsid w:val="00CF459D"/>
    <w:rsid w:val="00D1163B"/>
    <w:rsid w:val="00D153B1"/>
    <w:rsid w:val="00D15FE5"/>
    <w:rsid w:val="00D20456"/>
    <w:rsid w:val="00D221C6"/>
    <w:rsid w:val="00D24B99"/>
    <w:rsid w:val="00D264AF"/>
    <w:rsid w:val="00D26A90"/>
    <w:rsid w:val="00D3027D"/>
    <w:rsid w:val="00D30645"/>
    <w:rsid w:val="00D33DAD"/>
    <w:rsid w:val="00D34827"/>
    <w:rsid w:val="00D357D7"/>
    <w:rsid w:val="00D40294"/>
    <w:rsid w:val="00D40B51"/>
    <w:rsid w:val="00D4406F"/>
    <w:rsid w:val="00D45E17"/>
    <w:rsid w:val="00D52704"/>
    <w:rsid w:val="00D54ABE"/>
    <w:rsid w:val="00D655D9"/>
    <w:rsid w:val="00D71CE6"/>
    <w:rsid w:val="00D72C70"/>
    <w:rsid w:val="00D75B42"/>
    <w:rsid w:val="00D7734A"/>
    <w:rsid w:val="00D802D9"/>
    <w:rsid w:val="00D812BF"/>
    <w:rsid w:val="00D83605"/>
    <w:rsid w:val="00D843E7"/>
    <w:rsid w:val="00D863AF"/>
    <w:rsid w:val="00D90329"/>
    <w:rsid w:val="00D91E57"/>
    <w:rsid w:val="00DA06E4"/>
    <w:rsid w:val="00DA23BD"/>
    <w:rsid w:val="00DA3E53"/>
    <w:rsid w:val="00DA667D"/>
    <w:rsid w:val="00DB415D"/>
    <w:rsid w:val="00DC0206"/>
    <w:rsid w:val="00DC3851"/>
    <w:rsid w:val="00DC781B"/>
    <w:rsid w:val="00DD0ECB"/>
    <w:rsid w:val="00DD1C04"/>
    <w:rsid w:val="00DE4B3D"/>
    <w:rsid w:val="00DE75EA"/>
    <w:rsid w:val="00DF31D4"/>
    <w:rsid w:val="00DF6D22"/>
    <w:rsid w:val="00E04C26"/>
    <w:rsid w:val="00E0629F"/>
    <w:rsid w:val="00E07823"/>
    <w:rsid w:val="00E12E60"/>
    <w:rsid w:val="00E13678"/>
    <w:rsid w:val="00E162AE"/>
    <w:rsid w:val="00E166BE"/>
    <w:rsid w:val="00E1692F"/>
    <w:rsid w:val="00E20A97"/>
    <w:rsid w:val="00E20FAC"/>
    <w:rsid w:val="00E21B3E"/>
    <w:rsid w:val="00E2275C"/>
    <w:rsid w:val="00E32AE3"/>
    <w:rsid w:val="00E360E0"/>
    <w:rsid w:val="00E362A3"/>
    <w:rsid w:val="00E41CBA"/>
    <w:rsid w:val="00E47213"/>
    <w:rsid w:val="00E47391"/>
    <w:rsid w:val="00E47B87"/>
    <w:rsid w:val="00E5087C"/>
    <w:rsid w:val="00E54FAD"/>
    <w:rsid w:val="00E55173"/>
    <w:rsid w:val="00E57C35"/>
    <w:rsid w:val="00E622CD"/>
    <w:rsid w:val="00E628E7"/>
    <w:rsid w:val="00E63E09"/>
    <w:rsid w:val="00E6737F"/>
    <w:rsid w:val="00E71363"/>
    <w:rsid w:val="00E72EF9"/>
    <w:rsid w:val="00E772FE"/>
    <w:rsid w:val="00E9293A"/>
    <w:rsid w:val="00E94C4B"/>
    <w:rsid w:val="00EA091E"/>
    <w:rsid w:val="00EA1081"/>
    <w:rsid w:val="00EB4AF8"/>
    <w:rsid w:val="00EC4E52"/>
    <w:rsid w:val="00ED1A3A"/>
    <w:rsid w:val="00ED62D2"/>
    <w:rsid w:val="00EE0933"/>
    <w:rsid w:val="00EE1C77"/>
    <w:rsid w:val="00EE5825"/>
    <w:rsid w:val="00EE5DB7"/>
    <w:rsid w:val="00EE7A6D"/>
    <w:rsid w:val="00EF05DE"/>
    <w:rsid w:val="00EF3553"/>
    <w:rsid w:val="00F06259"/>
    <w:rsid w:val="00F1044A"/>
    <w:rsid w:val="00F105F2"/>
    <w:rsid w:val="00F12944"/>
    <w:rsid w:val="00F14010"/>
    <w:rsid w:val="00F16486"/>
    <w:rsid w:val="00F20DF9"/>
    <w:rsid w:val="00F21EEC"/>
    <w:rsid w:val="00F24CFE"/>
    <w:rsid w:val="00F24E42"/>
    <w:rsid w:val="00F40DB0"/>
    <w:rsid w:val="00F41F50"/>
    <w:rsid w:val="00F442D1"/>
    <w:rsid w:val="00F47B94"/>
    <w:rsid w:val="00F50389"/>
    <w:rsid w:val="00F55E46"/>
    <w:rsid w:val="00F604A7"/>
    <w:rsid w:val="00F62E0F"/>
    <w:rsid w:val="00F66FF8"/>
    <w:rsid w:val="00F74E2C"/>
    <w:rsid w:val="00F75C7F"/>
    <w:rsid w:val="00F92EFD"/>
    <w:rsid w:val="00F97003"/>
    <w:rsid w:val="00FA3C63"/>
    <w:rsid w:val="00FA48CF"/>
    <w:rsid w:val="00FA4E9C"/>
    <w:rsid w:val="00FA53A8"/>
    <w:rsid w:val="00FA645E"/>
    <w:rsid w:val="00FB120A"/>
    <w:rsid w:val="00FB28EB"/>
    <w:rsid w:val="00FB4235"/>
    <w:rsid w:val="00FB44F4"/>
    <w:rsid w:val="00FB6544"/>
    <w:rsid w:val="00FC1AE0"/>
    <w:rsid w:val="00FC2F1F"/>
    <w:rsid w:val="00FD386D"/>
    <w:rsid w:val="00FD4C61"/>
    <w:rsid w:val="00FE4E64"/>
    <w:rsid w:val="00FE6D66"/>
    <w:rsid w:val="00FF474E"/>
    <w:rsid w:val="00FF5DD8"/>
    <w:rsid w:val="00FF62C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8258C7"/>
  <w15:docId w15:val="{E7C9CAE8-D30B-4133-93C7-CA3E180A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pPr>
      <w:keepNext/>
      <w:spacing w:before="240" w:after="60"/>
      <w:outlineLvl w:val="1"/>
    </w:pPr>
    <w:rPr>
      <w:rFonts w:ascii="Times New Roman" w:eastAsia="Times New Roman" w:hAnsi="Times New Roman"/>
      <w:b/>
      <w:bCs/>
      <w:i/>
      <w:iCs/>
      <w:sz w:val="24"/>
      <w:szCs w:val="28"/>
    </w:rPr>
  </w:style>
  <w:style w:type="paragraph" w:styleId="Heading3">
    <w:name w:val="heading 3"/>
    <w:basedOn w:val="Normal"/>
    <w:next w:val="Normal"/>
    <w:link w:val="Heading3Char"/>
    <w:uiPriority w:val="9"/>
    <w:unhideWhenUsed/>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bCs/>
      <w:i/>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i/>
      <w:sz w:val="24"/>
      <w:szCs w:val="28"/>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sv-S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sv-S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sv-S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Pr>
      <w:color w:val="0000FF"/>
      <w:u w:val="single"/>
    </w:rPr>
  </w:style>
  <w:style w:type="paragraph" w:styleId="FootnoteText">
    <w:name w:val="footnote text"/>
    <w:aliases w:val="Fußnotentextf,RSK-FT,RSK-FT1,RSK-FT2"/>
    <w:basedOn w:val="Normal"/>
    <w:link w:val="FootnoteTextChar"/>
    <w:autoRedefine/>
    <w:uiPriority w:val="99"/>
    <w:unhideWhenUsed/>
    <w:qFormat/>
    <w:rsid w:val="001055F0"/>
    <w:pPr>
      <w:spacing w:after="0" w:line="240" w:lineRule="auto"/>
    </w:pPr>
    <w:rPr>
      <w:rFonts w:ascii="Times New Roman" w:hAnsi="Times New Roman"/>
      <w:sz w:val="18"/>
      <w:szCs w:val="18"/>
    </w:rPr>
  </w:style>
  <w:style w:type="character" w:customStyle="1" w:styleId="FootnoteTextChar">
    <w:name w:val="Footnote Text Char"/>
    <w:aliases w:val="Fußnotentextf Char,RSK-FT Char,RSK-FT1 Char,RSK-FT2 Char"/>
    <w:basedOn w:val="DefaultParagraphFont"/>
    <w:link w:val="FootnoteText"/>
    <w:uiPriority w:val="99"/>
    <w:rsid w:val="001055F0"/>
    <w:rPr>
      <w:rFonts w:ascii="Times New Roman" w:eastAsia="Calibri" w:hAnsi="Times New Roman" w:cs="Times New Roman"/>
      <w:sz w:val="18"/>
      <w:szCs w:val="18"/>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
    <w:uiPriority w:val="99"/>
    <w:unhideWhenUsed/>
    <w:qFormat/>
    <w:rPr>
      <w:vertAlign w:val="superscript"/>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a3520normalp11">
    <w:name w:val="a__35__20_normal_p11"/>
    <w:basedOn w:val="Normal"/>
    <w:pPr>
      <w:spacing w:after="120" w:line="240" w:lineRule="auto"/>
      <w:ind w:right="57"/>
      <w:jc w:val="both"/>
    </w:pPr>
    <w:rPr>
      <w:rFonts w:ascii="Times New Roman" w:eastAsia="Times New Roman" w:hAnsi="Times New Roman"/>
      <w:sz w:val="24"/>
      <w:szCs w:val="24"/>
      <w:lang w:eastAsia="en-GB"/>
    </w:rPr>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ps">
    <w:name w:val="hps"/>
  </w:style>
  <w:style w:type="paragraph" w:styleId="ListParagraph">
    <w:name w:val="List Paragraph"/>
    <w:basedOn w:val="Normal"/>
    <w:uiPriority w:val="34"/>
    <w:qFormat/>
    <w:pPr>
      <w:spacing w:after="160" w:line="259" w:lineRule="auto"/>
      <w:ind w:left="720"/>
      <w:contextualSpacing/>
    </w:pPr>
  </w:style>
  <w:style w:type="character" w:styleId="Strong">
    <w:name w:val="Strong"/>
    <w:uiPriority w:val="22"/>
    <w:qFormat/>
    <w:rPr>
      <w:b/>
      <w:bCs/>
    </w:rPr>
  </w:style>
  <w:style w:type="paragraph" w:customStyle="1" w:styleId="ECStandard">
    <w:name w:val="EC Standard"/>
    <w:basedOn w:val="Normal"/>
    <w:link w:val="ECStandardZchn"/>
    <w:qFormat/>
    <w:pPr>
      <w:spacing w:after="120" w:line="240" w:lineRule="auto"/>
      <w:jc w:val="both"/>
    </w:pPr>
    <w:rPr>
      <w:rFonts w:ascii="Times New Roman" w:eastAsia="Times New Roman" w:hAnsi="Times New Roman"/>
      <w:sz w:val="24"/>
      <w:szCs w:val="24"/>
      <w:lang w:eastAsia="de-DE"/>
    </w:rPr>
  </w:style>
  <w:style w:type="character" w:customStyle="1" w:styleId="ECStandardZchn">
    <w:name w:val="EC Standard Zchn"/>
    <w:link w:val="ECStandard"/>
    <w:rPr>
      <w:rFonts w:ascii="Times New Roman" w:eastAsia="Times New Roman" w:hAnsi="Times New Roman" w:cs="Times New Roman"/>
      <w:sz w:val="24"/>
      <w:szCs w:val="24"/>
      <w:lang w:eastAsia="de-DE"/>
    </w:rPr>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5Normal0">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spacing w:val="-2"/>
      <w:sz w:val="20"/>
      <w:szCs w:val="24"/>
      <w:lang w:eastAsia="en-GB"/>
    </w:rPr>
  </w:style>
  <w:style w:type="character" w:customStyle="1" w:styleId="5NormalChar">
    <w:name w:val="5 Normal Char"/>
    <w:link w:val="5Normal0"/>
    <w:locked/>
    <w:rPr>
      <w:rFonts w:ascii="Verdana" w:eastAsia="Times New Roman" w:hAnsi="Verdana" w:cs="Times New Roman"/>
      <w:spacing w:val="-2"/>
      <w:sz w:val="20"/>
      <w:szCs w:val="24"/>
      <w:lang w:eastAsia="en-GB"/>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pPr>
      <w:keepLines/>
      <w:spacing w:before="480" w:after="0"/>
      <w:outlineLvl w:val="9"/>
    </w:pPr>
    <w:rPr>
      <w:rFonts w:ascii="Cambria" w:hAnsi="Cambria"/>
      <w:color w:val="365F91"/>
      <w:kern w:val="0"/>
      <w:sz w:val="28"/>
      <w:szCs w:val="28"/>
      <w:lang w:eastAsia="ja-JP"/>
    </w:rPr>
  </w:style>
  <w:style w:type="paragraph" w:styleId="TOC1">
    <w:name w:val="toc 1"/>
    <w:basedOn w:val="Normal"/>
    <w:next w:val="Normal"/>
    <w:autoRedefine/>
    <w:uiPriority w:val="39"/>
    <w:unhideWhenUsed/>
    <w:qFormat/>
    <w:pPr>
      <w:tabs>
        <w:tab w:val="right" w:leader="dot" w:pos="9016"/>
      </w:tabs>
    </w:pPr>
  </w:style>
  <w:style w:type="paragraph" w:styleId="TOC2">
    <w:name w:val="toc 2"/>
    <w:basedOn w:val="Normal"/>
    <w:next w:val="Normal"/>
    <w:autoRedefine/>
    <w:uiPriority w:val="39"/>
    <w:unhideWhenUsed/>
    <w:qFormat/>
    <w:pPr>
      <w:ind w:left="220"/>
    </w:pPr>
  </w:style>
  <w:style w:type="paragraph" w:styleId="TOC3">
    <w:name w:val="toc 3"/>
    <w:basedOn w:val="Normal"/>
    <w:next w:val="Normal"/>
    <w:autoRedefine/>
    <w:uiPriority w:val="39"/>
    <w:unhideWhenUsed/>
    <w:qFormat/>
    <w:pPr>
      <w:ind w:left="440"/>
    </w:pPr>
  </w:style>
  <w:style w:type="paragraph" w:styleId="Caption">
    <w:name w:val="caption"/>
    <w:basedOn w:val="Normal"/>
    <w:next w:val="Normal"/>
    <w:uiPriority w:val="35"/>
    <w:unhideWhenUsed/>
    <w:qFormat/>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styleId="TOC4">
    <w:name w:val="toc 4"/>
    <w:basedOn w:val="Normal"/>
    <w:next w:val="Normal"/>
    <w:autoRedefine/>
    <w:uiPriority w:val="39"/>
    <w:unhideWhenUsed/>
    <w:pPr>
      <w:spacing w:after="100"/>
      <w:ind w:left="660"/>
    </w:pPr>
  </w:style>
  <w:style w:type="paragraph" w:styleId="NoSpacing">
    <w:name w:val="No Spacing"/>
    <w:uiPriority w:val="1"/>
    <w:qFormat/>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character" w:customStyle="1" w:styleId="clear">
    <w:name w:val="clear"/>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TOCHeadingChar">
    <w:name w:val="TOC Heading Char"/>
    <w:basedOn w:val="Heading1Char"/>
    <w:link w:val="TOCHeading"/>
    <w:uiPriority w:val="39"/>
    <w:rPr>
      <w:rFonts w:ascii="Cambria" w:eastAsia="Times New Roman" w:hAnsi="Cambria" w:cs="Times New Roman"/>
      <w:b/>
      <w:bCs/>
      <w:color w:val="365F91"/>
      <w:kern w:val="32"/>
      <w:sz w:val="28"/>
      <w:szCs w:val="28"/>
      <w:lang w:val="sv-SE" w:eastAsia="ja-JP"/>
    </w:rPr>
  </w:style>
  <w:style w:type="character" w:customStyle="1" w:styleId="FooterSensitivityChar">
    <w:name w:val="Footer Sensitivity Char"/>
    <w:basedOn w:val="TOCHeadingChar"/>
    <w:link w:val="FooterSensitivity"/>
    <w:rPr>
      <w:rFonts w:ascii="Times New Roman" w:eastAsia="Calibri" w:hAnsi="Times New Roman" w:cs="Times New Roman"/>
      <w:b/>
      <w:bCs w:val="0"/>
      <w:color w:val="365F91"/>
      <w:kern w:val="32"/>
      <w:sz w:val="32"/>
      <w:szCs w:val="28"/>
      <w:lang w:val="sv-SE" w:eastAsia="ja-JP"/>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OCHeadingChar"/>
    <w:link w:val="HeaderSensitivity"/>
    <w:rPr>
      <w:rFonts w:ascii="Times New Roman" w:eastAsia="Calibri" w:hAnsi="Times New Roman" w:cs="Times New Roman"/>
      <w:b/>
      <w:bCs w:val="0"/>
      <w:color w:val="365F91"/>
      <w:kern w:val="32"/>
      <w:sz w:val="32"/>
      <w:szCs w:val="28"/>
      <w:lang w:val="sv-SE" w:eastAsia="ja-JP"/>
    </w:rPr>
  </w:style>
  <w:style w:type="table" w:customStyle="1" w:styleId="TableGrid5">
    <w:name w:val="Table Grid5"/>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678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urityMarking">
    <w:name w:val="SecurityMarking"/>
    <w:basedOn w:val="Normal"/>
    <w:rsid w:val="006B33D0"/>
    <w:pPr>
      <w:spacing w:after="0"/>
      <w:ind w:left="5103"/>
    </w:pPr>
    <w:rPr>
      <w:rFonts w:ascii="Times New Roman" w:eastAsiaTheme="minorHAnsi" w:hAnsi="Times New Roman"/>
      <w:sz w:val="28"/>
    </w:rPr>
  </w:style>
  <w:style w:type="paragraph" w:customStyle="1" w:styleId="DateMarking">
    <w:name w:val="DateMarking"/>
    <w:basedOn w:val="Normal"/>
    <w:rsid w:val="006B33D0"/>
    <w:pPr>
      <w:spacing w:after="0"/>
      <w:ind w:left="5103"/>
    </w:pPr>
    <w:rPr>
      <w:rFonts w:ascii="Times New Roman" w:eastAsiaTheme="minorHAnsi" w:hAnsi="Times New Roman"/>
      <w:i/>
      <w:sz w:val="28"/>
    </w:rPr>
  </w:style>
  <w:style w:type="paragraph" w:customStyle="1" w:styleId="ReleasableTo">
    <w:name w:val="ReleasableTo"/>
    <w:basedOn w:val="Normal"/>
    <w:rsid w:val="006B33D0"/>
    <w:pPr>
      <w:spacing w:after="0"/>
      <w:ind w:left="5103"/>
    </w:pPr>
    <w:rPr>
      <w:rFonts w:ascii="Times New Roman" w:eastAsiaTheme="minorHAnsi" w:hAnsi="Times New Roman"/>
      <w:i/>
      <w:sz w:val="28"/>
    </w:rPr>
  </w:style>
  <w:style w:type="paragraph" w:customStyle="1" w:styleId="HeaderSensitivityRight">
    <w:name w:val="Header Sensitivity Right"/>
    <w:basedOn w:val="Normal"/>
    <w:rsid w:val="006B33D0"/>
    <w:pPr>
      <w:spacing w:after="120" w:line="240" w:lineRule="auto"/>
      <w:jc w:val="right"/>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61495">
      <w:bodyDiv w:val="1"/>
      <w:marLeft w:val="0"/>
      <w:marRight w:val="0"/>
      <w:marTop w:val="0"/>
      <w:marBottom w:val="0"/>
      <w:divBdr>
        <w:top w:val="none" w:sz="0" w:space="0" w:color="auto"/>
        <w:left w:val="none" w:sz="0" w:space="0" w:color="auto"/>
        <w:bottom w:val="none" w:sz="0" w:space="0" w:color="auto"/>
        <w:right w:val="none" w:sz="0" w:space="0" w:color="auto"/>
      </w:divBdr>
    </w:div>
    <w:div w:id="93596496">
      <w:bodyDiv w:val="1"/>
      <w:marLeft w:val="0"/>
      <w:marRight w:val="0"/>
      <w:marTop w:val="0"/>
      <w:marBottom w:val="0"/>
      <w:divBdr>
        <w:top w:val="none" w:sz="0" w:space="0" w:color="auto"/>
        <w:left w:val="none" w:sz="0" w:space="0" w:color="auto"/>
        <w:bottom w:val="none" w:sz="0" w:space="0" w:color="auto"/>
        <w:right w:val="none" w:sz="0" w:space="0" w:color="auto"/>
      </w:divBdr>
    </w:div>
    <w:div w:id="133959825">
      <w:bodyDiv w:val="1"/>
      <w:marLeft w:val="0"/>
      <w:marRight w:val="0"/>
      <w:marTop w:val="0"/>
      <w:marBottom w:val="0"/>
      <w:divBdr>
        <w:top w:val="none" w:sz="0" w:space="0" w:color="auto"/>
        <w:left w:val="none" w:sz="0" w:space="0" w:color="auto"/>
        <w:bottom w:val="none" w:sz="0" w:space="0" w:color="auto"/>
        <w:right w:val="none" w:sz="0" w:space="0" w:color="auto"/>
      </w:divBdr>
    </w:div>
    <w:div w:id="255866945">
      <w:bodyDiv w:val="1"/>
      <w:marLeft w:val="0"/>
      <w:marRight w:val="0"/>
      <w:marTop w:val="0"/>
      <w:marBottom w:val="0"/>
      <w:divBdr>
        <w:top w:val="none" w:sz="0" w:space="0" w:color="auto"/>
        <w:left w:val="none" w:sz="0" w:space="0" w:color="auto"/>
        <w:bottom w:val="none" w:sz="0" w:space="0" w:color="auto"/>
        <w:right w:val="none" w:sz="0" w:space="0" w:color="auto"/>
      </w:divBdr>
    </w:div>
    <w:div w:id="275797483">
      <w:bodyDiv w:val="1"/>
      <w:marLeft w:val="0"/>
      <w:marRight w:val="0"/>
      <w:marTop w:val="0"/>
      <w:marBottom w:val="0"/>
      <w:divBdr>
        <w:top w:val="none" w:sz="0" w:space="0" w:color="auto"/>
        <w:left w:val="none" w:sz="0" w:space="0" w:color="auto"/>
        <w:bottom w:val="none" w:sz="0" w:space="0" w:color="auto"/>
        <w:right w:val="none" w:sz="0" w:space="0" w:color="auto"/>
      </w:divBdr>
    </w:div>
    <w:div w:id="290207403">
      <w:bodyDiv w:val="1"/>
      <w:marLeft w:val="0"/>
      <w:marRight w:val="0"/>
      <w:marTop w:val="0"/>
      <w:marBottom w:val="0"/>
      <w:divBdr>
        <w:top w:val="none" w:sz="0" w:space="0" w:color="auto"/>
        <w:left w:val="none" w:sz="0" w:space="0" w:color="auto"/>
        <w:bottom w:val="none" w:sz="0" w:space="0" w:color="auto"/>
        <w:right w:val="none" w:sz="0" w:space="0" w:color="auto"/>
      </w:divBdr>
    </w:div>
    <w:div w:id="364062195">
      <w:bodyDiv w:val="1"/>
      <w:marLeft w:val="0"/>
      <w:marRight w:val="0"/>
      <w:marTop w:val="0"/>
      <w:marBottom w:val="0"/>
      <w:divBdr>
        <w:top w:val="none" w:sz="0" w:space="0" w:color="auto"/>
        <w:left w:val="none" w:sz="0" w:space="0" w:color="auto"/>
        <w:bottom w:val="none" w:sz="0" w:space="0" w:color="auto"/>
        <w:right w:val="none" w:sz="0" w:space="0" w:color="auto"/>
      </w:divBdr>
      <w:divsChild>
        <w:div w:id="1461415837">
          <w:marLeft w:val="0"/>
          <w:marRight w:val="0"/>
          <w:marTop w:val="0"/>
          <w:marBottom w:val="0"/>
          <w:divBdr>
            <w:top w:val="none" w:sz="0" w:space="0" w:color="auto"/>
            <w:left w:val="none" w:sz="0" w:space="0" w:color="auto"/>
            <w:bottom w:val="none" w:sz="0" w:space="0" w:color="auto"/>
            <w:right w:val="none" w:sz="0" w:space="0" w:color="auto"/>
          </w:divBdr>
        </w:div>
      </w:divsChild>
    </w:div>
    <w:div w:id="372270018">
      <w:bodyDiv w:val="1"/>
      <w:marLeft w:val="0"/>
      <w:marRight w:val="0"/>
      <w:marTop w:val="0"/>
      <w:marBottom w:val="0"/>
      <w:divBdr>
        <w:top w:val="none" w:sz="0" w:space="0" w:color="auto"/>
        <w:left w:val="none" w:sz="0" w:space="0" w:color="auto"/>
        <w:bottom w:val="none" w:sz="0" w:space="0" w:color="auto"/>
        <w:right w:val="none" w:sz="0" w:space="0" w:color="auto"/>
      </w:divBdr>
      <w:divsChild>
        <w:div w:id="2046782589">
          <w:marLeft w:val="0"/>
          <w:marRight w:val="0"/>
          <w:marTop w:val="0"/>
          <w:marBottom w:val="0"/>
          <w:divBdr>
            <w:top w:val="none" w:sz="0" w:space="0" w:color="auto"/>
            <w:left w:val="none" w:sz="0" w:space="0" w:color="auto"/>
            <w:bottom w:val="none" w:sz="0" w:space="0" w:color="auto"/>
            <w:right w:val="none" w:sz="0" w:space="0" w:color="auto"/>
          </w:divBdr>
        </w:div>
        <w:div w:id="302003568">
          <w:marLeft w:val="0"/>
          <w:marRight w:val="0"/>
          <w:marTop w:val="0"/>
          <w:marBottom w:val="0"/>
          <w:divBdr>
            <w:top w:val="none" w:sz="0" w:space="0" w:color="auto"/>
            <w:left w:val="none" w:sz="0" w:space="0" w:color="auto"/>
            <w:bottom w:val="none" w:sz="0" w:space="0" w:color="auto"/>
            <w:right w:val="none" w:sz="0" w:space="0" w:color="auto"/>
          </w:divBdr>
        </w:div>
        <w:div w:id="805123812">
          <w:marLeft w:val="0"/>
          <w:marRight w:val="0"/>
          <w:marTop w:val="0"/>
          <w:marBottom w:val="0"/>
          <w:divBdr>
            <w:top w:val="none" w:sz="0" w:space="0" w:color="auto"/>
            <w:left w:val="none" w:sz="0" w:space="0" w:color="auto"/>
            <w:bottom w:val="none" w:sz="0" w:space="0" w:color="auto"/>
            <w:right w:val="none" w:sz="0" w:space="0" w:color="auto"/>
          </w:divBdr>
        </w:div>
        <w:div w:id="1823505275">
          <w:marLeft w:val="0"/>
          <w:marRight w:val="0"/>
          <w:marTop w:val="0"/>
          <w:marBottom w:val="0"/>
          <w:divBdr>
            <w:top w:val="none" w:sz="0" w:space="0" w:color="auto"/>
            <w:left w:val="none" w:sz="0" w:space="0" w:color="auto"/>
            <w:bottom w:val="none" w:sz="0" w:space="0" w:color="auto"/>
            <w:right w:val="none" w:sz="0" w:space="0" w:color="auto"/>
          </w:divBdr>
        </w:div>
        <w:div w:id="975600029">
          <w:marLeft w:val="0"/>
          <w:marRight w:val="0"/>
          <w:marTop w:val="0"/>
          <w:marBottom w:val="0"/>
          <w:divBdr>
            <w:top w:val="none" w:sz="0" w:space="0" w:color="auto"/>
            <w:left w:val="none" w:sz="0" w:space="0" w:color="auto"/>
            <w:bottom w:val="none" w:sz="0" w:space="0" w:color="auto"/>
            <w:right w:val="none" w:sz="0" w:space="0" w:color="auto"/>
          </w:divBdr>
        </w:div>
      </w:divsChild>
    </w:div>
    <w:div w:id="382825163">
      <w:bodyDiv w:val="1"/>
      <w:marLeft w:val="0"/>
      <w:marRight w:val="0"/>
      <w:marTop w:val="0"/>
      <w:marBottom w:val="0"/>
      <w:divBdr>
        <w:top w:val="none" w:sz="0" w:space="0" w:color="auto"/>
        <w:left w:val="none" w:sz="0" w:space="0" w:color="auto"/>
        <w:bottom w:val="none" w:sz="0" w:space="0" w:color="auto"/>
        <w:right w:val="none" w:sz="0" w:space="0" w:color="auto"/>
      </w:divBdr>
      <w:divsChild>
        <w:div w:id="1072195181">
          <w:marLeft w:val="0"/>
          <w:marRight w:val="0"/>
          <w:marTop w:val="0"/>
          <w:marBottom w:val="0"/>
          <w:divBdr>
            <w:top w:val="none" w:sz="0" w:space="0" w:color="auto"/>
            <w:left w:val="none" w:sz="0" w:space="0" w:color="auto"/>
            <w:bottom w:val="none" w:sz="0" w:space="0" w:color="auto"/>
            <w:right w:val="none" w:sz="0" w:space="0" w:color="auto"/>
          </w:divBdr>
          <w:divsChild>
            <w:div w:id="1886259599">
              <w:marLeft w:val="0"/>
              <w:marRight w:val="0"/>
              <w:marTop w:val="0"/>
              <w:marBottom w:val="0"/>
              <w:divBdr>
                <w:top w:val="none" w:sz="0" w:space="0" w:color="auto"/>
                <w:left w:val="none" w:sz="0" w:space="0" w:color="auto"/>
                <w:bottom w:val="none" w:sz="0" w:space="0" w:color="auto"/>
                <w:right w:val="none" w:sz="0" w:space="0" w:color="auto"/>
              </w:divBdr>
              <w:divsChild>
                <w:div w:id="1709329333">
                  <w:marLeft w:val="0"/>
                  <w:marRight w:val="0"/>
                  <w:marTop w:val="0"/>
                  <w:marBottom w:val="0"/>
                  <w:divBdr>
                    <w:top w:val="none" w:sz="0" w:space="0" w:color="auto"/>
                    <w:left w:val="none" w:sz="0" w:space="0" w:color="auto"/>
                    <w:bottom w:val="none" w:sz="0" w:space="0" w:color="auto"/>
                    <w:right w:val="none" w:sz="0" w:space="0" w:color="auto"/>
                  </w:divBdr>
                  <w:divsChild>
                    <w:div w:id="1583679908">
                      <w:marLeft w:val="0"/>
                      <w:marRight w:val="0"/>
                      <w:marTop w:val="0"/>
                      <w:marBottom w:val="0"/>
                      <w:divBdr>
                        <w:top w:val="none" w:sz="0" w:space="0" w:color="auto"/>
                        <w:left w:val="none" w:sz="0" w:space="0" w:color="auto"/>
                        <w:bottom w:val="none" w:sz="0" w:space="0" w:color="auto"/>
                        <w:right w:val="none" w:sz="0" w:space="0" w:color="auto"/>
                      </w:divBdr>
                      <w:divsChild>
                        <w:div w:id="1452434118">
                          <w:marLeft w:val="0"/>
                          <w:marRight w:val="0"/>
                          <w:marTop w:val="0"/>
                          <w:marBottom w:val="0"/>
                          <w:divBdr>
                            <w:top w:val="none" w:sz="0" w:space="0" w:color="auto"/>
                            <w:left w:val="none" w:sz="0" w:space="0" w:color="auto"/>
                            <w:bottom w:val="none" w:sz="0" w:space="0" w:color="auto"/>
                            <w:right w:val="none" w:sz="0" w:space="0" w:color="auto"/>
                          </w:divBdr>
                          <w:divsChild>
                            <w:div w:id="1843818149">
                              <w:marLeft w:val="0"/>
                              <w:marRight w:val="0"/>
                              <w:marTop w:val="0"/>
                              <w:marBottom w:val="0"/>
                              <w:divBdr>
                                <w:top w:val="none" w:sz="0" w:space="0" w:color="auto"/>
                                <w:left w:val="none" w:sz="0" w:space="0" w:color="auto"/>
                                <w:bottom w:val="none" w:sz="0" w:space="0" w:color="auto"/>
                                <w:right w:val="none" w:sz="0" w:space="0" w:color="auto"/>
                              </w:divBdr>
                              <w:divsChild>
                                <w:div w:id="757288114">
                                  <w:marLeft w:val="0"/>
                                  <w:marRight w:val="0"/>
                                  <w:marTop w:val="0"/>
                                  <w:marBottom w:val="0"/>
                                  <w:divBdr>
                                    <w:top w:val="none" w:sz="0" w:space="0" w:color="auto"/>
                                    <w:left w:val="none" w:sz="0" w:space="0" w:color="auto"/>
                                    <w:bottom w:val="none" w:sz="0" w:space="0" w:color="auto"/>
                                    <w:right w:val="none" w:sz="0" w:space="0" w:color="auto"/>
                                  </w:divBdr>
                                  <w:divsChild>
                                    <w:div w:id="7983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711484">
      <w:bodyDiv w:val="1"/>
      <w:marLeft w:val="0"/>
      <w:marRight w:val="0"/>
      <w:marTop w:val="0"/>
      <w:marBottom w:val="0"/>
      <w:divBdr>
        <w:top w:val="none" w:sz="0" w:space="0" w:color="auto"/>
        <w:left w:val="none" w:sz="0" w:space="0" w:color="auto"/>
        <w:bottom w:val="none" w:sz="0" w:space="0" w:color="auto"/>
        <w:right w:val="none" w:sz="0" w:space="0" w:color="auto"/>
      </w:divBdr>
    </w:div>
    <w:div w:id="414322125">
      <w:bodyDiv w:val="1"/>
      <w:marLeft w:val="0"/>
      <w:marRight w:val="0"/>
      <w:marTop w:val="0"/>
      <w:marBottom w:val="0"/>
      <w:divBdr>
        <w:top w:val="none" w:sz="0" w:space="0" w:color="auto"/>
        <w:left w:val="none" w:sz="0" w:space="0" w:color="auto"/>
        <w:bottom w:val="none" w:sz="0" w:space="0" w:color="auto"/>
        <w:right w:val="none" w:sz="0" w:space="0" w:color="auto"/>
      </w:divBdr>
    </w:div>
    <w:div w:id="414471705">
      <w:bodyDiv w:val="1"/>
      <w:marLeft w:val="0"/>
      <w:marRight w:val="0"/>
      <w:marTop w:val="0"/>
      <w:marBottom w:val="0"/>
      <w:divBdr>
        <w:top w:val="none" w:sz="0" w:space="0" w:color="auto"/>
        <w:left w:val="none" w:sz="0" w:space="0" w:color="auto"/>
        <w:bottom w:val="none" w:sz="0" w:space="0" w:color="auto"/>
        <w:right w:val="none" w:sz="0" w:space="0" w:color="auto"/>
      </w:divBdr>
    </w:div>
    <w:div w:id="457072976">
      <w:bodyDiv w:val="1"/>
      <w:marLeft w:val="0"/>
      <w:marRight w:val="0"/>
      <w:marTop w:val="0"/>
      <w:marBottom w:val="0"/>
      <w:divBdr>
        <w:top w:val="none" w:sz="0" w:space="0" w:color="auto"/>
        <w:left w:val="none" w:sz="0" w:space="0" w:color="auto"/>
        <w:bottom w:val="none" w:sz="0" w:space="0" w:color="auto"/>
        <w:right w:val="none" w:sz="0" w:space="0" w:color="auto"/>
      </w:divBdr>
    </w:div>
    <w:div w:id="484980193">
      <w:bodyDiv w:val="1"/>
      <w:marLeft w:val="0"/>
      <w:marRight w:val="0"/>
      <w:marTop w:val="0"/>
      <w:marBottom w:val="0"/>
      <w:divBdr>
        <w:top w:val="none" w:sz="0" w:space="0" w:color="auto"/>
        <w:left w:val="none" w:sz="0" w:space="0" w:color="auto"/>
        <w:bottom w:val="none" w:sz="0" w:space="0" w:color="auto"/>
        <w:right w:val="none" w:sz="0" w:space="0" w:color="auto"/>
      </w:divBdr>
    </w:div>
    <w:div w:id="503974906">
      <w:bodyDiv w:val="1"/>
      <w:marLeft w:val="0"/>
      <w:marRight w:val="0"/>
      <w:marTop w:val="0"/>
      <w:marBottom w:val="0"/>
      <w:divBdr>
        <w:top w:val="none" w:sz="0" w:space="0" w:color="auto"/>
        <w:left w:val="none" w:sz="0" w:space="0" w:color="auto"/>
        <w:bottom w:val="none" w:sz="0" w:space="0" w:color="auto"/>
        <w:right w:val="none" w:sz="0" w:space="0" w:color="auto"/>
      </w:divBdr>
    </w:div>
    <w:div w:id="653223400">
      <w:bodyDiv w:val="1"/>
      <w:marLeft w:val="0"/>
      <w:marRight w:val="0"/>
      <w:marTop w:val="0"/>
      <w:marBottom w:val="0"/>
      <w:divBdr>
        <w:top w:val="none" w:sz="0" w:space="0" w:color="auto"/>
        <w:left w:val="none" w:sz="0" w:space="0" w:color="auto"/>
        <w:bottom w:val="none" w:sz="0" w:space="0" w:color="auto"/>
        <w:right w:val="none" w:sz="0" w:space="0" w:color="auto"/>
      </w:divBdr>
    </w:div>
    <w:div w:id="690716501">
      <w:bodyDiv w:val="1"/>
      <w:marLeft w:val="0"/>
      <w:marRight w:val="0"/>
      <w:marTop w:val="0"/>
      <w:marBottom w:val="0"/>
      <w:divBdr>
        <w:top w:val="none" w:sz="0" w:space="0" w:color="auto"/>
        <w:left w:val="none" w:sz="0" w:space="0" w:color="auto"/>
        <w:bottom w:val="none" w:sz="0" w:space="0" w:color="auto"/>
        <w:right w:val="none" w:sz="0" w:space="0" w:color="auto"/>
      </w:divBdr>
    </w:div>
    <w:div w:id="752094506">
      <w:bodyDiv w:val="1"/>
      <w:marLeft w:val="0"/>
      <w:marRight w:val="0"/>
      <w:marTop w:val="0"/>
      <w:marBottom w:val="0"/>
      <w:divBdr>
        <w:top w:val="none" w:sz="0" w:space="0" w:color="auto"/>
        <w:left w:val="none" w:sz="0" w:space="0" w:color="auto"/>
        <w:bottom w:val="none" w:sz="0" w:space="0" w:color="auto"/>
        <w:right w:val="none" w:sz="0" w:space="0" w:color="auto"/>
      </w:divBdr>
    </w:div>
    <w:div w:id="797643879">
      <w:bodyDiv w:val="1"/>
      <w:marLeft w:val="0"/>
      <w:marRight w:val="0"/>
      <w:marTop w:val="0"/>
      <w:marBottom w:val="0"/>
      <w:divBdr>
        <w:top w:val="none" w:sz="0" w:space="0" w:color="auto"/>
        <w:left w:val="none" w:sz="0" w:space="0" w:color="auto"/>
        <w:bottom w:val="none" w:sz="0" w:space="0" w:color="auto"/>
        <w:right w:val="none" w:sz="0" w:space="0" w:color="auto"/>
      </w:divBdr>
    </w:div>
    <w:div w:id="942765932">
      <w:bodyDiv w:val="1"/>
      <w:marLeft w:val="0"/>
      <w:marRight w:val="0"/>
      <w:marTop w:val="0"/>
      <w:marBottom w:val="0"/>
      <w:divBdr>
        <w:top w:val="none" w:sz="0" w:space="0" w:color="auto"/>
        <w:left w:val="none" w:sz="0" w:space="0" w:color="auto"/>
        <w:bottom w:val="none" w:sz="0" w:space="0" w:color="auto"/>
        <w:right w:val="none" w:sz="0" w:space="0" w:color="auto"/>
      </w:divBdr>
    </w:div>
    <w:div w:id="946347997">
      <w:bodyDiv w:val="1"/>
      <w:marLeft w:val="0"/>
      <w:marRight w:val="0"/>
      <w:marTop w:val="0"/>
      <w:marBottom w:val="0"/>
      <w:divBdr>
        <w:top w:val="none" w:sz="0" w:space="0" w:color="auto"/>
        <w:left w:val="none" w:sz="0" w:space="0" w:color="auto"/>
        <w:bottom w:val="none" w:sz="0" w:space="0" w:color="auto"/>
        <w:right w:val="none" w:sz="0" w:space="0" w:color="auto"/>
      </w:divBdr>
    </w:div>
    <w:div w:id="1109006879">
      <w:bodyDiv w:val="1"/>
      <w:marLeft w:val="0"/>
      <w:marRight w:val="0"/>
      <w:marTop w:val="0"/>
      <w:marBottom w:val="0"/>
      <w:divBdr>
        <w:top w:val="none" w:sz="0" w:space="0" w:color="auto"/>
        <w:left w:val="none" w:sz="0" w:space="0" w:color="auto"/>
        <w:bottom w:val="none" w:sz="0" w:space="0" w:color="auto"/>
        <w:right w:val="none" w:sz="0" w:space="0" w:color="auto"/>
      </w:divBdr>
    </w:div>
    <w:div w:id="1168448656">
      <w:bodyDiv w:val="1"/>
      <w:marLeft w:val="0"/>
      <w:marRight w:val="0"/>
      <w:marTop w:val="0"/>
      <w:marBottom w:val="0"/>
      <w:divBdr>
        <w:top w:val="none" w:sz="0" w:space="0" w:color="auto"/>
        <w:left w:val="none" w:sz="0" w:space="0" w:color="auto"/>
        <w:bottom w:val="none" w:sz="0" w:space="0" w:color="auto"/>
        <w:right w:val="none" w:sz="0" w:space="0" w:color="auto"/>
      </w:divBdr>
    </w:div>
    <w:div w:id="1230732294">
      <w:bodyDiv w:val="1"/>
      <w:marLeft w:val="0"/>
      <w:marRight w:val="0"/>
      <w:marTop w:val="0"/>
      <w:marBottom w:val="0"/>
      <w:divBdr>
        <w:top w:val="none" w:sz="0" w:space="0" w:color="auto"/>
        <w:left w:val="none" w:sz="0" w:space="0" w:color="auto"/>
        <w:bottom w:val="none" w:sz="0" w:space="0" w:color="auto"/>
        <w:right w:val="none" w:sz="0" w:space="0" w:color="auto"/>
      </w:divBdr>
    </w:div>
    <w:div w:id="1268191800">
      <w:bodyDiv w:val="1"/>
      <w:marLeft w:val="0"/>
      <w:marRight w:val="0"/>
      <w:marTop w:val="0"/>
      <w:marBottom w:val="0"/>
      <w:divBdr>
        <w:top w:val="none" w:sz="0" w:space="0" w:color="auto"/>
        <w:left w:val="none" w:sz="0" w:space="0" w:color="auto"/>
        <w:bottom w:val="none" w:sz="0" w:space="0" w:color="auto"/>
        <w:right w:val="none" w:sz="0" w:space="0" w:color="auto"/>
      </w:divBdr>
    </w:div>
    <w:div w:id="1344358518">
      <w:bodyDiv w:val="1"/>
      <w:marLeft w:val="0"/>
      <w:marRight w:val="0"/>
      <w:marTop w:val="0"/>
      <w:marBottom w:val="0"/>
      <w:divBdr>
        <w:top w:val="none" w:sz="0" w:space="0" w:color="auto"/>
        <w:left w:val="none" w:sz="0" w:space="0" w:color="auto"/>
        <w:bottom w:val="none" w:sz="0" w:space="0" w:color="auto"/>
        <w:right w:val="none" w:sz="0" w:space="0" w:color="auto"/>
      </w:divBdr>
    </w:div>
    <w:div w:id="1436095905">
      <w:bodyDiv w:val="1"/>
      <w:marLeft w:val="0"/>
      <w:marRight w:val="0"/>
      <w:marTop w:val="0"/>
      <w:marBottom w:val="0"/>
      <w:divBdr>
        <w:top w:val="none" w:sz="0" w:space="0" w:color="auto"/>
        <w:left w:val="none" w:sz="0" w:space="0" w:color="auto"/>
        <w:bottom w:val="none" w:sz="0" w:space="0" w:color="auto"/>
        <w:right w:val="none" w:sz="0" w:space="0" w:color="auto"/>
      </w:divBdr>
    </w:div>
    <w:div w:id="1444837507">
      <w:bodyDiv w:val="1"/>
      <w:marLeft w:val="0"/>
      <w:marRight w:val="0"/>
      <w:marTop w:val="0"/>
      <w:marBottom w:val="0"/>
      <w:divBdr>
        <w:top w:val="none" w:sz="0" w:space="0" w:color="auto"/>
        <w:left w:val="none" w:sz="0" w:space="0" w:color="auto"/>
        <w:bottom w:val="none" w:sz="0" w:space="0" w:color="auto"/>
        <w:right w:val="none" w:sz="0" w:space="0" w:color="auto"/>
      </w:divBdr>
    </w:div>
    <w:div w:id="1589078938">
      <w:bodyDiv w:val="1"/>
      <w:marLeft w:val="0"/>
      <w:marRight w:val="0"/>
      <w:marTop w:val="0"/>
      <w:marBottom w:val="0"/>
      <w:divBdr>
        <w:top w:val="none" w:sz="0" w:space="0" w:color="auto"/>
        <w:left w:val="none" w:sz="0" w:space="0" w:color="auto"/>
        <w:bottom w:val="none" w:sz="0" w:space="0" w:color="auto"/>
        <w:right w:val="none" w:sz="0" w:space="0" w:color="auto"/>
      </w:divBdr>
    </w:div>
    <w:div w:id="1713337364">
      <w:bodyDiv w:val="1"/>
      <w:marLeft w:val="0"/>
      <w:marRight w:val="0"/>
      <w:marTop w:val="0"/>
      <w:marBottom w:val="0"/>
      <w:divBdr>
        <w:top w:val="none" w:sz="0" w:space="0" w:color="auto"/>
        <w:left w:val="none" w:sz="0" w:space="0" w:color="auto"/>
        <w:bottom w:val="none" w:sz="0" w:space="0" w:color="auto"/>
        <w:right w:val="none" w:sz="0" w:space="0" w:color="auto"/>
      </w:divBdr>
    </w:div>
    <w:div w:id="1733575401">
      <w:bodyDiv w:val="1"/>
      <w:marLeft w:val="0"/>
      <w:marRight w:val="0"/>
      <w:marTop w:val="0"/>
      <w:marBottom w:val="0"/>
      <w:divBdr>
        <w:top w:val="none" w:sz="0" w:space="0" w:color="auto"/>
        <w:left w:val="none" w:sz="0" w:space="0" w:color="auto"/>
        <w:bottom w:val="none" w:sz="0" w:space="0" w:color="auto"/>
        <w:right w:val="none" w:sz="0" w:space="0" w:color="auto"/>
      </w:divBdr>
    </w:div>
    <w:div w:id="1739478285">
      <w:bodyDiv w:val="1"/>
      <w:marLeft w:val="0"/>
      <w:marRight w:val="0"/>
      <w:marTop w:val="0"/>
      <w:marBottom w:val="0"/>
      <w:divBdr>
        <w:top w:val="none" w:sz="0" w:space="0" w:color="auto"/>
        <w:left w:val="none" w:sz="0" w:space="0" w:color="auto"/>
        <w:bottom w:val="none" w:sz="0" w:space="0" w:color="auto"/>
        <w:right w:val="none" w:sz="0" w:space="0" w:color="auto"/>
      </w:divBdr>
    </w:div>
    <w:div w:id="1745953170">
      <w:bodyDiv w:val="1"/>
      <w:marLeft w:val="0"/>
      <w:marRight w:val="0"/>
      <w:marTop w:val="0"/>
      <w:marBottom w:val="0"/>
      <w:divBdr>
        <w:top w:val="none" w:sz="0" w:space="0" w:color="auto"/>
        <w:left w:val="none" w:sz="0" w:space="0" w:color="auto"/>
        <w:bottom w:val="none" w:sz="0" w:space="0" w:color="auto"/>
        <w:right w:val="none" w:sz="0" w:space="0" w:color="auto"/>
      </w:divBdr>
    </w:div>
    <w:div w:id="1765101787">
      <w:bodyDiv w:val="1"/>
      <w:marLeft w:val="0"/>
      <w:marRight w:val="0"/>
      <w:marTop w:val="0"/>
      <w:marBottom w:val="0"/>
      <w:divBdr>
        <w:top w:val="none" w:sz="0" w:space="0" w:color="auto"/>
        <w:left w:val="none" w:sz="0" w:space="0" w:color="auto"/>
        <w:bottom w:val="none" w:sz="0" w:space="0" w:color="auto"/>
        <w:right w:val="none" w:sz="0" w:space="0" w:color="auto"/>
      </w:divBdr>
    </w:div>
    <w:div w:id="1765104420">
      <w:bodyDiv w:val="1"/>
      <w:marLeft w:val="0"/>
      <w:marRight w:val="0"/>
      <w:marTop w:val="0"/>
      <w:marBottom w:val="0"/>
      <w:divBdr>
        <w:top w:val="none" w:sz="0" w:space="0" w:color="auto"/>
        <w:left w:val="none" w:sz="0" w:space="0" w:color="auto"/>
        <w:bottom w:val="none" w:sz="0" w:space="0" w:color="auto"/>
        <w:right w:val="none" w:sz="0" w:space="0" w:color="auto"/>
      </w:divBdr>
    </w:div>
    <w:div w:id="1793939123">
      <w:bodyDiv w:val="1"/>
      <w:marLeft w:val="0"/>
      <w:marRight w:val="0"/>
      <w:marTop w:val="0"/>
      <w:marBottom w:val="0"/>
      <w:divBdr>
        <w:top w:val="none" w:sz="0" w:space="0" w:color="auto"/>
        <w:left w:val="none" w:sz="0" w:space="0" w:color="auto"/>
        <w:bottom w:val="none" w:sz="0" w:space="0" w:color="auto"/>
        <w:right w:val="none" w:sz="0" w:space="0" w:color="auto"/>
      </w:divBdr>
    </w:div>
    <w:div w:id="1859201110">
      <w:bodyDiv w:val="1"/>
      <w:marLeft w:val="0"/>
      <w:marRight w:val="0"/>
      <w:marTop w:val="0"/>
      <w:marBottom w:val="0"/>
      <w:divBdr>
        <w:top w:val="none" w:sz="0" w:space="0" w:color="auto"/>
        <w:left w:val="none" w:sz="0" w:space="0" w:color="auto"/>
        <w:bottom w:val="none" w:sz="0" w:space="0" w:color="auto"/>
        <w:right w:val="none" w:sz="0" w:space="0" w:color="auto"/>
      </w:divBdr>
      <w:divsChild>
        <w:div w:id="1262105219">
          <w:marLeft w:val="0"/>
          <w:marRight w:val="0"/>
          <w:marTop w:val="0"/>
          <w:marBottom w:val="0"/>
          <w:divBdr>
            <w:top w:val="none" w:sz="0" w:space="0" w:color="auto"/>
            <w:left w:val="none" w:sz="0" w:space="0" w:color="auto"/>
            <w:bottom w:val="none" w:sz="0" w:space="0" w:color="auto"/>
            <w:right w:val="none" w:sz="0" w:space="0" w:color="auto"/>
          </w:divBdr>
          <w:divsChild>
            <w:div w:id="1047146044">
              <w:marLeft w:val="0"/>
              <w:marRight w:val="0"/>
              <w:marTop w:val="0"/>
              <w:marBottom w:val="0"/>
              <w:divBdr>
                <w:top w:val="none" w:sz="0" w:space="0" w:color="auto"/>
                <w:left w:val="none" w:sz="0" w:space="0" w:color="auto"/>
                <w:bottom w:val="none" w:sz="0" w:space="0" w:color="auto"/>
                <w:right w:val="none" w:sz="0" w:space="0" w:color="auto"/>
              </w:divBdr>
              <w:divsChild>
                <w:div w:id="809054003">
                  <w:marLeft w:val="0"/>
                  <w:marRight w:val="0"/>
                  <w:marTop w:val="0"/>
                  <w:marBottom w:val="0"/>
                  <w:divBdr>
                    <w:top w:val="none" w:sz="0" w:space="0" w:color="auto"/>
                    <w:left w:val="none" w:sz="0" w:space="0" w:color="auto"/>
                    <w:bottom w:val="none" w:sz="0" w:space="0" w:color="auto"/>
                    <w:right w:val="none" w:sz="0" w:space="0" w:color="auto"/>
                  </w:divBdr>
                  <w:divsChild>
                    <w:div w:id="1645574807">
                      <w:marLeft w:val="0"/>
                      <w:marRight w:val="0"/>
                      <w:marTop w:val="0"/>
                      <w:marBottom w:val="0"/>
                      <w:divBdr>
                        <w:top w:val="none" w:sz="0" w:space="0" w:color="auto"/>
                        <w:left w:val="none" w:sz="0" w:space="0" w:color="auto"/>
                        <w:bottom w:val="none" w:sz="0" w:space="0" w:color="auto"/>
                        <w:right w:val="none" w:sz="0" w:space="0" w:color="auto"/>
                      </w:divBdr>
                      <w:divsChild>
                        <w:div w:id="980187837">
                          <w:marLeft w:val="0"/>
                          <w:marRight w:val="0"/>
                          <w:marTop w:val="0"/>
                          <w:marBottom w:val="0"/>
                          <w:divBdr>
                            <w:top w:val="none" w:sz="0" w:space="0" w:color="auto"/>
                            <w:left w:val="none" w:sz="0" w:space="0" w:color="auto"/>
                            <w:bottom w:val="none" w:sz="0" w:space="0" w:color="auto"/>
                            <w:right w:val="none" w:sz="0" w:space="0" w:color="auto"/>
                          </w:divBdr>
                          <w:divsChild>
                            <w:div w:id="600185095">
                              <w:marLeft w:val="0"/>
                              <w:marRight w:val="0"/>
                              <w:marTop w:val="0"/>
                              <w:marBottom w:val="0"/>
                              <w:divBdr>
                                <w:top w:val="none" w:sz="0" w:space="0" w:color="auto"/>
                                <w:left w:val="none" w:sz="0" w:space="0" w:color="auto"/>
                                <w:bottom w:val="none" w:sz="0" w:space="0" w:color="auto"/>
                                <w:right w:val="none" w:sz="0" w:space="0" w:color="auto"/>
                              </w:divBdr>
                              <w:divsChild>
                                <w:div w:id="421731457">
                                  <w:marLeft w:val="0"/>
                                  <w:marRight w:val="0"/>
                                  <w:marTop w:val="0"/>
                                  <w:marBottom w:val="0"/>
                                  <w:divBdr>
                                    <w:top w:val="none" w:sz="0" w:space="0" w:color="auto"/>
                                    <w:left w:val="none" w:sz="0" w:space="0" w:color="auto"/>
                                    <w:bottom w:val="none" w:sz="0" w:space="0" w:color="auto"/>
                                    <w:right w:val="none" w:sz="0" w:space="0" w:color="auto"/>
                                  </w:divBdr>
                                  <w:divsChild>
                                    <w:div w:id="1216620166">
                                      <w:marLeft w:val="0"/>
                                      <w:marRight w:val="0"/>
                                      <w:marTop w:val="0"/>
                                      <w:marBottom w:val="0"/>
                                      <w:divBdr>
                                        <w:top w:val="none" w:sz="0" w:space="0" w:color="auto"/>
                                        <w:left w:val="none" w:sz="0" w:space="0" w:color="auto"/>
                                        <w:bottom w:val="none" w:sz="0" w:space="0" w:color="auto"/>
                                        <w:right w:val="none" w:sz="0" w:space="0" w:color="auto"/>
                                      </w:divBdr>
                                    </w:div>
                                    <w:div w:id="1953970728">
                                      <w:marLeft w:val="0"/>
                                      <w:marRight w:val="0"/>
                                      <w:marTop w:val="0"/>
                                      <w:marBottom w:val="0"/>
                                      <w:divBdr>
                                        <w:top w:val="none" w:sz="0" w:space="0" w:color="auto"/>
                                        <w:left w:val="none" w:sz="0" w:space="0" w:color="auto"/>
                                        <w:bottom w:val="none" w:sz="0" w:space="0" w:color="auto"/>
                                        <w:right w:val="none" w:sz="0" w:space="0" w:color="auto"/>
                                      </w:divBdr>
                                      <w:divsChild>
                                        <w:div w:id="1098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808309">
      <w:bodyDiv w:val="1"/>
      <w:marLeft w:val="0"/>
      <w:marRight w:val="0"/>
      <w:marTop w:val="0"/>
      <w:marBottom w:val="0"/>
      <w:divBdr>
        <w:top w:val="none" w:sz="0" w:space="0" w:color="auto"/>
        <w:left w:val="none" w:sz="0" w:space="0" w:color="auto"/>
        <w:bottom w:val="none" w:sz="0" w:space="0" w:color="auto"/>
        <w:right w:val="none" w:sz="0" w:space="0" w:color="auto"/>
      </w:divBdr>
    </w:div>
    <w:div w:id="2016879733">
      <w:bodyDiv w:val="1"/>
      <w:marLeft w:val="0"/>
      <w:marRight w:val="0"/>
      <w:marTop w:val="0"/>
      <w:marBottom w:val="0"/>
      <w:divBdr>
        <w:top w:val="none" w:sz="0" w:space="0" w:color="auto"/>
        <w:left w:val="none" w:sz="0" w:space="0" w:color="auto"/>
        <w:bottom w:val="none" w:sz="0" w:space="0" w:color="auto"/>
        <w:right w:val="none" w:sz="0" w:space="0" w:color="auto"/>
      </w:divBdr>
    </w:div>
    <w:div w:id="2020963727">
      <w:bodyDiv w:val="1"/>
      <w:marLeft w:val="0"/>
      <w:marRight w:val="0"/>
      <w:marTop w:val="0"/>
      <w:marBottom w:val="0"/>
      <w:divBdr>
        <w:top w:val="none" w:sz="0" w:space="0" w:color="auto"/>
        <w:left w:val="none" w:sz="0" w:space="0" w:color="auto"/>
        <w:bottom w:val="none" w:sz="0" w:space="0" w:color="auto"/>
        <w:right w:val="none" w:sz="0" w:space="0" w:color="auto"/>
      </w:divBdr>
    </w:div>
    <w:div w:id="2024278107">
      <w:bodyDiv w:val="1"/>
      <w:marLeft w:val="0"/>
      <w:marRight w:val="0"/>
      <w:marTop w:val="0"/>
      <w:marBottom w:val="0"/>
      <w:divBdr>
        <w:top w:val="none" w:sz="0" w:space="0" w:color="auto"/>
        <w:left w:val="none" w:sz="0" w:space="0" w:color="auto"/>
        <w:bottom w:val="none" w:sz="0" w:space="0" w:color="auto"/>
        <w:right w:val="none" w:sz="0" w:space="0" w:color="auto"/>
      </w:divBdr>
    </w:div>
    <w:div w:id="2098013947">
      <w:bodyDiv w:val="1"/>
      <w:marLeft w:val="0"/>
      <w:marRight w:val="0"/>
      <w:marTop w:val="0"/>
      <w:marBottom w:val="0"/>
      <w:divBdr>
        <w:top w:val="none" w:sz="0" w:space="0" w:color="auto"/>
        <w:left w:val="none" w:sz="0" w:space="0" w:color="auto"/>
        <w:bottom w:val="none" w:sz="0" w:space="0" w:color="auto"/>
        <w:right w:val="none" w:sz="0" w:space="0" w:color="auto"/>
      </w:divBdr>
    </w:div>
    <w:div w:id="212075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epp.eurostat.ec.europa.eu/tgm/table.do?tab=table&amp;init=1&amp;plugin=1&amp;language=en&amp;pcode=tec00115" TargetMode="External"/><Relationship Id="rId26" Type="http://schemas.openxmlformats.org/officeDocument/2006/relationships/footer" Target="footer5.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9.xml"/><Relationship Id="rId42"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header" Target="header10.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eader" Target="header7.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image" Target="media/image9.jpeg"/><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7.png"/><Relationship Id="rId43" Type="http://schemas.openxmlformats.org/officeDocument/2006/relationships/footer" Target="footer12.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SV/TXT/?qid=1536584176375&amp;uri=CELEX:02014L0065-20160701" TargetMode="External"/><Relationship Id="rId2" Type="http://schemas.openxmlformats.org/officeDocument/2006/relationships/hyperlink" Target="http://eur-lex.europa.eu/legal-content/SV/TXT/?uri=uriserv:OJ.L_.2018.076.01.0003.01.SWE&amp;toc=OJ:L:2018:076:TOC" TargetMode="External"/><Relationship Id="rId1" Type="http://schemas.openxmlformats.org/officeDocument/2006/relationships/hyperlink" Target="http://ec.europa.eu/clima/policies/ets/auctioning/documentation_sv.htm" TargetMode="External"/><Relationship Id="rId5" Type="http://schemas.openxmlformats.org/officeDocument/2006/relationships/hyperlink" Target="https://ec.europa.eu/clima/sites/clima/files/ets/reform/docs/c_2019_3288_en.pdf" TargetMode="External"/><Relationship Id="rId4" Type="http://schemas.openxmlformats.org/officeDocument/2006/relationships/hyperlink" Target="https://ec.europa.eu/clima/sites/clima/files/ets/reform/docs/c_2018_2801_en.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5"/>
          <c:order val="0"/>
          <c:tx>
            <c:strRef>
              <c:f>'MSR composition'!$A$7</c:f>
              <c:strCache>
                <c:ptCount val="1"/>
                <c:pt idx="0">
                  <c:v>NER 300 monetisation by EIB</c:v>
                </c:pt>
              </c:strCache>
            </c:strRef>
          </c:tx>
          <c:spPr>
            <a:solidFill>
              <a:schemeClr val="accent6"/>
            </a:solidFill>
            <a:ln>
              <a:noFill/>
            </a:ln>
            <a:effectLst/>
          </c:spPr>
          <c:invertIfNegative val="0"/>
          <c:val>
            <c:numRef>
              <c:f>'MSR composition'!$B$7</c:f>
              <c:numCache>
                <c:formatCode>#,##0</c:formatCode>
                <c:ptCount val="1"/>
                <c:pt idx="0">
                  <c:v>300000000</c:v>
                </c:pt>
              </c:numCache>
            </c:numRef>
          </c:val>
          <c:extLst>
            <c:ext xmlns:c16="http://schemas.microsoft.com/office/drawing/2014/chart" uri="{C3380CC4-5D6E-409C-BE32-E72D297353CC}">
              <c16:uniqueId val="{00000000-9912-4BFD-8E82-9FBB85F3FD61}"/>
            </c:ext>
          </c:extLst>
        </c:ser>
        <c:ser>
          <c:idx val="7"/>
          <c:order val="1"/>
          <c:tx>
            <c:strRef>
              <c:f>'MSR composition'!$A$9</c:f>
              <c:strCache>
                <c:ptCount val="1"/>
                <c:pt idx="0">
                  <c:v>Early auctions</c:v>
                </c:pt>
              </c:strCache>
            </c:strRef>
          </c:tx>
          <c:spPr>
            <a:solidFill>
              <a:schemeClr val="accent2">
                <a:lumMod val="60000"/>
              </a:schemeClr>
            </a:solidFill>
            <a:ln>
              <a:noFill/>
            </a:ln>
            <a:effectLst/>
          </c:spPr>
          <c:invertIfNegative val="0"/>
          <c:val>
            <c:numRef>
              <c:f>'MSR composition'!$B$9</c:f>
              <c:numCache>
                <c:formatCode>_-* #,##0\ _€_-;\-* #,##0\ _€_-;_-* "-"??\ _€_-;_-@_-</c:formatCode>
                <c:ptCount val="1"/>
                <c:pt idx="0">
                  <c:v>89701500</c:v>
                </c:pt>
              </c:numCache>
            </c:numRef>
          </c:val>
          <c:extLst>
            <c:ext xmlns:c16="http://schemas.microsoft.com/office/drawing/2014/chart" uri="{C3380CC4-5D6E-409C-BE32-E72D297353CC}">
              <c16:uniqueId val="{00000001-9912-4BFD-8E82-9FBB85F3FD61}"/>
            </c:ext>
          </c:extLst>
        </c:ser>
        <c:ser>
          <c:idx val="0"/>
          <c:order val="2"/>
          <c:tx>
            <c:strRef>
              <c:f>'MSR composition'!$A$2</c:f>
              <c:strCache>
                <c:ptCount val="1"/>
                <c:pt idx="0">
                  <c:v>Banking from phase 2</c:v>
                </c:pt>
              </c:strCache>
            </c:strRef>
          </c:tx>
          <c:spPr>
            <a:solidFill>
              <a:schemeClr val="accent1"/>
            </a:solidFill>
            <a:ln>
              <a:noFill/>
            </a:ln>
            <a:effectLst/>
          </c:spPr>
          <c:invertIfNegative val="0"/>
          <c:val>
            <c:numRef>
              <c:f>'MSR composition'!$B$2</c:f>
              <c:numCache>
                <c:formatCode>#,##0</c:formatCode>
                <c:ptCount val="1"/>
                <c:pt idx="0">
                  <c:v>1749540826</c:v>
                </c:pt>
              </c:numCache>
            </c:numRef>
          </c:val>
          <c:extLst>
            <c:ext xmlns:c16="http://schemas.microsoft.com/office/drawing/2014/chart" uri="{C3380CC4-5D6E-409C-BE32-E72D297353CC}">
              <c16:uniqueId val="{00000002-9912-4BFD-8E82-9FBB85F3FD61}"/>
            </c:ext>
          </c:extLst>
        </c:ser>
        <c:ser>
          <c:idx val="6"/>
          <c:order val="3"/>
          <c:tx>
            <c:strRef>
              <c:f>'MSR composition'!$A$8</c:f>
              <c:strCache>
                <c:ptCount val="1"/>
                <c:pt idx="0">
                  <c:v>International credits exchanged</c:v>
                </c:pt>
              </c:strCache>
            </c:strRef>
          </c:tx>
          <c:spPr>
            <a:solidFill>
              <a:schemeClr val="accent1">
                <a:lumMod val="60000"/>
              </a:schemeClr>
            </a:solidFill>
            <a:ln>
              <a:noFill/>
            </a:ln>
            <a:effectLst/>
          </c:spPr>
          <c:invertIfNegative val="0"/>
          <c:val>
            <c:numRef>
              <c:f>'MSR composition'!$B$8</c:f>
              <c:numCache>
                <c:formatCode>#,##0</c:formatCode>
                <c:ptCount val="1"/>
                <c:pt idx="0">
                  <c:v>434049616</c:v>
                </c:pt>
              </c:numCache>
            </c:numRef>
          </c:val>
          <c:extLst>
            <c:ext xmlns:c16="http://schemas.microsoft.com/office/drawing/2014/chart" uri="{C3380CC4-5D6E-409C-BE32-E72D297353CC}">
              <c16:uniqueId val="{00000003-9912-4BFD-8E82-9FBB85F3FD61}"/>
            </c:ext>
          </c:extLst>
        </c:ser>
        <c:ser>
          <c:idx val="1"/>
          <c:order val="4"/>
          <c:tx>
            <c:strRef>
              <c:f>'MSR composition'!$A$3</c:f>
              <c:strCache>
                <c:ptCount val="1"/>
                <c:pt idx="0">
                  <c:v>Free allocation</c:v>
                </c:pt>
              </c:strCache>
            </c:strRef>
          </c:tx>
          <c:spPr>
            <a:solidFill>
              <a:schemeClr val="accent2"/>
            </a:solidFill>
            <a:ln>
              <a:noFill/>
            </a:ln>
            <a:effectLst/>
          </c:spPr>
          <c:invertIfNegative val="0"/>
          <c:val>
            <c:numRef>
              <c:f>'MSR composition'!$B$3</c:f>
              <c:numCache>
                <c:formatCode>General</c:formatCode>
                <c:ptCount val="1"/>
                <c:pt idx="0">
                  <c:v>4606725157</c:v>
                </c:pt>
              </c:numCache>
            </c:numRef>
          </c:val>
          <c:extLst>
            <c:ext xmlns:c16="http://schemas.microsoft.com/office/drawing/2014/chart" uri="{C3380CC4-5D6E-409C-BE32-E72D297353CC}">
              <c16:uniqueId val="{00000004-9912-4BFD-8E82-9FBB85F3FD61}"/>
            </c:ext>
          </c:extLst>
        </c:ser>
        <c:ser>
          <c:idx val="2"/>
          <c:order val="5"/>
          <c:tx>
            <c:strRef>
              <c:f>'MSR composition'!$A$4</c:f>
              <c:strCache>
                <c:ptCount val="1"/>
                <c:pt idx="0">
                  <c:v>Free allocation (NER)</c:v>
                </c:pt>
              </c:strCache>
            </c:strRef>
          </c:tx>
          <c:spPr>
            <a:solidFill>
              <a:schemeClr val="accent3"/>
            </a:solidFill>
            <a:ln>
              <a:noFill/>
            </a:ln>
            <a:effectLst/>
          </c:spPr>
          <c:invertIfNegative val="0"/>
          <c:val>
            <c:numRef>
              <c:f>'MSR composition'!$B$4</c:f>
              <c:numCache>
                <c:formatCode>General</c:formatCode>
                <c:ptCount val="1"/>
                <c:pt idx="0">
                  <c:v>113573605</c:v>
                </c:pt>
              </c:numCache>
            </c:numRef>
          </c:val>
          <c:extLst>
            <c:ext xmlns:c16="http://schemas.microsoft.com/office/drawing/2014/chart" uri="{C3380CC4-5D6E-409C-BE32-E72D297353CC}">
              <c16:uniqueId val="{00000005-9912-4BFD-8E82-9FBB85F3FD61}"/>
            </c:ext>
          </c:extLst>
        </c:ser>
        <c:ser>
          <c:idx val="3"/>
          <c:order val="6"/>
          <c:tx>
            <c:strRef>
              <c:f>'MSR composition'!$A$5</c:f>
              <c:strCache>
                <c:ptCount val="1"/>
                <c:pt idx="0">
                  <c:v>Free allocation (10c)</c:v>
                </c:pt>
              </c:strCache>
            </c:strRef>
          </c:tx>
          <c:spPr>
            <a:solidFill>
              <a:schemeClr val="accent4"/>
            </a:solidFill>
            <a:ln>
              <a:noFill/>
            </a:ln>
            <a:effectLst/>
          </c:spPr>
          <c:invertIfNegative val="0"/>
          <c:val>
            <c:numRef>
              <c:f>'MSR composition'!$B$5</c:f>
              <c:numCache>
                <c:formatCode>General</c:formatCode>
                <c:ptCount val="1"/>
                <c:pt idx="0">
                  <c:v>441724736</c:v>
                </c:pt>
              </c:numCache>
            </c:numRef>
          </c:val>
          <c:extLst>
            <c:ext xmlns:c16="http://schemas.microsoft.com/office/drawing/2014/chart" uri="{C3380CC4-5D6E-409C-BE32-E72D297353CC}">
              <c16:uniqueId val="{00000006-9912-4BFD-8E82-9FBB85F3FD61}"/>
            </c:ext>
          </c:extLst>
        </c:ser>
        <c:ser>
          <c:idx val="4"/>
          <c:order val="7"/>
          <c:tx>
            <c:strRef>
              <c:f>'MSR composition'!$A$6</c:f>
              <c:strCache>
                <c:ptCount val="1"/>
                <c:pt idx="0">
                  <c:v>Auctioned allowances</c:v>
                </c:pt>
              </c:strCache>
            </c:strRef>
          </c:tx>
          <c:spPr>
            <a:solidFill>
              <a:schemeClr val="accent5"/>
            </a:solidFill>
            <a:ln>
              <a:noFill/>
            </a:ln>
            <a:effectLst/>
          </c:spPr>
          <c:invertIfNegative val="0"/>
          <c:val>
            <c:numRef>
              <c:f>'MSR composition'!$B$6</c:f>
              <c:numCache>
                <c:formatCode>#,##0</c:formatCode>
                <c:ptCount val="1"/>
                <c:pt idx="0">
                  <c:v>4551506500</c:v>
                </c:pt>
              </c:numCache>
            </c:numRef>
          </c:val>
          <c:extLst>
            <c:ext xmlns:c16="http://schemas.microsoft.com/office/drawing/2014/chart" uri="{C3380CC4-5D6E-409C-BE32-E72D297353CC}">
              <c16:uniqueId val="{00000007-9912-4BFD-8E82-9FBB85F3FD61}"/>
            </c:ext>
          </c:extLst>
        </c:ser>
        <c:dLbls>
          <c:showLegendKey val="0"/>
          <c:showVal val="0"/>
          <c:showCatName val="0"/>
          <c:showSerName val="0"/>
          <c:showPercent val="0"/>
          <c:showBubbleSize val="0"/>
        </c:dLbls>
        <c:gapWidth val="75"/>
        <c:overlap val="100"/>
        <c:axId val="308982528"/>
        <c:axId val="308984064"/>
      </c:barChart>
      <c:catAx>
        <c:axId val="308982528"/>
        <c:scaling>
          <c:orientation val="minMax"/>
        </c:scaling>
        <c:delete val="1"/>
        <c:axPos val="b"/>
        <c:numFmt formatCode="General" sourceLinked="1"/>
        <c:majorTickMark val="none"/>
        <c:minorTickMark val="none"/>
        <c:tickLblPos val="nextTo"/>
        <c:crossAx val="308984064"/>
        <c:crosses val="autoZero"/>
        <c:auto val="1"/>
        <c:lblAlgn val="ctr"/>
        <c:lblOffset val="100"/>
        <c:noMultiLvlLbl val="0"/>
      </c:catAx>
      <c:valAx>
        <c:axId val="308984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98252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'MSR composition'!$A$14</c:f>
              <c:strCache>
                <c:ptCount val="1"/>
                <c:pt idx="0">
                  <c:v>Verified emissions</c:v>
                </c:pt>
              </c:strCache>
            </c:strRef>
          </c:tx>
          <c:spPr>
            <a:solidFill>
              <a:schemeClr val="accent1"/>
            </a:solidFill>
            <a:ln>
              <a:noFill/>
            </a:ln>
            <a:effectLst/>
          </c:spPr>
          <c:invertIfNegative val="0"/>
          <c:val>
            <c:numRef>
              <c:f>'MSR composition'!$B$14</c:f>
              <c:numCache>
                <c:formatCode>#,##0</c:formatCode>
                <c:ptCount val="1"/>
                <c:pt idx="0">
                  <c:v>10631597033</c:v>
                </c:pt>
              </c:numCache>
            </c:numRef>
          </c:val>
          <c:extLst>
            <c:ext xmlns:c16="http://schemas.microsoft.com/office/drawing/2014/chart" uri="{C3380CC4-5D6E-409C-BE32-E72D297353CC}">
              <c16:uniqueId val="{00000000-89A6-4A8F-A8DA-E72B095DDE62}"/>
            </c:ext>
          </c:extLst>
        </c:ser>
        <c:ser>
          <c:idx val="1"/>
          <c:order val="1"/>
          <c:tx>
            <c:strRef>
              <c:f>'MSR composition'!$A$15</c:f>
              <c:strCache>
                <c:ptCount val="1"/>
                <c:pt idx="0">
                  <c:v>Cancellations</c:v>
                </c:pt>
              </c:strCache>
            </c:strRef>
          </c:tx>
          <c:spPr>
            <a:solidFill>
              <a:schemeClr val="accent3"/>
            </a:solidFill>
            <a:ln>
              <a:noFill/>
            </a:ln>
            <a:effectLst/>
          </c:spPr>
          <c:invertIfNegative val="0"/>
          <c:val>
            <c:numRef>
              <c:f>'MSR composition'!$B$15</c:f>
              <c:numCache>
                <c:formatCode>#,##0</c:formatCode>
                <c:ptCount val="1"/>
                <c:pt idx="0">
                  <c:v>315083</c:v>
                </c:pt>
              </c:numCache>
            </c:numRef>
          </c:val>
          <c:extLst>
            <c:ext xmlns:c16="http://schemas.microsoft.com/office/drawing/2014/chart" uri="{C3380CC4-5D6E-409C-BE32-E72D297353CC}">
              <c16:uniqueId val="{00000001-89A6-4A8F-A8DA-E72B095DDE62}"/>
            </c:ext>
          </c:extLst>
        </c:ser>
        <c:dLbls>
          <c:showLegendKey val="0"/>
          <c:showVal val="0"/>
          <c:showCatName val="0"/>
          <c:showSerName val="0"/>
          <c:showPercent val="0"/>
          <c:showBubbleSize val="0"/>
        </c:dLbls>
        <c:gapWidth val="75"/>
        <c:overlap val="100"/>
        <c:axId val="332016640"/>
        <c:axId val="332034816"/>
      </c:barChart>
      <c:catAx>
        <c:axId val="332016640"/>
        <c:scaling>
          <c:orientation val="minMax"/>
        </c:scaling>
        <c:delete val="1"/>
        <c:axPos val="b"/>
        <c:numFmt formatCode="General" sourceLinked="1"/>
        <c:majorTickMark val="none"/>
        <c:minorTickMark val="none"/>
        <c:tickLblPos val="nextTo"/>
        <c:crossAx val="332034816"/>
        <c:crosses val="autoZero"/>
        <c:auto val="1"/>
        <c:lblAlgn val="ctr"/>
        <c:lblOffset val="100"/>
        <c:noMultiLvlLbl val="0"/>
      </c:catAx>
      <c:valAx>
        <c:axId val="332034816"/>
        <c:scaling>
          <c:orientation val="minMax"/>
          <c:max val="140000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01664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85000"/>
          </a:schemeClr>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E6731-2FE2-4B64-9D33-028FFB1D5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54</Pages>
  <Words>11010</Words>
  <Characters>66505</Characters>
  <Application>Microsoft Office Word</Application>
  <DocSecurity>0</DocSecurity>
  <Lines>2891</Lines>
  <Paragraphs>1937</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Manager/>
  <Company/>
  <LinksUpToDate>false</LinksUpToDate>
  <CharactersWithSpaces>75578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TORRE UNGUREANU Ana-Claudia (SG)</cp:lastModifiedBy>
  <cp:revision>8</cp:revision>
  <cp:lastPrinted>2018-11-08T09:30:00Z</cp:lastPrinted>
  <dcterms:created xsi:type="dcterms:W3CDTF">2019-10-25T13:22:00Z</dcterms:created>
  <dcterms:modified xsi:type="dcterms:W3CDTF">2020-01-16T09:35:00Z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_DocHome">
    <vt:i4>-1319363200</vt:i4>
  </property>
  <property fmtid="{D5CDD505-2E9C-101B-9397-08002B2CF9AE}" pid="8" name="Created using">
    <vt:lpwstr>LW 6.0.1, Build 20180503</vt:lpwstr>
  </property>
  <property fmtid="{D5CDD505-2E9C-101B-9397-08002B2CF9AE}" pid="9" name="CPTemplateID">
    <vt:lpwstr>CP-006</vt:lpwstr>
  </property>
</Properties>
</file>