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04BAF3" w14:textId="2F02B3A0" w:rsidR="0067338B" w:rsidRPr="00C64727" w:rsidRDefault="00A747DC" w:rsidP="00A747DC">
      <w:pPr>
        <w:pStyle w:val="Pagedecouverture"/>
      </w:pPr>
      <w:bookmarkStart w:id="0" w:name="LW_BM_COVERPAGE"/>
      <w:bookmarkStart w:id="1" w:name="_GoBack"/>
      <w:bookmarkEnd w:id="1"/>
      <w:r>
        <w:pict w14:anchorId="7A86C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5CDBF042-A66E-44E5-8930-51966E230B77" style="width:450.75pt;height:510pt">
            <v:imagedata r:id="rId8" o:title=""/>
          </v:shape>
        </w:pict>
      </w:r>
    </w:p>
    <w:bookmarkEnd w:id="0"/>
    <w:p w14:paraId="5484EB9F" w14:textId="77777777" w:rsidR="0067338B" w:rsidRPr="00C64727" w:rsidRDefault="0067338B">
      <w:pPr>
        <w:rPr>
          <w:rFonts w:ascii="Times New Roman" w:hAnsi="Times New Roman"/>
          <w:sz w:val="24"/>
          <w:szCs w:val="24"/>
        </w:rPr>
        <w:sectPr w:rsidR="0067338B" w:rsidRPr="00C64727" w:rsidSect="00A747DC">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1"/>
          <w:cols w:space="720"/>
          <w:docGrid w:linePitch="360"/>
        </w:sectPr>
      </w:pPr>
    </w:p>
    <w:sdt>
      <w:sdtPr>
        <w:rPr>
          <w:rFonts w:ascii="Times New Roman" w:eastAsia="Calibri" w:hAnsi="Times New Roman"/>
          <w:b w:val="0"/>
          <w:bCs w:val="0"/>
          <w:color w:val="auto"/>
          <w:sz w:val="24"/>
          <w:szCs w:val="24"/>
          <w:lang w:eastAsia="en-US"/>
        </w:rPr>
        <w:id w:val="-1133089857"/>
        <w:docPartObj>
          <w:docPartGallery w:val="Table of Contents"/>
          <w:docPartUnique/>
        </w:docPartObj>
      </w:sdtPr>
      <w:sdtEndPr/>
      <w:sdtContent>
        <w:p w14:paraId="0A500975" w14:textId="77777777" w:rsidR="0067338B" w:rsidRPr="00C64727" w:rsidRDefault="003A348D">
          <w:pPr>
            <w:pStyle w:val="TOCHeading"/>
            <w:rPr>
              <w:rFonts w:ascii="Times New Roman" w:hAnsi="Times New Roman"/>
              <w:color w:val="auto"/>
              <w:sz w:val="24"/>
              <w:szCs w:val="24"/>
            </w:rPr>
          </w:pPr>
          <w:r w:rsidRPr="00C64727">
            <w:rPr>
              <w:rFonts w:ascii="Times New Roman" w:hAnsi="Times New Roman"/>
              <w:color w:val="auto"/>
              <w:sz w:val="24"/>
              <w:szCs w:val="24"/>
            </w:rPr>
            <w:t>Tartalomjegyzék</w:t>
          </w:r>
        </w:p>
        <w:p w14:paraId="41E4B3FD" w14:textId="2CF3CF86" w:rsidR="00A6206C" w:rsidRPr="00C64727" w:rsidRDefault="000A23BB">
          <w:pPr>
            <w:pStyle w:val="TOC1"/>
            <w:rPr>
              <w:rFonts w:ascii="Times New Roman" w:eastAsiaTheme="minorEastAsia" w:hAnsi="Times New Roman"/>
              <w:noProof/>
              <w:sz w:val="24"/>
              <w:szCs w:val="24"/>
              <w:lang w:eastAsia="hu-HU"/>
            </w:rPr>
          </w:pPr>
          <w:r w:rsidRPr="00C64727">
            <w:rPr>
              <w:rFonts w:ascii="Times New Roman" w:hAnsi="Times New Roman"/>
              <w:b/>
              <w:bCs/>
              <w:sz w:val="24"/>
              <w:szCs w:val="24"/>
            </w:rPr>
            <w:fldChar w:fldCharType="begin"/>
          </w:r>
          <w:r w:rsidRPr="00C64727">
            <w:rPr>
              <w:rFonts w:ascii="Times New Roman" w:hAnsi="Times New Roman"/>
              <w:b/>
              <w:bCs/>
              <w:sz w:val="24"/>
              <w:szCs w:val="24"/>
            </w:rPr>
            <w:instrText xml:space="preserve"> TOC \o "1-5" \h \z \u </w:instrText>
          </w:r>
          <w:r w:rsidRPr="00C64727">
            <w:rPr>
              <w:rFonts w:ascii="Times New Roman" w:hAnsi="Times New Roman"/>
              <w:b/>
              <w:bCs/>
              <w:sz w:val="24"/>
              <w:szCs w:val="24"/>
            </w:rPr>
            <w:fldChar w:fldCharType="separate"/>
          </w:r>
          <w:hyperlink w:anchor="_Toc24093079" w:history="1">
            <w:r w:rsidR="00A6206C" w:rsidRPr="00C64727">
              <w:rPr>
                <w:rStyle w:val="Hyperlink"/>
                <w:rFonts w:ascii="Times New Roman" w:hAnsi="Times New Roman"/>
                <w:noProof/>
                <w:sz w:val="24"/>
                <w:szCs w:val="24"/>
              </w:rPr>
              <w:t>Mozaikszavak és rövidítések jegyzéke</w:t>
            </w:r>
            <w:r w:rsidR="00A6206C" w:rsidRPr="00C64727">
              <w:rPr>
                <w:rFonts w:ascii="Times New Roman" w:hAnsi="Times New Roman"/>
                <w:noProof/>
                <w:webHidden/>
                <w:sz w:val="24"/>
                <w:szCs w:val="24"/>
              </w:rPr>
              <w:tab/>
            </w:r>
            <w:r w:rsidR="00A6206C" w:rsidRPr="00C64727">
              <w:rPr>
                <w:rFonts w:ascii="Times New Roman" w:hAnsi="Times New Roman"/>
                <w:noProof/>
                <w:webHidden/>
                <w:sz w:val="24"/>
                <w:szCs w:val="24"/>
              </w:rPr>
              <w:fldChar w:fldCharType="begin"/>
            </w:r>
            <w:r w:rsidR="00A6206C" w:rsidRPr="00C64727">
              <w:rPr>
                <w:rFonts w:ascii="Times New Roman" w:hAnsi="Times New Roman"/>
                <w:noProof/>
                <w:webHidden/>
                <w:sz w:val="24"/>
                <w:szCs w:val="24"/>
              </w:rPr>
              <w:instrText xml:space="preserve"> PAGEREF _Toc24093079 \h </w:instrText>
            </w:r>
            <w:r w:rsidR="00A6206C" w:rsidRPr="00C64727">
              <w:rPr>
                <w:rFonts w:ascii="Times New Roman" w:hAnsi="Times New Roman"/>
                <w:noProof/>
                <w:webHidden/>
                <w:sz w:val="24"/>
                <w:szCs w:val="24"/>
              </w:rPr>
            </w:r>
            <w:r w:rsidR="00A6206C" w:rsidRPr="00C64727">
              <w:rPr>
                <w:rFonts w:ascii="Times New Roman" w:hAnsi="Times New Roman"/>
                <w:noProof/>
                <w:webHidden/>
                <w:sz w:val="24"/>
                <w:szCs w:val="24"/>
              </w:rPr>
              <w:fldChar w:fldCharType="separate"/>
            </w:r>
            <w:r w:rsidR="00A6206C" w:rsidRPr="00C64727">
              <w:rPr>
                <w:rFonts w:ascii="Times New Roman" w:hAnsi="Times New Roman"/>
                <w:noProof/>
                <w:webHidden/>
                <w:sz w:val="24"/>
                <w:szCs w:val="24"/>
              </w:rPr>
              <w:t>2</w:t>
            </w:r>
            <w:r w:rsidR="00A6206C" w:rsidRPr="00C64727">
              <w:rPr>
                <w:rFonts w:ascii="Times New Roman" w:hAnsi="Times New Roman"/>
                <w:noProof/>
                <w:webHidden/>
                <w:sz w:val="24"/>
                <w:szCs w:val="24"/>
              </w:rPr>
              <w:fldChar w:fldCharType="end"/>
            </w:r>
          </w:hyperlink>
        </w:p>
        <w:p w14:paraId="7DD9BA7C" w14:textId="6EF53E3F" w:rsidR="00A6206C" w:rsidRPr="00C64727" w:rsidRDefault="00A747DC">
          <w:pPr>
            <w:pStyle w:val="TOC1"/>
            <w:rPr>
              <w:rFonts w:ascii="Times New Roman" w:eastAsiaTheme="minorEastAsia" w:hAnsi="Times New Roman"/>
              <w:noProof/>
              <w:sz w:val="24"/>
              <w:szCs w:val="24"/>
              <w:lang w:eastAsia="hu-HU"/>
            </w:rPr>
          </w:pPr>
          <w:hyperlink w:anchor="_Toc24093080" w:history="1">
            <w:r w:rsidR="00A6206C" w:rsidRPr="00C64727">
              <w:rPr>
                <w:rStyle w:val="Hyperlink"/>
                <w:rFonts w:ascii="Times New Roman" w:hAnsi="Times New Roman"/>
                <w:noProof/>
                <w:sz w:val="24"/>
                <w:szCs w:val="24"/>
              </w:rPr>
              <w:t>ÖSSZEFOGLALÁS</w:t>
            </w:r>
            <w:r w:rsidR="00A6206C" w:rsidRPr="00C64727">
              <w:rPr>
                <w:rFonts w:ascii="Times New Roman" w:hAnsi="Times New Roman"/>
                <w:noProof/>
                <w:webHidden/>
                <w:sz w:val="24"/>
                <w:szCs w:val="24"/>
              </w:rPr>
              <w:tab/>
            </w:r>
            <w:r w:rsidR="00A6206C" w:rsidRPr="00C64727">
              <w:rPr>
                <w:rFonts w:ascii="Times New Roman" w:hAnsi="Times New Roman"/>
                <w:noProof/>
                <w:webHidden/>
                <w:sz w:val="24"/>
                <w:szCs w:val="24"/>
              </w:rPr>
              <w:fldChar w:fldCharType="begin"/>
            </w:r>
            <w:r w:rsidR="00A6206C" w:rsidRPr="00C64727">
              <w:rPr>
                <w:rFonts w:ascii="Times New Roman" w:hAnsi="Times New Roman"/>
                <w:noProof/>
                <w:webHidden/>
                <w:sz w:val="24"/>
                <w:szCs w:val="24"/>
              </w:rPr>
              <w:instrText xml:space="preserve"> PAGEREF _Toc24093080 \h </w:instrText>
            </w:r>
            <w:r w:rsidR="00A6206C" w:rsidRPr="00C64727">
              <w:rPr>
                <w:rFonts w:ascii="Times New Roman" w:hAnsi="Times New Roman"/>
                <w:noProof/>
                <w:webHidden/>
                <w:sz w:val="24"/>
                <w:szCs w:val="24"/>
              </w:rPr>
            </w:r>
            <w:r w:rsidR="00A6206C" w:rsidRPr="00C64727">
              <w:rPr>
                <w:rFonts w:ascii="Times New Roman" w:hAnsi="Times New Roman"/>
                <w:noProof/>
                <w:webHidden/>
                <w:sz w:val="24"/>
                <w:szCs w:val="24"/>
              </w:rPr>
              <w:fldChar w:fldCharType="separate"/>
            </w:r>
            <w:r w:rsidR="00A6206C" w:rsidRPr="00C64727">
              <w:rPr>
                <w:rFonts w:ascii="Times New Roman" w:hAnsi="Times New Roman"/>
                <w:noProof/>
                <w:webHidden/>
                <w:sz w:val="24"/>
                <w:szCs w:val="24"/>
              </w:rPr>
              <w:t>3</w:t>
            </w:r>
            <w:r w:rsidR="00A6206C" w:rsidRPr="00C64727">
              <w:rPr>
                <w:rFonts w:ascii="Times New Roman" w:hAnsi="Times New Roman"/>
                <w:noProof/>
                <w:webHidden/>
                <w:sz w:val="24"/>
                <w:szCs w:val="24"/>
              </w:rPr>
              <w:fldChar w:fldCharType="end"/>
            </w:r>
          </w:hyperlink>
        </w:p>
        <w:p w14:paraId="24D4357D" w14:textId="15C04F17" w:rsidR="00A6206C" w:rsidRPr="00C64727" w:rsidRDefault="00A747DC">
          <w:pPr>
            <w:pStyle w:val="TOC1"/>
            <w:rPr>
              <w:rFonts w:ascii="Times New Roman" w:eastAsiaTheme="minorEastAsia" w:hAnsi="Times New Roman"/>
              <w:noProof/>
              <w:sz w:val="24"/>
              <w:szCs w:val="24"/>
              <w:lang w:eastAsia="hu-HU"/>
            </w:rPr>
          </w:pPr>
          <w:hyperlink w:anchor="_Toc24093081" w:history="1">
            <w:r w:rsidR="00A6206C" w:rsidRPr="00C64727">
              <w:rPr>
                <w:rStyle w:val="Hyperlink"/>
                <w:rFonts w:ascii="Times New Roman" w:hAnsi="Times New Roman"/>
                <w:noProof/>
                <w:sz w:val="24"/>
                <w:szCs w:val="24"/>
              </w:rPr>
              <w:t>1. BEVEZETÉS</w:t>
            </w:r>
            <w:r w:rsidR="00A6206C" w:rsidRPr="00C64727">
              <w:rPr>
                <w:rFonts w:ascii="Times New Roman" w:hAnsi="Times New Roman"/>
                <w:noProof/>
                <w:webHidden/>
                <w:sz w:val="24"/>
                <w:szCs w:val="24"/>
              </w:rPr>
              <w:tab/>
            </w:r>
            <w:r w:rsidR="00A6206C" w:rsidRPr="00C64727">
              <w:rPr>
                <w:rFonts w:ascii="Times New Roman" w:hAnsi="Times New Roman"/>
                <w:noProof/>
                <w:webHidden/>
                <w:sz w:val="24"/>
                <w:szCs w:val="24"/>
              </w:rPr>
              <w:fldChar w:fldCharType="begin"/>
            </w:r>
            <w:r w:rsidR="00A6206C" w:rsidRPr="00C64727">
              <w:rPr>
                <w:rFonts w:ascii="Times New Roman" w:hAnsi="Times New Roman"/>
                <w:noProof/>
                <w:webHidden/>
                <w:sz w:val="24"/>
                <w:szCs w:val="24"/>
              </w:rPr>
              <w:instrText xml:space="preserve"> PAGEREF _Toc24093081 \h </w:instrText>
            </w:r>
            <w:r w:rsidR="00A6206C" w:rsidRPr="00C64727">
              <w:rPr>
                <w:rFonts w:ascii="Times New Roman" w:hAnsi="Times New Roman"/>
                <w:noProof/>
                <w:webHidden/>
                <w:sz w:val="24"/>
                <w:szCs w:val="24"/>
              </w:rPr>
            </w:r>
            <w:r w:rsidR="00A6206C" w:rsidRPr="00C64727">
              <w:rPr>
                <w:rFonts w:ascii="Times New Roman" w:hAnsi="Times New Roman"/>
                <w:noProof/>
                <w:webHidden/>
                <w:sz w:val="24"/>
                <w:szCs w:val="24"/>
              </w:rPr>
              <w:fldChar w:fldCharType="separate"/>
            </w:r>
            <w:r w:rsidR="00A6206C" w:rsidRPr="00C64727">
              <w:rPr>
                <w:rFonts w:ascii="Times New Roman" w:hAnsi="Times New Roman"/>
                <w:noProof/>
                <w:webHidden/>
                <w:sz w:val="24"/>
                <w:szCs w:val="24"/>
              </w:rPr>
              <w:t>4</w:t>
            </w:r>
            <w:r w:rsidR="00A6206C" w:rsidRPr="00C64727">
              <w:rPr>
                <w:rFonts w:ascii="Times New Roman" w:hAnsi="Times New Roman"/>
                <w:noProof/>
                <w:webHidden/>
                <w:sz w:val="24"/>
                <w:szCs w:val="24"/>
              </w:rPr>
              <w:fldChar w:fldCharType="end"/>
            </w:r>
          </w:hyperlink>
        </w:p>
        <w:p w14:paraId="7C14BB6C" w14:textId="3E57F464" w:rsidR="00A6206C" w:rsidRPr="00C64727" w:rsidRDefault="00A747DC">
          <w:pPr>
            <w:pStyle w:val="TOC1"/>
            <w:rPr>
              <w:rFonts w:ascii="Times New Roman" w:eastAsiaTheme="minorEastAsia" w:hAnsi="Times New Roman"/>
              <w:noProof/>
              <w:sz w:val="24"/>
              <w:szCs w:val="24"/>
              <w:lang w:eastAsia="hu-HU"/>
            </w:rPr>
          </w:pPr>
          <w:hyperlink w:anchor="_Toc24093082" w:history="1">
            <w:r w:rsidR="00A6206C" w:rsidRPr="00C64727">
              <w:rPr>
                <w:rStyle w:val="Hyperlink"/>
                <w:rFonts w:ascii="Times New Roman" w:hAnsi="Times New Roman"/>
                <w:noProof/>
                <w:sz w:val="24"/>
                <w:szCs w:val="24"/>
              </w:rPr>
              <w:t>2.1. A lefedett tevékenységek, létesítmények és légijármű-üzemeltetők</w:t>
            </w:r>
            <w:r w:rsidR="00A6206C" w:rsidRPr="00C64727">
              <w:rPr>
                <w:rFonts w:ascii="Times New Roman" w:hAnsi="Times New Roman"/>
                <w:noProof/>
                <w:webHidden/>
                <w:sz w:val="24"/>
                <w:szCs w:val="24"/>
              </w:rPr>
              <w:tab/>
            </w:r>
            <w:r w:rsidR="00A6206C" w:rsidRPr="00C64727">
              <w:rPr>
                <w:rFonts w:ascii="Times New Roman" w:hAnsi="Times New Roman"/>
                <w:noProof/>
                <w:webHidden/>
                <w:sz w:val="24"/>
                <w:szCs w:val="24"/>
              </w:rPr>
              <w:fldChar w:fldCharType="begin"/>
            </w:r>
            <w:r w:rsidR="00A6206C" w:rsidRPr="00C64727">
              <w:rPr>
                <w:rFonts w:ascii="Times New Roman" w:hAnsi="Times New Roman"/>
                <w:noProof/>
                <w:webHidden/>
                <w:sz w:val="24"/>
                <w:szCs w:val="24"/>
              </w:rPr>
              <w:instrText xml:space="preserve"> PAGEREF _Toc24093082 \h </w:instrText>
            </w:r>
            <w:r w:rsidR="00A6206C" w:rsidRPr="00C64727">
              <w:rPr>
                <w:rFonts w:ascii="Times New Roman" w:hAnsi="Times New Roman"/>
                <w:noProof/>
                <w:webHidden/>
                <w:sz w:val="24"/>
                <w:szCs w:val="24"/>
              </w:rPr>
            </w:r>
            <w:r w:rsidR="00A6206C" w:rsidRPr="00C64727">
              <w:rPr>
                <w:rFonts w:ascii="Times New Roman" w:hAnsi="Times New Roman"/>
                <w:noProof/>
                <w:webHidden/>
                <w:sz w:val="24"/>
                <w:szCs w:val="24"/>
              </w:rPr>
              <w:fldChar w:fldCharType="separate"/>
            </w:r>
            <w:r w:rsidR="00A6206C" w:rsidRPr="00C64727">
              <w:rPr>
                <w:rFonts w:ascii="Times New Roman" w:hAnsi="Times New Roman"/>
                <w:noProof/>
                <w:webHidden/>
                <w:sz w:val="24"/>
                <w:szCs w:val="24"/>
              </w:rPr>
              <w:t>6</w:t>
            </w:r>
            <w:r w:rsidR="00A6206C" w:rsidRPr="00C64727">
              <w:rPr>
                <w:rFonts w:ascii="Times New Roman" w:hAnsi="Times New Roman"/>
                <w:noProof/>
                <w:webHidden/>
                <w:sz w:val="24"/>
                <w:szCs w:val="24"/>
              </w:rPr>
              <w:fldChar w:fldCharType="end"/>
            </w:r>
          </w:hyperlink>
        </w:p>
        <w:p w14:paraId="42671538" w14:textId="01F4E0FB" w:rsidR="00A6206C" w:rsidRPr="00C64727" w:rsidRDefault="00A747DC">
          <w:pPr>
            <w:pStyle w:val="TOC1"/>
            <w:rPr>
              <w:rFonts w:ascii="Times New Roman" w:eastAsiaTheme="minorEastAsia" w:hAnsi="Times New Roman"/>
              <w:noProof/>
              <w:sz w:val="24"/>
              <w:szCs w:val="24"/>
              <w:lang w:eastAsia="hu-HU"/>
            </w:rPr>
          </w:pPr>
          <w:hyperlink w:anchor="_Toc24093083" w:history="1">
            <w:r w:rsidR="00A6206C" w:rsidRPr="00C64727">
              <w:rPr>
                <w:rStyle w:val="Hyperlink"/>
                <w:rFonts w:ascii="Times New Roman" w:hAnsi="Times New Roman"/>
                <w:noProof/>
                <w:sz w:val="24"/>
                <w:szCs w:val="24"/>
              </w:rPr>
              <w:t>2.2. Az uniós kibocsátásiegység-forgalmi jegyzék és az európai uniós ügyleti jegyzőkönyv (EUTL)</w:t>
            </w:r>
            <w:r w:rsidR="00A6206C" w:rsidRPr="00C64727">
              <w:rPr>
                <w:rFonts w:ascii="Times New Roman" w:hAnsi="Times New Roman"/>
                <w:noProof/>
                <w:webHidden/>
                <w:sz w:val="24"/>
                <w:szCs w:val="24"/>
              </w:rPr>
              <w:tab/>
            </w:r>
            <w:r w:rsidR="00A6206C" w:rsidRPr="00C64727">
              <w:rPr>
                <w:rFonts w:ascii="Times New Roman" w:hAnsi="Times New Roman"/>
                <w:noProof/>
                <w:webHidden/>
                <w:sz w:val="24"/>
                <w:szCs w:val="24"/>
              </w:rPr>
              <w:fldChar w:fldCharType="begin"/>
            </w:r>
            <w:r w:rsidR="00A6206C" w:rsidRPr="00C64727">
              <w:rPr>
                <w:rFonts w:ascii="Times New Roman" w:hAnsi="Times New Roman"/>
                <w:noProof/>
                <w:webHidden/>
                <w:sz w:val="24"/>
                <w:szCs w:val="24"/>
              </w:rPr>
              <w:instrText xml:space="preserve"> PAGEREF _Toc24093083 \h </w:instrText>
            </w:r>
            <w:r w:rsidR="00A6206C" w:rsidRPr="00C64727">
              <w:rPr>
                <w:rFonts w:ascii="Times New Roman" w:hAnsi="Times New Roman"/>
                <w:noProof/>
                <w:webHidden/>
                <w:sz w:val="24"/>
                <w:szCs w:val="24"/>
              </w:rPr>
            </w:r>
            <w:r w:rsidR="00A6206C" w:rsidRPr="00C64727">
              <w:rPr>
                <w:rFonts w:ascii="Times New Roman" w:hAnsi="Times New Roman"/>
                <w:noProof/>
                <w:webHidden/>
                <w:sz w:val="24"/>
                <w:szCs w:val="24"/>
              </w:rPr>
              <w:fldChar w:fldCharType="separate"/>
            </w:r>
            <w:r w:rsidR="00A6206C" w:rsidRPr="00C64727">
              <w:rPr>
                <w:rFonts w:ascii="Times New Roman" w:hAnsi="Times New Roman"/>
                <w:noProof/>
                <w:webHidden/>
                <w:sz w:val="24"/>
                <w:szCs w:val="24"/>
              </w:rPr>
              <w:t>8</w:t>
            </w:r>
            <w:r w:rsidR="00A6206C" w:rsidRPr="00C64727">
              <w:rPr>
                <w:rFonts w:ascii="Times New Roman" w:hAnsi="Times New Roman"/>
                <w:noProof/>
                <w:webHidden/>
                <w:sz w:val="24"/>
                <w:szCs w:val="24"/>
              </w:rPr>
              <w:fldChar w:fldCharType="end"/>
            </w:r>
          </w:hyperlink>
        </w:p>
        <w:p w14:paraId="07A5F045" w14:textId="713D4E84" w:rsidR="00A6206C" w:rsidRPr="00C64727" w:rsidRDefault="00A747DC">
          <w:pPr>
            <w:pStyle w:val="TOC1"/>
            <w:rPr>
              <w:rFonts w:ascii="Times New Roman" w:eastAsiaTheme="minorEastAsia" w:hAnsi="Times New Roman"/>
              <w:noProof/>
              <w:sz w:val="24"/>
              <w:szCs w:val="24"/>
              <w:lang w:eastAsia="hu-HU"/>
            </w:rPr>
          </w:pPr>
          <w:hyperlink w:anchor="_Toc24093084" w:history="1">
            <w:r w:rsidR="00A6206C" w:rsidRPr="00C64727">
              <w:rPr>
                <w:rStyle w:val="Hyperlink"/>
                <w:rFonts w:ascii="Times New Roman" w:hAnsi="Times New Roman"/>
                <w:noProof/>
                <w:sz w:val="24"/>
                <w:szCs w:val="24"/>
              </w:rPr>
              <w:t>3. A SZÉN-DIOXID-PIAC MŰKÖDÉSE 2018-BAN</w:t>
            </w:r>
            <w:r w:rsidR="00A6206C" w:rsidRPr="00C64727">
              <w:rPr>
                <w:rFonts w:ascii="Times New Roman" w:hAnsi="Times New Roman"/>
                <w:noProof/>
                <w:webHidden/>
                <w:sz w:val="24"/>
                <w:szCs w:val="24"/>
              </w:rPr>
              <w:tab/>
            </w:r>
            <w:r w:rsidR="00A6206C" w:rsidRPr="00C64727">
              <w:rPr>
                <w:rFonts w:ascii="Times New Roman" w:hAnsi="Times New Roman"/>
                <w:noProof/>
                <w:webHidden/>
                <w:sz w:val="24"/>
                <w:szCs w:val="24"/>
              </w:rPr>
              <w:fldChar w:fldCharType="begin"/>
            </w:r>
            <w:r w:rsidR="00A6206C" w:rsidRPr="00C64727">
              <w:rPr>
                <w:rFonts w:ascii="Times New Roman" w:hAnsi="Times New Roman"/>
                <w:noProof/>
                <w:webHidden/>
                <w:sz w:val="24"/>
                <w:szCs w:val="24"/>
              </w:rPr>
              <w:instrText xml:space="preserve"> PAGEREF _Toc24093084 \h </w:instrText>
            </w:r>
            <w:r w:rsidR="00A6206C" w:rsidRPr="00C64727">
              <w:rPr>
                <w:rFonts w:ascii="Times New Roman" w:hAnsi="Times New Roman"/>
                <w:noProof/>
                <w:webHidden/>
                <w:sz w:val="24"/>
                <w:szCs w:val="24"/>
              </w:rPr>
            </w:r>
            <w:r w:rsidR="00A6206C" w:rsidRPr="00C64727">
              <w:rPr>
                <w:rFonts w:ascii="Times New Roman" w:hAnsi="Times New Roman"/>
                <w:noProof/>
                <w:webHidden/>
                <w:sz w:val="24"/>
                <w:szCs w:val="24"/>
              </w:rPr>
              <w:fldChar w:fldCharType="separate"/>
            </w:r>
            <w:r w:rsidR="00A6206C" w:rsidRPr="00C64727">
              <w:rPr>
                <w:rFonts w:ascii="Times New Roman" w:hAnsi="Times New Roman"/>
                <w:noProof/>
                <w:webHidden/>
                <w:sz w:val="24"/>
                <w:szCs w:val="24"/>
              </w:rPr>
              <w:t>9</w:t>
            </w:r>
            <w:r w:rsidR="00A6206C" w:rsidRPr="00C64727">
              <w:rPr>
                <w:rFonts w:ascii="Times New Roman" w:hAnsi="Times New Roman"/>
                <w:noProof/>
                <w:webHidden/>
                <w:sz w:val="24"/>
                <w:szCs w:val="24"/>
              </w:rPr>
              <w:fldChar w:fldCharType="end"/>
            </w:r>
          </w:hyperlink>
        </w:p>
        <w:p w14:paraId="03FF4244" w14:textId="052EAA91" w:rsidR="00A6206C" w:rsidRPr="00C64727" w:rsidRDefault="00A747DC">
          <w:pPr>
            <w:pStyle w:val="TOC2"/>
            <w:tabs>
              <w:tab w:val="right" w:leader="dot" w:pos="9016"/>
            </w:tabs>
            <w:rPr>
              <w:rFonts w:ascii="Times New Roman" w:eastAsiaTheme="minorEastAsia" w:hAnsi="Times New Roman"/>
              <w:noProof/>
              <w:sz w:val="24"/>
              <w:szCs w:val="24"/>
              <w:lang w:eastAsia="hu-HU"/>
            </w:rPr>
          </w:pPr>
          <w:hyperlink w:anchor="_Toc24093085" w:history="1">
            <w:r w:rsidR="00A6206C" w:rsidRPr="00C64727">
              <w:rPr>
                <w:rStyle w:val="Hyperlink"/>
                <w:rFonts w:ascii="Times New Roman" w:hAnsi="Times New Roman"/>
                <w:noProof/>
                <w:sz w:val="24"/>
                <w:szCs w:val="24"/>
              </w:rPr>
              <w:t>3.1. Kínálat: a forgalomba kerülő kibocsátási egységek</w:t>
            </w:r>
            <w:r w:rsidR="00A6206C" w:rsidRPr="00C64727">
              <w:rPr>
                <w:rFonts w:ascii="Times New Roman" w:hAnsi="Times New Roman"/>
                <w:noProof/>
                <w:webHidden/>
                <w:sz w:val="24"/>
                <w:szCs w:val="24"/>
              </w:rPr>
              <w:tab/>
            </w:r>
            <w:r w:rsidR="00A6206C" w:rsidRPr="00C64727">
              <w:rPr>
                <w:rFonts w:ascii="Times New Roman" w:hAnsi="Times New Roman"/>
                <w:noProof/>
                <w:webHidden/>
                <w:sz w:val="24"/>
                <w:szCs w:val="24"/>
              </w:rPr>
              <w:fldChar w:fldCharType="begin"/>
            </w:r>
            <w:r w:rsidR="00A6206C" w:rsidRPr="00C64727">
              <w:rPr>
                <w:rFonts w:ascii="Times New Roman" w:hAnsi="Times New Roman"/>
                <w:noProof/>
                <w:webHidden/>
                <w:sz w:val="24"/>
                <w:szCs w:val="24"/>
              </w:rPr>
              <w:instrText xml:space="preserve"> PAGEREF _Toc24093085 \h </w:instrText>
            </w:r>
            <w:r w:rsidR="00A6206C" w:rsidRPr="00C64727">
              <w:rPr>
                <w:rFonts w:ascii="Times New Roman" w:hAnsi="Times New Roman"/>
                <w:noProof/>
                <w:webHidden/>
                <w:sz w:val="24"/>
                <w:szCs w:val="24"/>
              </w:rPr>
            </w:r>
            <w:r w:rsidR="00A6206C" w:rsidRPr="00C64727">
              <w:rPr>
                <w:rFonts w:ascii="Times New Roman" w:hAnsi="Times New Roman"/>
                <w:noProof/>
                <w:webHidden/>
                <w:sz w:val="24"/>
                <w:szCs w:val="24"/>
              </w:rPr>
              <w:fldChar w:fldCharType="separate"/>
            </w:r>
            <w:r w:rsidR="00A6206C" w:rsidRPr="00C64727">
              <w:rPr>
                <w:rFonts w:ascii="Times New Roman" w:hAnsi="Times New Roman"/>
                <w:noProof/>
                <w:webHidden/>
                <w:sz w:val="24"/>
                <w:szCs w:val="24"/>
              </w:rPr>
              <w:t>10</w:t>
            </w:r>
            <w:r w:rsidR="00A6206C" w:rsidRPr="00C64727">
              <w:rPr>
                <w:rFonts w:ascii="Times New Roman" w:hAnsi="Times New Roman"/>
                <w:noProof/>
                <w:webHidden/>
                <w:sz w:val="24"/>
                <w:szCs w:val="24"/>
              </w:rPr>
              <w:fldChar w:fldCharType="end"/>
            </w:r>
          </w:hyperlink>
        </w:p>
        <w:p w14:paraId="729DCAD8" w14:textId="4B1F7BF1" w:rsidR="00A6206C" w:rsidRPr="00C64727" w:rsidRDefault="00A747DC">
          <w:pPr>
            <w:pStyle w:val="TOC3"/>
            <w:tabs>
              <w:tab w:val="right" w:leader="dot" w:pos="9016"/>
            </w:tabs>
            <w:rPr>
              <w:rFonts w:ascii="Times New Roman" w:eastAsiaTheme="minorEastAsia" w:hAnsi="Times New Roman"/>
              <w:noProof/>
              <w:sz w:val="24"/>
              <w:szCs w:val="24"/>
              <w:lang w:eastAsia="hu-HU"/>
            </w:rPr>
          </w:pPr>
          <w:hyperlink w:anchor="_Toc24093086" w:history="1">
            <w:r w:rsidR="00A6206C" w:rsidRPr="00C64727">
              <w:rPr>
                <w:rStyle w:val="Hyperlink"/>
                <w:rFonts w:ascii="Times New Roman" w:hAnsi="Times New Roman"/>
                <w:noProof/>
                <w:sz w:val="24"/>
                <w:szCs w:val="24"/>
              </w:rPr>
              <w:t>3.1.1. Összkvóta</w:t>
            </w:r>
            <w:r w:rsidR="00A6206C" w:rsidRPr="00C64727">
              <w:rPr>
                <w:rFonts w:ascii="Times New Roman" w:hAnsi="Times New Roman"/>
                <w:noProof/>
                <w:webHidden/>
                <w:sz w:val="24"/>
                <w:szCs w:val="24"/>
              </w:rPr>
              <w:tab/>
            </w:r>
            <w:r w:rsidR="00A6206C" w:rsidRPr="00C64727">
              <w:rPr>
                <w:rFonts w:ascii="Times New Roman" w:hAnsi="Times New Roman"/>
                <w:noProof/>
                <w:webHidden/>
                <w:sz w:val="24"/>
                <w:szCs w:val="24"/>
              </w:rPr>
              <w:fldChar w:fldCharType="begin"/>
            </w:r>
            <w:r w:rsidR="00A6206C" w:rsidRPr="00C64727">
              <w:rPr>
                <w:rFonts w:ascii="Times New Roman" w:hAnsi="Times New Roman"/>
                <w:noProof/>
                <w:webHidden/>
                <w:sz w:val="24"/>
                <w:szCs w:val="24"/>
              </w:rPr>
              <w:instrText xml:space="preserve"> PAGEREF _Toc24093086 \h </w:instrText>
            </w:r>
            <w:r w:rsidR="00A6206C" w:rsidRPr="00C64727">
              <w:rPr>
                <w:rFonts w:ascii="Times New Roman" w:hAnsi="Times New Roman"/>
                <w:noProof/>
                <w:webHidden/>
                <w:sz w:val="24"/>
                <w:szCs w:val="24"/>
              </w:rPr>
            </w:r>
            <w:r w:rsidR="00A6206C" w:rsidRPr="00C64727">
              <w:rPr>
                <w:rFonts w:ascii="Times New Roman" w:hAnsi="Times New Roman"/>
                <w:noProof/>
                <w:webHidden/>
                <w:sz w:val="24"/>
                <w:szCs w:val="24"/>
              </w:rPr>
              <w:fldChar w:fldCharType="separate"/>
            </w:r>
            <w:r w:rsidR="00A6206C" w:rsidRPr="00C64727">
              <w:rPr>
                <w:rFonts w:ascii="Times New Roman" w:hAnsi="Times New Roman"/>
                <w:noProof/>
                <w:webHidden/>
                <w:sz w:val="24"/>
                <w:szCs w:val="24"/>
              </w:rPr>
              <w:t>10</w:t>
            </w:r>
            <w:r w:rsidR="00A6206C" w:rsidRPr="00C64727">
              <w:rPr>
                <w:rFonts w:ascii="Times New Roman" w:hAnsi="Times New Roman"/>
                <w:noProof/>
                <w:webHidden/>
                <w:sz w:val="24"/>
                <w:szCs w:val="24"/>
              </w:rPr>
              <w:fldChar w:fldCharType="end"/>
            </w:r>
          </w:hyperlink>
        </w:p>
        <w:p w14:paraId="2A7BBDC0" w14:textId="262B5E1B" w:rsidR="00A6206C" w:rsidRPr="00C64727" w:rsidRDefault="00A747DC">
          <w:pPr>
            <w:pStyle w:val="TOC3"/>
            <w:tabs>
              <w:tab w:val="right" w:leader="dot" w:pos="9016"/>
            </w:tabs>
            <w:rPr>
              <w:rFonts w:ascii="Times New Roman" w:eastAsiaTheme="minorEastAsia" w:hAnsi="Times New Roman"/>
              <w:noProof/>
              <w:sz w:val="24"/>
              <w:szCs w:val="24"/>
              <w:lang w:eastAsia="hu-HU"/>
            </w:rPr>
          </w:pPr>
          <w:hyperlink w:anchor="_Toc24093087" w:history="1">
            <w:r w:rsidR="00A6206C" w:rsidRPr="00C64727">
              <w:rPr>
                <w:rStyle w:val="Hyperlink"/>
                <w:rFonts w:ascii="Times New Roman" w:hAnsi="Times New Roman"/>
                <w:noProof/>
                <w:sz w:val="24"/>
                <w:szCs w:val="24"/>
              </w:rPr>
              <w:t>3.1.2. Kiadott kibocsátási egységek</w:t>
            </w:r>
            <w:r w:rsidR="00A6206C" w:rsidRPr="00C64727">
              <w:rPr>
                <w:rFonts w:ascii="Times New Roman" w:hAnsi="Times New Roman"/>
                <w:noProof/>
                <w:webHidden/>
                <w:sz w:val="24"/>
                <w:szCs w:val="24"/>
              </w:rPr>
              <w:tab/>
            </w:r>
            <w:r w:rsidR="00A6206C" w:rsidRPr="00C64727">
              <w:rPr>
                <w:rFonts w:ascii="Times New Roman" w:hAnsi="Times New Roman"/>
                <w:noProof/>
                <w:webHidden/>
                <w:sz w:val="24"/>
                <w:szCs w:val="24"/>
              </w:rPr>
              <w:fldChar w:fldCharType="begin"/>
            </w:r>
            <w:r w:rsidR="00A6206C" w:rsidRPr="00C64727">
              <w:rPr>
                <w:rFonts w:ascii="Times New Roman" w:hAnsi="Times New Roman"/>
                <w:noProof/>
                <w:webHidden/>
                <w:sz w:val="24"/>
                <w:szCs w:val="24"/>
              </w:rPr>
              <w:instrText xml:space="preserve"> PAGEREF _Toc24093087 \h </w:instrText>
            </w:r>
            <w:r w:rsidR="00A6206C" w:rsidRPr="00C64727">
              <w:rPr>
                <w:rFonts w:ascii="Times New Roman" w:hAnsi="Times New Roman"/>
                <w:noProof/>
                <w:webHidden/>
                <w:sz w:val="24"/>
                <w:szCs w:val="24"/>
              </w:rPr>
            </w:r>
            <w:r w:rsidR="00A6206C" w:rsidRPr="00C64727">
              <w:rPr>
                <w:rFonts w:ascii="Times New Roman" w:hAnsi="Times New Roman"/>
                <w:noProof/>
                <w:webHidden/>
                <w:sz w:val="24"/>
                <w:szCs w:val="24"/>
              </w:rPr>
              <w:fldChar w:fldCharType="separate"/>
            </w:r>
            <w:r w:rsidR="00A6206C" w:rsidRPr="00C64727">
              <w:rPr>
                <w:rFonts w:ascii="Times New Roman" w:hAnsi="Times New Roman"/>
                <w:noProof/>
                <w:webHidden/>
                <w:sz w:val="24"/>
                <w:szCs w:val="24"/>
              </w:rPr>
              <w:t>12</w:t>
            </w:r>
            <w:r w:rsidR="00A6206C" w:rsidRPr="00C64727">
              <w:rPr>
                <w:rFonts w:ascii="Times New Roman" w:hAnsi="Times New Roman"/>
                <w:noProof/>
                <w:webHidden/>
                <w:sz w:val="24"/>
                <w:szCs w:val="24"/>
              </w:rPr>
              <w:fldChar w:fldCharType="end"/>
            </w:r>
          </w:hyperlink>
        </w:p>
        <w:p w14:paraId="682B3D33" w14:textId="0819CE97" w:rsidR="00A6206C" w:rsidRPr="00C64727" w:rsidRDefault="00A747DC">
          <w:pPr>
            <w:pStyle w:val="TOC4"/>
            <w:tabs>
              <w:tab w:val="right" w:leader="dot" w:pos="9016"/>
            </w:tabs>
            <w:rPr>
              <w:rFonts w:ascii="Times New Roman" w:eastAsiaTheme="minorEastAsia" w:hAnsi="Times New Roman"/>
              <w:noProof/>
              <w:sz w:val="24"/>
              <w:szCs w:val="24"/>
              <w:lang w:eastAsia="hu-HU"/>
            </w:rPr>
          </w:pPr>
          <w:hyperlink w:anchor="_Toc24093088" w:history="1">
            <w:r w:rsidR="00A6206C" w:rsidRPr="00C64727">
              <w:rPr>
                <w:rStyle w:val="Hyperlink"/>
                <w:rFonts w:ascii="Times New Roman" w:hAnsi="Times New Roman"/>
                <w:noProof/>
                <w:sz w:val="24"/>
                <w:szCs w:val="24"/>
              </w:rPr>
              <w:t>3.1.2.1. Térítésmentes kiosztás</w:t>
            </w:r>
            <w:r w:rsidR="00A6206C" w:rsidRPr="00C64727">
              <w:rPr>
                <w:rFonts w:ascii="Times New Roman" w:hAnsi="Times New Roman"/>
                <w:noProof/>
                <w:webHidden/>
                <w:sz w:val="24"/>
                <w:szCs w:val="24"/>
              </w:rPr>
              <w:tab/>
            </w:r>
            <w:r w:rsidR="00A6206C" w:rsidRPr="00C64727">
              <w:rPr>
                <w:rFonts w:ascii="Times New Roman" w:hAnsi="Times New Roman"/>
                <w:noProof/>
                <w:webHidden/>
                <w:sz w:val="24"/>
                <w:szCs w:val="24"/>
              </w:rPr>
              <w:fldChar w:fldCharType="begin"/>
            </w:r>
            <w:r w:rsidR="00A6206C" w:rsidRPr="00C64727">
              <w:rPr>
                <w:rFonts w:ascii="Times New Roman" w:hAnsi="Times New Roman"/>
                <w:noProof/>
                <w:webHidden/>
                <w:sz w:val="24"/>
                <w:szCs w:val="24"/>
              </w:rPr>
              <w:instrText xml:space="preserve"> PAGEREF _Toc24093088 \h </w:instrText>
            </w:r>
            <w:r w:rsidR="00A6206C" w:rsidRPr="00C64727">
              <w:rPr>
                <w:rFonts w:ascii="Times New Roman" w:hAnsi="Times New Roman"/>
                <w:noProof/>
                <w:webHidden/>
                <w:sz w:val="24"/>
                <w:szCs w:val="24"/>
              </w:rPr>
            </w:r>
            <w:r w:rsidR="00A6206C" w:rsidRPr="00C64727">
              <w:rPr>
                <w:rFonts w:ascii="Times New Roman" w:hAnsi="Times New Roman"/>
                <w:noProof/>
                <w:webHidden/>
                <w:sz w:val="24"/>
                <w:szCs w:val="24"/>
              </w:rPr>
              <w:fldChar w:fldCharType="separate"/>
            </w:r>
            <w:r w:rsidR="00A6206C" w:rsidRPr="00C64727">
              <w:rPr>
                <w:rFonts w:ascii="Times New Roman" w:hAnsi="Times New Roman"/>
                <w:noProof/>
                <w:webHidden/>
                <w:sz w:val="24"/>
                <w:szCs w:val="24"/>
              </w:rPr>
              <w:t>12</w:t>
            </w:r>
            <w:r w:rsidR="00A6206C" w:rsidRPr="00C64727">
              <w:rPr>
                <w:rFonts w:ascii="Times New Roman" w:hAnsi="Times New Roman"/>
                <w:noProof/>
                <w:webHidden/>
                <w:sz w:val="24"/>
                <w:szCs w:val="24"/>
              </w:rPr>
              <w:fldChar w:fldCharType="end"/>
            </w:r>
          </w:hyperlink>
        </w:p>
        <w:p w14:paraId="5DD7AE2F" w14:textId="611DA767" w:rsidR="00A6206C" w:rsidRPr="00C64727" w:rsidRDefault="00A747DC">
          <w:pPr>
            <w:pStyle w:val="TOC4"/>
            <w:tabs>
              <w:tab w:val="right" w:leader="dot" w:pos="9016"/>
            </w:tabs>
            <w:rPr>
              <w:rFonts w:ascii="Times New Roman" w:eastAsiaTheme="minorEastAsia" w:hAnsi="Times New Roman"/>
              <w:noProof/>
              <w:sz w:val="24"/>
              <w:szCs w:val="24"/>
              <w:lang w:eastAsia="hu-HU"/>
            </w:rPr>
          </w:pPr>
          <w:hyperlink w:anchor="_Toc24093089" w:history="1">
            <w:r w:rsidR="00A6206C" w:rsidRPr="00C64727">
              <w:rPr>
                <w:rStyle w:val="Hyperlink"/>
                <w:rFonts w:ascii="Times New Roman" w:hAnsi="Times New Roman"/>
                <w:noProof/>
                <w:sz w:val="24"/>
                <w:szCs w:val="24"/>
              </w:rPr>
              <w:t>3.1.2.2. A NER 300 program és az innovációs alap</w:t>
            </w:r>
            <w:r w:rsidR="00A6206C" w:rsidRPr="00C64727">
              <w:rPr>
                <w:rFonts w:ascii="Times New Roman" w:hAnsi="Times New Roman"/>
                <w:noProof/>
                <w:webHidden/>
                <w:sz w:val="24"/>
                <w:szCs w:val="24"/>
              </w:rPr>
              <w:tab/>
            </w:r>
            <w:r w:rsidR="00A6206C" w:rsidRPr="00C64727">
              <w:rPr>
                <w:rFonts w:ascii="Times New Roman" w:hAnsi="Times New Roman"/>
                <w:noProof/>
                <w:webHidden/>
                <w:sz w:val="24"/>
                <w:szCs w:val="24"/>
              </w:rPr>
              <w:fldChar w:fldCharType="begin"/>
            </w:r>
            <w:r w:rsidR="00A6206C" w:rsidRPr="00C64727">
              <w:rPr>
                <w:rFonts w:ascii="Times New Roman" w:hAnsi="Times New Roman"/>
                <w:noProof/>
                <w:webHidden/>
                <w:sz w:val="24"/>
                <w:szCs w:val="24"/>
              </w:rPr>
              <w:instrText xml:space="preserve"> PAGEREF _Toc24093089 \h </w:instrText>
            </w:r>
            <w:r w:rsidR="00A6206C" w:rsidRPr="00C64727">
              <w:rPr>
                <w:rFonts w:ascii="Times New Roman" w:hAnsi="Times New Roman"/>
                <w:noProof/>
                <w:webHidden/>
                <w:sz w:val="24"/>
                <w:szCs w:val="24"/>
              </w:rPr>
            </w:r>
            <w:r w:rsidR="00A6206C" w:rsidRPr="00C64727">
              <w:rPr>
                <w:rFonts w:ascii="Times New Roman" w:hAnsi="Times New Roman"/>
                <w:noProof/>
                <w:webHidden/>
                <w:sz w:val="24"/>
                <w:szCs w:val="24"/>
              </w:rPr>
              <w:fldChar w:fldCharType="separate"/>
            </w:r>
            <w:r w:rsidR="00A6206C" w:rsidRPr="00C64727">
              <w:rPr>
                <w:rFonts w:ascii="Times New Roman" w:hAnsi="Times New Roman"/>
                <w:noProof/>
                <w:webHidden/>
                <w:sz w:val="24"/>
                <w:szCs w:val="24"/>
              </w:rPr>
              <w:t>15</w:t>
            </w:r>
            <w:r w:rsidR="00A6206C" w:rsidRPr="00C64727">
              <w:rPr>
                <w:rFonts w:ascii="Times New Roman" w:hAnsi="Times New Roman"/>
                <w:noProof/>
                <w:webHidden/>
                <w:sz w:val="24"/>
                <w:szCs w:val="24"/>
              </w:rPr>
              <w:fldChar w:fldCharType="end"/>
            </w:r>
          </w:hyperlink>
        </w:p>
        <w:p w14:paraId="3642270D" w14:textId="6F617B6C" w:rsidR="00A6206C" w:rsidRPr="00C64727" w:rsidRDefault="00A747DC">
          <w:pPr>
            <w:pStyle w:val="TOC4"/>
            <w:tabs>
              <w:tab w:val="right" w:leader="dot" w:pos="9016"/>
            </w:tabs>
            <w:rPr>
              <w:rFonts w:ascii="Times New Roman" w:eastAsiaTheme="minorEastAsia" w:hAnsi="Times New Roman"/>
              <w:noProof/>
              <w:sz w:val="24"/>
              <w:szCs w:val="24"/>
              <w:lang w:eastAsia="hu-HU"/>
            </w:rPr>
          </w:pPr>
          <w:hyperlink w:anchor="_Toc24093090" w:history="1">
            <w:r w:rsidR="00A6206C" w:rsidRPr="00C64727">
              <w:rPr>
                <w:rStyle w:val="Hyperlink"/>
                <w:rFonts w:ascii="Times New Roman" w:hAnsi="Times New Roman"/>
                <w:noProof/>
                <w:sz w:val="24"/>
                <w:szCs w:val="24"/>
              </w:rPr>
              <w:t>3.1.2.3. A közvetett szén-dioxid-kibocsátási költségek kompenzációja</w:t>
            </w:r>
            <w:r w:rsidR="00A6206C" w:rsidRPr="00C64727">
              <w:rPr>
                <w:rFonts w:ascii="Times New Roman" w:hAnsi="Times New Roman"/>
                <w:noProof/>
                <w:webHidden/>
                <w:sz w:val="24"/>
                <w:szCs w:val="24"/>
              </w:rPr>
              <w:tab/>
            </w:r>
            <w:r w:rsidR="00A6206C" w:rsidRPr="00C64727">
              <w:rPr>
                <w:rFonts w:ascii="Times New Roman" w:hAnsi="Times New Roman"/>
                <w:noProof/>
                <w:webHidden/>
                <w:sz w:val="24"/>
                <w:szCs w:val="24"/>
              </w:rPr>
              <w:fldChar w:fldCharType="begin"/>
            </w:r>
            <w:r w:rsidR="00A6206C" w:rsidRPr="00C64727">
              <w:rPr>
                <w:rFonts w:ascii="Times New Roman" w:hAnsi="Times New Roman"/>
                <w:noProof/>
                <w:webHidden/>
                <w:sz w:val="24"/>
                <w:szCs w:val="24"/>
              </w:rPr>
              <w:instrText xml:space="preserve"> PAGEREF _Toc24093090 \h </w:instrText>
            </w:r>
            <w:r w:rsidR="00A6206C" w:rsidRPr="00C64727">
              <w:rPr>
                <w:rFonts w:ascii="Times New Roman" w:hAnsi="Times New Roman"/>
                <w:noProof/>
                <w:webHidden/>
                <w:sz w:val="24"/>
                <w:szCs w:val="24"/>
              </w:rPr>
            </w:r>
            <w:r w:rsidR="00A6206C" w:rsidRPr="00C64727">
              <w:rPr>
                <w:rFonts w:ascii="Times New Roman" w:hAnsi="Times New Roman"/>
                <w:noProof/>
                <w:webHidden/>
                <w:sz w:val="24"/>
                <w:szCs w:val="24"/>
              </w:rPr>
              <w:fldChar w:fldCharType="separate"/>
            </w:r>
            <w:r w:rsidR="00A6206C" w:rsidRPr="00C64727">
              <w:rPr>
                <w:rFonts w:ascii="Times New Roman" w:hAnsi="Times New Roman"/>
                <w:noProof/>
                <w:webHidden/>
                <w:sz w:val="24"/>
                <w:szCs w:val="24"/>
              </w:rPr>
              <w:t>16</w:t>
            </w:r>
            <w:r w:rsidR="00A6206C" w:rsidRPr="00C64727">
              <w:rPr>
                <w:rFonts w:ascii="Times New Roman" w:hAnsi="Times New Roman"/>
                <w:noProof/>
                <w:webHidden/>
                <w:sz w:val="24"/>
                <w:szCs w:val="24"/>
              </w:rPr>
              <w:fldChar w:fldCharType="end"/>
            </w:r>
          </w:hyperlink>
        </w:p>
        <w:p w14:paraId="22E0FFBB" w14:textId="590ED739" w:rsidR="00A6206C" w:rsidRPr="00C64727" w:rsidRDefault="00A747DC">
          <w:pPr>
            <w:pStyle w:val="TOC4"/>
            <w:tabs>
              <w:tab w:val="right" w:leader="dot" w:pos="9016"/>
            </w:tabs>
            <w:rPr>
              <w:rFonts w:ascii="Times New Roman" w:eastAsiaTheme="minorEastAsia" w:hAnsi="Times New Roman"/>
              <w:noProof/>
              <w:sz w:val="24"/>
              <w:szCs w:val="24"/>
              <w:lang w:eastAsia="hu-HU"/>
            </w:rPr>
          </w:pPr>
          <w:hyperlink w:anchor="_Toc24093091" w:history="1">
            <w:r w:rsidR="00A6206C" w:rsidRPr="00C64727">
              <w:rPr>
                <w:rStyle w:val="Hyperlink"/>
                <w:rFonts w:ascii="Times New Roman" w:hAnsi="Times New Roman"/>
                <w:bCs/>
                <w:noProof/>
                <w:sz w:val="24"/>
                <w:szCs w:val="24"/>
              </w:rPr>
              <w:t>3.1.2.4. Kibocsátási egységek értékesítése árverés útján</w:t>
            </w:r>
            <w:r w:rsidR="00A6206C" w:rsidRPr="00C64727">
              <w:rPr>
                <w:rFonts w:ascii="Times New Roman" w:hAnsi="Times New Roman"/>
                <w:noProof/>
                <w:webHidden/>
                <w:sz w:val="24"/>
                <w:szCs w:val="24"/>
              </w:rPr>
              <w:tab/>
            </w:r>
            <w:r w:rsidR="00A6206C" w:rsidRPr="00C64727">
              <w:rPr>
                <w:rFonts w:ascii="Times New Roman" w:hAnsi="Times New Roman"/>
                <w:noProof/>
                <w:webHidden/>
                <w:sz w:val="24"/>
                <w:szCs w:val="24"/>
              </w:rPr>
              <w:fldChar w:fldCharType="begin"/>
            </w:r>
            <w:r w:rsidR="00A6206C" w:rsidRPr="00C64727">
              <w:rPr>
                <w:rFonts w:ascii="Times New Roman" w:hAnsi="Times New Roman"/>
                <w:noProof/>
                <w:webHidden/>
                <w:sz w:val="24"/>
                <w:szCs w:val="24"/>
              </w:rPr>
              <w:instrText xml:space="preserve"> PAGEREF _Toc24093091 \h </w:instrText>
            </w:r>
            <w:r w:rsidR="00A6206C" w:rsidRPr="00C64727">
              <w:rPr>
                <w:rFonts w:ascii="Times New Roman" w:hAnsi="Times New Roman"/>
                <w:noProof/>
                <w:webHidden/>
                <w:sz w:val="24"/>
                <w:szCs w:val="24"/>
              </w:rPr>
            </w:r>
            <w:r w:rsidR="00A6206C" w:rsidRPr="00C64727">
              <w:rPr>
                <w:rFonts w:ascii="Times New Roman" w:hAnsi="Times New Roman"/>
                <w:noProof/>
                <w:webHidden/>
                <w:sz w:val="24"/>
                <w:szCs w:val="24"/>
              </w:rPr>
              <w:fldChar w:fldCharType="separate"/>
            </w:r>
            <w:r w:rsidR="00A6206C" w:rsidRPr="00C64727">
              <w:rPr>
                <w:rFonts w:ascii="Times New Roman" w:hAnsi="Times New Roman"/>
                <w:noProof/>
                <w:webHidden/>
                <w:sz w:val="24"/>
                <w:szCs w:val="24"/>
              </w:rPr>
              <w:t>19</w:t>
            </w:r>
            <w:r w:rsidR="00A6206C" w:rsidRPr="00C64727">
              <w:rPr>
                <w:rFonts w:ascii="Times New Roman" w:hAnsi="Times New Roman"/>
                <w:noProof/>
                <w:webHidden/>
                <w:sz w:val="24"/>
                <w:szCs w:val="24"/>
              </w:rPr>
              <w:fldChar w:fldCharType="end"/>
            </w:r>
          </w:hyperlink>
        </w:p>
        <w:p w14:paraId="2CBF72E4" w14:textId="3E00AC10" w:rsidR="00A6206C" w:rsidRPr="00C64727" w:rsidRDefault="00A747DC">
          <w:pPr>
            <w:pStyle w:val="TOC4"/>
            <w:tabs>
              <w:tab w:val="right" w:leader="dot" w:pos="9016"/>
            </w:tabs>
            <w:rPr>
              <w:rFonts w:ascii="Times New Roman" w:eastAsiaTheme="minorEastAsia" w:hAnsi="Times New Roman"/>
              <w:noProof/>
              <w:sz w:val="24"/>
              <w:szCs w:val="24"/>
              <w:lang w:eastAsia="hu-HU"/>
            </w:rPr>
          </w:pPr>
          <w:hyperlink w:anchor="_Toc24093092" w:history="1">
            <w:r w:rsidR="00A6206C" w:rsidRPr="00C64727">
              <w:rPr>
                <w:rStyle w:val="Hyperlink"/>
                <w:rFonts w:ascii="Times New Roman" w:hAnsi="Times New Roman"/>
                <w:noProof/>
                <w:sz w:val="24"/>
                <w:szCs w:val="24"/>
              </w:rPr>
              <w:t>3.1.2.5. A teljes árverésre vonatkozó szabálytól való eltérésre a villamosenergia- és a hőtermelés esetében</w:t>
            </w:r>
            <w:r w:rsidR="00A6206C" w:rsidRPr="00C64727">
              <w:rPr>
                <w:rFonts w:ascii="Times New Roman" w:hAnsi="Times New Roman"/>
                <w:noProof/>
                <w:webHidden/>
                <w:sz w:val="24"/>
                <w:szCs w:val="24"/>
              </w:rPr>
              <w:tab/>
            </w:r>
            <w:r w:rsidR="00A6206C" w:rsidRPr="00C64727">
              <w:rPr>
                <w:rFonts w:ascii="Times New Roman" w:hAnsi="Times New Roman"/>
                <w:noProof/>
                <w:webHidden/>
                <w:sz w:val="24"/>
                <w:szCs w:val="24"/>
              </w:rPr>
              <w:fldChar w:fldCharType="begin"/>
            </w:r>
            <w:r w:rsidR="00A6206C" w:rsidRPr="00C64727">
              <w:rPr>
                <w:rFonts w:ascii="Times New Roman" w:hAnsi="Times New Roman"/>
                <w:noProof/>
                <w:webHidden/>
                <w:sz w:val="24"/>
                <w:szCs w:val="24"/>
              </w:rPr>
              <w:instrText xml:space="preserve"> PAGEREF _Toc24093092 \h </w:instrText>
            </w:r>
            <w:r w:rsidR="00A6206C" w:rsidRPr="00C64727">
              <w:rPr>
                <w:rFonts w:ascii="Times New Roman" w:hAnsi="Times New Roman"/>
                <w:noProof/>
                <w:webHidden/>
                <w:sz w:val="24"/>
                <w:szCs w:val="24"/>
              </w:rPr>
            </w:r>
            <w:r w:rsidR="00A6206C" w:rsidRPr="00C64727">
              <w:rPr>
                <w:rFonts w:ascii="Times New Roman" w:hAnsi="Times New Roman"/>
                <w:noProof/>
                <w:webHidden/>
                <w:sz w:val="24"/>
                <w:szCs w:val="24"/>
              </w:rPr>
              <w:fldChar w:fldCharType="separate"/>
            </w:r>
            <w:r w:rsidR="00A6206C" w:rsidRPr="00C64727">
              <w:rPr>
                <w:rFonts w:ascii="Times New Roman" w:hAnsi="Times New Roman"/>
                <w:noProof/>
                <w:webHidden/>
                <w:sz w:val="24"/>
                <w:szCs w:val="24"/>
              </w:rPr>
              <w:t>22</w:t>
            </w:r>
            <w:r w:rsidR="00A6206C" w:rsidRPr="00C64727">
              <w:rPr>
                <w:rFonts w:ascii="Times New Roman" w:hAnsi="Times New Roman"/>
                <w:noProof/>
                <w:webHidden/>
                <w:sz w:val="24"/>
                <w:szCs w:val="24"/>
              </w:rPr>
              <w:fldChar w:fldCharType="end"/>
            </w:r>
          </w:hyperlink>
        </w:p>
        <w:p w14:paraId="47A75305" w14:textId="3F53CA3B" w:rsidR="00A6206C" w:rsidRPr="00C64727" w:rsidRDefault="00A747DC">
          <w:pPr>
            <w:pStyle w:val="TOC3"/>
            <w:tabs>
              <w:tab w:val="right" w:leader="dot" w:pos="9016"/>
            </w:tabs>
            <w:rPr>
              <w:rFonts w:ascii="Times New Roman" w:eastAsiaTheme="minorEastAsia" w:hAnsi="Times New Roman"/>
              <w:noProof/>
              <w:sz w:val="24"/>
              <w:szCs w:val="24"/>
              <w:lang w:eastAsia="hu-HU"/>
            </w:rPr>
          </w:pPr>
          <w:hyperlink w:anchor="_Toc24093093" w:history="1">
            <w:r w:rsidR="00A6206C" w:rsidRPr="00C64727">
              <w:rPr>
                <w:rStyle w:val="Hyperlink"/>
                <w:rFonts w:ascii="Times New Roman" w:hAnsi="Times New Roman"/>
                <w:noProof/>
                <w:sz w:val="24"/>
                <w:szCs w:val="24"/>
              </w:rPr>
              <w:t>3.1.3. Nemzetközi jóváírások</w:t>
            </w:r>
            <w:r w:rsidR="00A6206C" w:rsidRPr="00C64727">
              <w:rPr>
                <w:rFonts w:ascii="Times New Roman" w:hAnsi="Times New Roman"/>
                <w:noProof/>
                <w:webHidden/>
                <w:sz w:val="24"/>
                <w:szCs w:val="24"/>
              </w:rPr>
              <w:tab/>
            </w:r>
            <w:r w:rsidR="00A6206C" w:rsidRPr="00C64727">
              <w:rPr>
                <w:rFonts w:ascii="Times New Roman" w:hAnsi="Times New Roman"/>
                <w:noProof/>
                <w:webHidden/>
                <w:sz w:val="24"/>
                <w:szCs w:val="24"/>
              </w:rPr>
              <w:fldChar w:fldCharType="begin"/>
            </w:r>
            <w:r w:rsidR="00A6206C" w:rsidRPr="00C64727">
              <w:rPr>
                <w:rFonts w:ascii="Times New Roman" w:hAnsi="Times New Roman"/>
                <w:noProof/>
                <w:webHidden/>
                <w:sz w:val="24"/>
                <w:szCs w:val="24"/>
              </w:rPr>
              <w:instrText xml:space="preserve"> PAGEREF _Toc24093093 \h </w:instrText>
            </w:r>
            <w:r w:rsidR="00A6206C" w:rsidRPr="00C64727">
              <w:rPr>
                <w:rFonts w:ascii="Times New Roman" w:hAnsi="Times New Roman"/>
                <w:noProof/>
                <w:webHidden/>
                <w:sz w:val="24"/>
                <w:szCs w:val="24"/>
              </w:rPr>
            </w:r>
            <w:r w:rsidR="00A6206C" w:rsidRPr="00C64727">
              <w:rPr>
                <w:rFonts w:ascii="Times New Roman" w:hAnsi="Times New Roman"/>
                <w:noProof/>
                <w:webHidden/>
                <w:sz w:val="24"/>
                <w:szCs w:val="24"/>
              </w:rPr>
              <w:fldChar w:fldCharType="separate"/>
            </w:r>
            <w:r w:rsidR="00A6206C" w:rsidRPr="00C64727">
              <w:rPr>
                <w:rFonts w:ascii="Times New Roman" w:hAnsi="Times New Roman"/>
                <w:noProof/>
                <w:webHidden/>
                <w:sz w:val="24"/>
                <w:szCs w:val="24"/>
              </w:rPr>
              <w:t>25</w:t>
            </w:r>
            <w:r w:rsidR="00A6206C" w:rsidRPr="00C64727">
              <w:rPr>
                <w:rFonts w:ascii="Times New Roman" w:hAnsi="Times New Roman"/>
                <w:noProof/>
                <w:webHidden/>
                <w:sz w:val="24"/>
                <w:szCs w:val="24"/>
              </w:rPr>
              <w:fldChar w:fldCharType="end"/>
            </w:r>
          </w:hyperlink>
        </w:p>
        <w:p w14:paraId="7928B783" w14:textId="5B2EF90A" w:rsidR="00A6206C" w:rsidRPr="00C64727" w:rsidRDefault="00A747DC">
          <w:pPr>
            <w:pStyle w:val="TOC2"/>
            <w:tabs>
              <w:tab w:val="right" w:leader="dot" w:pos="9016"/>
            </w:tabs>
            <w:rPr>
              <w:rFonts w:ascii="Times New Roman" w:eastAsiaTheme="minorEastAsia" w:hAnsi="Times New Roman"/>
              <w:noProof/>
              <w:sz w:val="24"/>
              <w:szCs w:val="24"/>
              <w:lang w:eastAsia="hu-HU"/>
            </w:rPr>
          </w:pPr>
          <w:hyperlink w:anchor="_Toc24093094" w:history="1">
            <w:r w:rsidR="00A6206C" w:rsidRPr="00C64727">
              <w:rPr>
                <w:rStyle w:val="Hyperlink"/>
                <w:rFonts w:ascii="Times New Roman" w:hAnsi="Times New Roman"/>
                <w:noProof/>
                <w:sz w:val="24"/>
                <w:szCs w:val="24"/>
              </w:rPr>
              <w:t>3.2. Kereslet: a forgalomból kivont kibocsátási egységek</w:t>
            </w:r>
            <w:r w:rsidR="00A6206C" w:rsidRPr="00C64727">
              <w:rPr>
                <w:rFonts w:ascii="Times New Roman" w:hAnsi="Times New Roman"/>
                <w:noProof/>
                <w:webHidden/>
                <w:sz w:val="24"/>
                <w:szCs w:val="24"/>
              </w:rPr>
              <w:tab/>
            </w:r>
            <w:r w:rsidR="00A6206C" w:rsidRPr="00C64727">
              <w:rPr>
                <w:rFonts w:ascii="Times New Roman" w:hAnsi="Times New Roman"/>
                <w:noProof/>
                <w:webHidden/>
                <w:sz w:val="24"/>
                <w:szCs w:val="24"/>
              </w:rPr>
              <w:fldChar w:fldCharType="begin"/>
            </w:r>
            <w:r w:rsidR="00A6206C" w:rsidRPr="00C64727">
              <w:rPr>
                <w:rFonts w:ascii="Times New Roman" w:hAnsi="Times New Roman"/>
                <w:noProof/>
                <w:webHidden/>
                <w:sz w:val="24"/>
                <w:szCs w:val="24"/>
              </w:rPr>
              <w:instrText xml:space="preserve"> PAGEREF _Toc24093094 \h </w:instrText>
            </w:r>
            <w:r w:rsidR="00A6206C" w:rsidRPr="00C64727">
              <w:rPr>
                <w:rFonts w:ascii="Times New Roman" w:hAnsi="Times New Roman"/>
                <w:noProof/>
                <w:webHidden/>
                <w:sz w:val="24"/>
                <w:szCs w:val="24"/>
              </w:rPr>
            </w:r>
            <w:r w:rsidR="00A6206C" w:rsidRPr="00C64727">
              <w:rPr>
                <w:rFonts w:ascii="Times New Roman" w:hAnsi="Times New Roman"/>
                <w:noProof/>
                <w:webHidden/>
                <w:sz w:val="24"/>
                <w:szCs w:val="24"/>
              </w:rPr>
              <w:fldChar w:fldCharType="separate"/>
            </w:r>
            <w:r w:rsidR="00A6206C" w:rsidRPr="00C64727">
              <w:rPr>
                <w:rFonts w:ascii="Times New Roman" w:hAnsi="Times New Roman"/>
                <w:noProof/>
                <w:webHidden/>
                <w:sz w:val="24"/>
                <w:szCs w:val="24"/>
              </w:rPr>
              <w:t>26</w:t>
            </w:r>
            <w:r w:rsidR="00A6206C" w:rsidRPr="00C64727">
              <w:rPr>
                <w:rFonts w:ascii="Times New Roman" w:hAnsi="Times New Roman"/>
                <w:noProof/>
                <w:webHidden/>
                <w:sz w:val="24"/>
                <w:szCs w:val="24"/>
              </w:rPr>
              <w:fldChar w:fldCharType="end"/>
            </w:r>
          </w:hyperlink>
        </w:p>
        <w:p w14:paraId="2A150E7C" w14:textId="52F29B31" w:rsidR="00A6206C" w:rsidRPr="00C64727" w:rsidRDefault="00A747DC">
          <w:pPr>
            <w:pStyle w:val="TOC2"/>
            <w:tabs>
              <w:tab w:val="right" w:leader="dot" w:pos="9016"/>
            </w:tabs>
            <w:rPr>
              <w:rFonts w:ascii="Times New Roman" w:eastAsiaTheme="minorEastAsia" w:hAnsi="Times New Roman"/>
              <w:noProof/>
              <w:sz w:val="24"/>
              <w:szCs w:val="24"/>
              <w:lang w:eastAsia="hu-HU"/>
            </w:rPr>
          </w:pPr>
          <w:hyperlink w:anchor="_Toc24093095" w:history="1">
            <w:r w:rsidR="00A6206C" w:rsidRPr="00C64727">
              <w:rPr>
                <w:rStyle w:val="Hyperlink"/>
                <w:rFonts w:ascii="Times New Roman" w:hAnsi="Times New Roman"/>
                <w:noProof/>
                <w:sz w:val="24"/>
                <w:szCs w:val="24"/>
              </w:rPr>
              <w:t>3.3. A kereslet és a kínálat egyensúlyba hozása</w:t>
            </w:r>
            <w:r w:rsidR="00A6206C" w:rsidRPr="00C64727">
              <w:rPr>
                <w:rFonts w:ascii="Times New Roman" w:hAnsi="Times New Roman"/>
                <w:noProof/>
                <w:webHidden/>
                <w:sz w:val="24"/>
                <w:szCs w:val="24"/>
              </w:rPr>
              <w:tab/>
            </w:r>
            <w:r w:rsidR="00A6206C" w:rsidRPr="00C64727">
              <w:rPr>
                <w:rFonts w:ascii="Times New Roman" w:hAnsi="Times New Roman"/>
                <w:noProof/>
                <w:webHidden/>
                <w:sz w:val="24"/>
                <w:szCs w:val="24"/>
              </w:rPr>
              <w:fldChar w:fldCharType="begin"/>
            </w:r>
            <w:r w:rsidR="00A6206C" w:rsidRPr="00C64727">
              <w:rPr>
                <w:rFonts w:ascii="Times New Roman" w:hAnsi="Times New Roman"/>
                <w:noProof/>
                <w:webHidden/>
                <w:sz w:val="24"/>
                <w:szCs w:val="24"/>
              </w:rPr>
              <w:instrText xml:space="preserve"> PAGEREF _Toc24093095 \h </w:instrText>
            </w:r>
            <w:r w:rsidR="00A6206C" w:rsidRPr="00C64727">
              <w:rPr>
                <w:rFonts w:ascii="Times New Roman" w:hAnsi="Times New Roman"/>
                <w:noProof/>
                <w:webHidden/>
                <w:sz w:val="24"/>
                <w:szCs w:val="24"/>
              </w:rPr>
            </w:r>
            <w:r w:rsidR="00A6206C" w:rsidRPr="00C64727">
              <w:rPr>
                <w:rFonts w:ascii="Times New Roman" w:hAnsi="Times New Roman"/>
                <w:noProof/>
                <w:webHidden/>
                <w:sz w:val="24"/>
                <w:szCs w:val="24"/>
              </w:rPr>
              <w:fldChar w:fldCharType="separate"/>
            </w:r>
            <w:r w:rsidR="00A6206C" w:rsidRPr="00C64727">
              <w:rPr>
                <w:rFonts w:ascii="Times New Roman" w:hAnsi="Times New Roman"/>
                <w:noProof/>
                <w:webHidden/>
                <w:sz w:val="24"/>
                <w:szCs w:val="24"/>
              </w:rPr>
              <w:t>27</w:t>
            </w:r>
            <w:r w:rsidR="00A6206C" w:rsidRPr="00C64727">
              <w:rPr>
                <w:rFonts w:ascii="Times New Roman" w:hAnsi="Times New Roman"/>
                <w:noProof/>
                <w:webHidden/>
                <w:sz w:val="24"/>
                <w:szCs w:val="24"/>
              </w:rPr>
              <w:fldChar w:fldCharType="end"/>
            </w:r>
          </w:hyperlink>
        </w:p>
        <w:p w14:paraId="04D96220" w14:textId="1F276C84" w:rsidR="00A6206C" w:rsidRPr="00C64727" w:rsidRDefault="00A747DC">
          <w:pPr>
            <w:pStyle w:val="TOC1"/>
            <w:rPr>
              <w:rFonts w:ascii="Times New Roman" w:eastAsiaTheme="minorEastAsia" w:hAnsi="Times New Roman"/>
              <w:noProof/>
              <w:sz w:val="24"/>
              <w:szCs w:val="24"/>
              <w:lang w:eastAsia="hu-HU"/>
            </w:rPr>
          </w:pPr>
          <w:hyperlink w:anchor="_Toc24093096" w:history="1">
            <w:r w:rsidR="00A6206C" w:rsidRPr="00C64727">
              <w:rPr>
                <w:rStyle w:val="Hyperlink"/>
                <w:rFonts w:ascii="Times New Roman" w:hAnsi="Times New Roman"/>
                <w:noProof/>
                <w:sz w:val="24"/>
                <w:szCs w:val="24"/>
              </w:rPr>
              <w:t>4. LÉGI KÖZLEKEDÉS</w:t>
            </w:r>
            <w:r w:rsidR="00A6206C" w:rsidRPr="00C64727">
              <w:rPr>
                <w:rFonts w:ascii="Times New Roman" w:hAnsi="Times New Roman"/>
                <w:noProof/>
                <w:webHidden/>
                <w:sz w:val="24"/>
                <w:szCs w:val="24"/>
              </w:rPr>
              <w:tab/>
            </w:r>
            <w:r w:rsidR="00A6206C" w:rsidRPr="00C64727">
              <w:rPr>
                <w:rFonts w:ascii="Times New Roman" w:hAnsi="Times New Roman"/>
                <w:noProof/>
                <w:webHidden/>
                <w:sz w:val="24"/>
                <w:szCs w:val="24"/>
              </w:rPr>
              <w:fldChar w:fldCharType="begin"/>
            </w:r>
            <w:r w:rsidR="00A6206C" w:rsidRPr="00C64727">
              <w:rPr>
                <w:rFonts w:ascii="Times New Roman" w:hAnsi="Times New Roman"/>
                <w:noProof/>
                <w:webHidden/>
                <w:sz w:val="24"/>
                <w:szCs w:val="24"/>
              </w:rPr>
              <w:instrText xml:space="preserve"> PAGEREF _Toc24093096 \h </w:instrText>
            </w:r>
            <w:r w:rsidR="00A6206C" w:rsidRPr="00C64727">
              <w:rPr>
                <w:rFonts w:ascii="Times New Roman" w:hAnsi="Times New Roman"/>
                <w:noProof/>
                <w:webHidden/>
                <w:sz w:val="24"/>
                <w:szCs w:val="24"/>
              </w:rPr>
            </w:r>
            <w:r w:rsidR="00A6206C" w:rsidRPr="00C64727">
              <w:rPr>
                <w:rFonts w:ascii="Times New Roman" w:hAnsi="Times New Roman"/>
                <w:noProof/>
                <w:webHidden/>
                <w:sz w:val="24"/>
                <w:szCs w:val="24"/>
              </w:rPr>
              <w:fldChar w:fldCharType="separate"/>
            </w:r>
            <w:r w:rsidR="00A6206C" w:rsidRPr="00C64727">
              <w:rPr>
                <w:rFonts w:ascii="Times New Roman" w:hAnsi="Times New Roman"/>
                <w:noProof/>
                <w:webHidden/>
                <w:sz w:val="24"/>
                <w:szCs w:val="24"/>
              </w:rPr>
              <w:t>30</w:t>
            </w:r>
            <w:r w:rsidR="00A6206C" w:rsidRPr="00C64727">
              <w:rPr>
                <w:rFonts w:ascii="Times New Roman" w:hAnsi="Times New Roman"/>
                <w:noProof/>
                <w:webHidden/>
                <w:sz w:val="24"/>
                <w:szCs w:val="24"/>
              </w:rPr>
              <w:fldChar w:fldCharType="end"/>
            </w:r>
          </w:hyperlink>
        </w:p>
        <w:p w14:paraId="22960625" w14:textId="7AF42964" w:rsidR="00A6206C" w:rsidRPr="00C64727" w:rsidRDefault="00A747DC">
          <w:pPr>
            <w:pStyle w:val="TOC1"/>
            <w:rPr>
              <w:rFonts w:ascii="Times New Roman" w:eastAsiaTheme="minorEastAsia" w:hAnsi="Times New Roman"/>
              <w:noProof/>
              <w:sz w:val="24"/>
              <w:szCs w:val="24"/>
              <w:lang w:eastAsia="hu-HU"/>
            </w:rPr>
          </w:pPr>
          <w:hyperlink w:anchor="_Toc24093097" w:history="1">
            <w:r w:rsidR="00A6206C" w:rsidRPr="00C64727">
              <w:rPr>
                <w:rStyle w:val="Hyperlink"/>
                <w:rFonts w:ascii="Times New Roman" w:hAnsi="Times New Roman"/>
                <w:noProof/>
                <w:sz w:val="24"/>
                <w:szCs w:val="24"/>
              </w:rPr>
              <w:t>5. PIACFELÜGYELET</w:t>
            </w:r>
            <w:r w:rsidR="00A6206C" w:rsidRPr="00C64727">
              <w:rPr>
                <w:rFonts w:ascii="Times New Roman" w:hAnsi="Times New Roman"/>
                <w:noProof/>
                <w:webHidden/>
                <w:sz w:val="24"/>
                <w:szCs w:val="24"/>
              </w:rPr>
              <w:tab/>
            </w:r>
            <w:r w:rsidR="00A6206C" w:rsidRPr="00C64727">
              <w:rPr>
                <w:rFonts w:ascii="Times New Roman" w:hAnsi="Times New Roman"/>
                <w:noProof/>
                <w:webHidden/>
                <w:sz w:val="24"/>
                <w:szCs w:val="24"/>
              </w:rPr>
              <w:fldChar w:fldCharType="begin"/>
            </w:r>
            <w:r w:rsidR="00A6206C" w:rsidRPr="00C64727">
              <w:rPr>
                <w:rFonts w:ascii="Times New Roman" w:hAnsi="Times New Roman"/>
                <w:noProof/>
                <w:webHidden/>
                <w:sz w:val="24"/>
                <w:szCs w:val="24"/>
              </w:rPr>
              <w:instrText xml:space="preserve"> PAGEREF _Toc24093097 \h </w:instrText>
            </w:r>
            <w:r w:rsidR="00A6206C" w:rsidRPr="00C64727">
              <w:rPr>
                <w:rFonts w:ascii="Times New Roman" w:hAnsi="Times New Roman"/>
                <w:noProof/>
                <w:webHidden/>
                <w:sz w:val="24"/>
                <w:szCs w:val="24"/>
              </w:rPr>
            </w:r>
            <w:r w:rsidR="00A6206C" w:rsidRPr="00C64727">
              <w:rPr>
                <w:rFonts w:ascii="Times New Roman" w:hAnsi="Times New Roman"/>
                <w:noProof/>
                <w:webHidden/>
                <w:sz w:val="24"/>
                <w:szCs w:val="24"/>
              </w:rPr>
              <w:fldChar w:fldCharType="separate"/>
            </w:r>
            <w:r w:rsidR="00A6206C" w:rsidRPr="00C64727">
              <w:rPr>
                <w:rFonts w:ascii="Times New Roman" w:hAnsi="Times New Roman"/>
                <w:noProof/>
                <w:webHidden/>
                <w:sz w:val="24"/>
                <w:szCs w:val="24"/>
              </w:rPr>
              <w:t>33</w:t>
            </w:r>
            <w:r w:rsidR="00A6206C" w:rsidRPr="00C64727">
              <w:rPr>
                <w:rFonts w:ascii="Times New Roman" w:hAnsi="Times New Roman"/>
                <w:noProof/>
                <w:webHidden/>
                <w:sz w:val="24"/>
                <w:szCs w:val="24"/>
              </w:rPr>
              <w:fldChar w:fldCharType="end"/>
            </w:r>
          </w:hyperlink>
        </w:p>
        <w:p w14:paraId="70768CD5" w14:textId="45760E4A" w:rsidR="00A6206C" w:rsidRPr="00C64727" w:rsidRDefault="00A747DC">
          <w:pPr>
            <w:pStyle w:val="TOC2"/>
            <w:tabs>
              <w:tab w:val="right" w:leader="dot" w:pos="9016"/>
            </w:tabs>
            <w:rPr>
              <w:rFonts w:ascii="Times New Roman" w:eastAsiaTheme="minorEastAsia" w:hAnsi="Times New Roman"/>
              <w:noProof/>
              <w:sz w:val="24"/>
              <w:szCs w:val="24"/>
              <w:lang w:eastAsia="hu-HU"/>
            </w:rPr>
          </w:pPr>
          <w:hyperlink w:anchor="_Toc24093098" w:history="1">
            <w:r w:rsidR="00A6206C" w:rsidRPr="00C64727">
              <w:rPr>
                <w:rStyle w:val="Hyperlink"/>
                <w:rFonts w:ascii="Times New Roman" w:hAnsi="Times New Roman"/>
                <w:noProof/>
                <w:sz w:val="24"/>
                <w:szCs w:val="24"/>
              </w:rPr>
              <w:t>5.1. A kibocsátási egységek jogi természete és adóügyi elbírálása</w:t>
            </w:r>
            <w:r w:rsidR="00A6206C" w:rsidRPr="00C64727">
              <w:rPr>
                <w:rFonts w:ascii="Times New Roman" w:hAnsi="Times New Roman"/>
                <w:noProof/>
                <w:webHidden/>
                <w:sz w:val="24"/>
                <w:szCs w:val="24"/>
              </w:rPr>
              <w:tab/>
            </w:r>
            <w:r w:rsidR="00A6206C" w:rsidRPr="00C64727">
              <w:rPr>
                <w:rFonts w:ascii="Times New Roman" w:hAnsi="Times New Roman"/>
                <w:noProof/>
                <w:webHidden/>
                <w:sz w:val="24"/>
                <w:szCs w:val="24"/>
              </w:rPr>
              <w:fldChar w:fldCharType="begin"/>
            </w:r>
            <w:r w:rsidR="00A6206C" w:rsidRPr="00C64727">
              <w:rPr>
                <w:rFonts w:ascii="Times New Roman" w:hAnsi="Times New Roman"/>
                <w:noProof/>
                <w:webHidden/>
                <w:sz w:val="24"/>
                <w:szCs w:val="24"/>
              </w:rPr>
              <w:instrText xml:space="preserve"> PAGEREF _Toc24093098 \h </w:instrText>
            </w:r>
            <w:r w:rsidR="00A6206C" w:rsidRPr="00C64727">
              <w:rPr>
                <w:rFonts w:ascii="Times New Roman" w:hAnsi="Times New Roman"/>
                <w:noProof/>
                <w:webHidden/>
                <w:sz w:val="24"/>
                <w:szCs w:val="24"/>
              </w:rPr>
            </w:r>
            <w:r w:rsidR="00A6206C" w:rsidRPr="00C64727">
              <w:rPr>
                <w:rFonts w:ascii="Times New Roman" w:hAnsi="Times New Roman"/>
                <w:noProof/>
                <w:webHidden/>
                <w:sz w:val="24"/>
                <w:szCs w:val="24"/>
              </w:rPr>
              <w:fldChar w:fldCharType="separate"/>
            </w:r>
            <w:r w:rsidR="00A6206C" w:rsidRPr="00C64727">
              <w:rPr>
                <w:rFonts w:ascii="Times New Roman" w:hAnsi="Times New Roman"/>
                <w:noProof/>
                <w:webHidden/>
                <w:sz w:val="24"/>
                <w:szCs w:val="24"/>
              </w:rPr>
              <w:t>34</w:t>
            </w:r>
            <w:r w:rsidR="00A6206C" w:rsidRPr="00C64727">
              <w:rPr>
                <w:rFonts w:ascii="Times New Roman" w:hAnsi="Times New Roman"/>
                <w:noProof/>
                <w:webHidden/>
                <w:sz w:val="24"/>
                <w:szCs w:val="24"/>
              </w:rPr>
              <w:fldChar w:fldCharType="end"/>
            </w:r>
          </w:hyperlink>
        </w:p>
        <w:p w14:paraId="0F05CDF4" w14:textId="1F1AB89E" w:rsidR="00A6206C" w:rsidRPr="00C64727" w:rsidRDefault="00A747DC">
          <w:pPr>
            <w:pStyle w:val="TOC1"/>
            <w:rPr>
              <w:rFonts w:ascii="Times New Roman" w:eastAsiaTheme="minorEastAsia" w:hAnsi="Times New Roman"/>
              <w:noProof/>
              <w:sz w:val="24"/>
              <w:szCs w:val="24"/>
              <w:lang w:eastAsia="hu-HU"/>
            </w:rPr>
          </w:pPr>
          <w:hyperlink w:anchor="_Toc24093099" w:history="1">
            <w:r w:rsidR="00A6206C" w:rsidRPr="00C64727">
              <w:rPr>
                <w:rStyle w:val="Hyperlink"/>
                <w:rFonts w:ascii="Times New Roman" w:hAnsi="Times New Roman"/>
                <w:noProof/>
                <w:sz w:val="24"/>
                <w:szCs w:val="24"/>
              </w:rPr>
              <w:t>6. A KIBOCSÁTÁSOK NYOMON KÖVETÉSE, JELENTÉSE ÉS HITELESÍTÉSE</w:t>
            </w:r>
            <w:r w:rsidR="00A6206C" w:rsidRPr="00C64727">
              <w:rPr>
                <w:rFonts w:ascii="Times New Roman" w:hAnsi="Times New Roman"/>
                <w:noProof/>
                <w:webHidden/>
                <w:sz w:val="24"/>
                <w:szCs w:val="24"/>
              </w:rPr>
              <w:tab/>
            </w:r>
            <w:r w:rsidR="00A6206C" w:rsidRPr="00C64727">
              <w:rPr>
                <w:rFonts w:ascii="Times New Roman" w:hAnsi="Times New Roman"/>
                <w:noProof/>
                <w:webHidden/>
                <w:sz w:val="24"/>
                <w:szCs w:val="24"/>
              </w:rPr>
              <w:fldChar w:fldCharType="begin"/>
            </w:r>
            <w:r w:rsidR="00A6206C" w:rsidRPr="00C64727">
              <w:rPr>
                <w:rFonts w:ascii="Times New Roman" w:hAnsi="Times New Roman"/>
                <w:noProof/>
                <w:webHidden/>
                <w:sz w:val="24"/>
                <w:szCs w:val="24"/>
              </w:rPr>
              <w:instrText xml:space="preserve"> PAGEREF _Toc24093099 \h </w:instrText>
            </w:r>
            <w:r w:rsidR="00A6206C" w:rsidRPr="00C64727">
              <w:rPr>
                <w:rFonts w:ascii="Times New Roman" w:hAnsi="Times New Roman"/>
                <w:noProof/>
                <w:webHidden/>
                <w:sz w:val="24"/>
                <w:szCs w:val="24"/>
              </w:rPr>
            </w:r>
            <w:r w:rsidR="00A6206C" w:rsidRPr="00C64727">
              <w:rPr>
                <w:rFonts w:ascii="Times New Roman" w:hAnsi="Times New Roman"/>
                <w:noProof/>
                <w:webHidden/>
                <w:sz w:val="24"/>
                <w:szCs w:val="24"/>
              </w:rPr>
              <w:fldChar w:fldCharType="separate"/>
            </w:r>
            <w:r w:rsidR="00A6206C" w:rsidRPr="00C64727">
              <w:rPr>
                <w:rFonts w:ascii="Times New Roman" w:hAnsi="Times New Roman"/>
                <w:noProof/>
                <w:webHidden/>
                <w:sz w:val="24"/>
                <w:szCs w:val="24"/>
              </w:rPr>
              <w:t>36</w:t>
            </w:r>
            <w:r w:rsidR="00A6206C" w:rsidRPr="00C64727">
              <w:rPr>
                <w:rFonts w:ascii="Times New Roman" w:hAnsi="Times New Roman"/>
                <w:noProof/>
                <w:webHidden/>
                <w:sz w:val="24"/>
                <w:szCs w:val="24"/>
              </w:rPr>
              <w:fldChar w:fldCharType="end"/>
            </w:r>
          </w:hyperlink>
        </w:p>
        <w:p w14:paraId="6CBAC5CE" w14:textId="7B41E28C" w:rsidR="00A6206C" w:rsidRPr="00C64727" w:rsidRDefault="00A747DC">
          <w:pPr>
            <w:pStyle w:val="TOC1"/>
            <w:rPr>
              <w:rFonts w:ascii="Times New Roman" w:eastAsiaTheme="minorEastAsia" w:hAnsi="Times New Roman"/>
              <w:noProof/>
              <w:sz w:val="24"/>
              <w:szCs w:val="24"/>
              <w:lang w:eastAsia="hu-HU"/>
            </w:rPr>
          </w:pPr>
          <w:hyperlink w:anchor="_Toc24093100" w:history="1">
            <w:r w:rsidR="00A6206C" w:rsidRPr="00C64727">
              <w:rPr>
                <w:rStyle w:val="Hyperlink"/>
                <w:rFonts w:ascii="Times New Roman" w:hAnsi="Times New Roman"/>
                <w:noProof/>
                <w:sz w:val="24"/>
                <w:szCs w:val="24"/>
              </w:rPr>
              <w:t>7. AZ IGAZGATÁSI RENDSZEREK ÁTTEKINTÉSE</w:t>
            </w:r>
            <w:r w:rsidR="00A6206C" w:rsidRPr="00C64727">
              <w:rPr>
                <w:rFonts w:ascii="Times New Roman" w:hAnsi="Times New Roman"/>
                <w:noProof/>
                <w:webHidden/>
                <w:sz w:val="24"/>
                <w:szCs w:val="24"/>
              </w:rPr>
              <w:tab/>
            </w:r>
            <w:r w:rsidR="00A6206C" w:rsidRPr="00C64727">
              <w:rPr>
                <w:rFonts w:ascii="Times New Roman" w:hAnsi="Times New Roman"/>
                <w:noProof/>
                <w:webHidden/>
                <w:sz w:val="24"/>
                <w:szCs w:val="24"/>
              </w:rPr>
              <w:fldChar w:fldCharType="begin"/>
            </w:r>
            <w:r w:rsidR="00A6206C" w:rsidRPr="00C64727">
              <w:rPr>
                <w:rFonts w:ascii="Times New Roman" w:hAnsi="Times New Roman"/>
                <w:noProof/>
                <w:webHidden/>
                <w:sz w:val="24"/>
                <w:szCs w:val="24"/>
              </w:rPr>
              <w:instrText xml:space="preserve"> PAGEREF _Toc24093100 \h </w:instrText>
            </w:r>
            <w:r w:rsidR="00A6206C" w:rsidRPr="00C64727">
              <w:rPr>
                <w:rFonts w:ascii="Times New Roman" w:hAnsi="Times New Roman"/>
                <w:noProof/>
                <w:webHidden/>
                <w:sz w:val="24"/>
                <w:szCs w:val="24"/>
              </w:rPr>
            </w:r>
            <w:r w:rsidR="00A6206C" w:rsidRPr="00C64727">
              <w:rPr>
                <w:rFonts w:ascii="Times New Roman" w:hAnsi="Times New Roman"/>
                <w:noProof/>
                <w:webHidden/>
                <w:sz w:val="24"/>
                <w:szCs w:val="24"/>
              </w:rPr>
              <w:fldChar w:fldCharType="separate"/>
            </w:r>
            <w:r w:rsidR="00A6206C" w:rsidRPr="00C64727">
              <w:rPr>
                <w:rFonts w:ascii="Times New Roman" w:hAnsi="Times New Roman"/>
                <w:noProof/>
                <w:webHidden/>
                <w:sz w:val="24"/>
                <w:szCs w:val="24"/>
              </w:rPr>
              <w:t>38</w:t>
            </w:r>
            <w:r w:rsidR="00A6206C" w:rsidRPr="00C64727">
              <w:rPr>
                <w:rFonts w:ascii="Times New Roman" w:hAnsi="Times New Roman"/>
                <w:noProof/>
                <w:webHidden/>
                <w:sz w:val="24"/>
                <w:szCs w:val="24"/>
              </w:rPr>
              <w:fldChar w:fldCharType="end"/>
            </w:r>
          </w:hyperlink>
        </w:p>
        <w:p w14:paraId="54436A91" w14:textId="3EFD8507" w:rsidR="00A6206C" w:rsidRPr="00C64727" w:rsidRDefault="00A747DC">
          <w:pPr>
            <w:pStyle w:val="TOC1"/>
            <w:rPr>
              <w:rFonts w:ascii="Times New Roman" w:eastAsiaTheme="minorEastAsia" w:hAnsi="Times New Roman"/>
              <w:noProof/>
              <w:sz w:val="24"/>
              <w:szCs w:val="24"/>
              <w:lang w:eastAsia="hu-HU"/>
            </w:rPr>
          </w:pPr>
          <w:hyperlink w:anchor="_Toc24093101" w:history="1">
            <w:r w:rsidR="00A6206C" w:rsidRPr="00C64727">
              <w:rPr>
                <w:rStyle w:val="Hyperlink"/>
                <w:rFonts w:ascii="Times New Roman" w:hAnsi="Times New Roman"/>
                <w:noProof/>
                <w:sz w:val="24"/>
                <w:szCs w:val="24"/>
              </w:rPr>
              <w:t>8. MEGFELELÉS ÉS VÉGREHAJTÁS</w:t>
            </w:r>
            <w:r w:rsidR="00A6206C" w:rsidRPr="00C64727">
              <w:rPr>
                <w:rFonts w:ascii="Times New Roman" w:hAnsi="Times New Roman"/>
                <w:noProof/>
                <w:webHidden/>
                <w:sz w:val="24"/>
                <w:szCs w:val="24"/>
              </w:rPr>
              <w:tab/>
            </w:r>
            <w:r w:rsidR="00A6206C" w:rsidRPr="00C64727">
              <w:rPr>
                <w:rFonts w:ascii="Times New Roman" w:hAnsi="Times New Roman"/>
                <w:noProof/>
                <w:webHidden/>
                <w:sz w:val="24"/>
                <w:szCs w:val="24"/>
              </w:rPr>
              <w:fldChar w:fldCharType="begin"/>
            </w:r>
            <w:r w:rsidR="00A6206C" w:rsidRPr="00C64727">
              <w:rPr>
                <w:rFonts w:ascii="Times New Roman" w:hAnsi="Times New Roman"/>
                <w:noProof/>
                <w:webHidden/>
                <w:sz w:val="24"/>
                <w:szCs w:val="24"/>
              </w:rPr>
              <w:instrText xml:space="preserve"> PAGEREF _Toc24093101 \h </w:instrText>
            </w:r>
            <w:r w:rsidR="00A6206C" w:rsidRPr="00C64727">
              <w:rPr>
                <w:rFonts w:ascii="Times New Roman" w:hAnsi="Times New Roman"/>
                <w:noProof/>
                <w:webHidden/>
                <w:sz w:val="24"/>
                <w:szCs w:val="24"/>
              </w:rPr>
            </w:r>
            <w:r w:rsidR="00A6206C" w:rsidRPr="00C64727">
              <w:rPr>
                <w:rFonts w:ascii="Times New Roman" w:hAnsi="Times New Roman"/>
                <w:noProof/>
                <w:webHidden/>
                <w:sz w:val="24"/>
                <w:szCs w:val="24"/>
              </w:rPr>
              <w:fldChar w:fldCharType="separate"/>
            </w:r>
            <w:r w:rsidR="00A6206C" w:rsidRPr="00C64727">
              <w:rPr>
                <w:rFonts w:ascii="Times New Roman" w:hAnsi="Times New Roman"/>
                <w:noProof/>
                <w:webHidden/>
                <w:sz w:val="24"/>
                <w:szCs w:val="24"/>
              </w:rPr>
              <w:t>39</w:t>
            </w:r>
            <w:r w:rsidR="00A6206C" w:rsidRPr="00C64727">
              <w:rPr>
                <w:rFonts w:ascii="Times New Roman" w:hAnsi="Times New Roman"/>
                <w:noProof/>
                <w:webHidden/>
                <w:sz w:val="24"/>
                <w:szCs w:val="24"/>
              </w:rPr>
              <w:fldChar w:fldCharType="end"/>
            </w:r>
          </w:hyperlink>
        </w:p>
        <w:p w14:paraId="395C2AE5" w14:textId="28069DF6" w:rsidR="00A6206C" w:rsidRPr="00C64727" w:rsidRDefault="00A747DC">
          <w:pPr>
            <w:pStyle w:val="TOC1"/>
            <w:rPr>
              <w:rFonts w:ascii="Times New Roman" w:eastAsiaTheme="minorEastAsia" w:hAnsi="Times New Roman"/>
              <w:noProof/>
              <w:sz w:val="24"/>
              <w:szCs w:val="24"/>
              <w:lang w:eastAsia="hu-HU"/>
            </w:rPr>
          </w:pPr>
          <w:hyperlink w:anchor="_Toc24093102" w:history="1">
            <w:r w:rsidR="00A6206C" w:rsidRPr="00C64727">
              <w:rPr>
                <w:rStyle w:val="Hyperlink"/>
                <w:rFonts w:ascii="Times New Roman" w:hAnsi="Times New Roman"/>
                <w:noProof/>
                <w:sz w:val="24"/>
                <w:szCs w:val="24"/>
              </w:rPr>
              <w:t>9. KÖVETKEZTETÉSEK ÉS KILÁTÁSOK</w:t>
            </w:r>
            <w:r w:rsidR="00A6206C" w:rsidRPr="00C64727">
              <w:rPr>
                <w:rFonts w:ascii="Times New Roman" w:hAnsi="Times New Roman"/>
                <w:noProof/>
                <w:webHidden/>
                <w:sz w:val="24"/>
                <w:szCs w:val="24"/>
              </w:rPr>
              <w:tab/>
            </w:r>
            <w:r w:rsidR="00A6206C" w:rsidRPr="00C64727">
              <w:rPr>
                <w:rFonts w:ascii="Times New Roman" w:hAnsi="Times New Roman"/>
                <w:noProof/>
                <w:webHidden/>
                <w:sz w:val="24"/>
                <w:szCs w:val="24"/>
              </w:rPr>
              <w:fldChar w:fldCharType="begin"/>
            </w:r>
            <w:r w:rsidR="00A6206C" w:rsidRPr="00C64727">
              <w:rPr>
                <w:rFonts w:ascii="Times New Roman" w:hAnsi="Times New Roman"/>
                <w:noProof/>
                <w:webHidden/>
                <w:sz w:val="24"/>
                <w:szCs w:val="24"/>
              </w:rPr>
              <w:instrText xml:space="preserve"> PAGEREF _Toc24093102 \h </w:instrText>
            </w:r>
            <w:r w:rsidR="00A6206C" w:rsidRPr="00C64727">
              <w:rPr>
                <w:rFonts w:ascii="Times New Roman" w:hAnsi="Times New Roman"/>
                <w:noProof/>
                <w:webHidden/>
                <w:sz w:val="24"/>
                <w:szCs w:val="24"/>
              </w:rPr>
            </w:r>
            <w:r w:rsidR="00A6206C" w:rsidRPr="00C64727">
              <w:rPr>
                <w:rFonts w:ascii="Times New Roman" w:hAnsi="Times New Roman"/>
                <w:noProof/>
                <w:webHidden/>
                <w:sz w:val="24"/>
                <w:szCs w:val="24"/>
              </w:rPr>
              <w:fldChar w:fldCharType="separate"/>
            </w:r>
            <w:r w:rsidR="00A6206C" w:rsidRPr="00C64727">
              <w:rPr>
                <w:rFonts w:ascii="Times New Roman" w:hAnsi="Times New Roman"/>
                <w:noProof/>
                <w:webHidden/>
                <w:sz w:val="24"/>
                <w:szCs w:val="24"/>
              </w:rPr>
              <w:t>40</w:t>
            </w:r>
            <w:r w:rsidR="00A6206C" w:rsidRPr="00C64727">
              <w:rPr>
                <w:rFonts w:ascii="Times New Roman" w:hAnsi="Times New Roman"/>
                <w:noProof/>
                <w:webHidden/>
                <w:sz w:val="24"/>
                <w:szCs w:val="24"/>
              </w:rPr>
              <w:fldChar w:fldCharType="end"/>
            </w:r>
          </w:hyperlink>
        </w:p>
        <w:p w14:paraId="1FE67473" w14:textId="647BB19B" w:rsidR="00A6206C" w:rsidRPr="00C64727" w:rsidRDefault="00A747DC">
          <w:pPr>
            <w:pStyle w:val="TOC1"/>
            <w:rPr>
              <w:rFonts w:ascii="Times New Roman" w:eastAsiaTheme="minorEastAsia" w:hAnsi="Times New Roman"/>
              <w:noProof/>
              <w:sz w:val="24"/>
              <w:szCs w:val="24"/>
              <w:lang w:eastAsia="hu-HU"/>
            </w:rPr>
          </w:pPr>
          <w:hyperlink w:anchor="_Toc24093103" w:history="1">
            <w:r w:rsidR="00A6206C" w:rsidRPr="00C64727">
              <w:rPr>
                <w:rStyle w:val="Hyperlink"/>
                <w:rFonts w:ascii="Times New Roman" w:hAnsi="Times New Roman"/>
                <w:noProof/>
                <w:sz w:val="24"/>
                <w:szCs w:val="24"/>
              </w:rPr>
              <w:t>MELLÉKLET</w:t>
            </w:r>
            <w:r w:rsidR="00A6206C" w:rsidRPr="00C64727">
              <w:rPr>
                <w:rFonts w:ascii="Times New Roman" w:hAnsi="Times New Roman"/>
                <w:noProof/>
                <w:webHidden/>
                <w:sz w:val="24"/>
                <w:szCs w:val="24"/>
              </w:rPr>
              <w:tab/>
            </w:r>
            <w:r w:rsidR="00A6206C" w:rsidRPr="00C64727">
              <w:rPr>
                <w:rFonts w:ascii="Times New Roman" w:hAnsi="Times New Roman"/>
                <w:noProof/>
                <w:webHidden/>
                <w:sz w:val="24"/>
                <w:szCs w:val="24"/>
              </w:rPr>
              <w:fldChar w:fldCharType="begin"/>
            </w:r>
            <w:r w:rsidR="00A6206C" w:rsidRPr="00C64727">
              <w:rPr>
                <w:rFonts w:ascii="Times New Roman" w:hAnsi="Times New Roman"/>
                <w:noProof/>
                <w:webHidden/>
                <w:sz w:val="24"/>
                <w:szCs w:val="24"/>
              </w:rPr>
              <w:instrText xml:space="preserve"> PAGEREF _Toc24093103 \h </w:instrText>
            </w:r>
            <w:r w:rsidR="00A6206C" w:rsidRPr="00C64727">
              <w:rPr>
                <w:rFonts w:ascii="Times New Roman" w:hAnsi="Times New Roman"/>
                <w:noProof/>
                <w:webHidden/>
                <w:sz w:val="24"/>
                <w:szCs w:val="24"/>
              </w:rPr>
            </w:r>
            <w:r w:rsidR="00A6206C" w:rsidRPr="00C64727">
              <w:rPr>
                <w:rFonts w:ascii="Times New Roman" w:hAnsi="Times New Roman"/>
                <w:noProof/>
                <w:webHidden/>
                <w:sz w:val="24"/>
                <w:szCs w:val="24"/>
              </w:rPr>
              <w:fldChar w:fldCharType="separate"/>
            </w:r>
            <w:r w:rsidR="00A6206C" w:rsidRPr="00C64727">
              <w:rPr>
                <w:rFonts w:ascii="Times New Roman" w:hAnsi="Times New Roman"/>
                <w:noProof/>
                <w:webHidden/>
                <w:sz w:val="24"/>
                <w:szCs w:val="24"/>
              </w:rPr>
              <w:t>42</w:t>
            </w:r>
            <w:r w:rsidR="00A6206C" w:rsidRPr="00C64727">
              <w:rPr>
                <w:rFonts w:ascii="Times New Roman" w:hAnsi="Times New Roman"/>
                <w:noProof/>
                <w:webHidden/>
                <w:sz w:val="24"/>
                <w:szCs w:val="24"/>
              </w:rPr>
              <w:fldChar w:fldCharType="end"/>
            </w:r>
          </w:hyperlink>
        </w:p>
        <w:p w14:paraId="69D168AE" w14:textId="3B9AEF8C" w:rsidR="0067338B" w:rsidRPr="00C64727" w:rsidRDefault="000A23BB">
          <w:pPr>
            <w:rPr>
              <w:rFonts w:ascii="Times New Roman" w:hAnsi="Times New Roman"/>
              <w:sz w:val="24"/>
              <w:szCs w:val="24"/>
            </w:rPr>
          </w:pPr>
          <w:r w:rsidRPr="00C64727">
            <w:rPr>
              <w:rFonts w:ascii="Times New Roman" w:hAnsi="Times New Roman"/>
              <w:b/>
              <w:bCs/>
              <w:sz w:val="24"/>
              <w:szCs w:val="24"/>
            </w:rPr>
            <w:fldChar w:fldCharType="end"/>
          </w:r>
        </w:p>
      </w:sdtContent>
    </w:sdt>
    <w:p w14:paraId="21A9BB45" w14:textId="77777777" w:rsidR="0067338B" w:rsidRPr="00C64727" w:rsidRDefault="003A348D">
      <w:pPr>
        <w:pStyle w:val="Heading1"/>
        <w:spacing w:before="0" w:after="120"/>
        <w:rPr>
          <w:szCs w:val="24"/>
        </w:rPr>
      </w:pPr>
      <w:bookmarkStart w:id="2" w:name="_Toc24093079"/>
      <w:r w:rsidRPr="00C64727">
        <w:rPr>
          <w:szCs w:val="24"/>
        </w:rPr>
        <w:t>Mozaikszavak és rövidítések jegyzéke</w:t>
      </w:r>
      <w:bookmarkEnd w:id="2"/>
    </w:p>
    <w:p w14:paraId="07821AAA" w14:textId="77777777" w:rsidR="0067338B" w:rsidRPr="00C64727" w:rsidRDefault="003A348D">
      <w:pPr>
        <w:spacing w:after="120"/>
        <w:rPr>
          <w:rFonts w:ascii="Times New Roman" w:hAnsi="Times New Roman"/>
          <w:sz w:val="24"/>
          <w:szCs w:val="24"/>
        </w:rPr>
      </w:pPr>
      <w:r w:rsidRPr="00C64727">
        <w:rPr>
          <w:rFonts w:ascii="Times New Roman" w:hAnsi="Times New Roman"/>
          <w:sz w:val="24"/>
          <w:szCs w:val="24"/>
        </w:rPr>
        <w:t>AVR</w:t>
      </w:r>
      <w:r w:rsidRPr="00C64727">
        <w:rPr>
          <w:rFonts w:ascii="Times New Roman" w:hAnsi="Times New Roman"/>
          <w:sz w:val="24"/>
          <w:szCs w:val="24"/>
        </w:rPr>
        <w:tab/>
      </w:r>
      <w:r w:rsidRPr="00C64727">
        <w:rPr>
          <w:rFonts w:ascii="Times New Roman" w:hAnsi="Times New Roman"/>
          <w:sz w:val="24"/>
          <w:szCs w:val="24"/>
        </w:rPr>
        <w:tab/>
        <w:t>akkreditációról és hitelesítésről szóló rendelet</w:t>
      </w:r>
    </w:p>
    <w:p w14:paraId="2545A202" w14:textId="77777777" w:rsidR="0067338B" w:rsidRPr="00C64727" w:rsidRDefault="003A348D">
      <w:pPr>
        <w:spacing w:after="120"/>
        <w:rPr>
          <w:rFonts w:ascii="Times New Roman" w:hAnsi="Times New Roman"/>
          <w:sz w:val="24"/>
          <w:szCs w:val="24"/>
        </w:rPr>
      </w:pPr>
      <w:r w:rsidRPr="00C64727">
        <w:rPr>
          <w:rFonts w:ascii="Times New Roman" w:hAnsi="Times New Roman"/>
          <w:sz w:val="24"/>
          <w:szCs w:val="24"/>
        </w:rPr>
        <w:t>CA</w:t>
      </w:r>
      <w:r w:rsidRPr="00C64727">
        <w:rPr>
          <w:rFonts w:ascii="Times New Roman" w:hAnsi="Times New Roman"/>
          <w:sz w:val="24"/>
          <w:szCs w:val="24"/>
        </w:rPr>
        <w:tab/>
      </w:r>
      <w:r w:rsidRPr="00C64727">
        <w:rPr>
          <w:rFonts w:ascii="Times New Roman" w:hAnsi="Times New Roman"/>
          <w:sz w:val="24"/>
          <w:szCs w:val="24"/>
        </w:rPr>
        <w:tab/>
        <w:t>illetékes hatóság</w:t>
      </w:r>
    </w:p>
    <w:p w14:paraId="7B64EDAE" w14:textId="77777777" w:rsidR="0067338B" w:rsidRPr="00C64727" w:rsidRDefault="003A348D">
      <w:pPr>
        <w:spacing w:after="120"/>
        <w:rPr>
          <w:rFonts w:ascii="Times New Roman" w:hAnsi="Times New Roman"/>
          <w:sz w:val="24"/>
          <w:szCs w:val="24"/>
        </w:rPr>
      </w:pPr>
      <w:r w:rsidRPr="00C64727">
        <w:rPr>
          <w:rFonts w:ascii="Times New Roman" w:hAnsi="Times New Roman"/>
          <w:sz w:val="24"/>
          <w:szCs w:val="24"/>
        </w:rPr>
        <w:t>CCS</w:t>
      </w:r>
      <w:r w:rsidRPr="00C64727">
        <w:rPr>
          <w:rFonts w:ascii="Times New Roman" w:hAnsi="Times New Roman"/>
          <w:sz w:val="24"/>
          <w:szCs w:val="24"/>
        </w:rPr>
        <w:tab/>
      </w:r>
      <w:r w:rsidRPr="00C64727">
        <w:rPr>
          <w:rFonts w:ascii="Times New Roman" w:hAnsi="Times New Roman"/>
          <w:sz w:val="24"/>
          <w:szCs w:val="24"/>
        </w:rPr>
        <w:tab/>
        <w:t>szén-dioxid-leválasztás és -tárolás</w:t>
      </w:r>
    </w:p>
    <w:p w14:paraId="69FF2CEF" w14:textId="77777777" w:rsidR="0067338B" w:rsidRPr="00C64727" w:rsidRDefault="003A348D">
      <w:pPr>
        <w:spacing w:after="120"/>
        <w:rPr>
          <w:rFonts w:ascii="Times New Roman" w:hAnsi="Times New Roman"/>
          <w:sz w:val="24"/>
          <w:szCs w:val="24"/>
        </w:rPr>
      </w:pPr>
      <w:r w:rsidRPr="00C64727">
        <w:rPr>
          <w:rFonts w:ascii="Times New Roman" w:hAnsi="Times New Roman"/>
          <w:sz w:val="24"/>
          <w:szCs w:val="24"/>
        </w:rPr>
        <w:t>CCU</w:t>
      </w:r>
      <w:r w:rsidRPr="00C64727">
        <w:rPr>
          <w:rFonts w:ascii="Times New Roman" w:hAnsi="Times New Roman"/>
          <w:sz w:val="24"/>
          <w:szCs w:val="24"/>
        </w:rPr>
        <w:tab/>
      </w:r>
      <w:r w:rsidRPr="00C64727">
        <w:rPr>
          <w:rFonts w:ascii="Times New Roman" w:hAnsi="Times New Roman"/>
          <w:sz w:val="24"/>
          <w:szCs w:val="24"/>
        </w:rPr>
        <w:tab/>
        <w:t>szén-dioxid-leválasztás és -hasznosítás</w:t>
      </w:r>
    </w:p>
    <w:p w14:paraId="7D6BCF6C" w14:textId="77777777" w:rsidR="0067338B" w:rsidRPr="00C64727" w:rsidRDefault="003A348D">
      <w:pPr>
        <w:spacing w:after="120"/>
        <w:rPr>
          <w:rFonts w:ascii="Times New Roman" w:hAnsi="Times New Roman"/>
          <w:sz w:val="24"/>
          <w:szCs w:val="24"/>
        </w:rPr>
      </w:pPr>
      <w:r w:rsidRPr="00C64727">
        <w:rPr>
          <w:rFonts w:ascii="Times New Roman" w:hAnsi="Times New Roman"/>
          <w:sz w:val="24"/>
          <w:szCs w:val="24"/>
        </w:rPr>
        <w:t>CDM</w:t>
      </w:r>
      <w:r w:rsidRPr="00C64727">
        <w:rPr>
          <w:rFonts w:ascii="Times New Roman" w:hAnsi="Times New Roman"/>
          <w:sz w:val="24"/>
          <w:szCs w:val="24"/>
        </w:rPr>
        <w:tab/>
      </w:r>
      <w:r w:rsidRPr="00C64727">
        <w:rPr>
          <w:rFonts w:ascii="Times New Roman" w:hAnsi="Times New Roman"/>
          <w:sz w:val="24"/>
          <w:szCs w:val="24"/>
        </w:rPr>
        <w:tab/>
        <w:t>tiszta fejlesztési mechanizmus</w:t>
      </w:r>
    </w:p>
    <w:p w14:paraId="2C015314" w14:textId="18C98944" w:rsidR="0067338B" w:rsidRPr="00C64727" w:rsidRDefault="00C64727">
      <w:pPr>
        <w:spacing w:after="120"/>
        <w:rPr>
          <w:rFonts w:ascii="Times New Roman" w:hAnsi="Times New Roman"/>
          <w:sz w:val="24"/>
          <w:szCs w:val="24"/>
        </w:rPr>
      </w:pPr>
      <w:r>
        <w:rPr>
          <w:rFonts w:ascii="Times New Roman" w:hAnsi="Times New Roman"/>
          <w:sz w:val="24"/>
          <w:szCs w:val="24"/>
        </w:rPr>
        <w:t>CER-ek</w:t>
      </w:r>
      <w:r>
        <w:rPr>
          <w:rFonts w:ascii="Times New Roman" w:hAnsi="Times New Roman"/>
          <w:sz w:val="24"/>
          <w:szCs w:val="24"/>
        </w:rPr>
        <w:tab/>
      </w:r>
      <w:r w:rsidR="003A348D" w:rsidRPr="00C64727">
        <w:rPr>
          <w:rFonts w:ascii="Times New Roman" w:hAnsi="Times New Roman"/>
          <w:sz w:val="24"/>
          <w:szCs w:val="24"/>
        </w:rPr>
        <w:t>igazolt kibocsátáscsökkentések</w:t>
      </w:r>
    </w:p>
    <w:p w14:paraId="49DCEF05" w14:textId="77777777" w:rsidR="0067338B" w:rsidRPr="00C64727" w:rsidRDefault="000A23BB" w:rsidP="00C64727">
      <w:pPr>
        <w:spacing w:after="120"/>
        <w:ind w:left="1440" w:hanging="1440"/>
        <w:rPr>
          <w:rFonts w:ascii="Times New Roman" w:hAnsi="Times New Roman"/>
          <w:sz w:val="24"/>
          <w:szCs w:val="24"/>
        </w:rPr>
      </w:pPr>
      <w:r w:rsidRPr="00C64727">
        <w:rPr>
          <w:rFonts w:ascii="Times New Roman" w:hAnsi="Times New Roman"/>
          <w:sz w:val="24"/>
          <w:szCs w:val="24"/>
        </w:rPr>
        <w:t>CORSIA</w:t>
      </w:r>
      <w:r w:rsidRPr="00C64727">
        <w:rPr>
          <w:rFonts w:ascii="Times New Roman" w:hAnsi="Times New Roman"/>
          <w:sz w:val="24"/>
          <w:szCs w:val="24"/>
        </w:rPr>
        <w:tab/>
        <w:t>a nemzetközi légi közlekedés kibocsátáskompenzációs és -csökkentési rendszere</w:t>
      </w:r>
    </w:p>
    <w:p w14:paraId="3BCA7AF8" w14:textId="77777777" w:rsidR="0067338B" w:rsidRPr="00C64727" w:rsidRDefault="003A348D">
      <w:pPr>
        <w:spacing w:after="120"/>
        <w:rPr>
          <w:rFonts w:ascii="Times New Roman" w:hAnsi="Times New Roman"/>
          <w:sz w:val="24"/>
          <w:szCs w:val="24"/>
        </w:rPr>
      </w:pPr>
      <w:r w:rsidRPr="00C64727">
        <w:rPr>
          <w:rFonts w:ascii="Times New Roman" w:hAnsi="Times New Roman"/>
          <w:sz w:val="24"/>
          <w:szCs w:val="24"/>
        </w:rPr>
        <w:t>CSCF</w:t>
      </w:r>
      <w:r w:rsidRPr="00C64727">
        <w:rPr>
          <w:rFonts w:ascii="Times New Roman" w:hAnsi="Times New Roman"/>
          <w:sz w:val="24"/>
          <w:szCs w:val="24"/>
        </w:rPr>
        <w:tab/>
      </w:r>
      <w:r w:rsidRPr="00C64727">
        <w:rPr>
          <w:rFonts w:ascii="Times New Roman" w:hAnsi="Times New Roman"/>
          <w:sz w:val="24"/>
          <w:szCs w:val="24"/>
        </w:rPr>
        <w:tab/>
        <w:t>ágazatközi korrekciós tényező</w:t>
      </w:r>
    </w:p>
    <w:p w14:paraId="61DC4200" w14:textId="77777777" w:rsidR="0067338B" w:rsidRPr="00C64727" w:rsidRDefault="003A348D">
      <w:pPr>
        <w:spacing w:after="120"/>
        <w:rPr>
          <w:rFonts w:ascii="Times New Roman" w:hAnsi="Times New Roman"/>
          <w:sz w:val="24"/>
          <w:szCs w:val="24"/>
        </w:rPr>
      </w:pPr>
      <w:r w:rsidRPr="00C64727">
        <w:rPr>
          <w:rFonts w:ascii="Times New Roman" w:hAnsi="Times New Roman"/>
          <w:sz w:val="24"/>
          <w:szCs w:val="24"/>
        </w:rPr>
        <w:t>EA</w:t>
      </w:r>
      <w:r w:rsidRPr="00C64727">
        <w:rPr>
          <w:rFonts w:ascii="Times New Roman" w:hAnsi="Times New Roman"/>
          <w:sz w:val="24"/>
          <w:szCs w:val="24"/>
        </w:rPr>
        <w:tab/>
      </w:r>
      <w:r w:rsidRPr="00C64727">
        <w:rPr>
          <w:rFonts w:ascii="Times New Roman" w:hAnsi="Times New Roman"/>
          <w:sz w:val="24"/>
          <w:szCs w:val="24"/>
        </w:rPr>
        <w:tab/>
        <w:t>Európai Akkreditálási Együttműködés</w:t>
      </w:r>
    </w:p>
    <w:p w14:paraId="59DCE5E5" w14:textId="77777777" w:rsidR="0067338B" w:rsidRPr="00C64727" w:rsidRDefault="003A348D">
      <w:pPr>
        <w:spacing w:after="120"/>
        <w:rPr>
          <w:rFonts w:ascii="Times New Roman" w:hAnsi="Times New Roman"/>
          <w:sz w:val="24"/>
          <w:szCs w:val="24"/>
        </w:rPr>
      </w:pPr>
      <w:r w:rsidRPr="00C64727">
        <w:rPr>
          <w:rFonts w:ascii="Times New Roman" w:hAnsi="Times New Roman"/>
          <w:sz w:val="24"/>
          <w:szCs w:val="24"/>
        </w:rPr>
        <w:t>EGT</w:t>
      </w:r>
      <w:r w:rsidRPr="00C64727">
        <w:rPr>
          <w:rFonts w:ascii="Times New Roman" w:hAnsi="Times New Roman"/>
          <w:sz w:val="24"/>
          <w:szCs w:val="24"/>
        </w:rPr>
        <w:tab/>
      </w:r>
      <w:r w:rsidRPr="00C64727">
        <w:rPr>
          <w:rFonts w:ascii="Times New Roman" w:hAnsi="Times New Roman"/>
          <w:sz w:val="24"/>
          <w:szCs w:val="24"/>
        </w:rPr>
        <w:tab/>
        <w:t>Európai Gazdasági Térség</w:t>
      </w:r>
    </w:p>
    <w:p w14:paraId="0A6C719D" w14:textId="77777777" w:rsidR="0067338B" w:rsidRPr="00C64727" w:rsidRDefault="00B36364">
      <w:pPr>
        <w:spacing w:after="120"/>
        <w:rPr>
          <w:rFonts w:ascii="Times New Roman" w:hAnsi="Times New Roman"/>
          <w:sz w:val="24"/>
          <w:szCs w:val="24"/>
        </w:rPr>
      </w:pPr>
      <w:r w:rsidRPr="00C64727">
        <w:rPr>
          <w:rFonts w:ascii="Times New Roman" w:hAnsi="Times New Roman"/>
          <w:sz w:val="24"/>
          <w:szCs w:val="24"/>
        </w:rPr>
        <w:t>EEA</w:t>
      </w:r>
      <w:r w:rsidRPr="00C64727">
        <w:rPr>
          <w:rFonts w:ascii="Times New Roman" w:hAnsi="Times New Roman"/>
          <w:sz w:val="24"/>
          <w:szCs w:val="24"/>
        </w:rPr>
        <w:tab/>
      </w:r>
      <w:r w:rsidRPr="00C64727">
        <w:rPr>
          <w:rFonts w:ascii="Times New Roman" w:hAnsi="Times New Roman"/>
          <w:sz w:val="24"/>
          <w:szCs w:val="24"/>
        </w:rPr>
        <w:tab/>
        <w:t>Európai Környezetvédelmi Ügynökség</w:t>
      </w:r>
    </w:p>
    <w:p w14:paraId="7D4F4B54" w14:textId="77777777" w:rsidR="0067338B" w:rsidRPr="00C64727" w:rsidRDefault="003A348D">
      <w:pPr>
        <w:spacing w:after="120"/>
        <w:rPr>
          <w:rFonts w:ascii="Times New Roman" w:hAnsi="Times New Roman"/>
          <w:sz w:val="24"/>
          <w:szCs w:val="24"/>
        </w:rPr>
      </w:pPr>
      <w:r w:rsidRPr="00C64727">
        <w:rPr>
          <w:rFonts w:ascii="Times New Roman" w:hAnsi="Times New Roman"/>
          <w:sz w:val="24"/>
          <w:szCs w:val="24"/>
        </w:rPr>
        <w:t>EEX</w:t>
      </w:r>
      <w:r w:rsidRPr="00C64727">
        <w:rPr>
          <w:rFonts w:ascii="Times New Roman" w:hAnsi="Times New Roman"/>
          <w:sz w:val="24"/>
          <w:szCs w:val="24"/>
        </w:rPr>
        <w:tab/>
      </w:r>
      <w:r w:rsidRPr="00C64727">
        <w:rPr>
          <w:rFonts w:ascii="Times New Roman" w:hAnsi="Times New Roman"/>
          <w:sz w:val="24"/>
          <w:szCs w:val="24"/>
        </w:rPr>
        <w:tab/>
        <w:t>Európai Energiatőzsde</w:t>
      </w:r>
    </w:p>
    <w:p w14:paraId="6609D7AA" w14:textId="77777777" w:rsidR="0067338B" w:rsidRPr="00C64727" w:rsidRDefault="003A348D">
      <w:pPr>
        <w:spacing w:after="120"/>
        <w:rPr>
          <w:rFonts w:ascii="Times New Roman" w:hAnsi="Times New Roman"/>
          <w:sz w:val="24"/>
          <w:szCs w:val="24"/>
        </w:rPr>
      </w:pPr>
      <w:r w:rsidRPr="00C64727">
        <w:rPr>
          <w:rFonts w:ascii="Times New Roman" w:hAnsi="Times New Roman"/>
          <w:sz w:val="24"/>
          <w:szCs w:val="24"/>
        </w:rPr>
        <w:t>EBB</w:t>
      </w:r>
      <w:r w:rsidRPr="00C64727">
        <w:rPr>
          <w:rFonts w:ascii="Times New Roman" w:hAnsi="Times New Roman"/>
          <w:sz w:val="24"/>
          <w:szCs w:val="24"/>
        </w:rPr>
        <w:tab/>
      </w:r>
      <w:r w:rsidRPr="00C64727">
        <w:rPr>
          <w:rFonts w:ascii="Times New Roman" w:hAnsi="Times New Roman"/>
          <w:sz w:val="24"/>
          <w:szCs w:val="24"/>
        </w:rPr>
        <w:tab/>
        <w:t>Európai Beruházási Bank</w:t>
      </w:r>
    </w:p>
    <w:p w14:paraId="22A3823B" w14:textId="77777777" w:rsidR="0067338B" w:rsidRPr="00C64727" w:rsidRDefault="003A348D">
      <w:pPr>
        <w:spacing w:after="120"/>
        <w:rPr>
          <w:rFonts w:ascii="Times New Roman" w:hAnsi="Times New Roman"/>
          <w:sz w:val="24"/>
          <w:szCs w:val="24"/>
        </w:rPr>
      </w:pPr>
      <w:r w:rsidRPr="00C64727">
        <w:rPr>
          <w:rFonts w:ascii="Times New Roman" w:hAnsi="Times New Roman"/>
          <w:sz w:val="24"/>
          <w:szCs w:val="24"/>
        </w:rPr>
        <w:t>ERU</w:t>
      </w:r>
      <w:r w:rsidRPr="00C64727">
        <w:rPr>
          <w:rFonts w:ascii="Times New Roman" w:hAnsi="Times New Roman"/>
          <w:sz w:val="24"/>
          <w:szCs w:val="24"/>
        </w:rPr>
        <w:tab/>
      </w:r>
      <w:r w:rsidRPr="00C64727">
        <w:rPr>
          <w:rFonts w:ascii="Times New Roman" w:hAnsi="Times New Roman"/>
          <w:sz w:val="24"/>
          <w:szCs w:val="24"/>
        </w:rPr>
        <w:tab/>
        <w:t>kibocsátáscsökkentési egység</w:t>
      </w:r>
    </w:p>
    <w:p w14:paraId="75C7D35E" w14:textId="77777777" w:rsidR="0067338B" w:rsidRPr="00C64727" w:rsidRDefault="000A23BB">
      <w:pPr>
        <w:spacing w:after="120"/>
        <w:rPr>
          <w:rFonts w:ascii="Times New Roman" w:hAnsi="Times New Roman"/>
          <w:sz w:val="24"/>
          <w:szCs w:val="24"/>
        </w:rPr>
      </w:pPr>
      <w:r w:rsidRPr="00C64727">
        <w:rPr>
          <w:rFonts w:ascii="Times New Roman" w:hAnsi="Times New Roman"/>
          <w:sz w:val="24"/>
          <w:szCs w:val="24"/>
        </w:rPr>
        <w:t>ESMA</w:t>
      </w:r>
      <w:r w:rsidRPr="00C64727">
        <w:rPr>
          <w:rFonts w:ascii="Times New Roman" w:hAnsi="Times New Roman"/>
          <w:sz w:val="24"/>
          <w:szCs w:val="24"/>
        </w:rPr>
        <w:tab/>
      </w:r>
      <w:r w:rsidRPr="00C64727">
        <w:rPr>
          <w:rFonts w:ascii="Times New Roman" w:hAnsi="Times New Roman"/>
          <w:sz w:val="24"/>
          <w:szCs w:val="24"/>
        </w:rPr>
        <w:tab/>
        <w:t>Európai Értékpapírpiaci Hatóság</w:t>
      </w:r>
    </w:p>
    <w:p w14:paraId="0E04B75C" w14:textId="77777777" w:rsidR="0067338B" w:rsidRPr="00C64727" w:rsidRDefault="003A348D">
      <w:pPr>
        <w:spacing w:after="120"/>
        <w:rPr>
          <w:rFonts w:ascii="Times New Roman" w:hAnsi="Times New Roman"/>
          <w:sz w:val="24"/>
          <w:szCs w:val="24"/>
        </w:rPr>
      </w:pPr>
      <w:r w:rsidRPr="00C64727">
        <w:rPr>
          <w:rFonts w:ascii="Times New Roman" w:hAnsi="Times New Roman"/>
          <w:sz w:val="24"/>
          <w:szCs w:val="24"/>
        </w:rPr>
        <w:t>EU ETS</w:t>
      </w:r>
      <w:r w:rsidRPr="00C64727">
        <w:rPr>
          <w:rFonts w:ascii="Times New Roman" w:hAnsi="Times New Roman"/>
          <w:sz w:val="24"/>
          <w:szCs w:val="24"/>
        </w:rPr>
        <w:tab/>
        <w:t>uniós kibocsátáskereskedelmi rendszer</w:t>
      </w:r>
    </w:p>
    <w:p w14:paraId="65FB01C9" w14:textId="77777777" w:rsidR="0067338B" w:rsidRPr="00C64727" w:rsidRDefault="003A348D">
      <w:pPr>
        <w:spacing w:after="120"/>
        <w:rPr>
          <w:rFonts w:ascii="Times New Roman" w:hAnsi="Times New Roman"/>
          <w:sz w:val="24"/>
          <w:szCs w:val="24"/>
        </w:rPr>
      </w:pPr>
      <w:r w:rsidRPr="00C64727">
        <w:rPr>
          <w:rFonts w:ascii="Times New Roman" w:hAnsi="Times New Roman"/>
          <w:sz w:val="24"/>
          <w:szCs w:val="24"/>
        </w:rPr>
        <w:t>EUTL</w:t>
      </w:r>
      <w:r w:rsidRPr="00C64727">
        <w:rPr>
          <w:rFonts w:ascii="Times New Roman" w:hAnsi="Times New Roman"/>
          <w:sz w:val="24"/>
          <w:szCs w:val="24"/>
        </w:rPr>
        <w:tab/>
      </w:r>
      <w:r w:rsidRPr="00C64727">
        <w:rPr>
          <w:rFonts w:ascii="Times New Roman" w:hAnsi="Times New Roman"/>
          <w:sz w:val="24"/>
          <w:szCs w:val="24"/>
        </w:rPr>
        <w:tab/>
        <w:t>európai uniós ügyleti jegyzőkönyv</w:t>
      </w:r>
    </w:p>
    <w:p w14:paraId="69807327" w14:textId="77777777" w:rsidR="0067338B" w:rsidRPr="00C64727" w:rsidRDefault="003A348D">
      <w:pPr>
        <w:spacing w:after="120"/>
        <w:rPr>
          <w:rFonts w:ascii="Times New Roman" w:hAnsi="Times New Roman"/>
          <w:sz w:val="24"/>
          <w:szCs w:val="24"/>
        </w:rPr>
      </w:pPr>
      <w:r w:rsidRPr="00C64727">
        <w:rPr>
          <w:rFonts w:ascii="Times New Roman" w:hAnsi="Times New Roman"/>
          <w:sz w:val="24"/>
          <w:szCs w:val="24"/>
        </w:rPr>
        <w:t>ÜHG</w:t>
      </w:r>
      <w:r w:rsidRPr="00C64727">
        <w:rPr>
          <w:rFonts w:ascii="Times New Roman" w:hAnsi="Times New Roman"/>
          <w:sz w:val="24"/>
          <w:szCs w:val="24"/>
        </w:rPr>
        <w:tab/>
      </w:r>
      <w:r w:rsidRPr="00C64727">
        <w:rPr>
          <w:rFonts w:ascii="Times New Roman" w:hAnsi="Times New Roman"/>
          <w:sz w:val="24"/>
          <w:szCs w:val="24"/>
        </w:rPr>
        <w:tab/>
        <w:t>üvegházhatású gáz</w:t>
      </w:r>
    </w:p>
    <w:p w14:paraId="7FCE9806" w14:textId="77777777" w:rsidR="0067338B" w:rsidRPr="00C64727" w:rsidRDefault="003A348D">
      <w:pPr>
        <w:spacing w:after="120"/>
        <w:rPr>
          <w:rFonts w:ascii="Times New Roman" w:hAnsi="Times New Roman"/>
          <w:sz w:val="24"/>
          <w:szCs w:val="24"/>
        </w:rPr>
      </w:pPr>
      <w:r w:rsidRPr="00C64727">
        <w:rPr>
          <w:rFonts w:ascii="Times New Roman" w:hAnsi="Times New Roman"/>
          <w:sz w:val="24"/>
          <w:szCs w:val="24"/>
        </w:rPr>
        <w:t>ICAO</w:t>
      </w:r>
      <w:r w:rsidRPr="00C64727">
        <w:rPr>
          <w:rFonts w:ascii="Times New Roman" w:hAnsi="Times New Roman"/>
          <w:sz w:val="24"/>
          <w:szCs w:val="24"/>
        </w:rPr>
        <w:tab/>
      </w:r>
      <w:r w:rsidRPr="00C64727">
        <w:rPr>
          <w:rFonts w:ascii="Times New Roman" w:hAnsi="Times New Roman"/>
          <w:sz w:val="24"/>
          <w:szCs w:val="24"/>
        </w:rPr>
        <w:tab/>
        <w:t>Nemzetközi Polgári Repülési Szervezet</w:t>
      </w:r>
    </w:p>
    <w:p w14:paraId="33AB1DDC" w14:textId="77777777" w:rsidR="0067338B" w:rsidRPr="00C64727" w:rsidRDefault="003A348D">
      <w:pPr>
        <w:spacing w:after="120"/>
        <w:rPr>
          <w:rFonts w:ascii="Times New Roman" w:hAnsi="Times New Roman"/>
          <w:sz w:val="24"/>
          <w:szCs w:val="24"/>
        </w:rPr>
      </w:pPr>
      <w:r w:rsidRPr="00C64727">
        <w:rPr>
          <w:rFonts w:ascii="Times New Roman" w:hAnsi="Times New Roman"/>
          <w:sz w:val="24"/>
          <w:szCs w:val="24"/>
        </w:rPr>
        <w:t>ICE</w:t>
      </w:r>
      <w:r w:rsidRPr="00C64727">
        <w:rPr>
          <w:rFonts w:ascii="Times New Roman" w:hAnsi="Times New Roman"/>
          <w:sz w:val="24"/>
          <w:szCs w:val="24"/>
        </w:rPr>
        <w:tab/>
      </w:r>
      <w:r w:rsidRPr="00C64727">
        <w:rPr>
          <w:rFonts w:ascii="Times New Roman" w:hAnsi="Times New Roman"/>
          <w:sz w:val="24"/>
          <w:szCs w:val="24"/>
        </w:rPr>
        <w:tab/>
        <w:t xml:space="preserve">InterContinental Exchange Futures Europe </w:t>
      </w:r>
    </w:p>
    <w:p w14:paraId="46A5482E" w14:textId="77777777" w:rsidR="0067338B" w:rsidRPr="00C64727" w:rsidRDefault="006434B2">
      <w:pPr>
        <w:spacing w:after="120"/>
        <w:rPr>
          <w:rFonts w:ascii="Times New Roman" w:hAnsi="Times New Roman"/>
          <w:sz w:val="24"/>
          <w:szCs w:val="24"/>
        </w:rPr>
      </w:pPr>
      <w:r w:rsidRPr="00C64727">
        <w:rPr>
          <w:rFonts w:ascii="Times New Roman" w:hAnsi="Times New Roman"/>
          <w:sz w:val="24"/>
          <w:szCs w:val="24"/>
        </w:rPr>
        <w:t>InnovFin EDP</w:t>
      </w:r>
      <w:r w:rsidRPr="00C64727">
        <w:rPr>
          <w:rFonts w:ascii="Times New Roman" w:hAnsi="Times New Roman"/>
          <w:sz w:val="24"/>
          <w:szCs w:val="24"/>
        </w:rPr>
        <w:tab/>
        <w:t xml:space="preserve">InnovFin energetikai demonstrációs projektek </w:t>
      </w:r>
    </w:p>
    <w:p w14:paraId="4DCEDC95" w14:textId="77777777" w:rsidR="0067338B" w:rsidRPr="00C64727" w:rsidRDefault="003A348D">
      <w:pPr>
        <w:spacing w:after="120"/>
        <w:rPr>
          <w:rFonts w:ascii="Times New Roman" w:hAnsi="Times New Roman"/>
          <w:sz w:val="24"/>
          <w:szCs w:val="24"/>
        </w:rPr>
      </w:pPr>
      <w:r w:rsidRPr="00C64727">
        <w:rPr>
          <w:rFonts w:ascii="Times New Roman" w:hAnsi="Times New Roman"/>
          <w:sz w:val="24"/>
          <w:szCs w:val="24"/>
        </w:rPr>
        <w:t>JI</w:t>
      </w:r>
      <w:r w:rsidRPr="00C64727">
        <w:rPr>
          <w:rFonts w:ascii="Times New Roman" w:hAnsi="Times New Roman"/>
          <w:sz w:val="24"/>
          <w:szCs w:val="24"/>
        </w:rPr>
        <w:tab/>
      </w:r>
      <w:r w:rsidRPr="00C64727">
        <w:rPr>
          <w:rFonts w:ascii="Times New Roman" w:hAnsi="Times New Roman"/>
          <w:sz w:val="24"/>
          <w:szCs w:val="24"/>
        </w:rPr>
        <w:tab/>
        <w:t>együttes végrehajtás</w:t>
      </w:r>
    </w:p>
    <w:p w14:paraId="13F13219" w14:textId="77777777" w:rsidR="0067338B" w:rsidRPr="00C64727" w:rsidRDefault="003A348D">
      <w:pPr>
        <w:spacing w:after="120"/>
        <w:rPr>
          <w:rFonts w:ascii="Times New Roman" w:hAnsi="Times New Roman"/>
          <w:sz w:val="24"/>
          <w:szCs w:val="24"/>
        </w:rPr>
      </w:pPr>
      <w:r w:rsidRPr="00C64727">
        <w:rPr>
          <w:rFonts w:ascii="Times New Roman" w:hAnsi="Times New Roman"/>
          <w:sz w:val="24"/>
          <w:szCs w:val="24"/>
        </w:rPr>
        <w:t>MAR</w:t>
      </w:r>
      <w:r w:rsidRPr="00C64727">
        <w:rPr>
          <w:rFonts w:ascii="Times New Roman" w:hAnsi="Times New Roman"/>
          <w:sz w:val="24"/>
          <w:szCs w:val="24"/>
        </w:rPr>
        <w:tab/>
      </w:r>
      <w:r w:rsidRPr="00C64727">
        <w:rPr>
          <w:rFonts w:ascii="Times New Roman" w:hAnsi="Times New Roman"/>
          <w:sz w:val="24"/>
          <w:szCs w:val="24"/>
        </w:rPr>
        <w:tab/>
        <w:t>piaci visszaélésekről szóló rendelet</w:t>
      </w:r>
    </w:p>
    <w:p w14:paraId="271BA720" w14:textId="77777777" w:rsidR="0067338B" w:rsidRPr="00C64727" w:rsidRDefault="003A348D">
      <w:pPr>
        <w:spacing w:after="120"/>
        <w:rPr>
          <w:rFonts w:ascii="Times New Roman" w:hAnsi="Times New Roman"/>
          <w:sz w:val="24"/>
          <w:szCs w:val="24"/>
        </w:rPr>
      </w:pPr>
      <w:r w:rsidRPr="00C64727">
        <w:rPr>
          <w:rFonts w:ascii="Times New Roman" w:hAnsi="Times New Roman"/>
          <w:sz w:val="24"/>
          <w:szCs w:val="24"/>
        </w:rPr>
        <w:t>MiFID II.</w:t>
      </w:r>
      <w:r w:rsidRPr="00C64727">
        <w:rPr>
          <w:rFonts w:ascii="Times New Roman" w:hAnsi="Times New Roman"/>
          <w:sz w:val="24"/>
          <w:szCs w:val="24"/>
        </w:rPr>
        <w:tab/>
        <w:t>a pénzügyi eszközök piacairól szóló irányelv</w:t>
      </w:r>
    </w:p>
    <w:p w14:paraId="6AE73962" w14:textId="77777777" w:rsidR="0067338B" w:rsidRPr="00C64727" w:rsidRDefault="000A23BB">
      <w:pPr>
        <w:spacing w:after="120"/>
        <w:rPr>
          <w:rFonts w:ascii="Times New Roman" w:hAnsi="Times New Roman"/>
          <w:sz w:val="24"/>
          <w:szCs w:val="24"/>
        </w:rPr>
      </w:pPr>
      <w:r w:rsidRPr="00C64727">
        <w:rPr>
          <w:rFonts w:ascii="Times New Roman" w:hAnsi="Times New Roman"/>
          <w:sz w:val="24"/>
          <w:szCs w:val="24"/>
        </w:rPr>
        <w:t>MiFIR</w:t>
      </w:r>
      <w:r w:rsidRPr="00C64727">
        <w:rPr>
          <w:rFonts w:ascii="Times New Roman" w:hAnsi="Times New Roman"/>
          <w:sz w:val="24"/>
          <w:szCs w:val="24"/>
        </w:rPr>
        <w:tab/>
      </w:r>
      <w:r w:rsidRPr="00C64727">
        <w:rPr>
          <w:rFonts w:ascii="Times New Roman" w:hAnsi="Times New Roman"/>
          <w:sz w:val="24"/>
          <w:szCs w:val="24"/>
        </w:rPr>
        <w:tab/>
        <w:t>a pénzügyi eszközök piacairól szóló rendelet</w:t>
      </w:r>
    </w:p>
    <w:p w14:paraId="43915EBC" w14:textId="77777777" w:rsidR="0067338B" w:rsidRPr="00C64727" w:rsidRDefault="003A348D">
      <w:pPr>
        <w:spacing w:after="120"/>
        <w:rPr>
          <w:rFonts w:ascii="Times New Roman" w:hAnsi="Times New Roman"/>
          <w:sz w:val="24"/>
          <w:szCs w:val="24"/>
        </w:rPr>
      </w:pPr>
      <w:r w:rsidRPr="00C64727">
        <w:rPr>
          <w:rFonts w:ascii="Times New Roman" w:hAnsi="Times New Roman"/>
          <w:sz w:val="24"/>
          <w:szCs w:val="24"/>
        </w:rPr>
        <w:t>MRR</w:t>
      </w:r>
      <w:r w:rsidRPr="00C64727">
        <w:rPr>
          <w:rFonts w:ascii="Times New Roman" w:hAnsi="Times New Roman"/>
          <w:sz w:val="24"/>
          <w:szCs w:val="24"/>
        </w:rPr>
        <w:tab/>
      </w:r>
      <w:r w:rsidRPr="00C64727">
        <w:rPr>
          <w:rFonts w:ascii="Times New Roman" w:hAnsi="Times New Roman"/>
          <w:sz w:val="24"/>
          <w:szCs w:val="24"/>
        </w:rPr>
        <w:tab/>
        <w:t>nyomon követésről és jelentésről szóló rendelet</w:t>
      </w:r>
    </w:p>
    <w:p w14:paraId="3AEC2F22" w14:textId="4330D63B" w:rsidR="0067338B" w:rsidRPr="00C64727" w:rsidRDefault="00C64727">
      <w:pPr>
        <w:spacing w:after="120"/>
        <w:rPr>
          <w:rFonts w:ascii="Times New Roman" w:hAnsi="Times New Roman"/>
          <w:sz w:val="24"/>
          <w:szCs w:val="24"/>
        </w:rPr>
      </w:pPr>
      <w:r>
        <w:rPr>
          <w:rFonts w:ascii="Times New Roman" w:hAnsi="Times New Roman"/>
          <w:sz w:val="24"/>
          <w:szCs w:val="24"/>
        </w:rPr>
        <w:t>MRVA</w:t>
      </w:r>
      <w:r>
        <w:rPr>
          <w:rFonts w:ascii="Times New Roman" w:hAnsi="Times New Roman"/>
          <w:sz w:val="24"/>
          <w:szCs w:val="24"/>
        </w:rPr>
        <w:tab/>
      </w:r>
      <w:r w:rsidR="003A348D" w:rsidRPr="00C64727">
        <w:rPr>
          <w:rFonts w:ascii="Times New Roman" w:hAnsi="Times New Roman"/>
          <w:sz w:val="24"/>
          <w:szCs w:val="24"/>
        </w:rPr>
        <w:t>nyomon követés, jelentés, hitelesítés és akkreditáció</w:t>
      </w:r>
    </w:p>
    <w:p w14:paraId="11D90737" w14:textId="77777777" w:rsidR="0067338B" w:rsidRPr="00C64727" w:rsidRDefault="003A348D">
      <w:pPr>
        <w:spacing w:after="120"/>
        <w:rPr>
          <w:rFonts w:ascii="Times New Roman" w:hAnsi="Times New Roman"/>
          <w:sz w:val="24"/>
          <w:szCs w:val="24"/>
        </w:rPr>
      </w:pPr>
      <w:r w:rsidRPr="00C64727">
        <w:rPr>
          <w:rFonts w:ascii="Times New Roman" w:hAnsi="Times New Roman"/>
          <w:sz w:val="24"/>
          <w:szCs w:val="24"/>
        </w:rPr>
        <w:lastRenderedPageBreak/>
        <w:t>MSR</w:t>
      </w:r>
      <w:r w:rsidRPr="00C64727">
        <w:rPr>
          <w:rFonts w:ascii="Times New Roman" w:hAnsi="Times New Roman"/>
          <w:sz w:val="24"/>
          <w:szCs w:val="24"/>
        </w:rPr>
        <w:tab/>
      </w:r>
      <w:r w:rsidRPr="00C64727">
        <w:rPr>
          <w:rFonts w:ascii="Times New Roman" w:hAnsi="Times New Roman"/>
          <w:sz w:val="24"/>
          <w:szCs w:val="24"/>
        </w:rPr>
        <w:tab/>
        <w:t>piaci stabilizációs tartalék</w:t>
      </w:r>
    </w:p>
    <w:p w14:paraId="4DF696FB" w14:textId="77777777" w:rsidR="0067338B" w:rsidRPr="00C64727" w:rsidRDefault="003A348D">
      <w:pPr>
        <w:spacing w:after="120"/>
        <w:rPr>
          <w:rFonts w:ascii="Times New Roman" w:hAnsi="Times New Roman"/>
          <w:sz w:val="24"/>
          <w:szCs w:val="24"/>
        </w:rPr>
      </w:pPr>
      <w:r w:rsidRPr="00C64727">
        <w:rPr>
          <w:rFonts w:ascii="Times New Roman" w:hAnsi="Times New Roman"/>
          <w:sz w:val="24"/>
          <w:szCs w:val="24"/>
        </w:rPr>
        <w:t>NAB</w:t>
      </w:r>
      <w:r w:rsidRPr="00C64727">
        <w:rPr>
          <w:rFonts w:ascii="Times New Roman" w:hAnsi="Times New Roman"/>
          <w:sz w:val="24"/>
          <w:szCs w:val="24"/>
        </w:rPr>
        <w:tab/>
      </w:r>
      <w:r w:rsidRPr="00C64727">
        <w:rPr>
          <w:rFonts w:ascii="Times New Roman" w:hAnsi="Times New Roman"/>
          <w:sz w:val="24"/>
          <w:szCs w:val="24"/>
        </w:rPr>
        <w:tab/>
        <w:t>Nemzeti Akkreditáló Testület</w:t>
      </w:r>
    </w:p>
    <w:p w14:paraId="080AF866" w14:textId="77777777" w:rsidR="0067338B" w:rsidRPr="00C64727" w:rsidRDefault="003A348D">
      <w:pPr>
        <w:spacing w:after="120"/>
        <w:rPr>
          <w:rFonts w:ascii="Times New Roman" w:hAnsi="Times New Roman"/>
          <w:sz w:val="24"/>
          <w:szCs w:val="24"/>
        </w:rPr>
      </w:pPr>
      <w:r w:rsidRPr="00C64727">
        <w:rPr>
          <w:rFonts w:ascii="Times New Roman" w:hAnsi="Times New Roman"/>
          <w:sz w:val="24"/>
          <w:szCs w:val="24"/>
        </w:rPr>
        <w:t>NER</w:t>
      </w:r>
      <w:r w:rsidRPr="00C64727">
        <w:rPr>
          <w:rFonts w:ascii="Times New Roman" w:hAnsi="Times New Roman"/>
          <w:sz w:val="24"/>
          <w:szCs w:val="24"/>
        </w:rPr>
        <w:tab/>
      </w:r>
      <w:r w:rsidRPr="00C64727">
        <w:rPr>
          <w:rFonts w:ascii="Times New Roman" w:hAnsi="Times New Roman"/>
          <w:sz w:val="24"/>
          <w:szCs w:val="24"/>
        </w:rPr>
        <w:tab/>
        <w:t>új belépők részére fenntartott tartalék</w:t>
      </w:r>
    </w:p>
    <w:p w14:paraId="27E81309" w14:textId="77777777" w:rsidR="0067338B" w:rsidRPr="00C64727" w:rsidRDefault="00B36364">
      <w:pPr>
        <w:spacing w:after="120"/>
        <w:rPr>
          <w:rFonts w:ascii="Times New Roman" w:hAnsi="Times New Roman"/>
          <w:sz w:val="24"/>
          <w:szCs w:val="24"/>
        </w:rPr>
      </w:pPr>
      <w:r w:rsidRPr="00C64727">
        <w:rPr>
          <w:rFonts w:ascii="Times New Roman" w:hAnsi="Times New Roman"/>
          <w:sz w:val="24"/>
          <w:szCs w:val="24"/>
        </w:rPr>
        <w:t>OTC</w:t>
      </w:r>
      <w:r w:rsidRPr="00C64727">
        <w:rPr>
          <w:rFonts w:ascii="Times New Roman" w:hAnsi="Times New Roman"/>
          <w:sz w:val="24"/>
          <w:szCs w:val="24"/>
        </w:rPr>
        <w:tab/>
      </w:r>
      <w:r w:rsidRPr="00C64727">
        <w:rPr>
          <w:rFonts w:ascii="Times New Roman" w:hAnsi="Times New Roman"/>
          <w:sz w:val="24"/>
          <w:szCs w:val="24"/>
        </w:rPr>
        <w:tab/>
        <w:t>tőzsdén kívüli</w:t>
      </w:r>
    </w:p>
    <w:p w14:paraId="0D2EF9AB" w14:textId="77777777" w:rsidR="0067338B" w:rsidRPr="00C64727" w:rsidRDefault="003A348D">
      <w:pPr>
        <w:spacing w:after="120"/>
        <w:rPr>
          <w:rFonts w:ascii="Times New Roman" w:hAnsi="Times New Roman"/>
          <w:sz w:val="24"/>
          <w:szCs w:val="24"/>
        </w:rPr>
      </w:pPr>
      <w:r w:rsidRPr="00C64727">
        <w:rPr>
          <w:rFonts w:ascii="Times New Roman" w:hAnsi="Times New Roman"/>
          <w:sz w:val="24"/>
          <w:szCs w:val="24"/>
        </w:rPr>
        <w:t>PFC-k</w:t>
      </w:r>
      <w:r w:rsidRPr="00C64727">
        <w:rPr>
          <w:rFonts w:ascii="Times New Roman" w:hAnsi="Times New Roman"/>
          <w:sz w:val="24"/>
          <w:szCs w:val="24"/>
        </w:rPr>
        <w:tab/>
      </w:r>
      <w:r w:rsidRPr="00C64727">
        <w:rPr>
          <w:rFonts w:ascii="Times New Roman" w:hAnsi="Times New Roman"/>
          <w:sz w:val="24"/>
          <w:szCs w:val="24"/>
        </w:rPr>
        <w:tab/>
        <w:t>perfluor-szénhidrogének</w:t>
      </w:r>
    </w:p>
    <w:p w14:paraId="5E2CCDD7" w14:textId="77777777" w:rsidR="0067338B" w:rsidRPr="00C64727" w:rsidRDefault="003A348D">
      <w:pPr>
        <w:spacing w:after="120"/>
        <w:rPr>
          <w:rFonts w:ascii="Times New Roman" w:hAnsi="Times New Roman"/>
          <w:sz w:val="24"/>
          <w:szCs w:val="24"/>
        </w:rPr>
      </w:pPr>
      <w:r w:rsidRPr="00C64727">
        <w:rPr>
          <w:rFonts w:ascii="Times New Roman" w:hAnsi="Times New Roman"/>
          <w:sz w:val="24"/>
          <w:szCs w:val="24"/>
        </w:rPr>
        <w:t>RES</w:t>
      </w:r>
      <w:r w:rsidRPr="00C64727">
        <w:rPr>
          <w:rFonts w:ascii="Times New Roman" w:hAnsi="Times New Roman"/>
          <w:sz w:val="24"/>
          <w:szCs w:val="24"/>
        </w:rPr>
        <w:tab/>
      </w:r>
      <w:r w:rsidRPr="00C64727">
        <w:rPr>
          <w:rFonts w:ascii="Times New Roman" w:hAnsi="Times New Roman"/>
          <w:sz w:val="24"/>
          <w:szCs w:val="24"/>
        </w:rPr>
        <w:tab/>
        <w:t>megújuló energiaforrások</w:t>
      </w:r>
    </w:p>
    <w:p w14:paraId="77E19E33" w14:textId="73081D7D" w:rsidR="0067338B" w:rsidRPr="00C64727" w:rsidRDefault="00C64727">
      <w:pPr>
        <w:spacing w:after="120"/>
        <w:rPr>
          <w:rFonts w:ascii="Times New Roman" w:hAnsi="Times New Roman"/>
          <w:sz w:val="24"/>
          <w:szCs w:val="24"/>
        </w:rPr>
      </w:pPr>
      <w:r>
        <w:rPr>
          <w:rFonts w:ascii="Times New Roman" w:hAnsi="Times New Roman"/>
          <w:sz w:val="24"/>
          <w:szCs w:val="24"/>
        </w:rPr>
        <w:t>SARP-ok</w:t>
      </w:r>
      <w:r>
        <w:rPr>
          <w:rFonts w:ascii="Times New Roman" w:hAnsi="Times New Roman"/>
          <w:sz w:val="24"/>
          <w:szCs w:val="24"/>
        </w:rPr>
        <w:tab/>
      </w:r>
      <w:r w:rsidR="000A23BB" w:rsidRPr="00C64727">
        <w:rPr>
          <w:rFonts w:ascii="Times New Roman" w:hAnsi="Times New Roman"/>
          <w:sz w:val="24"/>
          <w:szCs w:val="24"/>
        </w:rPr>
        <w:t>CORSIA szabványok és ajánlott gyakorlatok</w:t>
      </w:r>
    </w:p>
    <w:p w14:paraId="257EF65A" w14:textId="77777777" w:rsidR="0067338B" w:rsidRPr="00C64727" w:rsidRDefault="003A348D">
      <w:pPr>
        <w:rPr>
          <w:rFonts w:ascii="Times New Roman" w:hAnsi="Times New Roman"/>
          <w:sz w:val="24"/>
          <w:szCs w:val="24"/>
        </w:rPr>
      </w:pPr>
      <w:r w:rsidRPr="00C64727">
        <w:rPr>
          <w:rFonts w:ascii="Times New Roman" w:hAnsi="Times New Roman"/>
          <w:sz w:val="24"/>
          <w:szCs w:val="24"/>
        </w:rPr>
        <w:t>TNAC</w:t>
      </w:r>
      <w:r w:rsidRPr="00C64727">
        <w:rPr>
          <w:rFonts w:ascii="Times New Roman" w:hAnsi="Times New Roman"/>
          <w:sz w:val="24"/>
          <w:szCs w:val="24"/>
        </w:rPr>
        <w:tab/>
      </w:r>
      <w:r w:rsidRPr="00C64727">
        <w:rPr>
          <w:rFonts w:ascii="Times New Roman" w:hAnsi="Times New Roman"/>
          <w:sz w:val="24"/>
          <w:szCs w:val="24"/>
        </w:rPr>
        <w:tab/>
        <w:t>forgalomban lévő kibocsátási egységek száma összesen</w:t>
      </w:r>
    </w:p>
    <w:p w14:paraId="12BD9CDC" w14:textId="77777777" w:rsidR="0067338B" w:rsidRPr="00C64727" w:rsidRDefault="0067338B">
      <w:pPr>
        <w:rPr>
          <w:rFonts w:ascii="Times New Roman" w:hAnsi="Times New Roman"/>
          <w:sz w:val="24"/>
          <w:szCs w:val="24"/>
        </w:rPr>
      </w:pPr>
    </w:p>
    <w:p w14:paraId="0F376650" w14:textId="77777777" w:rsidR="0067338B" w:rsidRPr="00C64727" w:rsidRDefault="0067338B">
      <w:pPr>
        <w:rPr>
          <w:rFonts w:ascii="Times New Roman" w:hAnsi="Times New Roman"/>
          <w:sz w:val="24"/>
          <w:szCs w:val="24"/>
        </w:rPr>
      </w:pPr>
    </w:p>
    <w:p w14:paraId="5B5CBBFD" w14:textId="77777777" w:rsidR="0067338B" w:rsidRPr="00C64727" w:rsidRDefault="0067338B">
      <w:pPr>
        <w:rPr>
          <w:rFonts w:ascii="Times New Roman" w:hAnsi="Times New Roman"/>
          <w:sz w:val="24"/>
          <w:szCs w:val="24"/>
        </w:rPr>
      </w:pPr>
    </w:p>
    <w:p w14:paraId="0FA4CA34" w14:textId="77777777" w:rsidR="0067338B" w:rsidRPr="00C64727" w:rsidRDefault="0067338B">
      <w:pPr>
        <w:rPr>
          <w:rFonts w:ascii="Times New Roman" w:hAnsi="Times New Roman"/>
          <w:sz w:val="24"/>
          <w:szCs w:val="24"/>
        </w:rPr>
      </w:pPr>
    </w:p>
    <w:p w14:paraId="3FEDF8F1" w14:textId="77777777" w:rsidR="0067338B" w:rsidRPr="00C64727" w:rsidRDefault="0067338B">
      <w:pPr>
        <w:rPr>
          <w:rFonts w:ascii="Times New Roman" w:hAnsi="Times New Roman"/>
          <w:sz w:val="24"/>
          <w:szCs w:val="24"/>
        </w:rPr>
      </w:pPr>
    </w:p>
    <w:p w14:paraId="27741D67" w14:textId="77777777" w:rsidR="0067338B" w:rsidRPr="00C64727" w:rsidRDefault="0067338B">
      <w:pPr>
        <w:rPr>
          <w:rFonts w:ascii="Times New Roman" w:hAnsi="Times New Roman"/>
          <w:sz w:val="24"/>
          <w:szCs w:val="24"/>
        </w:rPr>
      </w:pPr>
    </w:p>
    <w:p w14:paraId="2C98C8D1" w14:textId="77777777" w:rsidR="0067338B" w:rsidRPr="00C64727" w:rsidRDefault="0067338B">
      <w:pPr>
        <w:rPr>
          <w:rFonts w:ascii="Times New Roman" w:hAnsi="Times New Roman"/>
          <w:sz w:val="24"/>
          <w:szCs w:val="24"/>
        </w:rPr>
      </w:pPr>
    </w:p>
    <w:p w14:paraId="7C5CCFF1" w14:textId="77777777" w:rsidR="0067338B" w:rsidRPr="00C64727" w:rsidRDefault="0067338B">
      <w:pPr>
        <w:rPr>
          <w:rFonts w:ascii="Times New Roman" w:hAnsi="Times New Roman"/>
          <w:sz w:val="24"/>
          <w:szCs w:val="24"/>
        </w:rPr>
      </w:pPr>
    </w:p>
    <w:p w14:paraId="0FA23E79" w14:textId="77777777" w:rsidR="0067338B" w:rsidRPr="00C64727" w:rsidRDefault="0067338B">
      <w:pPr>
        <w:rPr>
          <w:rFonts w:ascii="Times New Roman" w:hAnsi="Times New Roman"/>
          <w:sz w:val="24"/>
          <w:szCs w:val="24"/>
        </w:rPr>
      </w:pPr>
    </w:p>
    <w:p w14:paraId="5E436D6A" w14:textId="77777777" w:rsidR="0067338B" w:rsidRPr="00C64727" w:rsidRDefault="0067338B">
      <w:pPr>
        <w:rPr>
          <w:rFonts w:ascii="Times New Roman" w:hAnsi="Times New Roman"/>
          <w:sz w:val="24"/>
          <w:szCs w:val="24"/>
        </w:rPr>
      </w:pPr>
    </w:p>
    <w:p w14:paraId="5BC963F5" w14:textId="77777777" w:rsidR="0067338B" w:rsidRPr="00C64727" w:rsidRDefault="003A348D">
      <w:pPr>
        <w:pStyle w:val="Heading1"/>
        <w:rPr>
          <w:szCs w:val="24"/>
        </w:rPr>
      </w:pPr>
      <w:bookmarkStart w:id="3" w:name="_Toc24093080"/>
      <w:r w:rsidRPr="00C64727">
        <w:rPr>
          <w:szCs w:val="24"/>
        </w:rPr>
        <w:lastRenderedPageBreak/>
        <w:t>ÖSSZEFOGLALÁS</w:t>
      </w:r>
      <w:bookmarkEnd w:id="3"/>
    </w:p>
    <w:p w14:paraId="580C8FC9" w14:textId="77777777" w:rsidR="0067338B" w:rsidRPr="00C64727" w:rsidRDefault="003A348D">
      <w:pPr>
        <w:rPr>
          <w:rFonts w:ascii="Times New Roman" w:hAnsi="Times New Roman"/>
          <w:sz w:val="24"/>
          <w:szCs w:val="24"/>
        </w:rPr>
      </w:pPr>
      <w:r w:rsidRPr="00C64727">
        <w:rPr>
          <w:rFonts w:ascii="Times New Roman" w:hAnsi="Times New Roman"/>
          <w:noProof/>
          <w:sz w:val="24"/>
          <w:szCs w:val="24"/>
          <w:lang w:val="en-GB" w:eastAsia="en-GB"/>
        </w:rPr>
        <mc:AlternateContent>
          <mc:Choice Requires="wps">
            <w:drawing>
              <wp:inline distT="0" distB="0" distL="0" distR="0" wp14:anchorId="40E3650B" wp14:editId="6024273E">
                <wp:extent cx="6005689" cy="4730044"/>
                <wp:effectExtent l="0" t="0" r="14605" b="1397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689" cy="4730044"/>
                        </a:xfrm>
                        <a:prstGeom prst="rect">
                          <a:avLst/>
                        </a:prstGeom>
                        <a:solidFill>
                          <a:sysClr val="window" lastClr="FFFFFF">
                            <a:lumMod val="85000"/>
                          </a:sysClr>
                        </a:solidFill>
                        <a:ln w="12700">
                          <a:solidFill>
                            <a:srgbClr val="000000"/>
                          </a:solidFill>
                          <a:miter lim="800000"/>
                          <a:headEnd/>
                          <a:tailEnd/>
                        </a:ln>
                      </wps:spPr>
                      <wps:txbx>
                        <w:txbxContent>
                          <w:p w14:paraId="1656593D" w14:textId="77777777" w:rsidR="0067338B" w:rsidRPr="00C64727" w:rsidRDefault="00516F65">
                            <w:pPr>
                              <w:jc w:val="both"/>
                              <w:rPr>
                                <w:rFonts w:ascii="Times New Roman" w:hAnsi="Times New Roman"/>
                                <w:sz w:val="24"/>
                                <w:szCs w:val="24"/>
                              </w:rPr>
                            </w:pPr>
                            <w:r w:rsidRPr="00C64727">
                              <w:rPr>
                                <w:rFonts w:ascii="Times New Roman" w:hAnsi="Times New Roman"/>
                                <w:sz w:val="24"/>
                                <w:szCs w:val="24"/>
                              </w:rPr>
                              <w:t>2017-hez képest 2018-ban az uniós kibocsátáskereskedelmi rendszer (EU ETS) hatálya alá tartozó létesítményekből származó kibocsátások 4,1 %-kal csökkentek. A csökkenés elsősorban a villamosáram- és hőtermelésnek volt tulajdonítható, míg az iparból származó kibocsátások csak kis mértékben mérséklődtek (lásd a 3.2. szakasz 7. táblázatát). A légi közlekedésből származó hitelesített kibocsátások tovább emelkedtek: a növekedés mértéke 2017-hez képest 3,9 % volt (lásd a 4. szakasz 8. táblázatát).</w:t>
                            </w:r>
                          </w:p>
                          <w:p w14:paraId="09AA47EA" w14:textId="77777777" w:rsidR="0067338B" w:rsidRPr="00C64727" w:rsidRDefault="00516F65">
                            <w:pPr>
                              <w:jc w:val="both"/>
                              <w:rPr>
                                <w:rFonts w:ascii="Times New Roman" w:hAnsi="Times New Roman"/>
                                <w:sz w:val="24"/>
                                <w:szCs w:val="24"/>
                              </w:rPr>
                            </w:pPr>
                            <w:r w:rsidRPr="00C64727">
                              <w:rPr>
                                <w:rFonts w:ascii="Times New Roman" w:hAnsi="Times New Roman"/>
                                <w:sz w:val="24"/>
                                <w:szCs w:val="24"/>
                              </w:rPr>
                              <w:t xml:space="preserve">A felülvizsgált EU ETS irányelv elfogadását követően a figyelem a 4. szakasz kezdete előtt az új rendelkezések végrehajtására helyeződött át. Jelenleg teljes lendülettel folyik a végrehajtási munka, és az elmúlt év során új végrehajtási jogszabályokat fogadtak el a CO2-kibocsátás-áthelyezési jegyzékkel, az ingyenes kiosztási szabályokkal, az innovációs alappal, az árverezéssel, a nyomon követéssel, jelentéssel, hitelesítéssel és akkreditációval (MRVA) és az uniós kibocsátásiegység-forgalmi jegyzékkel kapcsolatban (lásd a 2.2., 3.1.2. és 6.1. fejezetet). </w:t>
                            </w:r>
                          </w:p>
                          <w:p w14:paraId="64958BCF" w14:textId="58E91DF9" w:rsidR="0067338B" w:rsidRPr="00C64727" w:rsidRDefault="00516F65">
                            <w:pPr>
                              <w:jc w:val="both"/>
                              <w:rPr>
                                <w:rFonts w:ascii="Times New Roman" w:hAnsi="Times New Roman"/>
                                <w:sz w:val="24"/>
                                <w:szCs w:val="24"/>
                              </w:rPr>
                            </w:pPr>
                            <w:r w:rsidRPr="00C64727">
                              <w:rPr>
                                <w:rFonts w:ascii="Times New Roman" w:hAnsi="Times New Roman"/>
                                <w:sz w:val="24"/>
                                <w:szCs w:val="24"/>
                              </w:rPr>
                              <w:t>A piaci stabilizációs tartalék többletmutatóját harmadszor tették közzé, 1 654 909 824 kibocsátási egységnek felelt meg. A mutató közzétételének eredményeképpen további egységek kerülnek majd a tartalékba, aminek hatására az árverési mennyiség 2019-ben majdnem 40 %-kal, azaz közel 397 millió kibocsátási egységgel csökken (lásd a 3.3. fejezetet).</w:t>
                            </w:r>
                          </w:p>
                          <w:p w14:paraId="5821800E" w14:textId="77777777" w:rsidR="0067338B" w:rsidRPr="00C64727" w:rsidRDefault="00D52704">
                            <w:pPr>
                              <w:jc w:val="both"/>
                              <w:rPr>
                                <w:rFonts w:ascii="Times New Roman" w:hAnsi="Times New Roman"/>
                                <w:sz w:val="24"/>
                                <w:szCs w:val="24"/>
                              </w:rPr>
                            </w:pPr>
                            <w:r w:rsidRPr="00C64727">
                              <w:rPr>
                                <w:rFonts w:ascii="Times New Roman" w:hAnsi="Times New Roman"/>
                                <w:sz w:val="24"/>
                                <w:szCs w:val="24"/>
                              </w:rPr>
                              <w:t xml:space="preserve">2018-ban a szén-dioxid-árjelzés európai szén-dioxid-piacon tapasztalt erősödése miatt a kibocsátási egységek árverezés útján történő értékesítése mintegy 14 milliárd eurós rekordbevételt eredményezett a tagállamok számára. A tagállamok az év során e bevételeknek közel 70 %-át meghatározott, éghajlatváltozással vagy energiaüggyel kapcsolatos célokra költötték vagy tervezték költeni (lásd a 3.1.2.4. fejezetet). </w:t>
                            </w:r>
                          </w:p>
                          <w:p w14:paraId="183A7C98" w14:textId="77777777" w:rsidR="0067338B" w:rsidRPr="00C64727" w:rsidRDefault="0067338B">
                            <w:pPr>
                              <w:jc w:val="both"/>
                              <w:rPr>
                                <w:sz w:val="24"/>
                                <w:szCs w:val="24"/>
                              </w:rPr>
                            </w:pPr>
                          </w:p>
                        </w:txbxContent>
                      </wps:txbx>
                      <wps:bodyPr rot="0" vert="horz" wrap="square" lIns="91440" tIns="45720" rIns="91440" bIns="45720" anchor="t" anchorCtr="0">
                        <a:noAutofit/>
                      </wps:bodyPr>
                    </wps:wsp>
                  </a:graphicData>
                </a:graphic>
              </wp:inline>
            </w:drawing>
          </mc:Choice>
          <mc:Fallback>
            <w:pict>
              <v:shapetype w14:anchorId="40E3650B" id="_x0000_t202" coordsize="21600,21600" o:spt="202" path="m,l,21600r21600,l21600,xe">
                <v:stroke joinstyle="miter"/>
                <v:path gradientshapeok="t" o:connecttype="rect"/>
              </v:shapetype>
              <v:shape id="Text Box 2" o:spid="_x0000_s1026" type="#_x0000_t202" style="width:472.9pt;height:37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" fillcolor="#d9d9d9" strokeweight="1pt">
                <v:textbox>
                  <w:txbxContent>
                    <w:p w14:paraId="1656593D" w14:textId="77777777" w:rsidR="0067338B" w:rsidRPr="00C64727" w:rsidRDefault="00516F65">
                      <w:pPr>
                        <w:jc w:val="both"/>
                        <w:rPr>
                          <w:rFonts w:ascii="Times New Roman" w:hAnsi="Times New Roman"/>
                          <w:sz w:val="24"/>
                          <w:szCs w:val="24"/>
                        </w:rPr>
                      </w:pPr>
                      <w:r w:rsidRPr="00C64727">
                        <w:rPr>
                          <w:rFonts w:ascii="Times New Roman" w:hAnsi="Times New Roman"/>
                          <w:sz w:val="24"/>
                          <w:szCs w:val="24"/>
                        </w:rPr>
                        <w:t>2017-hez képest 2018-ban az uniós kibocsátáskereskedelmi rendszer (EU ETS) hatálya alá tartozó létesítményekből származó kibocsátások 4,1 %-kal csökkentek. A csökkenés elsősorban a villamosáram- és hőtermelésnek volt tulajdonítható, míg az iparból származó kibocsátások csak kis mértékben mérséklődtek (lásd a 3.2. szakasz 7. táblázatát). A légi közlekedésből származó hitelesített kibocsátások tovább emelkedtek: a növekedés mértéke 2017-hez képest 3,9 % volt (lásd a 4. szakasz 8. táblázatát).</w:t>
                      </w:r>
                    </w:p>
                    <w:p w14:paraId="09AA47EA" w14:textId="77777777" w:rsidR="0067338B" w:rsidRPr="00C64727" w:rsidRDefault="00516F65">
                      <w:pPr>
                        <w:jc w:val="both"/>
                        <w:rPr>
                          <w:rFonts w:ascii="Times New Roman" w:hAnsi="Times New Roman"/>
                          <w:sz w:val="24"/>
                          <w:szCs w:val="24"/>
                        </w:rPr>
                      </w:pPr>
                      <w:r w:rsidRPr="00C64727">
                        <w:rPr>
                          <w:rFonts w:ascii="Times New Roman" w:hAnsi="Times New Roman"/>
                          <w:sz w:val="24"/>
                          <w:szCs w:val="24"/>
                        </w:rPr>
                        <w:t xml:space="preserve">A felülvizsgált EU ETS irányelv elfogadását követően a figyelem a 4. szakasz kezdete előtt az új rendelkezések végrehajtására helyeződött át. Jelenleg teljes lendülettel folyik a végrehajtási munka, és az elmúlt év során új végrehajtási jogszabályokat fogadtak el a CO2-kibocsátás-áthelyezési jegyzékkel, az ingyenes kiosztási szabályokkal, az innovációs alappal, az árverezéssel, a nyomon követéssel, jelentéssel, hitelesítéssel és akkreditációval (MRVA) és az uniós kibocsátásiegység-forgalmi jegyzékkel kapcsolatban (lásd a 2.2., 3.1.2. és 6.1. fejezetet). </w:t>
                      </w:r>
                    </w:p>
                    <w:p w14:paraId="64958BCF" w14:textId="58E91DF9" w:rsidR="0067338B" w:rsidRPr="00C64727" w:rsidRDefault="00516F65">
                      <w:pPr>
                        <w:jc w:val="both"/>
                        <w:rPr>
                          <w:rFonts w:ascii="Times New Roman" w:hAnsi="Times New Roman"/>
                          <w:sz w:val="24"/>
                          <w:szCs w:val="24"/>
                        </w:rPr>
                      </w:pPr>
                      <w:r w:rsidRPr="00C64727">
                        <w:rPr>
                          <w:rFonts w:ascii="Times New Roman" w:hAnsi="Times New Roman"/>
                          <w:sz w:val="24"/>
                          <w:szCs w:val="24"/>
                        </w:rPr>
                        <w:t>A piaci stabilizációs tartalék többletmutatóját harmadszor tették közzé, 1 654 909 824 kibocsátási egységnek felelt meg. A mutató közzétételének eredményeképpen további egységek kerülnek majd a tartalékba, aminek hatására az árverési mennyiség 2019-ben majdnem 40 %-kal, azaz közel 397 millió kibocsátási egységgel csökken (lásd a 3.3. fejezetet).</w:t>
                      </w:r>
                    </w:p>
                    <w:p w14:paraId="5821800E" w14:textId="77777777" w:rsidR="0067338B" w:rsidRPr="00C64727" w:rsidRDefault="00D52704">
                      <w:pPr>
                        <w:jc w:val="both"/>
                        <w:rPr>
                          <w:rFonts w:ascii="Times New Roman" w:hAnsi="Times New Roman"/>
                          <w:sz w:val="24"/>
                          <w:szCs w:val="24"/>
                        </w:rPr>
                      </w:pPr>
                      <w:r w:rsidRPr="00C64727">
                        <w:rPr>
                          <w:rFonts w:ascii="Times New Roman" w:hAnsi="Times New Roman"/>
                          <w:sz w:val="24"/>
                          <w:szCs w:val="24"/>
                        </w:rPr>
                        <w:t xml:space="preserve">2018-ban a szén-dioxid-árjelzés európai szén-dioxid-piacon tapasztalt erősödése miatt a kibocsátási egységek árverezés útján történő értékesítése mintegy 14 milliárd eurós rekordbevételt eredményezett a tagállamok számára. A tagállamok az év során e bevételeknek közel 70 %-át meghatározott, éghajlatváltozással vagy energiaüggyel kapcsolatos célokra költötték vagy tervezték költeni (lásd a 3.1.2.4. fejezetet). </w:t>
                      </w:r>
                    </w:p>
                    <w:p w14:paraId="183A7C98" w14:textId="77777777" w:rsidR="0067338B" w:rsidRPr="00C64727" w:rsidRDefault="0067338B">
                      <w:pPr>
                        <w:jc w:val="both"/>
                        <w:rPr>
                          <w:sz w:val="24"/>
                          <w:szCs w:val="24"/>
                        </w:rPr>
                      </w:pPr>
                    </w:p>
                  </w:txbxContent>
                </v:textbox>
                <w10:anchorlock/>
              </v:shape>
            </w:pict>
          </mc:Fallback>
        </mc:AlternateContent>
      </w:r>
    </w:p>
    <w:p w14:paraId="74F4ED6E" w14:textId="77777777" w:rsidR="0067338B" w:rsidRPr="00C64727" w:rsidRDefault="0067338B">
      <w:pPr>
        <w:jc w:val="both"/>
        <w:rPr>
          <w:rFonts w:ascii="Times New Roman" w:hAnsi="Times New Roman"/>
          <w:sz w:val="24"/>
          <w:szCs w:val="24"/>
        </w:rPr>
      </w:pPr>
    </w:p>
    <w:p w14:paraId="734585E0" w14:textId="77777777" w:rsidR="0067338B" w:rsidRPr="00C64727" w:rsidRDefault="0067338B">
      <w:pPr>
        <w:jc w:val="both"/>
        <w:rPr>
          <w:rFonts w:ascii="Times New Roman" w:hAnsi="Times New Roman"/>
          <w:sz w:val="24"/>
          <w:szCs w:val="24"/>
        </w:rPr>
      </w:pPr>
    </w:p>
    <w:p w14:paraId="4D2DD863" w14:textId="77777777" w:rsidR="0067338B" w:rsidRPr="00C64727" w:rsidRDefault="0067338B">
      <w:pPr>
        <w:jc w:val="both"/>
        <w:rPr>
          <w:rFonts w:ascii="Times New Roman" w:hAnsi="Times New Roman"/>
          <w:sz w:val="24"/>
          <w:szCs w:val="24"/>
        </w:rPr>
      </w:pPr>
    </w:p>
    <w:p w14:paraId="72D32B19" w14:textId="77777777" w:rsidR="0067338B" w:rsidRPr="00C64727" w:rsidRDefault="0067338B">
      <w:pPr>
        <w:jc w:val="both"/>
        <w:rPr>
          <w:rFonts w:ascii="Times New Roman" w:hAnsi="Times New Roman"/>
          <w:sz w:val="24"/>
          <w:szCs w:val="24"/>
        </w:rPr>
      </w:pPr>
    </w:p>
    <w:p w14:paraId="2A2955D2" w14:textId="77777777" w:rsidR="0067338B" w:rsidRPr="00C64727" w:rsidRDefault="0067338B">
      <w:pPr>
        <w:jc w:val="both"/>
        <w:rPr>
          <w:rFonts w:ascii="Times New Roman" w:hAnsi="Times New Roman"/>
          <w:sz w:val="24"/>
          <w:szCs w:val="24"/>
        </w:rPr>
      </w:pPr>
    </w:p>
    <w:p w14:paraId="0ECE16F5" w14:textId="77777777" w:rsidR="0067338B" w:rsidRPr="00C64727" w:rsidRDefault="0067338B">
      <w:pPr>
        <w:jc w:val="both"/>
        <w:rPr>
          <w:rFonts w:ascii="Times New Roman" w:hAnsi="Times New Roman"/>
          <w:sz w:val="24"/>
          <w:szCs w:val="24"/>
        </w:rPr>
      </w:pPr>
    </w:p>
    <w:p w14:paraId="13537B4A" w14:textId="1FE59708" w:rsidR="0067338B" w:rsidRPr="00C64727" w:rsidRDefault="0067338B">
      <w:pPr>
        <w:jc w:val="both"/>
        <w:rPr>
          <w:rFonts w:ascii="Times New Roman" w:hAnsi="Times New Roman"/>
          <w:sz w:val="24"/>
          <w:szCs w:val="24"/>
        </w:rPr>
      </w:pPr>
    </w:p>
    <w:p w14:paraId="45DFE100" w14:textId="77777777" w:rsidR="00C64727" w:rsidRPr="00C64727" w:rsidRDefault="00C64727">
      <w:pPr>
        <w:jc w:val="both"/>
        <w:rPr>
          <w:rFonts w:ascii="Times New Roman" w:hAnsi="Times New Roman"/>
          <w:sz w:val="24"/>
          <w:szCs w:val="24"/>
        </w:rPr>
      </w:pPr>
    </w:p>
    <w:p w14:paraId="04AD87E6" w14:textId="77777777" w:rsidR="0067338B" w:rsidRPr="00C64727" w:rsidRDefault="0067338B">
      <w:pPr>
        <w:jc w:val="both"/>
        <w:rPr>
          <w:rFonts w:ascii="Times New Roman" w:hAnsi="Times New Roman"/>
          <w:sz w:val="24"/>
          <w:szCs w:val="24"/>
        </w:rPr>
      </w:pPr>
    </w:p>
    <w:p w14:paraId="10433702" w14:textId="77777777" w:rsidR="0067338B" w:rsidRPr="00C64727" w:rsidRDefault="0067338B">
      <w:pPr>
        <w:rPr>
          <w:rFonts w:ascii="Times New Roman" w:hAnsi="Times New Roman"/>
          <w:sz w:val="24"/>
          <w:szCs w:val="24"/>
        </w:rPr>
      </w:pPr>
    </w:p>
    <w:p w14:paraId="7DA200E5" w14:textId="77777777" w:rsidR="0067338B" w:rsidRPr="00C64727" w:rsidRDefault="0067338B">
      <w:pPr>
        <w:rPr>
          <w:rFonts w:ascii="Times New Roman" w:hAnsi="Times New Roman"/>
          <w:sz w:val="24"/>
          <w:szCs w:val="24"/>
        </w:rPr>
      </w:pPr>
    </w:p>
    <w:p w14:paraId="4B0941BC" w14:textId="77777777" w:rsidR="0067338B" w:rsidRPr="00C64727" w:rsidRDefault="003A348D">
      <w:pPr>
        <w:pStyle w:val="Heading1"/>
        <w:rPr>
          <w:szCs w:val="24"/>
        </w:rPr>
      </w:pPr>
      <w:bookmarkStart w:id="4" w:name="_Toc24093081"/>
      <w:r w:rsidRPr="00C64727">
        <w:rPr>
          <w:szCs w:val="24"/>
        </w:rPr>
        <w:t>1. BEVEZETÉS</w:t>
      </w:r>
      <w:bookmarkEnd w:id="4"/>
    </w:p>
    <w:p w14:paraId="3D2B9C8B" w14:textId="77777777" w:rsidR="0067338B" w:rsidRPr="00C64727" w:rsidRDefault="003A348D">
      <w:pPr>
        <w:jc w:val="both"/>
        <w:rPr>
          <w:rFonts w:ascii="Times New Roman" w:hAnsi="Times New Roman"/>
          <w:b/>
          <w:sz w:val="24"/>
          <w:szCs w:val="24"/>
        </w:rPr>
      </w:pPr>
      <w:r w:rsidRPr="00C64727">
        <w:rPr>
          <w:rFonts w:ascii="Times New Roman" w:hAnsi="Times New Roman"/>
          <w:sz w:val="24"/>
          <w:szCs w:val="24"/>
        </w:rPr>
        <w:t>Az EU kibocsátáskereskedelmi rendszere (EU ETS) 2005 óta képezi az Unió azon stratégiájának sarokkövét, amelynek célja az iparból, valamint a villamosáram- és hőtermelésből származó üvegházhatású gázok (ÜHG) kibocsátásának csökkentése. A rendszer jelentős mértékben hozzájárul azon átfogó uniós célkitűzés eléréséhez, hogy 2020-ig az üvegházhatású gázok kibocsátása az 1990-es szinthez képest 20 %-kal csökkenjen. Jóllehet az Unió jó úton halad afelé, hogy felülmúlja e célkitűzést, ahhoz hogy az üvegházhatást okozó gázok kibocsátása – a 2030-ig tartó időszakra vonatkozó jelenlegi uniós éghajlat- és energiapolitikai keretben – legalább 40 %-kal és – a hivatalba lépő új Bizottság számára megfogalmazott politikai iránymutatások</w:t>
      </w:r>
      <w:r w:rsidRPr="00C64727">
        <w:rPr>
          <w:rStyle w:val="FootnoteReference"/>
          <w:rFonts w:ascii="Times New Roman" w:hAnsi="Times New Roman"/>
          <w:sz w:val="24"/>
          <w:szCs w:val="24"/>
        </w:rPr>
        <w:footnoteReference w:id="1"/>
      </w:r>
      <w:r w:rsidRPr="00C64727">
        <w:rPr>
          <w:rFonts w:ascii="Times New Roman" w:hAnsi="Times New Roman"/>
          <w:sz w:val="24"/>
          <w:szCs w:val="24"/>
        </w:rPr>
        <w:t xml:space="preserve"> figyelembevételével – legalább 50 %-kal, illetve felelősségteljes módon az 55 %-ot megcélozva csökkenjen, folyamatos fejlődésre van szükség.</w:t>
      </w:r>
    </w:p>
    <w:p w14:paraId="4D2152C4" w14:textId="0AB8B81F" w:rsidR="0067338B" w:rsidRPr="00C64727" w:rsidRDefault="0085272D">
      <w:pPr>
        <w:jc w:val="both"/>
        <w:rPr>
          <w:rFonts w:ascii="Times New Roman" w:hAnsi="Times New Roman"/>
          <w:sz w:val="24"/>
          <w:szCs w:val="24"/>
        </w:rPr>
      </w:pPr>
      <w:r w:rsidRPr="00C64727">
        <w:rPr>
          <w:rFonts w:ascii="Times New Roman" w:hAnsi="Times New Roman"/>
          <w:sz w:val="24"/>
          <w:szCs w:val="24"/>
        </w:rPr>
        <w:t>A 4. szakaszra vonatkozó, felülvizsgált EU ETS irányelv</w:t>
      </w:r>
      <w:r w:rsidRPr="00C64727">
        <w:rPr>
          <w:rStyle w:val="FootnoteReference"/>
          <w:rFonts w:ascii="Times New Roman" w:hAnsi="Times New Roman"/>
          <w:sz w:val="24"/>
          <w:szCs w:val="24"/>
        </w:rPr>
        <w:footnoteReference w:id="2"/>
      </w:r>
      <w:r w:rsidRPr="00C64727">
        <w:rPr>
          <w:rFonts w:ascii="Times New Roman" w:hAnsi="Times New Roman"/>
          <w:sz w:val="24"/>
          <w:szCs w:val="24"/>
        </w:rPr>
        <w:t xml:space="preserve"> 2018. áprilisi hatálybalépését követően gyors ütemben halad a negyedik kereskedési időszakra vonatkozó végrehajtási szabályozás elfogadása. Az elmúlt év során elfogadásra került az új kibocsátás-áthelyezési jegyzékre és az ingyenes kiosztási szabályokra vonatkozó végrehajtási szabályozás és a 4. szakaszhoz szükséges kiigazítások érdekében felülvizsgálták az uniós kibocsátásiegység-forgalmi jegyzékre vonatkozó jogi keretet. Ezenkívül megállapításra kerültek az innovációs alapnak – azaz az ETS alacsony szén-dioxid-kibocsátású innovatív technológiák és áttörést jelentő innovációk 4. szakaszban történő finanszírozására vonatkozó legfőbb eszközének – a működőképessé tételére vonatkozó szabályok. Ezzel párhuzamosan megtörtént az árverésekről szóló rendelet felülvizsgálata, hogy az innovációs alap számára 2020-ban lehetővé váljon az első 50 millió kibocsátási egység árverés útján történő értékesítése. 2019 augusztusában a Bizottság újabb felülvizsgálatot fogadott el, így intézményi keret jött létre a 4. szakaszban a kibocsátási egységek innovációs alap és modernizációs alap számára történő árverezéséhez. Végül, de nem utolsósorban frissítésre került az EU ETS nyomonkövetési, jelentéstételi, hitelesítési és akkreditációs kerete a meglévő szabályoknak a 3. szakasz végrehajtási tapasztalati alapján történő finomhangolása és egyértelműbbé tétele érdekében. A Bizottság gyors ütemben véglegesíti a fennmaradó végrehajtási rendelkezéseket annak érdekében, hogy azok 2021 januárja, az új kereskedési időszak kezdete előtt elfogadásra kerüljenek. </w:t>
      </w:r>
    </w:p>
    <w:p w14:paraId="127113FB" w14:textId="77777777" w:rsidR="0067338B" w:rsidRPr="00C64727" w:rsidRDefault="00FD386D">
      <w:pPr>
        <w:jc w:val="both"/>
        <w:rPr>
          <w:rFonts w:ascii="Times New Roman" w:hAnsi="Times New Roman"/>
          <w:sz w:val="24"/>
          <w:szCs w:val="24"/>
        </w:rPr>
      </w:pPr>
      <w:r w:rsidRPr="00C64727">
        <w:rPr>
          <w:rFonts w:ascii="Times New Roman" w:hAnsi="Times New Roman"/>
          <w:sz w:val="24"/>
          <w:szCs w:val="24"/>
        </w:rPr>
        <w:t xml:space="preserve">Az utóbbi években a szén-dioxid-piaci kibocsátási egységek többletének kezelésére elfogadott jogszabályi változások már kezdik éreztetni hatásukat. A legutóbbi szén-dioxid-piaci jelentés nyilvánosságra hozatala óta a harmadik alkalommal tették közzé a piaci stabilizációs tartalék többletmutatóját. A mutató és a felülvizsgált EU ETS szabályozás alapján az árverésre bocsátott mennyiség 2019-ben közel 400 millió kibocsátási egységgel fog csökkenni, ami a többlet 24 %-ának felel meg. </w:t>
      </w:r>
    </w:p>
    <w:p w14:paraId="17183171" w14:textId="77777777" w:rsidR="0067338B" w:rsidRPr="00C64727" w:rsidRDefault="00FD386D">
      <w:pPr>
        <w:jc w:val="both"/>
        <w:rPr>
          <w:rFonts w:ascii="Times New Roman" w:hAnsi="Times New Roman"/>
          <w:sz w:val="24"/>
          <w:szCs w:val="24"/>
        </w:rPr>
      </w:pPr>
      <w:r w:rsidRPr="00C64727">
        <w:rPr>
          <w:rFonts w:ascii="Times New Roman" w:hAnsi="Times New Roman"/>
          <w:sz w:val="24"/>
          <w:szCs w:val="24"/>
        </w:rPr>
        <w:t>Az elmúlt évet a piaci szereplők fokozottabb bizalma jellemezte, ami a megerősödött szén-dioxidár-jelzésben nyilvánult meg. A kibocsátási egységek magasabb árfolyama a tagállamok árverésekből származó összbevételének jelentős növekedését idézte elő: 2018-ban az elért összbevétel 14 milliárd euró volt, több mint kétszer annyi, mint 2017-ben. A tagállamok által benyújtott adatok alapján 2018 folyamán e bevételek közel 70 %-át meghatározott, éghajlatváltozással vagy energiaüggyel kapcsolatos célokra költötték (vagy tervezték költeni).</w:t>
      </w:r>
    </w:p>
    <w:p w14:paraId="162D8ACE" w14:textId="77777777" w:rsidR="0067338B" w:rsidRPr="00C64727" w:rsidRDefault="003A348D">
      <w:pPr>
        <w:jc w:val="both"/>
        <w:rPr>
          <w:rFonts w:ascii="Times New Roman" w:hAnsi="Times New Roman"/>
          <w:sz w:val="24"/>
          <w:szCs w:val="24"/>
        </w:rPr>
      </w:pPr>
      <w:r w:rsidRPr="00C64727">
        <w:rPr>
          <w:rFonts w:ascii="Times New Roman" w:hAnsi="Times New Roman"/>
          <w:sz w:val="24"/>
          <w:szCs w:val="24"/>
        </w:rPr>
        <w:t>Az európai szén-dioxid-piac működéséről szóló ezen jelentés előterjesztésére a 2003/87/EK irányelv</w:t>
      </w:r>
      <w:r w:rsidRPr="00C64727">
        <w:rPr>
          <w:rStyle w:val="FootnoteReference"/>
          <w:rFonts w:ascii="Times New Roman" w:hAnsi="Times New Roman"/>
          <w:sz w:val="24"/>
          <w:szCs w:val="24"/>
        </w:rPr>
        <w:footnoteReference w:id="3"/>
      </w:r>
      <w:r w:rsidRPr="00C64727">
        <w:rPr>
          <w:rFonts w:ascii="Times New Roman" w:hAnsi="Times New Roman"/>
          <w:sz w:val="24"/>
          <w:szCs w:val="24"/>
        </w:rPr>
        <w:t xml:space="preserve"> (EU ETS irányelv) 10. cikke (5) bekezdésének és 21. cikke (2) bekezdésének követelményeivel összhangban kerül sor. Az irányelvben előírtaknak megfelelően a jelentés célja, hogy évente rendszeres pillanatképet adjon az európai szén-dioxid-piac alakulásáról. </w:t>
      </w:r>
    </w:p>
    <w:p w14:paraId="6C32B0A3" w14:textId="77777777" w:rsidR="0067338B" w:rsidRPr="00C64727" w:rsidRDefault="003A348D">
      <w:pPr>
        <w:jc w:val="both"/>
        <w:rPr>
          <w:rFonts w:ascii="Times New Roman" w:hAnsi="Times New Roman"/>
          <w:sz w:val="24"/>
          <w:szCs w:val="24"/>
        </w:rPr>
      </w:pPr>
      <w:r w:rsidRPr="00C64727">
        <w:rPr>
          <w:rFonts w:ascii="Times New Roman" w:hAnsi="Times New Roman"/>
          <w:sz w:val="24"/>
          <w:szCs w:val="24"/>
        </w:rPr>
        <w:t xml:space="preserve">A jelentés a 2018-as évet fedi le, de a 2019 első félévében javasolt vagy elfogadott kezdeményezéseket is bemutatja. </w:t>
      </w:r>
    </w:p>
    <w:p w14:paraId="6FAF5912" w14:textId="77777777" w:rsidR="0067338B" w:rsidRPr="00C64727" w:rsidRDefault="003A348D">
      <w:pPr>
        <w:jc w:val="both"/>
        <w:rPr>
          <w:rFonts w:ascii="Times New Roman" w:hAnsi="Times New Roman"/>
          <w:sz w:val="24"/>
          <w:szCs w:val="24"/>
        </w:rPr>
      </w:pPr>
      <w:r w:rsidRPr="00C64727">
        <w:rPr>
          <w:rFonts w:ascii="Times New Roman" w:hAnsi="Times New Roman"/>
          <w:sz w:val="24"/>
          <w:szCs w:val="24"/>
        </w:rPr>
        <w:t>Eltérő utalás hiányában a jelentéshez felhasznált adatok a 2019. június végéig a Bizottság rendelkezésére álló, nyilvánosan hozzáférhető adatok.</w:t>
      </w:r>
      <w:r w:rsidRPr="00C64727">
        <w:rPr>
          <w:rFonts w:ascii="Times New Roman" w:hAnsi="Times New Roman"/>
          <w:sz w:val="24"/>
          <w:szCs w:val="24"/>
        </w:rPr>
        <w:footnoteReference w:id="4"/>
      </w:r>
      <w:r w:rsidRPr="00C64727">
        <w:rPr>
          <w:rFonts w:ascii="Times New Roman" w:hAnsi="Times New Roman"/>
          <w:sz w:val="24"/>
          <w:szCs w:val="24"/>
        </w:rPr>
        <w:t xml:space="preserve"> Az EU ETS-re vonatkozó általános és leíró jellegű információk a jelentésben szövegdobozokban szerepelnek.</w:t>
      </w:r>
    </w:p>
    <w:p w14:paraId="34F8EB1F" w14:textId="77777777" w:rsidR="0067338B" w:rsidRPr="00C64727" w:rsidRDefault="00143C3B">
      <w:pPr>
        <w:rPr>
          <w:rFonts w:ascii="Times New Roman" w:hAnsi="Times New Roman"/>
          <w:sz w:val="24"/>
          <w:szCs w:val="24"/>
        </w:rPr>
      </w:pPr>
      <w:r w:rsidRPr="00C64727">
        <w:rPr>
          <w:rFonts w:ascii="Times New Roman" w:hAnsi="Times New Roman"/>
          <w:sz w:val="24"/>
          <w:szCs w:val="24"/>
        </w:rPr>
        <w:br w:type="page"/>
      </w:r>
    </w:p>
    <w:p w14:paraId="4C60C72C" w14:textId="77777777" w:rsidR="0067338B" w:rsidRPr="00C64727" w:rsidRDefault="00A52F4C">
      <w:pPr>
        <w:jc w:val="both"/>
        <w:rPr>
          <w:rFonts w:ascii="Times New Roman" w:hAnsi="Times New Roman"/>
          <w:b/>
          <w:sz w:val="24"/>
          <w:szCs w:val="24"/>
        </w:rPr>
      </w:pPr>
      <w:r w:rsidRPr="00C64727">
        <w:rPr>
          <w:rFonts w:ascii="Times New Roman" w:hAnsi="Times New Roman"/>
          <w:b/>
          <w:sz w:val="24"/>
          <w:szCs w:val="24"/>
        </w:rPr>
        <w:t>2. AZ EU ETS INFRASTRUKTÚRÁJA</w:t>
      </w:r>
    </w:p>
    <w:p w14:paraId="37C5C4B1" w14:textId="77777777" w:rsidR="0067338B" w:rsidRPr="00C64727" w:rsidRDefault="00A52F4C">
      <w:pPr>
        <w:pStyle w:val="Heading1"/>
        <w:spacing w:before="0" w:after="200"/>
        <w:rPr>
          <w:szCs w:val="24"/>
        </w:rPr>
      </w:pPr>
      <w:bookmarkStart w:id="5" w:name="_Toc24093082"/>
      <w:r w:rsidRPr="00C64727">
        <w:rPr>
          <w:szCs w:val="24"/>
        </w:rPr>
        <w:t>2.1. A lefedett tevékenységek, létesítmények és légijármű-üzemeltetők</w:t>
      </w:r>
      <w:bookmarkEnd w:id="5"/>
      <w:r w:rsidRPr="00C64727">
        <w:rPr>
          <w:szCs w:val="24"/>
        </w:rPr>
        <w:tab/>
      </w:r>
    </w:p>
    <w:p w14:paraId="39178EBF" w14:textId="77777777" w:rsidR="0067338B" w:rsidRPr="00C64727" w:rsidRDefault="00743ED3">
      <w:pPr>
        <w:rPr>
          <w:rFonts w:ascii="Times New Roman" w:hAnsi="Times New Roman"/>
          <w:sz w:val="24"/>
          <w:szCs w:val="24"/>
          <w:highlight w:val="yellow"/>
        </w:rPr>
      </w:pPr>
      <w:r w:rsidRPr="00C64727">
        <w:rPr>
          <w:rFonts w:ascii="Times New Roman" w:hAnsi="Times New Roman"/>
          <w:noProof/>
          <w:sz w:val="24"/>
          <w:szCs w:val="24"/>
          <w:lang w:val="en-GB" w:eastAsia="en-GB"/>
        </w:rPr>
        <mc:AlternateContent>
          <mc:Choice Requires="wps">
            <w:drawing>
              <wp:inline distT="0" distB="0" distL="0" distR="0" wp14:anchorId="44B41B6F" wp14:editId="6DC3D613">
                <wp:extent cx="5691226" cy="7676444"/>
                <wp:effectExtent l="0" t="0" r="24130" b="2032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1226" cy="7676444"/>
                        </a:xfrm>
                        <a:prstGeom prst="rect">
                          <a:avLst/>
                        </a:prstGeom>
                        <a:solidFill>
                          <a:sysClr val="window" lastClr="FFFFFF">
                            <a:lumMod val="85000"/>
                          </a:sysClr>
                        </a:solidFill>
                        <a:ln w="12700">
                          <a:solidFill>
                            <a:srgbClr val="000000"/>
                          </a:solidFill>
                          <a:miter lim="800000"/>
                          <a:headEnd/>
                          <a:tailEnd/>
                        </a:ln>
                      </wps:spPr>
                      <wps:txbx>
                        <w:txbxContent>
                          <w:p w14:paraId="73E01DD9" w14:textId="77777777" w:rsidR="0067338B" w:rsidRPr="00C64727" w:rsidRDefault="00516F65">
                            <w:pPr>
                              <w:suppressAutoHyphens/>
                              <w:jc w:val="both"/>
                              <w:rPr>
                                <w:rFonts w:ascii="Times New Roman" w:hAnsi="Times New Roman"/>
                                <w:sz w:val="24"/>
                                <w:szCs w:val="24"/>
                              </w:rPr>
                            </w:pPr>
                            <w:r w:rsidRPr="00C64727">
                              <w:rPr>
                                <w:rFonts w:ascii="Times New Roman" w:hAnsi="Times New Roman"/>
                                <w:sz w:val="24"/>
                                <w:szCs w:val="24"/>
                              </w:rPr>
                              <w:t>Az EU ETS az Európai Gazdasági Térség (EGT) 31 országában működik. Közel 11 000 erőmű és gyártó létesítmény, valamint több mint 500, az EGT területén lévő repülőterek között közlekedő légijármű-üzemeltető kibocsátását korlátozza. Az üvegházhatású gázok uniós kibocsátásának hozzávetőlegesen 39 %-át fedi le.</w:t>
                            </w:r>
                          </w:p>
                          <w:p w14:paraId="77E60C62" w14:textId="77777777" w:rsidR="0067338B" w:rsidRPr="00C64727" w:rsidRDefault="00516F65">
                            <w:pPr>
                              <w:jc w:val="both"/>
                              <w:rPr>
                                <w:rFonts w:ascii="Times New Roman" w:hAnsi="Times New Roman"/>
                                <w:sz w:val="24"/>
                                <w:szCs w:val="24"/>
                              </w:rPr>
                            </w:pPr>
                            <w:r w:rsidRPr="00C64727">
                              <w:rPr>
                                <w:rFonts w:ascii="Times New Roman" w:hAnsi="Times New Roman"/>
                                <w:sz w:val="24"/>
                                <w:szCs w:val="24"/>
                              </w:rPr>
                              <w:t xml:space="preserve">A (2013–2020-ig tartó) 3. kereskedési időszakban* az EU ETS hatálya alá tartozó ágazatok a helyhez kötött létesítményekkel rendelkező ágazatok, vagyis az energiaigényes ágazatok, többek között a 20 MW-nál nagyobb bemenő hőteljesítményű erőművek és az egyéb égetőművek (kivéve a veszélyeshulladék-égető és a településihulladék-égető létesítményeket), az olajfinomítók, a kokszolókemencék, a vas- és az acél-, a cementklinker-, az üveg-, a mész-, a tégla-, a kerámia-, a cellulóz-, a papír- és a karton-, az alumínium-, a petrolkemikália-, az ammónia-, a salétromsav-, az adipinsav-, a glioxálsav- és a glioxilsavgyártás, a szén-dioxid-leválasztás, a csővezetékes szállítás és a szén-dioxid geológiai tárolása. </w:t>
                            </w:r>
                          </w:p>
                          <w:p w14:paraId="4F7603DC" w14:textId="4A91D654" w:rsidR="0067338B" w:rsidRPr="00C64727" w:rsidRDefault="00516F65">
                            <w:pPr>
                              <w:jc w:val="both"/>
                              <w:rPr>
                                <w:rFonts w:ascii="Times New Roman" w:hAnsi="Times New Roman"/>
                                <w:sz w:val="24"/>
                                <w:szCs w:val="24"/>
                              </w:rPr>
                            </w:pPr>
                            <w:r w:rsidRPr="00C64727">
                              <w:rPr>
                                <w:rFonts w:ascii="Times New Roman" w:hAnsi="Times New Roman"/>
                                <w:sz w:val="24"/>
                                <w:szCs w:val="24"/>
                              </w:rPr>
                              <w:t xml:space="preserve">A légi közlekedés tekintetében az uniós kibocsátáskereskedelmi rendszer hatálya a 2013–2016-os időszakban – a Nemzetközi Polgári Repülési Szervezet (ICAO) globális megközelítésének elfogadásáig – az Európai Gazdasági Térségen belüli légi járatokra korlátozódott. A nemzetközi légi közlekedés kibocsátáskompenzációs és -csökkentési rendszere (CORSIA) kidolgozásának támogatása érdekében 2017-ben 2023-ig meghosszabbították az EU ETS hatályának a légi közlekedés tekintetében az EGT-n belüli járatokra való korlátozását (lásd a 4. fejezetet). </w:t>
                            </w:r>
                          </w:p>
                          <w:p w14:paraId="7D7EFD4A" w14:textId="0971C6F6" w:rsidR="0067338B" w:rsidRPr="00C64727" w:rsidRDefault="00516F65">
                            <w:pPr>
                              <w:jc w:val="both"/>
                              <w:rPr>
                                <w:rFonts w:ascii="Times New Roman" w:hAnsi="Times New Roman"/>
                                <w:sz w:val="24"/>
                                <w:szCs w:val="24"/>
                              </w:rPr>
                            </w:pPr>
                            <w:r w:rsidRPr="00C64727">
                              <w:rPr>
                                <w:rFonts w:ascii="Times New Roman" w:hAnsi="Times New Roman"/>
                                <w:sz w:val="24"/>
                                <w:szCs w:val="24"/>
                              </w:rPr>
                              <w:t>A szén-dioxid (CO</w:t>
                            </w:r>
                            <w:r w:rsidRPr="00C64727">
                              <w:rPr>
                                <w:rFonts w:ascii="Times New Roman" w:hAnsi="Times New Roman"/>
                                <w:sz w:val="24"/>
                                <w:szCs w:val="24"/>
                                <w:vertAlign w:val="subscript"/>
                              </w:rPr>
                              <w:t>2</w:t>
                            </w:r>
                            <w:r w:rsidRPr="00C64727">
                              <w:rPr>
                                <w:rFonts w:ascii="Times New Roman" w:hAnsi="Times New Roman"/>
                                <w:sz w:val="24"/>
                                <w:szCs w:val="24"/>
                              </w:rPr>
                              <w:t>) kibocsátása mellett az EU ETS hatálya alá tartozik a dinitrogén-oxid (N</w:t>
                            </w:r>
                            <w:r w:rsidRPr="00C64727">
                              <w:rPr>
                                <w:rFonts w:ascii="Times New Roman" w:hAnsi="Times New Roman"/>
                                <w:sz w:val="24"/>
                                <w:szCs w:val="24"/>
                                <w:vertAlign w:val="subscript"/>
                              </w:rPr>
                              <w:t>2</w:t>
                            </w:r>
                            <w:r w:rsidRPr="00C64727">
                              <w:rPr>
                                <w:rFonts w:ascii="Times New Roman" w:hAnsi="Times New Roman"/>
                                <w:sz w:val="24"/>
                                <w:szCs w:val="24"/>
                              </w:rPr>
                              <w:t>O) kibocsátása a salétromsav-, adipinsav-, glioxilsav- és glioxálsavgyártásban, valamint a perfluor-szénhidrogének (PFC) alumíniumgyártásból származó kibocsátása is. Habár az uniós kibocsátáskereskedelmi rendszerben való részvétel kötelező, egyes ágazatokban csak az egy bizonyos méret feletti létesítmények tartoznak a rendszer hatálya alá. Ezenfelül a részt vevő országok kizárhatják a rendszerből a kis létesítményeket (azaz a 25 000 tonna CO</w:t>
                            </w:r>
                            <w:r w:rsidRPr="00C64727">
                              <w:rPr>
                                <w:rFonts w:ascii="Times New Roman" w:hAnsi="Times New Roman"/>
                                <w:sz w:val="24"/>
                                <w:szCs w:val="24"/>
                                <w:vertAlign w:val="subscript"/>
                              </w:rPr>
                              <w:t>2</w:t>
                            </w:r>
                            <w:r w:rsidRPr="00C64727">
                              <w:rPr>
                                <w:rFonts w:ascii="Times New Roman" w:hAnsi="Times New Roman"/>
                                <w:sz w:val="24"/>
                                <w:szCs w:val="24"/>
                              </w:rPr>
                              <w:t>-egyenértéknél kisebb kibocsátású létesítményeket), ha egyenértékű alternatív intézkedéseket vezettek be és alkalmaznak. A 4. szakaszban a nagyon kis kibocsátók (amelyek bejelentett kibocsátása az utóbbi három évben nem éri el a 2500 tonna CO</w:t>
                            </w:r>
                            <w:r w:rsidRPr="00C64727">
                              <w:rPr>
                                <w:rFonts w:ascii="Times New Roman" w:hAnsi="Times New Roman"/>
                                <w:sz w:val="24"/>
                                <w:szCs w:val="24"/>
                                <w:vertAlign w:val="subscript"/>
                              </w:rPr>
                              <w:t>2</w:t>
                            </w:r>
                            <w:r w:rsidRPr="00C64727">
                              <w:rPr>
                                <w:rFonts w:ascii="Times New Roman" w:hAnsi="Times New Roman"/>
                                <w:sz w:val="24"/>
                                <w:szCs w:val="24"/>
                              </w:rPr>
                              <w:t>-egyenértéket) kizárhatók az EU ETS-ből, amennyiben egyszerűsített nyomonkövetési rendelkezések biztosítják kibocsátásaik mennyiségének értékelését. A részt vevő országok (az úgynevezett önkéntes részvétel keretében) további ágazatokat és üvegházhatású gázokat is felvehetnek az EU ETS-be.</w:t>
                            </w:r>
                          </w:p>
                          <w:p w14:paraId="0BC7EF14" w14:textId="34A23B12" w:rsidR="0067338B" w:rsidRPr="00C64727" w:rsidRDefault="00516F65">
                            <w:pPr>
                              <w:jc w:val="both"/>
                              <w:rPr>
                                <w:rFonts w:ascii="Times New Roman" w:hAnsi="Times New Roman"/>
                                <w:sz w:val="18"/>
                                <w:szCs w:val="18"/>
                              </w:rPr>
                            </w:pPr>
                            <w:r w:rsidRPr="00C64727">
                              <w:rPr>
                                <w:rFonts w:ascii="Times New Roman" w:hAnsi="Times New Roman"/>
                                <w:sz w:val="18"/>
                                <w:szCs w:val="18"/>
                              </w:rPr>
                              <w:t>* Az EU ETS 1. és 2. szakaszára vonatkozó információk itt találhatók: https://ec.europa.eu/clima/policies/ets/pre2013_en</w:t>
                            </w:r>
                          </w:p>
                          <w:p w14:paraId="102B9B06" w14:textId="77777777" w:rsidR="0067338B" w:rsidRPr="00C64727" w:rsidRDefault="0067338B">
                            <w:pPr>
                              <w:jc w:val="both"/>
                              <w:rPr>
                                <w:sz w:val="24"/>
                                <w:szCs w:val="24"/>
                              </w:rPr>
                            </w:pPr>
                          </w:p>
                        </w:txbxContent>
                      </wps:txbx>
                      <wps:bodyPr rot="0" vert="horz" wrap="square" lIns="91440" tIns="45720" rIns="91440" bIns="45720" anchor="t" anchorCtr="0">
                        <a:noAutofit/>
                      </wps:bodyPr>
                    </wps:wsp>
                  </a:graphicData>
                </a:graphic>
              </wp:inline>
            </w:drawing>
          </mc:Choice>
          <mc:Fallback>
            <w:pict>
              <v:shape w14:anchorId="44B41B6F" id="_x0000_s1027" type="#_x0000_t202" style="width:448.15pt;height:60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" fillcolor="#d9d9d9" strokeweight="1pt">
                <v:textbox>
                  <w:txbxContent>
                    <w:p w14:paraId="73E01DD9" w14:textId="77777777" w:rsidR="0067338B" w:rsidRPr="00C64727" w:rsidRDefault="00516F65">
                      <w:pPr>
                        <w:suppressAutoHyphens/>
                        <w:jc w:val="both"/>
                        <w:rPr>
                          <w:rFonts w:ascii="Times New Roman" w:hAnsi="Times New Roman"/>
                          <w:sz w:val="24"/>
                          <w:szCs w:val="24"/>
                        </w:rPr>
                      </w:pPr>
                      <w:r w:rsidRPr="00C64727">
                        <w:rPr>
                          <w:rFonts w:ascii="Times New Roman" w:hAnsi="Times New Roman"/>
                          <w:sz w:val="24"/>
                          <w:szCs w:val="24"/>
                        </w:rPr>
                        <w:t>Az EU ETS az Európai Gazdasági Térség (EGT) 31 országában működik. Közel 11 000 erőmű és gyártó létesítmény, valamint több mint 500, az EGT területén lévő repülőterek között közlekedő légijármű-üzemeltető kibocsátását korlátozza. Az üvegházhatású gázok uniós kibocsátásának hozzávetőlegesen 39 %-át fedi le.</w:t>
                      </w:r>
                    </w:p>
                    <w:p w14:paraId="77E60C62" w14:textId="77777777" w:rsidR="0067338B" w:rsidRPr="00C64727" w:rsidRDefault="00516F65">
                      <w:pPr>
                        <w:jc w:val="both"/>
                        <w:rPr>
                          <w:rFonts w:ascii="Times New Roman" w:hAnsi="Times New Roman"/>
                          <w:sz w:val="24"/>
                          <w:szCs w:val="24"/>
                        </w:rPr>
                      </w:pPr>
                      <w:r w:rsidRPr="00C64727">
                        <w:rPr>
                          <w:rFonts w:ascii="Times New Roman" w:hAnsi="Times New Roman"/>
                          <w:sz w:val="24"/>
                          <w:szCs w:val="24"/>
                        </w:rPr>
                        <w:t xml:space="preserve">A (2013–2020-ig tartó) 3. kereskedési időszakban* az EU ETS hatálya alá tartozó ágazatok a helyhez kötött létesítményekkel rendelkező ágazatok, vagyis az energiaigényes ágazatok, többek között a 20 MW-nál nagyobb bemenő hőteljesítményű erőművek és az egyéb égetőművek (kivéve a veszélyeshulladék-égető és a településihulladék-égető létesítményeket), az olajfinomítók, a kokszolókemencék, a vas- és az acél-, a cementklinker-, az üveg-, a mész-, a tégla-, a kerámia-, a cellulóz-, a papír- és a karton-, az alumínium-, a petrolkemikália-, az ammónia-, a salétromsav-, az adipinsav-, a glioxálsav- és a glioxilsavgyártás, a szén-dioxid-leválasztás, a csővezetékes szállítás és a szén-dioxid geológiai tárolása. </w:t>
                      </w:r>
                    </w:p>
                    <w:p w14:paraId="4F7603DC" w14:textId="4A91D654" w:rsidR="0067338B" w:rsidRPr="00C64727" w:rsidRDefault="00516F65">
                      <w:pPr>
                        <w:jc w:val="both"/>
                        <w:rPr>
                          <w:rFonts w:ascii="Times New Roman" w:hAnsi="Times New Roman"/>
                          <w:sz w:val="24"/>
                          <w:szCs w:val="24"/>
                        </w:rPr>
                      </w:pPr>
                      <w:r w:rsidRPr="00C64727">
                        <w:rPr>
                          <w:rFonts w:ascii="Times New Roman" w:hAnsi="Times New Roman"/>
                          <w:sz w:val="24"/>
                          <w:szCs w:val="24"/>
                        </w:rPr>
                        <w:t xml:space="preserve">A légi közlekedés tekintetében az uniós kibocsátáskereskedelmi rendszer hatálya a 2013–2016-os időszakban – a Nemzetközi Polgári Repülési Szervezet (ICAO) globális megközelítésének elfogadásáig – az Európai Gazdasági Térségen belüli légi járatokra korlátozódott. A nemzetközi légi közlekedés kibocsátáskompenzációs és -csökkentési rendszere (CORSIA) kidolgozásának támogatása érdekében 2017-ben 2023-ig meghosszabbították az EU ETS hatályának a légi közlekedés tekintetében az EGT-n belüli járatokra való korlátozását (lásd a 4. fejezetet). </w:t>
                      </w:r>
                    </w:p>
                    <w:p w14:paraId="7D7EFD4A" w14:textId="0971C6F6" w:rsidR="0067338B" w:rsidRPr="00C64727" w:rsidRDefault="00516F65">
                      <w:pPr>
                        <w:jc w:val="both"/>
                        <w:rPr>
                          <w:rFonts w:ascii="Times New Roman" w:hAnsi="Times New Roman"/>
                          <w:sz w:val="24"/>
                          <w:szCs w:val="24"/>
                        </w:rPr>
                      </w:pPr>
                      <w:r w:rsidRPr="00C64727">
                        <w:rPr>
                          <w:rFonts w:ascii="Times New Roman" w:hAnsi="Times New Roman"/>
                          <w:sz w:val="24"/>
                          <w:szCs w:val="24"/>
                        </w:rPr>
                        <w:t>A szén-dioxid (CO</w:t>
                      </w:r>
                      <w:r w:rsidRPr="00C64727">
                        <w:rPr>
                          <w:rFonts w:ascii="Times New Roman" w:hAnsi="Times New Roman"/>
                          <w:sz w:val="24"/>
                          <w:szCs w:val="24"/>
                          <w:vertAlign w:val="subscript"/>
                        </w:rPr>
                        <w:t>2</w:t>
                      </w:r>
                      <w:r w:rsidRPr="00C64727">
                        <w:rPr>
                          <w:rFonts w:ascii="Times New Roman" w:hAnsi="Times New Roman"/>
                          <w:sz w:val="24"/>
                          <w:szCs w:val="24"/>
                        </w:rPr>
                        <w:t>) kibocsátása mellett az EU ETS hatálya alá tartozik a dinitrogén-oxid (N</w:t>
                      </w:r>
                      <w:r w:rsidRPr="00C64727">
                        <w:rPr>
                          <w:rFonts w:ascii="Times New Roman" w:hAnsi="Times New Roman"/>
                          <w:sz w:val="24"/>
                          <w:szCs w:val="24"/>
                          <w:vertAlign w:val="subscript"/>
                        </w:rPr>
                        <w:t>2</w:t>
                      </w:r>
                      <w:r w:rsidRPr="00C64727">
                        <w:rPr>
                          <w:rFonts w:ascii="Times New Roman" w:hAnsi="Times New Roman"/>
                          <w:sz w:val="24"/>
                          <w:szCs w:val="24"/>
                        </w:rPr>
                        <w:t>O) kibocsátása a salétromsav-, adipinsav-, glioxilsav- és glioxálsavgyártásban, valamint a perfluor-szénhidrogének (PFC) alumíniumgyártásból származó kibocsátása is. Habár az uniós kibocsátáskereskedelmi rendszerben való részvétel kötelező, egyes ágazatokban csak az egy bizonyos méret feletti létesítmények tartoznak a rendszer hatálya alá. Ezenfelül a részt vevő országok kizárhatják a rendszerből a kis létesítményeket (azaz a 25 000 tonna CO</w:t>
                      </w:r>
                      <w:r w:rsidRPr="00C64727">
                        <w:rPr>
                          <w:rFonts w:ascii="Times New Roman" w:hAnsi="Times New Roman"/>
                          <w:sz w:val="24"/>
                          <w:szCs w:val="24"/>
                          <w:vertAlign w:val="subscript"/>
                        </w:rPr>
                        <w:t>2</w:t>
                      </w:r>
                      <w:r w:rsidRPr="00C64727">
                        <w:rPr>
                          <w:rFonts w:ascii="Times New Roman" w:hAnsi="Times New Roman"/>
                          <w:sz w:val="24"/>
                          <w:szCs w:val="24"/>
                        </w:rPr>
                        <w:t>-egyenértéknél kisebb kibocsátású létesítményeket), ha egyenértékű alternatív intézkedéseket vezettek be és alkalmaznak. A 4. szakaszban a nagyon kis kibocsátók (amelyek bejelentett kibocsátása az utóbbi három évben nem éri el a 2500 tonna CO</w:t>
                      </w:r>
                      <w:r w:rsidRPr="00C64727">
                        <w:rPr>
                          <w:rFonts w:ascii="Times New Roman" w:hAnsi="Times New Roman"/>
                          <w:sz w:val="24"/>
                          <w:szCs w:val="24"/>
                          <w:vertAlign w:val="subscript"/>
                        </w:rPr>
                        <w:t>2</w:t>
                      </w:r>
                      <w:r w:rsidRPr="00C64727">
                        <w:rPr>
                          <w:rFonts w:ascii="Times New Roman" w:hAnsi="Times New Roman"/>
                          <w:sz w:val="24"/>
                          <w:szCs w:val="24"/>
                        </w:rPr>
                        <w:t>-egyenértéket) kizárhatók az EU ETS-ből, amennyiben egyszerűsített nyomonkövetési rendelkezések biztosítják kibocsátásaik mennyiségének értékelését. A részt vevő országok (az úgynevezett önkéntes részvétel keretében) további ágazatokat és üvegházhatású gázokat is felvehetnek az EU ETS-be.</w:t>
                      </w:r>
                    </w:p>
                    <w:p w14:paraId="0BC7EF14" w14:textId="34A23B12" w:rsidR="0067338B" w:rsidRPr="00C64727" w:rsidRDefault="00516F65">
                      <w:pPr>
                        <w:jc w:val="both"/>
                        <w:rPr>
                          <w:rFonts w:ascii="Times New Roman" w:hAnsi="Times New Roman"/>
                          <w:sz w:val="18"/>
                          <w:szCs w:val="18"/>
                        </w:rPr>
                      </w:pPr>
                      <w:r w:rsidRPr="00C64727">
                        <w:rPr>
                          <w:rFonts w:ascii="Times New Roman" w:hAnsi="Times New Roman"/>
                          <w:sz w:val="18"/>
                          <w:szCs w:val="18"/>
                        </w:rPr>
                        <w:t>* Az EU ETS 1. és 2. szakaszára vonatkozó információk itt találhatók: https://ec.europa.eu/clima/policies/ets/pre2013_en</w:t>
                      </w:r>
                    </w:p>
                    <w:p w14:paraId="102B9B06" w14:textId="77777777" w:rsidR="0067338B" w:rsidRPr="00C64727" w:rsidRDefault="0067338B">
                      <w:pPr>
                        <w:jc w:val="both"/>
                        <w:rPr>
                          <w:sz w:val="24"/>
                          <w:szCs w:val="24"/>
                        </w:rPr>
                      </w:pPr>
                    </w:p>
                  </w:txbxContent>
                </v:textbox>
                <w10:anchorlock/>
              </v:shape>
            </w:pict>
          </mc:Fallback>
        </mc:AlternateContent>
      </w:r>
    </w:p>
    <w:p w14:paraId="57CC040F" w14:textId="77777777" w:rsidR="0067338B" w:rsidRPr="00C64727" w:rsidRDefault="00743ED3">
      <w:pPr>
        <w:jc w:val="both"/>
        <w:rPr>
          <w:rFonts w:ascii="Times New Roman" w:hAnsi="Times New Roman"/>
          <w:sz w:val="24"/>
          <w:szCs w:val="24"/>
        </w:rPr>
      </w:pPr>
      <w:r w:rsidRPr="00C64727">
        <w:rPr>
          <w:rFonts w:ascii="Times New Roman" w:hAnsi="Times New Roman"/>
          <w:sz w:val="24"/>
          <w:szCs w:val="24"/>
        </w:rPr>
        <w:t>A részt vevő országok</w:t>
      </w:r>
      <w:r w:rsidRPr="00C64727">
        <w:rPr>
          <w:rStyle w:val="FootnoteReference"/>
          <w:rFonts w:ascii="Times New Roman" w:hAnsi="Times New Roman"/>
          <w:sz w:val="24"/>
          <w:szCs w:val="24"/>
        </w:rPr>
        <w:footnoteReference w:id="5"/>
      </w:r>
      <w:r w:rsidRPr="00C64727">
        <w:rPr>
          <w:rFonts w:ascii="Times New Roman" w:hAnsi="Times New Roman"/>
          <w:sz w:val="24"/>
          <w:szCs w:val="24"/>
        </w:rPr>
        <w:t xml:space="preserve"> által a 21. cikk alapján 2019-ben benyújtott jelentések szerint 2018-ban összesen 10 744 engedélyezett létesítmény volt.</w:t>
      </w:r>
    </w:p>
    <w:p w14:paraId="48C4A903" w14:textId="77777777" w:rsidR="0067338B" w:rsidRPr="00C64727" w:rsidRDefault="00743ED3">
      <w:pPr>
        <w:jc w:val="both"/>
        <w:rPr>
          <w:rFonts w:ascii="Times New Roman" w:hAnsi="Times New Roman"/>
          <w:sz w:val="24"/>
          <w:szCs w:val="24"/>
        </w:rPr>
      </w:pPr>
      <w:r w:rsidRPr="00C64727">
        <w:rPr>
          <w:rFonts w:ascii="Times New Roman" w:hAnsi="Times New Roman"/>
          <w:sz w:val="24"/>
          <w:szCs w:val="24"/>
        </w:rPr>
        <w:t>Az elmúlt évekhez hasonlóan az EU ETS-ben elhasznált fűtőanyagok 2018-ban továbbra is túlnyomórészt fosszilis eredetűek voltak. 29 ország azonban biomassza-felhasználásról is beszámolt 2181 létesítmény kapcsán (az összes létesítmény 20,3 %-a). Két ország (Liechtenstein és Málta) nem számolt be biomassza-felhasználásról. A biomassza-felhasználásból származó összkibocsátás 2018-ban körülbelül 151 millió tonna CO</w:t>
      </w:r>
      <w:r w:rsidRPr="00C64727">
        <w:rPr>
          <w:rFonts w:ascii="Times New Roman" w:hAnsi="Times New Roman"/>
          <w:sz w:val="24"/>
          <w:szCs w:val="24"/>
          <w:vertAlign w:val="subscript"/>
        </w:rPr>
        <w:t>2</w:t>
      </w:r>
      <w:r w:rsidRPr="00C64727">
        <w:rPr>
          <w:rFonts w:ascii="Times New Roman" w:hAnsi="Times New Roman"/>
          <w:sz w:val="24"/>
          <w:szCs w:val="24"/>
        </w:rPr>
        <w:t>-t tett ki (az ETS bejelentett kibocsátásainak 9 %-a), ami a 2017-es 145 millió tonna CO</w:t>
      </w:r>
      <w:r w:rsidRPr="00C64727">
        <w:rPr>
          <w:rFonts w:ascii="Times New Roman" w:hAnsi="Times New Roman"/>
          <w:sz w:val="24"/>
          <w:szCs w:val="24"/>
          <w:vertAlign w:val="subscript"/>
        </w:rPr>
        <w:t>2</w:t>
      </w:r>
      <w:r w:rsidRPr="00C64727">
        <w:rPr>
          <w:rFonts w:ascii="Times New Roman" w:hAnsi="Times New Roman"/>
          <w:sz w:val="24"/>
          <w:szCs w:val="24"/>
        </w:rPr>
        <w:t>-hoz képest (az ETS bejelentett kibocsátásainak 8 %-a) csekély mértékű növekedést jelent. Ennek 99,2 %-a nulla kibocsátásnak számított</w:t>
      </w:r>
      <w:r w:rsidRPr="00C64727">
        <w:rPr>
          <w:rStyle w:val="FootnoteReference"/>
          <w:rFonts w:ascii="Times New Roman" w:hAnsi="Times New Roman"/>
          <w:sz w:val="24"/>
          <w:szCs w:val="24"/>
        </w:rPr>
        <w:footnoteReference w:id="6"/>
      </w:r>
      <w:r w:rsidRPr="00C64727">
        <w:rPr>
          <w:rFonts w:ascii="Times New Roman" w:hAnsi="Times New Roman"/>
          <w:sz w:val="24"/>
          <w:szCs w:val="24"/>
        </w:rPr>
        <w:t>. 2018 vonatkozásában egyetlen ország sem számolt be bioüzemanyag felhasználásáról légijármű-üzemeltető esetében, míg 2017-ben csak Svédország számolt be erről két légijármű-üzemeltető esetében.</w:t>
      </w:r>
    </w:p>
    <w:p w14:paraId="3B94B1B4" w14:textId="77777777" w:rsidR="0067338B" w:rsidRPr="00C64727" w:rsidRDefault="00743ED3">
      <w:pPr>
        <w:jc w:val="both"/>
        <w:rPr>
          <w:rFonts w:ascii="Times New Roman" w:hAnsi="Times New Roman"/>
          <w:sz w:val="24"/>
          <w:szCs w:val="24"/>
        </w:rPr>
      </w:pPr>
      <w:r w:rsidRPr="00C64727">
        <w:rPr>
          <w:rFonts w:ascii="Times New Roman" w:hAnsi="Times New Roman"/>
          <w:sz w:val="24"/>
          <w:szCs w:val="24"/>
        </w:rPr>
        <w:t>A létesítmények éves kibocsátás szerinti kategóriái tekintetében</w:t>
      </w:r>
      <w:r w:rsidRPr="00C64727">
        <w:rPr>
          <w:rFonts w:ascii="Times New Roman" w:hAnsi="Times New Roman"/>
          <w:sz w:val="24"/>
          <w:szCs w:val="24"/>
          <w:vertAlign w:val="superscript"/>
        </w:rPr>
        <w:footnoteReference w:id="7"/>
      </w:r>
      <w:r w:rsidRPr="00C64727">
        <w:rPr>
          <w:rFonts w:ascii="Times New Roman" w:hAnsi="Times New Roman"/>
          <w:sz w:val="24"/>
          <w:szCs w:val="24"/>
        </w:rPr>
        <w:t xml:space="preserve"> a 2018-as adatok azt mutatják, hogy az előző évekhez hasonlóan a létesítmények 72 %-a tartozik az A. kategóriába, 21 %-a a B. kategóriába és 7 %-a a C. kategóriába. A jelentésekben 6113 létesítményt soroltak a „kis kibocsátású” létesítmények közé</w:t>
      </w:r>
      <w:r w:rsidRPr="00C64727">
        <w:rPr>
          <w:rStyle w:val="FootnoteReference"/>
          <w:rFonts w:ascii="Times New Roman" w:hAnsi="Times New Roman"/>
          <w:sz w:val="24"/>
          <w:szCs w:val="24"/>
        </w:rPr>
        <w:footnoteReference w:id="8"/>
      </w:r>
      <w:r w:rsidRPr="00C64727">
        <w:rPr>
          <w:rFonts w:ascii="Times New Roman" w:hAnsi="Times New Roman"/>
          <w:sz w:val="24"/>
          <w:szCs w:val="24"/>
        </w:rPr>
        <w:t xml:space="preserve"> (az összes létesítmény 57 %-a).  </w:t>
      </w:r>
    </w:p>
    <w:p w14:paraId="52722985" w14:textId="1303E8D1" w:rsidR="0067338B" w:rsidRPr="00C64727" w:rsidRDefault="00743ED3">
      <w:pPr>
        <w:jc w:val="both"/>
        <w:rPr>
          <w:rFonts w:ascii="Times New Roman" w:hAnsi="Times New Roman"/>
          <w:sz w:val="24"/>
          <w:szCs w:val="24"/>
        </w:rPr>
      </w:pPr>
      <w:r w:rsidRPr="00C64727">
        <w:rPr>
          <w:rFonts w:ascii="Times New Roman" w:hAnsi="Times New Roman"/>
          <w:sz w:val="24"/>
          <w:szCs w:val="24"/>
        </w:rPr>
        <w:t>Az EU ETS-hez kapcsolódó azon tevékenységek esetében, amelyeket ezen felül neveztek meg a szén-dioxidtól eltérő üvegházhatású gázok kibocsátójaként, a beszámolók szerint 1</w:t>
      </w:r>
      <w:r w:rsidR="0086407F">
        <w:rPr>
          <w:rFonts w:ascii="Times New Roman" w:hAnsi="Times New Roman"/>
          <w:sz w:val="24"/>
          <w:szCs w:val="24"/>
        </w:rPr>
        <w:t>3</w:t>
      </w:r>
      <w:r w:rsidRPr="00C64727">
        <w:rPr>
          <w:rFonts w:ascii="Times New Roman" w:hAnsi="Times New Roman"/>
          <w:sz w:val="24"/>
          <w:szCs w:val="24"/>
        </w:rPr>
        <w:t xml:space="preserve"> országban (Egyesült Királyság, Franciaország, Görögország, Hollandia, Izland, Németország, Norvégia, Olaszország, Románia, </w:t>
      </w:r>
      <w:r w:rsidR="0086407F">
        <w:rPr>
          <w:rFonts w:ascii="Times New Roman" w:hAnsi="Times New Roman"/>
          <w:sz w:val="24"/>
          <w:szCs w:val="24"/>
        </w:rPr>
        <w:t xml:space="preserve">Spanyolország, </w:t>
      </w:r>
      <w:r w:rsidRPr="00C64727">
        <w:rPr>
          <w:rFonts w:ascii="Times New Roman" w:hAnsi="Times New Roman"/>
          <w:sz w:val="24"/>
          <w:szCs w:val="24"/>
        </w:rPr>
        <w:t>Svédország, Szlovákia és Szlovénia) adtak ki engedélyt elsődleges alumínium és perfluor-szénhidrogének (PFC-k) kapcsán, 2</w:t>
      </w:r>
      <w:r w:rsidR="0086407F">
        <w:rPr>
          <w:rFonts w:ascii="Times New Roman" w:hAnsi="Times New Roman"/>
          <w:sz w:val="24"/>
          <w:szCs w:val="24"/>
        </w:rPr>
        <w:t>1</w:t>
      </w:r>
      <w:r w:rsidRPr="00C64727">
        <w:rPr>
          <w:rFonts w:ascii="Times New Roman" w:hAnsi="Times New Roman"/>
          <w:sz w:val="24"/>
          <w:szCs w:val="24"/>
        </w:rPr>
        <w:t xml:space="preserve"> országban (az összes ország, kivéve: Ciprus, Dánia, Észtország, Írország, Izland, Lettország, Liechtenstein, Luxemburg, Málta és Szlovénia) pedig salétromsav-előállítás és dinitrogén-oxid (N</w:t>
      </w:r>
      <w:r w:rsidRPr="00C64727">
        <w:rPr>
          <w:rFonts w:ascii="Times New Roman" w:hAnsi="Times New Roman"/>
          <w:sz w:val="24"/>
          <w:szCs w:val="24"/>
          <w:vertAlign w:val="subscript"/>
        </w:rPr>
        <w:t>2</w:t>
      </w:r>
      <w:r w:rsidRPr="00C64727">
        <w:rPr>
          <w:rFonts w:ascii="Times New Roman" w:hAnsi="Times New Roman"/>
          <w:sz w:val="24"/>
          <w:szCs w:val="24"/>
        </w:rPr>
        <w:t>O) kapcsán. Az egyéb N</w:t>
      </w:r>
      <w:r w:rsidRPr="00C64727">
        <w:rPr>
          <w:rFonts w:ascii="Times New Roman" w:hAnsi="Times New Roman"/>
          <w:sz w:val="24"/>
          <w:szCs w:val="24"/>
          <w:vertAlign w:val="subscript"/>
        </w:rPr>
        <w:t>2</w:t>
      </w:r>
      <w:r w:rsidRPr="00C64727">
        <w:rPr>
          <w:rFonts w:ascii="Times New Roman" w:hAnsi="Times New Roman"/>
          <w:sz w:val="24"/>
          <w:szCs w:val="24"/>
        </w:rPr>
        <w:t>O-ágazatokról – adipinsav-előállítás, valamint glioxálsav- és glioxilsavgyártás – három (Franciaország, Németország, Olaszország), illetve két tagállamból (Németország, Franciaország) érkezett jelentés. Szén-dioxid-leválasztási és -tárolási tevékenységeket csak Norvégia és Ausztria jelentett be.</w:t>
      </w:r>
    </w:p>
    <w:p w14:paraId="00AFB913" w14:textId="77777777" w:rsidR="0067338B" w:rsidRPr="00C64727" w:rsidRDefault="00743ED3">
      <w:pPr>
        <w:jc w:val="both"/>
        <w:rPr>
          <w:rFonts w:ascii="Times New Roman" w:hAnsi="Times New Roman"/>
          <w:sz w:val="24"/>
          <w:szCs w:val="24"/>
        </w:rPr>
      </w:pPr>
      <w:r w:rsidRPr="00C64727">
        <w:rPr>
          <w:rFonts w:ascii="Times New Roman" w:hAnsi="Times New Roman"/>
          <w:sz w:val="24"/>
          <w:szCs w:val="24"/>
        </w:rPr>
        <w:t>A tavalyi évhez hasonlóan hét ország (az Egyesült Királyság, Franciaország, Horvátország, Izland, Olaszország, Spanyolország és Szlovénia) élt azzal a lehetőséggel, hogy a kis kibocsátókat az EU ETS irányelv 27. cikkével összhangban kivonja az EU ETS alól. A 2018 vonatkozásában kivont kibocsátás 2,92 millió tonna CO</w:t>
      </w:r>
      <w:r w:rsidRPr="00C64727">
        <w:rPr>
          <w:rFonts w:ascii="Times New Roman" w:hAnsi="Times New Roman"/>
          <w:sz w:val="24"/>
          <w:szCs w:val="24"/>
          <w:vertAlign w:val="subscript"/>
        </w:rPr>
        <w:t>2</w:t>
      </w:r>
      <w:r w:rsidRPr="00C64727">
        <w:rPr>
          <w:rFonts w:ascii="Times New Roman" w:hAnsi="Times New Roman"/>
          <w:sz w:val="24"/>
          <w:szCs w:val="24"/>
        </w:rPr>
        <w:t>-t tett ki (az összes hitelesített kibocsátás mintegy 0,17 %-át az előző év 0,16 %-ához képest).</w:t>
      </w:r>
    </w:p>
    <w:p w14:paraId="705BB4A3" w14:textId="77777777" w:rsidR="0067338B" w:rsidRPr="00C64727" w:rsidRDefault="00743ED3">
      <w:pPr>
        <w:jc w:val="both"/>
        <w:rPr>
          <w:rFonts w:ascii="Times New Roman" w:hAnsi="Times New Roman"/>
          <w:sz w:val="24"/>
          <w:szCs w:val="24"/>
        </w:rPr>
      </w:pPr>
      <w:r w:rsidRPr="00C64727">
        <w:rPr>
          <w:rFonts w:ascii="Times New Roman" w:hAnsi="Times New Roman"/>
          <w:sz w:val="24"/>
          <w:szCs w:val="24"/>
        </w:rPr>
        <w:t>A 2019. évi 21. cikk szerinti adatszolgáltatások szerint eddig nyolc ország (Belgium, Dánia, Franciaország, Hollandia, Horvátország, Liechtenstein, Litvánia és Magyarország) élt a nyomon követésről és jelentésről szóló rendelet</w:t>
      </w:r>
      <w:r w:rsidRPr="00C64727">
        <w:rPr>
          <w:rStyle w:val="FootnoteReference"/>
          <w:rFonts w:ascii="Times New Roman" w:hAnsi="Times New Roman"/>
          <w:sz w:val="24"/>
          <w:szCs w:val="24"/>
        </w:rPr>
        <w:footnoteReference w:id="9"/>
      </w:r>
      <w:r w:rsidRPr="00C64727">
        <w:rPr>
          <w:rFonts w:ascii="Times New Roman" w:hAnsi="Times New Roman"/>
          <w:sz w:val="24"/>
          <w:szCs w:val="24"/>
        </w:rPr>
        <w:t xml:space="preserve"> 13. cikkében foglalt rendelkezés által nyújtott lehetőséggel, amely az alacsony kockázatú, helyhez kötött létesítmények esetében lehetővé teszi az egyszerűsített nyomonkövetési terv alkalmazását. Az alacsony kibocsátású légijármű-üzemeltetők esetében három ország számolt be e rendelkezés alkalmazásáról 2018 vonatkozásában (Belgium, Izland és Lengyelország).</w:t>
      </w:r>
    </w:p>
    <w:p w14:paraId="092DCDE6" w14:textId="77777777" w:rsidR="0067338B" w:rsidRPr="00C64727" w:rsidRDefault="00743ED3">
      <w:pPr>
        <w:jc w:val="both"/>
        <w:rPr>
          <w:rFonts w:ascii="Times New Roman" w:hAnsi="Times New Roman"/>
          <w:sz w:val="24"/>
          <w:szCs w:val="24"/>
        </w:rPr>
      </w:pPr>
      <w:r w:rsidRPr="00C64727">
        <w:rPr>
          <w:rFonts w:ascii="Times New Roman" w:hAnsi="Times New Roman"/>
          <w:sz w:val="24"/>
          <w:szCs w:val="24"/>
        </w:rPr>
        <w:t>2018-ban a jelentések szerint 655 légijármű-üzemeltető rendelkezett nyomonkövetési tervvel (2017-ben 541, 2016-ban pedig 503). A bejelentett légijármű-üzemeltetők 50 %-a (328) kereskedelmi, míg a többi 50 % (327) nem kereskedelmi szolgáltató volt</w:t>
      </w:r>
      <w:r w:rsidRPr="00C64727">
        <w:rPr>
          <w:rStyle w:val="FootnoteReference"/>
          <w:rFonts w:ascii="Times New Roman" w:hAnsi="Times New Roman"/>
          <w:sz w:val="24"/>
          <w:szCs w:val="24"/>
        </w:rPr>
        <w:footnoteReference w:id="10"/>
      </w:r>
      <w:r w:rsidRPr="00C64727">
        <w:rPr>
          <w:rFonts w:ascii="Times New Roman" w:hAnsi="Times New Roman"/>
          <w:sz w:val="24"/>
          <w:szCs w:val="24"/>
        </w:rPr>
        <w:t xml:space="preserve">. Összesen 287 (44 %) minősült kis kibocsátónak (a 2017-es 280-hoz (52 %) és a 2016-os 249-hez (50 %) képest). </w:t>
      </w:r>
    </w:p>
    <w:p w14:paraId="3D40B929" w14:textId="77777777" w:rsidR="0067338B" w:rsidRPr="00C64727" w:rsidRDefault="00A52F4C">
      <w:pPr>
        <w:pStyle w:val="Heading1"/>
        <w:spacing w:before="0" w:after="200"/>
        <w:rPr>
          <w:szCs w:val="24"/>
        </w:rPr>
      </w:pPr>
      <w:bookmarkStart w:id="6" w:name="_Toc24093083"/>
      <w:r w:rsidRPr="00C64727">
        <w:rPr>
          <w:szCs w:val="24"/>
        </w:rPr>
        <w:t>2.2. Az uniós kibocsátásiegység-forgalmi jegyzék és az európai uniós ügyleti jegyzőkönyv (EUTL)</w:t>
      </w:r>
      <w:bookmarkEnd w:id="6"/>
    </w:p>
    <w:p w14:paraId="770C341B" w14:textId="77777777" w:rsidR="0067338B" w:rsidRPr="00C64727" w:rsidRDefault="003A348D">
      <w:pPr>
        <w:jc w:val="both"/>
        <w:rPr>
          <w:rFonts w:ascii="Times New Roman" w:hAnsi="Times New Roman"/>
          <w:sz w:val="24"/>
          <w:szCs w:val="24"/>
        </w:rPr>
      </w:pPr>
      <w:r w:rsidRPr="00C64727">
        <w:rPr>
          <w:rFonts w:ascii="Times New Roman" w:hAnsi="Times New Roman"/>
          <w:noProof/>
          <w:sz w:val="24"/>
          <w:szCs w:val="24"/>
          <w:lang w:val="en-GB" w:eastAsia="en-GB"/>
        </w:rPr>
        <mc:AlternateContent>
          <mc:Choice Requires="wps">
            <w:drawing>
              <wp:inline distT="0" distB="0" distL="0" distR="0" wp14:anchorId="6183F335" wp14:editId="4DE3FBFE">
                <wp:extent cx="5727802" cy="3815645"/>
                <wp:effectExtent l="0" t="0" r="25400" b="1397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802" cy="3815645"/>
                        </a:xfrm>
                        <a:prstGeom prst="rect">
                          <a:avLst/>
                        </a:prstGeom>
                        <a:solidFill>
                          <a:schemeClr val="bg1">
                            <a:lumMod val="85000"/>
                          </a:schemeClr>
                        </a:solidFill>
                        <a:ln w="12700" cmpd="sng">
                          <a:solidFill>
                            <a:srgbClr val="000000">
                              <a:alpha val="70000"/>
                            </a:srgbClr>
                          </a:solidFill>
                          <a:miter lim="800000"/>
                          <a:headEnd/>
                          <a:tailEnd/>
                        </a:ln>
                      </wps:spPr>
                      <wps:txbx>
                        <w:txbxContent>
                          <w:p w14:paraId="7E9D4E00" w14:textId="77777777" w:rsidR="0067338B" w:rsidRPr="00C64727" w:rsidRDefault="00516F65">
                            <w:pPr>
                              <w:jc w:val="both"/>
                              <w:rPr>
                                <w:rFonts w:ascii="Times New Roman" w:hAnsi="Times New Roman"/>
                                <w:sz w:val="24"/>
                                <w:szCs w:val="24"/>
                              </w:rPr>
                            </w:pPr>
                            <w:r w:rsidRPr="00C64727">
                              <w:rPr>
                                <w:rFonts w:ascii="Times New Roman" w:hAnsi="Times New Roman"/>
                                <w:sz w:val="24"/>
                                <w:szCs w:val="24"/>
                              </w:rPr>
                              <w:t xml:space="preserve">Az uniós kibocsátásiegység-forgalmi jegyzék és az európai uniós ügyleti jegyzőkönyv (EUTL) az általános és a légiközlekedési kibocsátási egységek tulajdonosait rögzíti a számláikon található mennyiségek és a számlák közötti ügyletek követésével. Ezek üzemeltetését és karbantartását a Bizottság végzi, míg a számlák (vállalatok és természetes személyek) képviselői számára továbbra is a részt vevő országok nemzeti jegyzékeinek kezelői a kapcsolattartó pontok. Míg az uniós kibocsátásiegység-forgalmi jegyzék a helyhez kötött létesítmények és légijármű-üzemeltetők számláit kezeli, az EUTL automatikusan ellenőrzi, tárolja és engedélyezi a számlák közötti tranzakciókat – ezzel biztosítva, hogy minden átutalás megfeleljen az EU ETS szabályainak. </w:t>
                            </w:r>
                          </w:p>
                          <w:p w14:paraId="73C641F8" w14:textId="77777777" w:rsidR="0067338B" w:rsidRPr="00C64727" w:rsidRDefault="00516F65">
                            <w:pPr>
                              <w:shd w:val="clear" w:color="auto" w:fill="D9D9D9" w:themeFill="background1" w:themeFillShade="D9"/>
                              <w:jc w:val="both"/>
                              <w:rPr>
                                <w:rFonts w:ascii="Times New Roman" w:hAnsi="Times New Roman"/>
                                <w:sz w:val="24"/>
                                <w:szCs w:val="24"/>
                              </w:rPr>
                            </w:pPr>
                            <w:r w:rsidRPr="00C64727">
                              <w:rPr>
                                <w:rFonts w:ascii="Times New Roman" w:hAnsi="Times New Roman"/>
                                <w:sz w:val="24"/>
                                <w:szCs w:val="24"/>
                              </w:rPr>
                              <w:t>Az uniós kibocsátásiegység-forgalmi jegyzékben és az EUTL-ben rögzített adatok fontos információforrások az ETS-t érintő jelentéstétel különféle típusaihoz, így például a piaci stabilizációs tartalék többletmutatójának kiszámításához (lásd a 3.3. fejezetet) és az Európai Környezetvédelmi Ügynökség (EEA) általi jelentéstételhez. Az EUTL emellett átláthatóságot biztosít az EU ETS-ben, mivel információkat tesz közzé* arról, hogy a helyhez kötött létesítmények és a légijármű-üzemeltetők megfelelnek-e az ETS rendelkezéseinek.</w:t>
                            </w:r>
                          </w:p>
                          <w:p w14:paraId="17DDBD8F" w14:textId="77777777" w:rsidR="0067338B" w:rsidRDefault="00516F65">
                            <w:pPr>
                              <w:shd w:val="clear" w:color="auto" w:fill="D9D9D9" w:themeFill="background1" w:themeFillShade="D9"/>
                              <w:jc w:val="both"/>
                              <w:rPr>
                                <w:rFonts w:ascii="Times New Roman" w:hAnsi="Times New Roman"/>
                                <w:sz w:val="18"/>
                                <w:szCs w:val="18"/>
                              </w:rPr>
                            </w:pPr>
                            <w:r>
                              <w:rPr>
                                <w:rFonts w:ascii="Times New Roman" w:hAnsi="Times New Roman"/>
                                <w:sz w:val="18"/>
                                <w:szCs w:val="18"/>
                              </w:rPr>
                              <w:t>* Az EUTL által közzétett információk a következő helyen érhetők el: https://ec.europa.eu/clima/ets/</w:t>
                            </w:r>
                          </w:p>
                          <w:p w14:paraId="30BDD12B" w14:textId="77777777" w:rsidR="0067338B" w:rsidRDefault="0067338B">
                            <w:pPr>
                              <w:shd w:val="clear" w:color="auto" w:fill="D9D9D9" w:themeFill="background1" w:themeFillShade="D9"/>
                              <w:jc w:val="both"/>
                              <w:rPr>
                                <w:rFonts w:ascii="Times New Roman" w:hAnsi="Times New Roman"/>
                                <w:sz w:val="24"/>
                                <w:szCs w:val="24"/>
                              </w:rPr>
                            </w:pPr>
                          </w:p>
                          <w:p w14:paraId="7D0E3DA0" w14:textId="77777777" w:rsidR="0067338B" w:rsidRDefault="0067338B"/>
                        </w:txbxContent>
                      </wps:txbx>
                      <wps:bodyPr rot="0" vert="horz" wrap="square" lIns="91440" tIns="45720" rIns="91440" bIns="45720" anchor="t" anchorCtr="0">
                        <a:noAutofit/>
                      </wps:bodyPr>
                    </wps:wsp>
                  </a:graphicData>
                </a:graphic>
              </wp:inline>
            </w:drawing>
          </mc:Choice>
          <mc:Fallback>
            <w:pict>
              <v:shape w14:anchorId="6183F335" id="_x0000_s1028" type="#_x0000_t202" style="width:451pt;height:30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" fillcolor="#d8d8d8 [2732]" strokeweight="1pt">
                <v:stroke opacity="46003f"/>
                <v:textbox>
                  <w:txbxContent>
                    <w:p w14:paraId="7E9D4E00" w14:textId="77777777" w:rsidR="0067338B" w:rsidRPr="00C64727" w:rsidRDefault="00516F65">
                      <w:pPr>
                        <w:jc w:val="both"/>
                        <w:rPr>
                          <w:rFonts w:ascii="Times New Roman" w:hAnsi="Times New Roman"/>
                          <w:sz w:val="24"/>
                          <w:szCs w:val="24"/>
                        </w:rPr>
                      </w:pPr>
                      <w:r w:rsidRPr="00C64727">
                        <w:rPr>
                          <w:rFonts w:ascii="Times New Roman" w:hAnsi="Times New Roman"/>
                          <w:sz w:val="24"/>
                          <w:szCs w:val="24"/>
                        </w:rPr>
                        <w:t xml:space="preserve">Az uniós kibocsátásiegység-forgalmi jegyzék és az európai uniós ügyleti jegyzőkönyv (EUTL) az általános és a légiközlekedési kibocsátási egységek tulajdonosait rögzíti a számláikon található mennyiségek és a számlák közötti ügyletek követésével. Ezek üzemeltetését és karbantartását a Bizottság végzi, míg a számlák (vállalatok és természetes személyek) képviselői számára továbbra is a részt vevő országok nemzeti jegyzékeinek kezelői a kapcsolattartó pontok. Míg az uniós kibocsátásiegység-forgalmi jegyzék a helyhez kötött létesítmények és légijármű-üzemeltetők számláit kezeli, az EUTL automatikusan ellenőrzi, tárolja és engedélyezi a számlák közötti tranzakciókat – ezzel biztosítva, hogy minden átutalás megfeleljen az EU ETS szabályainak. </w:t>
                      </w:r>
                    </w:p>
                    <w:p w14:paraId="73C641F8" w14:textId="77777777" w:rsidR="0067338B" w:rsidRPr="00C64727" w:rsidRDefault="00516F65">
                      <w:pPr>
                        <w:shd w:val="clear" w:color="auto" w:fill="D9D9D9" w:themeFill="background1" w:themeFillShade="D9"/>
                        <w:jc w:val="both"/>
                        <w:rPr>
                          <w:rFonts w:ascii="Times New Roman" w:hAnsi="Times New Roman"/>
                          <w:sz w:val="24"/>
                          <w:szCs w:val="24"/>
                        </w:rPr>
                      </w:pPr>
                      <w:r w:rsidRPr="00C64727">
                        <w:rPr>
                          <w:rFonts w:ascii="Times New Roman" w:hAnsi="Times New Roman"/>
                          <w:sz w:val="24"/>
                          <w:szCs w:val="24"/>
                        </w:rPr>
                        <w:t>Az uniós kibocsátásiegység-forgalmi jegyzékben és az EUTL-ben rögzített adatok fontos információforrások az ETS-t érintő jelentéstétel különféle típusaihoz, így például a piaci stabilizációs tartalék többletmutatójának kiszámításához (lásd a 3.3. fejezetet) és az Európai Környezetvédelmi Ügynökség (EEA) általi jelentéstételhez. Az EUTL emellett átláthatóságot biztosít az EU ETS-ben, mivel információkat tesz közzé* arról, hogy a helyhez kötött létesítmények és a légijármű-üzemeltetők megfelelnek-e az ETS rendelkezéseinek.</w:t>
                      </w:r>
                    </w:p>
                    <w:p w14:paraId="17DDBD8F" w14:textId="77777777" w:rsidR="0067338B" w:rsidRDefault="00516F65">
                      <w:pPr>
                        <w:shd w:val="clear" w:color="auto" w:fill="D9D9D9" w:themeFill="background1" w:themeFillShade="D9"/>
                        <w:jc w:val="both"/>
                        <w:rPr>
                          <w:rFonts w:ascii="Times New Roman" w:hAnsi="Times New Roman"/>
                          <w:sz w:val="18"/>
                          <w:szCs w:val="18"/>
                        </w:rPr>
                      </w:pPr>
                      <w:r>
                        <w:rPr>
                          <w:rFonts w:ascii="Times New Roman" w:hAnsi="Times New Roman"/>
                          <w:sz w:val="18"/>
                          <w:szCs w:val="18"/>
                        </w:rPr>
                        <w:t>* Az EUTL által közzétett információk a következő helyen érhetők el: https://ec.europa.eu/clima/ets/</w:t>
                      </w:r>
                    </w:p>
                    <w:p w14:paraId="30BDD12B" w14:textId="77777777" w:rsidR="0067338B" w:rsidRDefault="0067338B">
                      <w:pPr>
                        <w:shd w:val="clear" w:color="auto" w:fill="D9D9D9" w:themeFill="background1" w:themeFillShade="D9"/>
                        <w:jc w:val="both"/>
                        <w:rPr>
                          <w:rFonts w:ascii="Times New Roman" w:hAnsi="Times New Roman"/>
                          <w:sz w:val="24"/>
                          <w:szCs w:val="24"/>
                        </w:rPr>
                      </w:pPr>
                    </w:p>
                    <w:p w14:paraId="7D0E3DA0" w14:textId="77777777" w:rsidR="0067338B" w:rsidRDefault="0067338B"/>
                  </w:txbxContent>
                </v:textbox>
                <w10:anchorlock/>
              </v:shape>
            </w:pict>
          </mc:Fallback>
        </mc:AlternateContent>
      </w:r>
    </w:p>
    <w:p w14:paraId="2A37E453" w14:textId="77777777" w:rsidR="0067338B" w:rsidRPr="00C64727" w:rsidRDefault="003A348D">
      <w:pPr>
        <w:jc w:val="both"/>
        <w:rPr>
          <w:rFonts w:ascii="Times New Roman" w:hAnsi="Times New Roman"/>
          <w:sz w:val="24"/>
          <w:szCs w:val="24"/>
        </w:rPr>
      </w:pPr>
      <w:r w:rsidRPr="00C64727">
        <w:rPr>
          <w:rFonts w:ascii="Times New Roman" w:hAnsi="Times New Roman"/>
          <w:sz w:val="24"/>
          <w:szCs w:val="24"/>
        </w:rPr>
        <w:t>Az uniós kibocsátásiegység-forgalmi jegyzék és az EUTL 2018-ban 365 napon át napi 24 órában működött, csupán a technikai frissítések miatti kisebb megszakításokkal, amelyek összesen körülbelül 26 órát tettek ki.</w:t>
      </w:r>
    </w:p>
    <w:p w14:paraId="3D3F0903" w14:textId="77777777" w:rsidR="0067338B" w:rsidRPr="00C64727" w:rsidRDefault="006530AB">
      <w:pPr>
        <w:jc w:val="both"/>
        <w:rPr>
          <w:rFonts w:ascii="Times New Roman" w:hAnsi="Times New Roman"/>
          <w:sz w:val="24"/>
          <w:szCs w:val="24"/>
        </w:rPr>
      </w:pPr>
      <w:r w:rsidRPr="00C64727">
        <w:rPr>
          <w:rFonts w:ascii="Times New Roman" w:hAnsi="Times New Roman"/>
          <w:sz w:val="24"/>
          <w:szCs w:val="24"/>
        </w:rPr>
        <w:t>2019. január 1-jével a Bizottság felfüggesztette</w:t>
      </w:r>
      <w:r w:rsidRPr="00C64727">
        <w:rPr>
          <w:rFonts w:ascii="Times New Roman" w:hAnsi="Times New Roman"/>
          <w:sz w:val="24"/>
          <w:szCs w:val="24"/>
          <w:vertAlign w:val="superscript"/>
        </w:rPr>
        <w:footnoteReference w:id="11"/>
      </w:r>
      <w:r w:rsidRPr="00C64727">
        <w:rPr>
          <w:rFonts w:ascii="Times New Roman" w:hAnsi="Times New Roman"/>
          <w:sz w:val="24"/>
          <w:szCs w:val="24"/>
        </w:rPr>
        <w:t xml:space="preserve"> az Egyesült Királyságra vonatkozó valamennyi folyamatot a kibocsátási egységek térítésmentes kiosztása, árverezése és nemzetközi beváltása tekintetében az EU ETS környezeti integritásának védelmét szolgáló azon védintézkedések</w:t>
      </w:r>
      <w:r w:rsidRPr="00C64727">
        <w:rPr>
          <w:rFonts w:ascii="Times New Roman" w:hAnsi="Times New Roman"/>
          <w:sz w:val="24"/>
          <w:szCs w:val="24"/>
          <w:vertAlign w:val="superscript"/>
        </w:rPr>
        <w:footnoteReference w:id="12"/>
      </w:r>
      <w:r w:rsidRPr="00C64727">
        <w:rPr>
          <w:rFonts w:ascii="Times New Roman" w:hAnsi="Times New Roman"/>
          <w:sz w:val="24"/>
          <w:szCs w:val="24"/>
        </w:rPr>
        <w:t xml:space="preserve"> értelmében, amelyek olyan esetekben alkalmazandók, amikor az EU-ból kilépő valamely tagállam tekintetében megszűnik az uniós jog érvényessége. </w:t>
      </w:r>
    </w:p>
    <w:p w14:paraId="36498F28" w14:textId="77777777" w:rsidR="0067338B" w:rsidRPr="00C64727" w:rsidRDefault="006530AB">
      <w:pPr>
        <w:jc w:val="both"/>
        <w:rPr>
          <w:rFonts w:ascii="Times New Roman" w:hAnsi="Times New Roman"/>
          <w:sz w:val="24"/>
          <w:szCs w:val="24"/>
        </w:rPr>
      </w:pPr>
      <w:r w:rsidRPr="00C64727">
        <w:rPr>
          <w:rFonts w:ascii="Times New Roman" w:hAnsi="Times New Roman"/>
          <w:sz w:val="24"/>
          <w:szCs w:val="24"/>
        </w:rPr>
        <w:t>2019 márciusában elfogadták az (EU) 2019/1122 felhatalmazáson alapuló bizottsági rendeletet</w:t>
      </w:r>
      <w:r w:rsidRPr="00C64727">
        <w:rPr>
          <w:rStyle w:val="FootnoteReference"/>
          <w:rFonts w:ascii="Times New Roman" w:hAnsi="Times New Roman"/>
          <w:sz w:val="24"/>
          <w:szCs w:val="24"/>
        </w:rPr>
        <w:footnoteReference w:id="13"/>
      </w:r>
      <w:r w:rsidRPr="00C64727">
        <w:rPr>
          <w:rFonts w:ascii="Times New Roman" w:hAnsi="Times New Roman"/>
          <w:sz w:val="24"/>
          <w:szCs w:val="24"/>
        </w:rPr>
        <w:t>, amely meghatározza az uniós kibocsátásiegység-forgalmi jegyzék működésére vonatkozó szabályokat az EU ETS következő (2021 és 2030 közötti) kereskedési időszakára. A rendelet lehetővé teszi, hogy az uniós kibocsátásiegység-forgalmi jegyzék megfeleljen a felülvizsgált EU ETS irányelv által meghatározott, 4. szakaszra vonatkozó követelményeknek, például a funkciók kiigazításával annak érdekében, hogy a kibocsátási egységek korlátlan ideig érvényesek legyenek és csak azon tízéves időszak első évétől kezdve lehessen felhasználni azokat, amelyben kibocsátották, továbbá biztosítja, hogy 2021-től kezdődően már ne lehessen nemzetközi jóváírásokat felhasználni kibocsátások fedezésére. Ezenkívül az új rendelet kiigazítja az uniós kibocsátásiegység-forgalmi jegyzékre vonatkozó szabályokat egyrészt annak érdekében, hogy azok 2018. január 3-tól kezdődően összhangba kerüljenek a pénzügyi piaci jogszabályok követelményeivel a kibocsátási egységeknek a 2014/65/EU irányelv</w:t>
      </w:r>
      <w:r w:rsidRPr="00C64727">
        <w:rPr>
          <w:rStyle w:val="FootnoteReference"/>
          <w:rFonts w:ascii="Times New Roman" w:hAnsi="Times New Roman"/>
          <w:sz w:val="24"/>
          <w:szCs w:val="24"/>
        </w:rPr>
        <w:footnoteReference w:id="14"/>
      </w:r>
      <w:r w:rsidRPr="00C64727">
        <w:rPr>
          <w:rFonts w:ascii="Times New Roman" w:hAnsi="Times New Roman"/>
          <w:sz w:val="24"/>
          <w:szCs w:val="24"/>
        </w:rPr>
        <w:t xml:space="preserve"> szerinti „pénzügyi eszközként” való besorolását követően, másrészt hogy megfeleljenek a felülvizsgált adatvédelmi szabályok követelményeinek. </w:t>
      </w:r>
    </w:p>
    <w:p w14:paraId="3F05CDEB" w14:textId="77777777" w:rsidR="0067338B" w:rsidRPr="00C64727" w:rsidRDefault="00A52F4C">
      <w:pPr>
        <w:pStyle w:val="Heading1"/>
        <w:spacing w:before="0" w:after="200"/>
        <w:rPr>
          <w:szCs w:val="24"/>
        </w:rPr>
      </w:pPr>
      <w:bookmarkStart w:id="7" w:name="_Toc24093084"/>
      <w:r w:rsidRPr="00C64727">
        <w:rPr>
          <w:szCs w:val="24"/>
        </w:rPr>
        <w:t>3. A SZÉN-DIOXID-PIAC MŰKÖDÉSE 2018-BAN</w:t>
      </w:r>
      <w:bookmarkEnd w:id="7"/>
      <w:r w:rsidRPr="00C64727">
        <w:rPr>
          <w:szCs w:val="24"/>
        </w:rPr>
        <w:t xml:space="preserve"> </w:t>
      </w:r>
    </w:p>
    <w:p w14:paraId="5CB988C9" w14:textId="77777777" w:rsidR="0067338B" w:rsidRPr="00C64727" w:rsidRDefault="003A348D">
      <w:pPr>
        <w:jc w:val="both"/>
        <w:rPr>
          <w:rFonts w:ascii="Times New Roman" w:hAnsi="Times New Roman"/>
          <w:sz w:val="24"/>
          <w:szCs w:val="24"/>
        </w:rPr>
      </w:pPr>
      <w:r w:rsidRPr="00C64727">
        <w:rPr>
          <w:rFonts w:ascii="Times New Roman" w:hAnsi="Times New Roman"/>
          <w:sz w:val="24"/>
          <w:szCs w:val="24"/>
        </w:rPr>
        <w:t>Ez a fejezet az EU ETS kínálati és keresleti oldalával kapcsolatos szempontokról nyújt tájékoztatást. A kínálati oldalra vonatkozó szakasz kitér az összkvótára, a kibocsátási egységek ingyenes kiosztására, a NER300 programra (beleértve a soron következő innovációs alapra való felkészülést), az árverésekre, a teljes árverésre vonatkozó szabálytól való eltérésre a villamosenergia- és a hőtermelés esetében (10c. cikk) és a nemzetközi jóváírások használatára, valamint tartalmaz egy fejezetet a közvetett szén-dioxid-kibocsátási költségek kompenzálásáról.</w:t>
      </w:r>
    </w:p>
    <w:p w14:paraId="54C16DBF" w14:textId="77777777" w:rsidR="0067338B" w:rsidRPr="00C64727" w:rsidRDefault="003A348D">
      <w:pPr>
        <w:jc w:val="both"/>
        <w:rPr>
          <w:rFonts w:ascii="Times New Roman" w:hAnsi="Times New Roman"/>
          <w:sz w:val="24"/>
          <w:szCs w:val="24"/>
        </w:rPr>
      </w:pPr>
      <w:r w:rsidRPr="00C64727">
        <w:rPr>
          <w:rFonts w:ascii="Times New Roman" w:hAnsi="Times New Roman"/>
          <w:sz w:val="24"/>
          <w:szCs w:val="24"/>
        </w:rPr>
        <w:t>A keresleti oldal tekintetében a fejezet tájékoztatást nyújt a hitelesített kibocsátások számáról és a kibocsátási egységek keresletének és kínálatának egyensúlyba hozásáról a szén-dioxid-piacon a piaci stabilizációs tartalék révén.</w:t>
      </w:r>
    </w:p>
    <w:p w14:paraId="1B9C135A" w14:textId="77777777" w:rsidR="0067338B" w:rsidRPr="00C64727" w:rsidRDefault="00A52F4C">
      <w:pPr>
        <w:pStyle w:val="Heading2"/>
        <w:spacing w:before="0" w:after="200"/>
        <w:rPr>
          <w:i w:val="0"/>
          <w:szCs w:val="24"/>
        </w:rPr>
      </w:pPr>
      <w:bookmarkStart w:id="8" w:name="_Toc24093085"/>
      <w:r w:rsidRPr="00C64727">
        <w:rPr>
          <w:i w:val="0"/>
          <w:szCs w:val="24"/>
        </w:rPr>
        <w:t>3.1. Kínálat: a forgalomba kerülő kibocsátási egységek</w:t>
      </w:r>
      <w:bookmarkEnd w:id="8"/>
      <w:r w:rsidRPr="00C64727">
        <w:rPr>
          <w:i w:val="0"/>
          <w:szCs w:val="24"/>
        </w:rPr>
        <w:t xml:space="preserve"> </w:t>
      </w:r>
    </w:p>
    <w:p w14:paraId="4D9F2ACD" w14:textId="77777777" w:rsidR="0067338B" w:rsidRPr="00C64727" w:rsidRDefault="00A52F4C">
      <w:pPr>
        <w:pStyle w:val="Heading3"/>
        <w:spacing w:before="0" w:after="200"/>
        <w:ind w:left="720"/>
        <w:rPr>
          <w:szCs w:val="24"/>
        </w:rPr>
      </w:pPr>
      <w:bookmarkStart w:id="9" w:name="_Toc24093086"/>
      <w:r w:rsidRPr="00C64727">
        <w:rPr>
          <w:szCs w:val="24"/>
        </w:rPr>
        <w:t>3.1.1. Összkvóta</w:t>
      </w:r>
      <w:bookmarkEnd w:id="9"/>
    </w:p>
    <w:p w14:paraId="6E39E2C5" w14:textId="77777777" w:rsidR="0067338B" w:rsidRPr="00C64727" w:rsidRDefault="003A348D">
      <w:pPr>
        <w:jc w:val="both"/>
        <w:rPr>
          <w:rFonts w:ascii="Times New Roman" w:hAnsi="Times New Roman"/>
          <w:sz w:val="24"/>
          <w:szCs w:val="24"/>
        </w:rPr>
      </w:pPr>
      <w:r w:rsidRPr="00C64727">
        <w:rPr>
          <w:rFonts w:ascii="Times New Roman" w:hAnsi="Times New Roman"/>
          <w:noProof/>
          <w:sz w:val="24"/>
          <w:szCs w:val="24"/>
          <w:lang w:val="en-GB" w:eastAsia="en-GB"/>
        </w:rPr>
        <mc:AlternateContent>
          <mc:Choice Requires="wps">
            <w:drawing>
              <wp:inline distT="0" distB="0" distL="0" distR="0" wp14:anchorId="519E1EEC" wp14:editId="434D19CA">
                <wp:extent cx="5771693" cy="5971823"/>
                <wp:effectExtent l="0" t="0" r="19685" b="1016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693" cy="5971823"/>
                        </a:xfrm>
                        <a:prstGeom prst="rect">
                          <a:avLst/>
                        </a:prstGeom>
                        <a:solidFill>
                          <a:schemeClr val="bg1">
                            <a:lumMod val="85000"/>
                          </a:schemeClr>
                        </a:solidFill>
                        <a:ln w="12700">
                          <a:solidFill>
                            <a:srgbClr val="000000"/>
                          </a:solidFill>
                          <a:miter lim="800000"/>
                          <a:headEnd/>
                          <a:tailEnd/>
                        </a:ln>
                      </wps:spPr>
                      <wps:txbx>
                        <w:txbxContent>
                          <w:p w14:paraId="2CB28A0E" w14:textId="1BD0D46A" w:rsidR="0067338B" w:rsidRPr="00C64727" w:rsidRDefault="00516F65">
                            <w:pPr>
                              <w:jc w:val="both"/>
                              <w:rPr>
                                <w:rFonts w:ascii="Times New Roman" w:hAnsi="Times New Roman"/>
                                <w:sz w:val="24"/>
                                <w:szCs w:val="24"/>
                              </w:rPr>
                            </w:pPr>
                            <w:r w:rsidRPr="00C64727">
                              <w:rPr>
                                <w:rFonts w:ascii="Times New Roman" w:hAnsi="Times New Roman"/>
                                <w:sz w:val="24"/>
                                <w:szCs w:val="24"/>
                              </w:rPr>
                              <w:t>Az összkvóta a rendszer hatálya alá tartozó jogalanyok által kibocsátható üvegházhatású gázok abszolút mennyisége, amelynek révén biztosítható a kibocsátás csökkentésére irányuló cél elérése, és amely a kereskedési időszak alatt forgalomba bocsátott kibocsátási egységek számának felel meg. A 3. szakaszban közös uniós szintű összkvóta van érvényben, amely a nemzeti összkvótákból álló korábbi rendszert váltja fel.</w:t>
                            </w:r>
                          </w:p>
                          <w:p w14:paraId="586703C4" w14:textId="77777777" w:rsidR="0067338B" w:rsidRPr="00C64727" w:rsidRDefault="00516F65">
                            <w:pPr>
                              <w:jc w:val="both"/>
                              <w:rPr>
                                <w:rFonts w:ascii="Times New Roman" w:hAnsi="Times New Roman"/>
                                <w:sz w:val="24"/>
                                <w:szCs w:val="24"/>
                              </w:rPr>
                            </w:pPr>
                            <w:r w:rsidRPr="00C64727">
                              <w:rPr>
                                <w:rFonts w:ascii="Times New Roman" w:hAnsi="Times New Roman"/>
                                <w:sz w:val="24"/>
                                <w:szCs w:val="24"/>
                              </w:rPr>
                              <w:t>A helyhez kötött létesítményekből származó kibocsátások 2013-as összkvótáját 2 084 301 856 kibocsátási egységben határozták meg. Ez az összkvóta évente 1,74 %-os lineáris csökkentő tényező szerint mérséklődik, a 2008 és 2012 között évente kiadott kibocsátási egységek átlagos összmennyisége alapján számítják ki annak biztosítása érdekében, hogy a helyhez kötött létesítmények által felhasználható kibocsátási egységek száma 2020-ban 21 %-kal alacsonyabb legyen, mint 2005-ben.</w:t>
                            </w:r>
                          </w:p>
                          <w:p w14:paraId="03085764" w14:textId="7279C260" w:rsidR="0067338B" w:rsidRPr="00C64727" w:rsidRDefault="00516F65">
                            <w:pPr>
                              <w:jc w:val="both"/>
                              <w:rPr>
                                <w:rFonts w:ascii="Times New Roman" w:hAnsi="Times New Roman"/>
                                <w:sz w:val="24"/>
                                <w:szCs w:val="24"/>
                              </w:rPr>
                            </w:pPr>
                            <w:r w:rsidRPr="00C64727">
                              <w:rPr>
                                <w:rFonts w:ascii="Times New Roman" w:hAnsi="Times New Roman"/>
                                <w:sz w:val="24"/>
                                <w:szCs w:val="24"/>
                              </w:rPr>
                              <w:t>A légiközlekedési ágazat összkvótáját eredetileg évi 210 349 264 légi közlekedési kibocsátási egységben határozták meg, ami 5 %-kal a légiközlekedési kibocsátási egységek 2004–2006 közötti átlagos éves szintje alatt van. Ezt 2014 január 1-jén 116 524 légi közlekedési kibocsátási egységgel növelni kellett Horvátország csatlakozásának figyelembevétele érdekében. Az összkvóta célja, hogy tükrözze azt a 2008-as jogszabályt*, amely kimondja, hogy az EU ETS-t ki kell terjeszteni az EGT területére érkező, onnan felszálló és azon belül közlekedő járatokra. Az EU ETS hatályát azonban 2013 és 2016 között ideiglenesen az EGT területén belüli járatokra korlátozták, hogy támogassák az ICAO-t a nemzetközi légi közlekedésből származó kibocsátások 2020-as szinteken való stabilizálását célzó globális intézkedés kidolgozásában. Ezért a forgalomba kerülő légiközlekedési kibocsátási egységek száma 2013 és 2016 között lényegesen alacsonyabb volt az eredeti összkvótánál. 2017-ben az ICAO globális intézkedése kidolgozásának támogatása érdekében 2023-ig meghosszabbították az EGT-n belüli járatokra való korlátozást (lásd a 4. szakaszt).</w:t>
                            </w:r>
                          </w:p>
                          <w:p w14:paraId="720D3AFE" w14:textId="77777777" w:rsidR="0067338B" w:rsidRDefault="00516F65">
                            <w:pPr>
                              <w:jc w:val="both"/>
                              <w:rPr>
                                <w:rFonts w:ascii="Times New Roman" w:hAnsi="Times New Roman"/>
                                <w:sz w:val="18"/>
                                <w:szCs w:val="18"/>
                              </w:rPr>
                            </w:pPr>
                            <w:r>
                              <w:rPr>
                                <w:rFonts w:ascii="Times New Roman" w:hAnsi="Times New Roman"/>
                                <w:sz w:val="18"/>
                                <w:szCs w:val="18"/>
                              </w:rPr>
                              <w:t>* Az Európai Parlament és a Tanács 2008/101/EK irányelve (2008. november 19.) a 2003/87/EK irányelvnek az üvegházhatást okozó gázok kibocsátási egységei Közösségen belüli kereskedelmi rendszerének a légi közlekedésre történő kiterjesztése céljából történő módosításáról.</w:t>
                            </w:r>
                          </w:p>
                          <w:p w14:paraId="009D0DCD" w14:textId="77777777" w:rsidR="0067338B" w:rsidRDefault="0067338B">
                            <w:pPr>
                              <w:jc w:val="both"/>
                              <w:rPr>
                                <w:rFonts w:ascii="Times New Roman" w:hAnsi="Times New Roman"/>
                                <w:sz w:val="24"/>
                                <w:szCs w:val="24"/>
                              </w:rPr>
                            </w:pPr>
                          </w:p>
                          <w:p w14:paraId="24272EB1" w14:textId="77777777" w:rsidR="0067338B" w:rsidRDefault="0067338B">
                            <w:pPr>
                              <w:jc w:val="both"/>
                              <w:rPr>
                                <w:rFonts w:ascii="Times New Roman" w:hAnsi="Times New Roman"/>
                                <w:sz w:val="24"/>
                                <w:szCs w:val="24"/>
                              </w:rPr>
                            </w:pPr>
                          </w:p>
                          <w:p w14:paraId="0E36FF24" w14:textId="77777777" w:rsidR="0067338B" w:rsidRDefault="0067338B">
                            <w:pPr>
                              <w:jc w:val="both"/>
                              <w:rPr>
                                <w:rFonts w:ascii="Times New Roman" w:hAnsi="Times New Roman"/>
                                <w:sz w:val="24"/>
                                <w:szCs w:val="24"/>
                              </w:rPr>
                            </w:pPr>
                          </w:p>
                          <w:p w14:paraId="6EE6C7F4" w14:textId="77777777" w:rsidR="0067338B" w:rsidRDefault="0067338B">
                            <w:pPr>
                              <w:jc w:val="both"/>
                            </w:pPr>
                          </w:p>
                          <w:p w14:paraId="2691C2DB" w14:textId="77777777" w:rsidR="0067338B" w:rsidRDefault="0067338B">
                            <w:pPr>
                              <w:jc w:val="both"/>
                              <w:rPr>
                                <w:rFonts w:ascii="Times New Roman" w:hAnsi="Times New Roman"/>
                                <w:sz w:val="24"/>
                                <w:szCs w:val="24"/>
                              </w:rPr>
                            </w:pPr>
                          </w:p>
                          <w:p w14:paraId="40ED1A4F" w14:textId="77777777" w:rsidR="0067338B" w:rsidRDefault="0067338B"/>
                        </w:txbxContent>
                      </wps:txbx>
                      <wps:bodyPr rot="0" vert="horz" wrap="square" lIns="91440" tIns="45720" rIns="91440" bIns="45720" anchor="t" anchorCtr="0">
                        <a:noAutofit/>
                      </wps:bodyPr>
                    </wps:wsp>
                  </a:graphicData>
                </a:graphic>
              </wp:inline>
            </w:drawing>
          </mc:Choice>
          <mc:Fallback>
            <w:pict>
              <v:shape w14:anchorId="519E1EEC" id="_x0000_s1029" type="#_x0000_t202" style="width:454.45pt;height:47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" fillcolor="#d8d8d8 [2732]" strokeweight="1pt">
                <v:textbox>
                  <w:txbxContent>
                    <w:p w14:paraId="2CB28A0E" w14:textId="1BD0D46A" w:rsidR="0067338B" w:rsidRPr="00C64727" w:rsidRDefault="00516F65">
                      <w:pPr>
                        <w:jc w:val="both"/>
                        <w:rPr>
                          <w:rFonts w:ascii="Times New Roman" w:hAnsi="Times New Roman"/>
                          <w:sz w:val="24"/>
                          <w:szCs w:val="24"/>
                        </w:rPr>
                      </w:pPr>
                      <w:r w:rsidRPr="00C64727">
                        <w:rPr>
                          <w:rFonts w:ascii="Times New Roman" w:hAnsi="Times New Roman"/>
                          <w:sz w:val="24"/>
                          <w:szCs w:val="24"/>
                        </w:rPr>
                        <w:t>Az összkvóta a rendszer hatálya alá tartozó jogalanyok által kibocsátható üvegházhatású gázok abszolút mennyisége, amelynek révén biztosítható a kibocsátás csökkentésére irányuló cél elérése, és amely a kereskedési időszak alatt forgalomba bocsátott kibocsátási egységek számának felel meg. A 3. szakaszban közös uniós szintű összkvóta van érvényben, amely a nemzeti összkvótákból álló korábbi rendszert váltja fel.</w:t>
                      </w:r>
                    </w:p>
                    <w:p w14:paraId="586703C4" w14:textId="77777777" w:rsidR="0067338B" w:rsidRPr="00C64727" w:rsidRDefault="00516F65">
                      <w:pPr>
                        <w:jc w:val="both"/>
                        <w:rPr>
                          <w:rFonts w:ascii="Times New Roman" w:hAnsi="Times New Roman"/>
                          <w:sz w:val="24"/>
                          <w:szCs w:val="24"/>
                        </w:rPr>
                      </w:pPr>
                      <w:r w:rsidRPr="00C64727">
                        <w:rPr>
                          <w:rFonts w:ascii="Times New Roman" w:hAnsi="Times New Roman"/>
                          <w:sz w:val="24"/>
                          <w:szCs w:val="24"/>
                        </w:rPr>
                        <w:t>A helyhez kötött létesítményekből származó kibocsátások 2013-as összkvótáját 2 084 301 856 kibocsátási egységben határozták meg. Ez az összkvóta évente 1,74 %-os lineáris csökkentő tényező szerint mérséklődik, a 2008 és 2012 között évente kiadott kibocsátási egységek átlagos összmennyisége alapján számítják ki annak biztosítása érdekében, hogy a helyhez kötött létesítmények által felhasználható kibocsátási egységek száma 2020-ban 21 %-kal alacsonyabb legyen, mint 2005-ben.</w:t>
                      </w:r>
                    </w:p>
                    <w:p w14:paraId="03085764" w14:textId="7279C260" w:rsidR="0067338B" w:rsidRPr="00C64727" w:rsidRDefault="00516F65">
                      <w:pPr>
                        <w:jc w:val="both"/>
                        <w:rPr>
                          <w:rFonts w:ascii="Times New Roman" w:hAnsi="Times New Roman"/>
                          <w:sz w:val="24"/>
                          <w:szCs w:val="24"/>
                        </w:rPr>
                      </w:pPr>
                      <w:r w:rsidRPr="00C64727">
                        <w:rPr>
                          <w:rFonts w:ascii="Times New Roman" w:hAnsi="Times New Roman"/>
                          <w:sz w:val="24"/>
                          <w:szCs w:val="24"/>
                        </w:rPr>
                        <w:t>A légiközlekedési ágazat összkvótáját eredetileg évi 210 349 264 légi közlekedési kibocsátási egységben határozták meg, ami 5 %-kal a légiközlekedési kibocsátási egységek 2004–2006 közötti átlagos éves szintje alatt van. Ezt 2014 január 1-jén 116 524 légi közlekedési kibocsátási egységgel növelni kellett Horvátország csatlakozásának figyelembevétele érdekében. Az összkvóta célja, hogy tükrözze azt a 2008-as jogszabályt*, amely kimondja, hogy az EU ETS-t ki kell terjeszteni az EGT területére érkező, onnan felszálló és azon belül közlekedő járatokra. Az EU ETS hatályát azonban 2013 és 2016 között ideiglenesen az EGT területén belüli járatokra korlátozták, hogy támogassák az ICAO-t a nemzetközi légi közlekedésből származó kibocsátások 2020-as szinteken való stabilizálását célzó globális intézkedés kidolgozásában. Ezért a forgalomba kerülő légiközlekedési kibocsátási egységek száma 2013 és 2016 között lényegesen alacsonyabb volt az eredeti összkvótánál. 2017-ben az ICAO globális intézkedése kidolgozásának támogatása érdekében 2023-ig meghosszabbították az EGT-n belüli járatokra való korlátozást (lásd a 4. szakaszt).</w:t>
                      </w:r>
                    </w:p>
                    <w:p w14:paraId="720D3AFE" w14:textId="77777777" w:rsidR="0067338B" w:rsidRDefault="00516F65">
                      <w:pPr>
                        <w:jc w:val="both"/>
                        <w:rPr>
                          <w:rFonts w:ascii="Times New Roman" w:hAnsi="Times New Roman"/>
                          <w:sz w:val="18"/>
                          <w:szCs w:val="18"/>
                        </w:rPr>
                      </w:pPr>
                      <w:r>
                        <w:rPr>
                          <w:rFonts w:ascii="Times New Roman" w:hAnsi="Times New Roman"/>
                          <w:sz w:val="18"/>
                          <w:szCs w:val="18"/>
                        </w:rPr>
                        <w:t>* Az Európai Parlament és a Tanács 2008/101/EK irányelve (2008. november 19.) a 2003/87/EK irányelvnek az üvegházhatást okozó gázok kibocsátási egységei Közösségen belüli kereskedelmi rendszerének a légi közlekedésre történő kiterjesztése céljából történő módosításáról.</w:t>
                      </w:r>
                    </w:p>
                    <w:p w14:paraId="009D0DCD" w14:textId="77777777" w:rsidR="0067338B" w:rsidRDefault="0067338B">
                      <w:pPr>
                        <w:jc w:val="both"/>
                        <w:rPr>
                          <w:rFonts w:ascii="Times New Roman" w:hAnsi="Times New Roman"/>
                          <w:sz w:val="24"/>
                          <w:szCs w:val="24"/>
                        </w:rPr>
                      </w:pPr>
                    </w:p>
                    <w:p w14:paraId="24272EB1" w14:textId="77777777" w:rsidR="0067338B" w:rsidRDefault="0067338B">
                      <w:pPr>
                        <w:jc w:val="both"/>
                        <w:rPr>
                          <w:rFonts w:ascii="Times New Roman" w:hAnsi="Times New Roman"/>
                          <w:sz w:val="24"/>
                          <w:szCs w:val="24"/>
                        </w:rPr>
                      </w:pPr>
                    </w:p>
                    <w:p w14:paraId="0E36FF24" w14:textId="77777777" w:rsidR="0067338B" w:rsidRDefault="0067338B">
                      <w:pPr>
                        <w:jc w:val="both"/>
                        <w:rPr>
                          <w:rFonts w:ascii="Times New Roman" w:hAnsi="Times New Roman"/>
                          <w:sz w:val="24"/>
                          <w:szCs w:val="24"/>
                        </w:rPr>
                      </w:pPr>
                    </w:p>
                    <w:p w14:paraId="6EE6C7F4" w14:textId="77777777" w:rsidR="0067338B" w:rsidRDefault="0067338B">
                      <w:pPr>
                        <w:jc w:val="both"/>
                      </w:pPr>
                    </w:p>
                    <w:p w14:paraId="2691C2DB" w14:textId="77777777" w:rsidR="0067338B" w:rsidRDefault="0067338B">
                      <w:pPr>
                        <w:jc w:val="both"/>
                        <w:rPr>
                          <w:rFonts w:ascii="Times New Roman" w:hAnsi="Times New Roman"/>
                          <w:sz w:val="24"/>
                          <w:szCs w:val="24"/>
                        </w:rPr>
                      </w:pPr>
                    </w:p>
                    <w:p w14:paraId="40ED1A4F" w14:textId="77777777" w:rsidR="0067338B" w:rsidRDefault="0067338B"/>
                  </w:txbxContent>
                </v:textbox>
                <w10:anchorlock/>
              </v:shape>
            </w:pict>
          </mc:Fallback>
        </mc:AlternateContent>
      </w:r>
    </w:p>
    <w:p w14:paraId="3DBD99C6" w14:textId="77777777" w:rsidR="0067338B" w:rsidRPr="00C64727" w:rsidRDefault="003A348D">
      <w:pPr>
        <w:spacing w:after="0"/>
        <w:jc w:val="both"/>
        <w:rPr>
          <w:rFonts w:ascii="Times New Roman" w:hAnsi="Times New Roman"/>
          <w:sz w:val="24"/>
          <w:szCs w:val="24"/>
        </w:rPr>
      </w:pPr>
      <w:r w:rsidRPr="00C64727">
        <w:rPr>
          <w:rFonts w:ascii="Times New Roman" w:hAnsi="Times New Roman"/>
          <w:sz w:val="24"/>
          <w:szCs w:val="24"/>
        </w:rPr>
        <w:t>Az 1. táblázat a helyhez kötött létesítmények összkvótájára és az évente forgalomba kerülő légi közlekedési kibocsátási egységek számára</w:t>
      </w:r>
      <w:r w:rsidRPr="00C64727">
        <w:rPr>
          <w:rStyle w:val="FootnoteReference"/>
          <w:rFonts w:ascii="Times New Roman" w:hAnsi="Times New Roman"/>
          <w:sz w:val="24"/>
          <w:szCs w:val="24"/>
        </w:rPr>
        <w:footnoteReference w:id="15"/>
      </w:r>
      <w:r w:rsidRPr="00C64727">
        <w:rPr>
          <w:rFonts w:ascii="Times New Roman" w:hAnsi="Times New Roman"/>
          <w:sz w:val="24"/>
          <w:szCs w:val="24"/>
        </w:rPr>
        <w:t xml:space="preserve"> vonatkozó adatokat mutatja be évenkénti bontásban az EU ETS 3. szakaszában.</w:t>
      </w:r>
    </w:p>
    <w:p w14:paraId="2DC124A9" w14:textId="77777777" w:rsidR="0067338B" w:rsidRPr="00C64727" w:rsidRDefault="0067338B">
      <w:pPr>
        <w:spacing w:after="0"/>
        <w:jc w:val="both"/>
        <w:rPr>
          <w:rFonts w:ascii="Times New Roman" w:hAnsi="Times New Roman"/>
          <w:sz w:val="24"/>
          <w:szCs w:val="24"/>
        </w:rPr>
      </w:pPr>
    </w:p>
    <w:p w14:paraId="79A4C8CF" w14:textId="611CD788" w:rsidR="0067338B" w:rsidRPr="00C64727" w:rsidRDefault="003A348D">
      <w:pPr>
        <w:jc w:val="both"/>
        <w:rPr>
          <w:rFonts w:ascii="Times New Roman" w:hAnsi="Times New Roman"/>
          <w:b/>
          <w:bCs/>
        </w:rPr>
      </w:pPr>
      <w:r w:rsidRPr="00C64727">
        <w:rPr>
          <w:rFonts w:ascii="Times New Roman" w:hAnsi="Times New Roman"/>
          <w:b/>
        </w:rPr>
        <w:t>1. táblázat: Az uniós kibocsátáskereskedelmi rendszer összkvótája, 2013–2020</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94"/>
        <w:gridCol w:w="3207"/>
        <w:gridCol w:w="3810"/>
      </w:tblGrid>
      <w:tr w:rsidR="0067338B" w:rsidRPr="00C64727" w14:paraId="5E43DF45" w14:textId="77777777">
        <w:trPr>
          <w:trHeight w:val="615"/>
          <w:jc w:val="center"/>
        </w:trPr>
        <w:tc>
          <w:tcPr>
            <w:tcW w:w="1994" w:type="dxa"/>
          </w:tcPr>
          <w:p w14:paraId="41B89BA5" w14:textId="77777777" w:rsidR="0067338B" w:rsidRPr="00C64727" w:rsidRDefault="003A348D">
            <w:pPr>
              <w:jc w:val="center"/>
              <w:rPr>
                <w:rFonts w:ascii="Times New Roman" w:hAnsi="Times New Roman"/>
                <w:b/>
              </w:rPr>
            </w:pPr>
            <w:r w:rsidRPr="00C64727">
              <w:rPr>
                <w:rFonts w:ascii="Times New Roman" w:hAnsi="Times New Roman"/>
                <w:b/>
              </w:rPr>
              <w:br/>
              <w:t>Év</w:t>
            </w:r>
          </w:p>
          <w:p w14:paraId="6237D8E3" w14:textId="77777777" w:rsidR="0067338B" w:rsidRPr="00C64727" w:rsidRDefault="0067338B">
            <w:pPr>
              <w:jc w:val="center"/>
              <w:rPr>
                <w:rFonts w:ascii="Times New Roman" w:hAnsi="Times New Roman"/>
                <w:b/>
              </w:rPr>
            </w:pPr>
          </w:p>
        </w:tc>
        <w:tc>
          <w:tcPr>
            <w:tcW w:w="3207" w:type="dxa"/>
          </w:tcPr>
          <w:p w14:paraId="13887567" w14:textId="77777777" w:rsidR="0067338B" w:rsidRPr="00C64727" w:rsidRDefault="003A348D">
            <w:pPr>
              <w:jc w:val="center"/>
              <w:rPr>
                <w:rFonts w:ascii="Times New Roman" w:hAnsi="Times New Roman"/>
                <w:b/>
              </w:rPr>
            </w:pPr>
            <w:r w:rsidRPr="00C64727">
              <w:rPr>
                <w:rFonts w:ascii="Times New Roman" w:hAnsi="Times New Roman"/>
                <w:b/>
              </w:rPr>
              <w:br/>
              <w:t>Éves összkvóta (létesítmények)</w:t>
            </w:r>
          </w:p>
        </w:tc>
        <w:tc>
          <w:tcPr>
            <w:tcW w:w="3810" w:type="dxa"/>
          </w:tcPr>
          <w:p w14:paraId="750CAA56" w14:textId="77777777" w:rsidR="0067338B" w:rsidRPr="00C64727" w:rsidRDefault="0067338B">
            <w:pPr>
              <w:jc w:val="center"/>
              <w:rPr>
                <w:rFonts w:ascii="Times New Roman" w:hAnsi="Times New Roman"/>
                <w:b/>
              </w:rPr>
            </w:pPr>
          </w:p>
          <w:p w14:paraId="01EF8EBF" w14:textId="77777777" w:rsidR="0067338B" w:rsidRPr="00C64727" w:rsidRDefault="003A348D">
            <w:pPr>
              <w:jc w:val="center"/>
              <w:rPr>
                <w:rFonts w:ascii="Times New Roman" w:hAnsi="Times New Roman"/>
                <w:b/>
              </w:rPr>
            </w:pPr>
            <w:r w:rsidRPr="00C64727">
              <w:rPr>
                <w:rFonts w:ascii="Times New Roman" w:hAnsi="Times New Roman"/>
                <w:b/>
              </w:rPr>
              <w:t>Évente forgalomba kerülő légiközlekedési kibocsátási egységek</w:t>
            </w:r>
            <w:r w:rsidRPr="00C64727">
              <w:rPr>
                <w:rStyle w:val="FootnoteReference"/>
                <w:rFonts w:ascii="Times New Roman" w:hAnsi="Times New Roman"/>
                <w:b/>
              </w:rPr>
              <w:footnoteReference w:id="16"/>
            </w:r>
          </w:p>
        </w:tc>
      </w:tr>
      <w:tr w:rsidR="0067338B" w:rsidRPr="00C64727" w14:paraId="0CFB8858" w14:textId="77777777">
        <w:trPr>
          <w:trHeight w:val="546"/>
          <w:jc w:val="center"/>
        </w:trPr>
        <w:tc>
          <w:tcPr>
            <w:tcW w:w="1994" w:type="dxa"/>
          </w:tcPr>
          <w:p w14:paraId="6CD94883" w14:textId="77777777" w:rsidR="0067338B" w:rsidRPr="00C64727" w:rsidRDefault="003A348D">
            <w:pPr>
              <w:jc w:val="center"/>
              <w:rPr>
                <w:rFonts w:ascii="Times New Roman" w:hAnsi="Times New Roman"/>
              </w:rPr>
            </w:pPr>
            <w:r w:rsidRPr="00C64727">
              <w:rPr>
                <w:rFonts w:ascii="Times New Roman" w:hAnsi="Times New Roman"/>
              </w:rPr>
              <w:br/>
              <w:t>2013</w:t>
            </w:r>
          </w:p>
          <w:p w14:paraId="66BFB064" w14:textId="77777777" w:rsidR="0067338B" w:rsidRPr="00C64727" w:rsidRDefault="0067338B">
            <w:pPr>
              <w:jc w:val="center"/>
              <w:rPr>
                <w:rFonts w:ascii="Times New Roman" w:hAnsi="Times New Roman"/>
              </w:rPr>
            </w:pPr>
          </w:p>
        </w:tc>
        <w:tc>
          <w:tcPr>
            <w:tcW w:w="3207" w:type="dxa"/>
          </w:tcPr>
          <w:p w14:paraId="62DECE42" w14:textId="77777777" w:rsidR="0067338B" w:rsidRPr="00C64727" w:rsidRDefault="003A348D">
            <w:pPr>
              <w:jc w:val="center"/>
              <w:rPr>
                <w:rFonts w:ascii="Times New Roman" w:hAnsi="Times New Roman"/>
              </w:rPr>
            </w:pPr>
            <w:r w:rsidRPr="00C64727">
              <w:rPr>
                <w:rFonts w:ascii="Times New Roman" w:hAnsi="Times New Roman"/>
              </w:rPr>
              <w:br/>
              <w:t>2 084 301 856</w:t>
            </w:r>
          </w:p>
        </w:tc>
        <w:tc>
          <w:tcPr>
            <w:tcW w:w="3810" w:type="dxa"/>
          </w:tcPr>
          <w:p w14:paraId="189BA354" w14:textId="77777777" w:rsidR="0067338B" w:rsidRPr="00C64727" w:rsidRDefault="0067338B">
            <w:pPr>
              <w:jc w:val="center"/>
              <w:rPr>
                <w:rFonts w:ascii="Times New Roman" w:hAnsi="Times New Roman"/>
              </w:rPr>
            </w:pPr>
          </w:p>
          <w:p w14:paraId="25D58FD4" w14:textId="77777777" w:rsidR="0067338B" w:rsidRPr="00C64727" w:rsidRDefault="003A348D">
            <w:pPr>
              <w:jc w:val="center"/>
              <w:rPr>
                <w:rFonts w:ascii="Times New Roman" w:hAnsi="Times New Roman"/>
              </w:rPr>
            </w:pPr>
            <w:r w:rsidRPr="00C64727">
              <w:rPr>
                <w:rFonts w:ascii="Times New Roman" w:hAnsi="Times New Roman"/>
              </w:rPr>
              <w:t>32 455 296</w:t>
            </w:r>
          </w:p>
        </w:tc>
      </w:tr>
      <w:tr w:rsidR="0067338B" w:rsidRPr="00C64727" w14:paraId="1261E305" w14:textId="77777777">
        <w:trPr>
          <w:trHeight w:val="534"/>
          <w:jc w:val="center"/>
        </w:trPr>
        <w:tc>
          <w:tcPr>
            <w:tcW w:w="1994" w:type="dxa"/>
          </w:tcPr>
          <w:p w14:paraId="28AA40A8" w14:textId="77777777" w:rsidR="0067338B" w:rsidRPr="00C64727" w:rsidRDefault="003A348D">
            <w:pPr>
              <w:jc w:val="center"/>
              <w:rPr>
                <w:rFonts w:ascii="Times New Roman" w:hAnsi="Times New Roman"/>
              </w:rPr>
            </w:pPr>
            <w:r w:rsidRPr="00C64727">
              <w:rPr>
                <w:rFonts w:ascii="Times New Roman" w:hAnsi="Times New Roman"/>
              </w:rPr>
              <w:br/>
              <w:t>2014</w:t>
            </w:r>
          </w:p>
          <w:p w14:paraId="267F38B6" w14:textId="77777777" w:rsidR="0067338B" w:rsidRPr="00C64727" w:rsidRDefault="0067338B">
            <w:pPr>
              <w:jc w:val="center"/>
              <w:rPr>
                <w:rFonts w:ascii="Times New Roman" w:hAnsi="Times New Roman"/>
              </w:rPr>
            </w:pPr>
          </w:p>
        </w:tc>
        <w:tc>
          <w:tcPr>
            <w:tcW w:w="3207" w:type="dxa"/>
          </w:tcPr>
          <w:p w14:paraId="79AF631F" w14:textId="77777777" w:rsidR="0067338B" w:rsidRPr="00C64727" w:rsidRDefault="003A348D">
            <w:pPr>
              <w:jc w:val="center"/>
              <w:rPr>
                <w:rFonts w:ascii="Times New Roman" w:hAnsi="Times New Roman"/>
              </w:rPr>
            </w:pPr>
            <w:r w:rsidRPr="00C64727">
              <w:rPr>
                <w:rFonts w:ascii="Times New Roman" w:hAnsi="Times New Roman"/>
              </w:rPr>
              <w:br/>
              <w:t>2 046 037 610</w:t>
            </w:r>
          </w:p>
        </w:tc>
        <w:tc>
          <w:tcPr>
            <w:tcW w:w="3810" w:type="dxa"/>
          </w:tcPr>
          <w:p w14:paraId="587AA7A1" w14:textId="77777777" w:rsidR="0067338B" w:rsidRPr="00C64727" w:rsidRDefault="0067338B">
            <w:pPr>
              <w:jc w:val="center"/>
              <w:rPr>
                <w:rFonts w:ascii="Times New Roman" w:hAnsi="Times New Roman"/>
              </w:rPr>
            </w:pPr>
          </w:p>
          <w:p w14:paraId="747D9FA1" w14:textId="77777777" w:rsidR="0067338B" w:rsidRPr="00C64727" w:rsidRDefault="003A348D">
            <w:pPr>
              <w:jc w:val="center"/>
              <w:rPr>
                <w:rFonts w:ascii="Times New Roman" w:hAnsi="Times New Roman"/>
              </w:rPr>
            </w:pPr>
            <w:r w:rsidRPr="00C64727">
              <w:rPr>
                <w:rFonts w:ascii="Times New Roman" w:hAnsi="Times New Roman"/>
              </w:rPr>
              <w:t>41 866 834</w:t>
            </w:r>
          </w:p>
        </w:tc>
      </w:tr>
      <w:tr w:rsidR="0067338B" w:rsidRPr="00C64727" w14:paraId="02AF42D9" w14:textId="77777777">
        <w:trPr>
          <w:trHeight w:val="522"/>
          <w:jc w:val="center"/>
        </w:trPr>
        <w:tc>
          <w:tcPr>
            <w:tcW w:w="1994" w:type="dxa"/>
          </w:tcPr>
          <w:p w14:paraId="504EF049" w14:textId="77777777" w:rsidR="0067338B" w:rsidRPr="00C64727" w:rsidRDefault="003A348D">
            <w:pPr>
              <w:jc w:val="center"/>
              <w:rPr>
                <w:rFonts w:ascii="Times New Roman" w:hAnsi="Times New Roman"/>
              </w:rPr>
            </w:pPr>
            <w:r w:rsidRPr="00C64727">
              <w:rPr>
                <w:rFonts w:ascii="Times New Roman" w:hAnsi="Times New Roman"/>
              </w:rPr>
              <w:br/>
              <w:t>2015</w:t>
            </w:r>
          </w:p>
          <w:p w14:paraId="7F650691" w14:textId="77777777" w:rsidR="0067338B" w:rsidRPr="00C64727" w:rsidRDefault="0067338B">
            <w:pPr>
              <w:jc w:val="center"/>
              <w:rPr>
                <w:rFonts w:ascii="Times New Roman" w:hAnsi="Times New Roman"/>
              </w:rPr>
            </w:pPr>
          </w:p>
        </w:tc>
        <w:tc>
          <w:tcPr>
            <w:tcW w:w="3207" w:type="dxa"/>
          </w:tcPr>
          <w:p w14:paraId="61B9F803" w14:textId="77777777" w:rsidR="0067338B" w:rsidRPr="00C64727" w:rsidRDefault="003A348D">
            <w:pPr>
              <w:jc w:val="center"/>
              <w:rPr>
                <w:rFonts w:ascii="Times New Roman" w:hAnsi="Times New Roman"/>
              </w:rPr>
            </w:pPr>
            <w:r w:rsidRPr="00C64727">
              <w:rPr>
                <w:rFonts w:ascii="Times New Roman" w:hAnsi="Times New Roman"/>
              </w:rPr>
              <w:br/>
              <w:t>2 007 773 364</w:t>
            </w:r>
          </w:p>
        </w:tc>
        <w:tc>
          <w:tcPr>
            <w:tcW w:w="3810" w:type="dxa"/>
          </w:tcPr>
          <w:p w14:paraId="366C775D" w14:textId="77777777" w:rsidR="0067338B" w:rsidRPr="00C64727" w:rsidRDefault="0067338B">
            <w:pPr>
              <w:jc w:val="center"/>
              <w:rPr>
                <w:rFonts w:ascii="Times New Roman" w:hAnsi="Times New Roman"/>
              </w:rPr>
            </w:pPr>
          </w:p>
          <w:p w14:paraId="7A2BF051" w14:textId="77777777" w:rsidR="0067338B" w:rsidRPr="00C64727" w:rsidRDefault="003A348D">
            <w:pPr>
              <w:jc w:val="center"/>
              <w:rPr>
                <w:rFonts w:ascii="Times New Roman" w:hAnsi="Times New Roman"/>
              </w:rPr>
            </w:pPr>
            <w:r w:rsidRPr="00C64727">
              <w:rPr>
                <w:rFonts w:ascii="Times New Roman" w:hAnsi="Times New Roman"/>
              </w:rPr>
              <w:t>50 669 024</w:t>
            </w:r>
          </w:p>
        </w:tc>
      </w:tr>
      <w:tr w:rsidR="0067338B" w:rsidRPr="00C64727" w14:paraId="2C4C51AD" w14:textId="77777777">
        <w:trPr>
          <w:trHeight w:val="510"/>
          <w:jc w:val="center"/>
        </w:trPr>
        <w:tc>
          <w:tcPr>
            <w:tcW w:w="1994" w:type="dxa"/>
          </w:tcPr>
          <w:p w14:paraId="18A43635" w14:textId="77777777" w:rsidR="0067338B" w:rsidRPr="00C64727" w:rsidRDefault="003A348D">
            <w:pPr>
              <w:jc w:val="center"/>
              <w:rPr>
                <w:rFonts w:ascii="Times New Roman" w:hAnsi="Times New Roman"/>
              </w:rPr>
            </w:pPr>
            <w:r w:rsidRPr="00C64727">
              <w:rPr>
                <w:rFonts w:ascii="Times New Roman" w:hAnsi="Times New Roman"/>
              </w:rPr>
              <w:br/>
              <w:t>2016</w:t>
            </w:r>
          </w:p>
          <w:p w14:paraId="6EC04BA5" w14:textId="77777777" w:rsidR="0067338B" w:rsidRPr="00C64727" w:rsidRDefault="0067338B">
            <w:pPr>
              <w:jc w:val="center"/>
              <w:rPr>
                <w:rFonts w:ascii="Times New Roman" w:hAnsi="Times New Roman"/>
              </w:rPr>
            </w:pPr>
          </w:p>
        </w:tc>
        <w:tc>
          <w:tcPr>
            <w:tcW w:w="3207" w:type="dxa"/>
          </w:tcPr>
          <w:p w14:paraId="6222F938" w14:textId="77777777" w:rsidR="0067338B" w:rsidRPr="00C64727" w:rsidRDefault="003A348D">
            <w:pPr>
              <w:jc w:val="center"/>
              <w:rPr>
                <w:rFonts w:ascii="Times New Roman" w:hAnsi="Times New Roman"/>
              </w:rPr>
            </w:pPr>
            <w:r w:rsidRPr="00C64727">
              <w:rPr>
                <w:rFonts w:ascii="Times New Roman" w:hAnsi="Times New Roman"/>
              </w:rPr>
              <w:br/>
              <w:t>1 969 509 118</w:t>
            </w:r>
          </w:p>
        </w:tc>
        <w:tc>
          <w:tcPr>
            <w:tcW w:w="3810" w:type="dxa"/>
          </w:tcPr>
          <w:p w14:paraId="72BFB1FB" w14:textId="77777777" w:rsidR="0067338B" w:rsidRPr="00C64727" w:rsidRDefault="0067338B">
            <w:pPr>
              <w:jc w:val="center"/>
              <w:rPr>
                <w:rFonts w:ascii="Times New Roman" w:hAnsi="Times New Roman"/>
              </w:rPr>
            </w:pPr>
          </w:p>
          <w:p w14:paraId="3F1BE5D1" w14:textId="77777777" w:rsidR="0067338B" w:rsidRPr="00C64727" w:rsidRDefault="003A348D">
            <w:pPr>
              <w:jc w:val="center"/>
              <w:rPr>
                <w:rFonts w:ascii="Times New Roman" w:hAnsi="Times New Roman"/>
              </w:rPr>
            </w:pPr>
            <w:r w:rsidRPr="00C64727">
              <w:rPr>
                <w:rFonts w:ascii="Times New Roman" w:hAnsi="Times New Roman"/>
              </w:rPr>
              <w:t>38 879 316</w:t>
            </w:r>
          </w:p>
        </w:tc>
      </w:tr>
      <w:tr w:rsidR="0067338B" w:rsidRPr="00C64727" w14:paraId="447C4087" w14:textId="77777777">
        <w:trPr>
          <w:trHeight w:val="603"/>
          <w:jc w:val="center"/>
        </w:trPr>
        <w:tc>
          <w:tcPr>
            <w:tcW w:w="1994" w:type="dxa"/>
          </w:tcPr>
          <w:p w14:paraId="06E63005" w14:textId="77777777" w:rsidR="0067338B" w:rsidRPr="00C64727" w:rsidRDefault="003A348D">
            <w:pPr>
              <w:jc w:val="center"/>
              <w:rPr>
                <w:rFonts w:ascii="Times New Roman" w:hAnsi="Times New Roman"/>
              </w:rPr>
            </w:pPr>
            <w:r w:rsidRPr="00C64727">
              <w:rPr>
                <w:rFonts w:ascii="Times New Roman" w:hAnsi="Times New Roman"/>
              </w:rPr>
              <w:br/>
              <w:t>2017</w:t>
            </w:r>
          </w:p>
          <w:p w14:paraId="47CCDEF2" w14:textId="77777777" w:rsidR="0067338B" w:rsidRPr="00C64727" w:rsidRDefault="0067338B">
            <w:pPr>
              <w:jc w:val="center"/>
              <w:rPr>
                <w:rFonts w:ascii="Times New Roman" w:hAnsi="Times New Roman"/>
              </w:rPr>
            </w:pPr>
          </w:p>
        </w:tc>
        <w:tc>
          <w:tcPr>
            <w:tcW w:w="3207" w:type="dxa"/>
          </w:tcPr>
          <w:p w14:paraId="1991CD6C" w14:textId="77777777" w:rsidR="0067338B" w:rsidRPr="00C64727" w:rsidRDefault="003A348D">
            <w:pPr>
              <w:jc w:val="center"/>
              <w:rPr>
                <w:rFonts w:ascii="Times New Roman" w:hAnsi="Times New Roman"/>
              </w:rPr>
            </w:pPr>
            <w:r w:rsidRPr="00C64727">
              <w:rPr>
                <w:rFonts w:ascii="Times New Roman" w:hAnsi="Times New Roman"/>
              </w:rPr>
              <w:br/>
              <w:t>1 931 244 873</w:t>
            </w:r>
          </w:p>
        </w:tc>
        <w:tc>
          <w:tcPr>
            <w:tcW w:w="3810" w:type="dxa"/>
          </w:tcPr>
          <w:p w14:paraId="0982641B" w14:textId="77777777" w:rsidR="0067338B" w:rsidRPr="00C64727" w:rsidRDefault="0067338B">
            <w:pPr>
              <w:jc w:val="center"/>
              <w:rPr>
                <w:rFonts w:ascii="Times New Roman" w:hAnsi="Times New Roman"/>
              </w:rPr>
            </w:pPr>
          </w:p>
          <w:p w14:paraId="6A47184D" w14:textId="77777777" w:rsidR="0067338B" w:rsidRPr="00C64727" w:rsidRDefault="003A348D">
            <w:pPr>
              <w:jc w:val="center"/>
              <w:rPr>
                <w:rFonts w:ascii="Times New Roman" w:hAnsi="Times New Roman"/>
              </w:rPr>
            </w:pPr>
            <w:r w:rsidRPr="00C64727">
              <w:rPr>
                <w:rFonts w:ascii="Times New Roman" w:hAnsi="Times New Roman"/>
              </w:rPr>
              <w:t>38 711 651</w:t>
            </w:r>
          </w:p>
        </w:tc>
      </w:tr>
      <w:tr w:rsidR="0067338B" w:rsidRPr="00C64727" w14:paraId="7E9EDB71" w14:textId="77777777">
        <w:trPr>
          <w:trHeight w:val="603"/>
          <w:jc w:val="center"/>
        </w:trPr>
        <w:tc>
          <w:tcPr>
            <w:tcW w:w="1994" w:type="dxa"/>
          </w:tcPr>
          <w:p w14:paraId="6DC44CDD" w14:textId="77777777" w:rsidR="0067338B" w:rsidRPr="00C64727" w:rsidRDefault="003A348D">
            <w:pPr>
              <w:jc w:val="center"/>
              <w:rPr>
                <w:rFonts w:ascii="Times New Roman" w:hAnsi="Times New Roman"/>
              </w:rPr>
            </w:pPr>
            <w:r w:rsidRPr="00C64727">
              <w:rPr>
                <w:rFonts w:ascii="Times New Roman" w:hAnsi="Times New Roman"/>
              </w:rPr>
              <w:br/>
              <w:t>2018</w:t>
            </w:r>
          </w:p>
          <w:p w14:paraId="1EC5A19D" w14:textId="77777777" w:rsidR="0067338B" w:rsidRPr="00C64727" w:rsidRDefault="0067338B">
            <w:pPr>
              <w:jc w:val="center"/>
              <w:rPr>
                <w:rFonts w:ascii="Times New Roman" w:hAnsi="Times New Roman"/>
              </w:rPr>
            </w:pPr>
          </w:p>
        </w:tc>
        <w:tc>
          <w:tcPr>
            <w:tcW w:w="3207" w:type="dxa"/>
          </w:tcPr>
          <w:p w14:paraId="1ED5CA18" w14:textId="77777777" w:rsidR="0067338B" w:rsidRPr="00C64727" w:rsidRDefault="003A348D">
            <w:pPr>
              <w:jc w:val="center"/>
              <w:rPr>
                <w:rFonts w:ascii="Times New Roman" w:hAnsi="Times New Roman"/>
              </w:rPr>
            </w:pPr>
            <w:r w:rsidRPr="00C64727">
              <w:rPr>
                <w:rFonts w:ascii="Times New Roman" w:hAnsi="Times New Roman"/>
              </w:rPr>
              <w:br/>
              <w:t>1 892 980 627</w:t>
            </w:r>
          </w:p>
        </w:tc>
        <w:tc>
          <w:tcPr>
            <w:tcW w:w="3810" w:type="dxa"/>
          </w:tcPr>
          <w:p w14:paraId="0AB6CE31" w14:textId="77777777" w:rsidR="0067338B" w:rsidRPr="00C64727" w:rsidRDefault="0067338B">
            <w:pPr>
              <w:jc w:val="center"/>
              <w:rPr>
                <w:rFonts w:ascii="Times New Roman" w:hAnsi="Times New Roman"/>
              </w:rPr>
            </w:pPr>
          </w:p>
          <w:p w14:paraId="2210EE9E" w14:textId="77777777" w:rsidR="0067338B" w:rsidRPr="00C64727" w:rsidRDefault="0071246D">
            <w:pPr>
              <w:jc w:val="center"/>
              <w:rPr>
                <w:rFonts w:ascii="Times New Roman" w:hAnsi="Times New Roman"/>
              </w:rPr>
            </w:pPr>
            <w:r w:rsidRPr="00C64727">
              <w:rPr>
                <w:rFonts w:ascii="Times New Roman" w:hAnsi="Times New Roman"/>
              </w:rPr>
              <w:t>38 909 625</w:t>
            </w:r>
          </w:p>
        </w:tc>
      </w:tr>
      <w:tr w:rsidR="0067338B" w:rsidRPr="00C64727" w14:paraId="716B78B1" w14:textId="77777777">
        <w:trPr>
          <w:trHeight w:val="603"/>
          <w:jc w:val="center"/>
        </w:trPr>
        <w:tc>
          <w:tcPr>
            <w:tcW w:w="1994" w:type="dxa"/>
          </w:tcPr>
          <w:p w14:paraId="2F557929" w14:textId="77777777" w:rsidR="0067338B" w:rsidRPr="00C64727" w:rsidRDefault="003A348D">
            <w:pPr>
              <w:jc w:val="center"/>
              <w:rPr>
                <w:rFonts w:ascii="Times New Roman" w:hAnsi="Times New Roman"/>
              </w:rPr>
            </w:pPr>
            <w:r w:rsidRPr="00C64727">
              <w:rPr>
                <w:rFonts w:ascii="Times New Roman" w:hAnsi="Times New Roman"/>
              </w:rPr>
              <w:br/>
              <w:t>2019</w:t>
            </w:r>
          </w:p>
          <w:p w14:paraId="7D15DE27" w14:textId="77777777" w:rsidR="0067338B" w:rsidRPr="00C64727" w:rsidRDefault="0067338B">
            <w:pPr>
              <w:jc w:val="center"/>
              <w:rPr>
                <w:rFonts w:ascii="Times New Roman" w:hAnsi="Times New Roman"/>
              </w:rPr>
            </w:pPr>
          </w:p>
        </w:tc>
        <w:tc>
          <w:tcPr>
            <w:tcW w:w="3207" w:type="dxa"/>
          </w:tcPr>
          <w:p w14:paraId="4AF86A37" w14:textId="77777777" w:rsidR="0067338B" w:rsidRPr="00C64727" w:rsidRDefault="003A348D">
            <w:pPr>
              <w:jc w:val="center"/>
              <w:rPr>
                <w:rFonts w:ascii="Times New Roman" w:hAnsi="Times New Roman"/>
              </w:rPr>
            </w:pPr>
            <w:r w:rsidRPr="00C64727">
              <w:rPr>
                <w:rFonts w:ascii="Times New Roman" w:hAnsi="Times New Roman"/>
              </w:rPr>
              <w:br/>
              <w:t>1 854 716 381</w:t>
            </w:r>
          </w:p>
        </w:tc>
        <w:tc>
          <w:tcPr>
            <w:tcW w:w="3810" w:type="dxa"/>
          </w:tcPr>
          <w:p w14:paraId="370F971F" w14:textId="77777777" w:rsidR="0067338B" w:rsidRPr="00C64727" w:rsidRDefault="0067338B">
            <w:pPr>
              <w:jc w:val="center"/>
              <w:rPr>
                <w:rFonts w:ascii="Times New Roman" w:hAnsi="Times New Roman"/>
              </w:rPr>
            </w:pPr>
          </w:p>
          <w:p w14:paraId="6C25639D" w14:textId="77777777" w:rsidR="0067338B" w:rsidRPr="00C64727" w:rsidRDefault="0071246D">
            <w:pPr>
              <w:jc w:val="center"/>
              <w:rPr>
                <w:rFonts w:ascii="Times New Roman" w:hAnsi="Times New Roman"/>
              </w:rPr>
            </w:pPr>
            <w:r w:rsidRPr="00C64727">
              <w:rPr>
                <w:rFonts w:ascii="Times New Roman" w:hAnsi="Times New Roman"/>
              </w:rPr>
              <w:t>35 172 897</w:t>
            </w:r>
            <w:r w:rsidRPr="00C64727">
              <w:rPr>
                <w:rStyle w:val="FootnoteReference"/>
                <w:rFonts w:ascii="Times New Roman" w:hAnsi="Times New Roman"/>
              </w:rPr>
              <w:footnoteReference w:id="17"/>
            </w:r>
          </w:p>
        </w:tc>
      </w:tr>
      <w:tr w:rsidR="0067338B" w:rsidRPr="00C64727" w14:paraId="029C7B0D" w14:textId="77777777">
        <w:trPr>
          <w:trHeight w:val="510"/>
          <w:jc w:val="center"/>
        </w:trPr>
        <w:tc>
          <w:tcPr>
            <w:tcW w:w="1994" w:type="dxa"/>
          </w:tcPr>
          <w:p w14:paraId="4302057A" w14:textId="77777777" w:rsidR="0067338B" w:rsidRPr="00C64727" w:rsidRDefault="003A348D">
            <w:pPr>
              <w:jc w:val="center"/>
              <w:rPr>
                <w:rFonts w:ascii="Times New Roman" w:hAnsi="Times New Roman"/>
              </w:rPr>
            </w:pPr>
            <w:r w:rsidRPr="00C64727">
              <w:rPr>
                <w:rFonts w:ascii="Times New Roman" w:hAnsi="Times New Roman"/>
              </w:rPr>
              <w:br/>
              <w:t>2020</w:t>
            </w:r>
          </w:p>
          <w:p w14:paraId="3F98F7CE" w14:textId="77777777" w:rsidR="0067338B" w:rsidRPr="00C64727" w:rsidRDefault="0067338B">
            <w:pPr>
              <w:jc w:val="center"/>
              <w:rPr>
                <w:rFonts w:ascii="Times New Roman" w:hAnsi="Times New Roman"/>
              </w:rPr>
            </w:pPr>
          </w:p>
        </w:tc>
        <w:tc>
          <w:tcPr>
            <w:tcW w:w="3207" w:type="dxa"/>
          </w:tcPr>
          <w:p w14:paraId="6A67758C" w14:textId="77777777" w:rsidR="0067338B" w:rsidRPr="00C64727" w:rsidRDefault="003A348D">
            <w:pPr>
              <w:jc w:val="center"/>
              <w:rPr>
                <w:rFonts w:ascii="Times New Roman" w:hAnsi="Times New Roman"/>
              </w:rPr>
            </w:pPr>
            <w:r w:rsidRPr="00C64727">
              <w:rPr>
                <w:rFonts w:ascii="Times New Roman" w:hAnsi="Times New Roman"/>
              </w:rPr>
              <w:br/>
              <w:t>1 816 452 135</w:t>
            </w:r>
          </w:p>
        </w:tc>
        <w:tc>
          <w:tcPr>
            <w:tcW w:w="3810" w:type="dxa"/>
          </w:tcPr>
          <w:p w14:paraId="1E15624A" w14:textId="77777777" w:rsidR="0067338B" w:rsidRPr="00C64727" w:rsidRDefault="0067338B">
            <w:pPr>
              <w:jc w:val="center"/>
              <w:rPr>
                <w:rFonts w:ascii="Times New Roman" w:hAnsi="Times New Roman"/>
              </w:rPr>
            </w:pPr>
          </w:p>
          <w:p w14:paraId="35686FF9" w14:textId="77777777" w:rsidR="0067338B" w:rsidRPr="00C64727" w:rsidRDefault="0067338B">
            <w:pPr>
              <w:jc w:val="center"/>
              <w:rPr>
                <w:rFonts w:ascii="Times New Roman" w:hAnsi="Times New Roman"/>
              </w:rPr>
            </w:pPr>
          </w:p>
        </w:tc>
      </w:tr>
    </w:tbl>
    <w:p w14:paraId="48296229" w14:textId="77777777" w:rsidR="0067338B" w:rsidRPr="00C64727" w:rsidRDefault="00A52F4C">
      <w:pPr>
        <w:pStyle w:val="Heading3"/>
        <w:spacing w:before="0" w:after="200"/>
        <w:ind w:left="720"/>
        <w:rPr>
          <w:szCs w:val="24"/>
        </w:rPr>
      </w:pPr>
      <w:bookmarkStart w:id="10" w:name="_Toc24093087"/>
      <w:r w:rsidRPr="00C64727">
        <w:rPr>
          <w:szCs w:val="24"/>
        </w:rPr>
        <w:t>3.1.2. Kiadott kibocsátási egységek</w:t>
      </w:r>
      <w:bookmarkEnd w:id="10"/>
    </w:p>
    <w:p w14:paraId="76A7A0D3" w14:textId="77777777" w:rsidR="0067338B" w:rsidRPr="00C64727" w:rsidRDefault="00A52F4C">
      <w:pPr>
        <w:pStyle w:val="Heading4"/>
        <w:spacing w:before="0" w:after="200"/>
        <w:ind w:left="1080"/>
        <w:rPr>
          <w:szCs w:val="24"/>
        </w:rPr>
      </w:pPr>
      <w:bookmarkStart w:id="11" w:name="_Toc24093088"/>
      <w:r w:rsidRPr="00C64727">
        <w:rPr>
          <w:szCs w:val="24"/>
        </w:rPr>
        <w:t>3.1.2.1. Térítésmentes kiosztás</w:t>
      </w:r>
      <w:bookmarkEnd w:id="11"/>
      <w:r w:rsidRPr="00C64727">
        <w:rPr>
          <w:szCs w:val="24"/>
        </w:rPr>
        <w:t xml:space="preserve"> </w:t>
      </w:r>
    </w:p>
    <w:p w14:paraId="17D1BF02" w14:textId="77777777" w:rsidR="0067338B" w:rsidRPr="00C64727" w:rsidRDefault="003A348D">
      <w:pPr>
        <w:jc w:val="both"/>
        <w:rPr>
          <w:rFonts w:ascii="Times New Roman" w:hAnsi="Times New Roman"/>
          <w:sz w:val="24"/>
          <w:szCs w:val="24"/>
        </w:rPr>
      </w:pPr>
      <w:r w:rsidRPr="00C64727">
        <w:rPr>
          <w:rFonts w:ascii="Times New Roman" w:hAnsi="Times New Roman"/>
          <w:noProof/>
          <w:sz w:val="24"/>
          <w:szCs w:val="24"/>
          <w:lang w:val="en-GB" w:eastAsia="en-GB"/>
        </w:rPr>
        <mc:AlternateContent>
          <mc:Choice Requires="wps">
            <w:drawing>
              <wp:inline distT="0" distB="0" distL="0" distR="0" wp14:anchorId="580257BA" wp14:editId="6A619052">
                <wp:extent cx="5749747" cy="4888088"/>
                <wp:effectExtent l="0" t="0" r="22860" b="27305"/>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747" cy="4888088"/>
                        </a:xfrm>
                        <a:prstGeom prst="rect">
                          <a:avLst/>
                        </a:prstGeom>
                        <a:solidFill>
                          <a:schemeClr val="bg1">
                            <a:lumMod val="85000"/>
                          </a:schemeClr>
                        </a:solidFill>
                        <a:ln w="12700">
                          <a:solidFill>
                            <a:srgbClr val="000000"/>
                          </a:solidFill>
                          <a:miter lim="800000"/>
                          <a:headEnd/>
                          <a:tailEnd/>
                        </a:ln>
                      </wps:spPr>
                      <wps:txbx>
                        <w:txbxContent>
                          <w:p w14:paraId="09080025" w14:textId="77777777" w:rsidR="0067338B" w:rsidRPr="00C64727" w:rsidRDefault="00516F65">
                            <w:pPr>
                              <w:jc w:val="both"/>
                              <w:rPr>
                                <w:rFonts w:ascii="Times New Roman" w:hAnsi="Times New Roman"/>
                                <w:sz w:val="24"/>
                                <w:szCs w:val="24"/>
                              </w:rPr>
                            </w:pPr>
                            <w:r w:rsidRPr="00C64727">
                              <w:rPr>
                                <w:rFonts w:ascii="Times New Roman" w:hAnsi="Times New Roman"/>
                                <w:sz w:val="24"/>
                                <w:szCs w:val="24"/>
                              </w:rPr>
                              <w:t>Noha az EU ETS 3. szakaszában az alapértelmezett kiosztási módszer az árverés, a kibocsátási egységek jelentős mennyiségét ingyenesen osztják ki. A következő elveket alkalmazzák:</w:t>
                            </w:r>
                          </w:p>
                          <w:p w14:paraId="12FA4896" w14:textId="77777777" w:rsidR="0067338B" w:rsidRPr="00C64727" w:rsidRDefault="00516F65">
                            <w:pPr>
                              <w:pStyle w:val="ListParagraph"/>
                              <w:numPr>
                                <w:ilvl w:val="0"/>
                                <w:numId w:val="10"/>
                              </w:numPr>
                              <w:spacing w:after="200" w:line="276" w:lineRule="auto"/>
                              <w:jc w:val="both"/>
                              <w:rPr>
                                <w:rFonts w:ascii="Times New Roman" w:hAnsi="Times New Roman"/>
                                <w:sz w:val="24"/>
                                <w:szCs w:val="24"/>
                              </w:rPr>
                            </w:pPr>
                            <w:r w:rsidRPr="00C64727">
                              <w:rPr>
                                <w:rFonts w:ascii="Times New Roman" w:hAnsi="Times New Roman"/>
                                <w:sz w:val="24"/>
                                <w:szCs w:val="24"/>
                              </w:rPr>
                              <w:t>a villamosenergia-termelés nem jut ingyenes kibocsátási egységekhez;</w:t>
                            </w:r>
                          </w:p>
                          <w:p w14:paraId="26BF5E5D" w14:textId="77777777" w:rsidR="0067338B" w:rsidRPr="00C64727" w:rsidRDefault="00516F65">
                            <w:pPr>
                              <w:pStyle w:val="ListParagraph"/>
                              <w:numPr>
                                <w:ilvl w:val="0"/>
                                <w:numId w:val="10"/>
                              </w:numPr>
                              <w:spacing w:after="200" w:line="276" w:lineRule="auto"/>
                              <w:jc w:val="both"/>
                              <w:rPr>
                                <w:rFonts w:ascii="Times New Roman" w:hAnsi="Times New Roman"/>
                                <w:sz w:val="24"/>
                                <w:szCs w:val="24"/>
                              </w:rPr>
                            </w:pPr>
                            <w:r w:rsidRPr="00C64727">
                              <w:rPr>
                                <w:rFonts w:ascii="Times New Roman" w:hAnsi="Times New Roman"/>
                                <w:sz w:val="24"/>
                                <w:szCs w:val="24"/>
                              </w:rPr>
                              <w:t>a feldolgozóipar számára biztosított ingyenes kibocsátási egységek kiosztása az egész Unióra érvényes harmonizált szabályok alapján történik;</w:t>
                            </w:r>
                          </w:p>
                          <w:p w14:paraId="1693CE49" w14:textId="77777777" w:rsidR="0067338B" w:rsidRPr="00C64727" w:rsidRDefault="00516F65">
                            <w:pPr>
                              <w:pStyle w:val="ListParagraph"/>
                              <w:numPr>
                                <w:ilvl w:val="0"/>
                                <w:numId w:val="10"/>
                              </w:numPr>
                              <w:spacing w:after="200" w:line="276" w:lineRule="auto"/>
                              <w:jc w:val="both"/>
                              <w:rPr>
                                <w:rFonts w:ascii="Times New Roman" w:hAnsi="Times New Roman"/>
                                <w:sz w:val="24"/>
                                <w:szCs w:val="24"/>
                              </w:rPr>
                            </w:pPr>
                            <w:r w:rsidRPr="00C64727">
                              <w:rPr>
                                <w:rFonts w:ascii="Times New Roman" w:hAnsi="Times New Roman"/>
                                <w:sz w:val="24"/>
                                <w:szCs w:val="24"/>
                              </w:rPr>
                              <w:t>az ingyenes kiosztás teljesítménymutatókon alapul, hogy jobban ösztönözze az üvegházhatású gázok kibocsátásának csökkentését és az innovációt, és jutalmazza a leghatékonyabb létesítményeket;</w:t>
                            </w:r>
                          </w:p>
                          <w:p w14:paraId="3F5D7859" w14:textId="77777777" w:rsidR="0067338B" w:rsidRPr="00C64727" w:rsidRDefault="00516F65">
                            <w:pPr>
                              <w:pStyle w:val="ListParagraph"/>
                              <w:numPr>
                                <w:ilvl w:val="0"/>
                                <w:numId w:val="10"/>
                              </w:numPr>
                              <w:spacing w:after="200" w:line="276" w:lineRule="auto"/>
                              <w:jc w:val="both"/>
                              <w:rPr>
                                <w:rFonts w:ascii="Times New Roman" w:hAnsi="Times New Roman"/>
                                <w:sz w:val="24"/>
                                <w:szCs w:val="24"/>
                              </w:rPr>
                            </w:pPr>
                            <w:r w:rsidRPr="00C64727">
                              <w:rPr>
                                <w:rFonts w:ascii="Times New Roman" w:hAnsi="Times New Roman"/>
                                <w:sz w:val="24"/>
                                <w:szCs w:val="24"/>
                              </w:rPr>
                              <w:t>uniós szinten létrehozták az új belépők részére fenntartott tartalékot (NER) az új ipari létesítmények és a kapacitásukat jelentősen növelő létesítmények számára, amely a 3. szakasz összes kibocsátási egységének 5 %-ával egyenértékű.</w:t>
                            </w:r>
                          </w:p>
                          <w:p w14:paraId="7FDEC026" w14:textId="77777777" w:rsidR="0067338B" w:rsidRPr="00C64727" w:rsidRDefault="00516F65">
                            <w:pPr>
                              <w:jc w:val="both"/>
                              <w:rPr>
                                <w:rFonts w:ascii="Times New Roman" w:hAnsi="Times New Roman"/>
                                <w:sz w:val="24"/>
                                <w:szCs w:val="24"/>
                              </w:rPr>
                            </w:pPr>
                            <w:r w:rsidRPr="00C64727">
                              <w:rPr>
                                <w:rFonts w:ascii="Times New Roman" w:hAnsi="Times New Roman"/>
                                <w:sz w:val="24"/>
                                <w:szCs w:val="24"/>
                              </w:rPr>
                              <w:t>Az ipari létesítmények a kibocsátásáthelyezés kockázatának kezelése céljából részesülnek ingyenes kiosztásban (azaz abban az esetben, ha a vállalatok olyan harmadik országba helyezik át termelésüket, amely az üvegházhatású gázok kibocsátása tekintetében lazább szabályokat ír elő, és ez a vállalatok összes kibocsátásának a növekedéséhez vezethet). Azok az ágazatok és alágazatok, amelyek a kibocsátásáthelyezés jelentős kockázatának kitettnek minősülnek, a kibocsátásáthelyezés kockázatának kitett ágazatok listájára* kerülnek. Jóllehet a lista eredetileg a 2015–2019-es időszakra vonatkozott, a felülvizsgált EU ETS irányelv 2020. december 31-ig meghosszabbította az érvényességét.</w:t>
                            </w:r>
                          </w:p>
                          <w:p w14:paraId="1F7E7F7F" w14:textId="77777777" w:rsidR="0067338B" w:rsidRDefault="00516F65">
                            <w:pPr>
                              <w:spacing w:line="240" w:lineRule="auto"/>
                              <w:rPr>
                                <w:rFonts w:ascii="Times New Roman" w:hAnsi="Times New Roman"/>
                                <w:sz w:val="18"/>
                                <w:szCs w:val="18"/>
                              </w:rPr>
                            </w:pPr>
                            <w:r>
                              <w:rPr>
                                <w:rFonts w:ascii="Times New Roman" w:hAnsi="Times New Roman"/>
                                <w:sz w:val="18"/>
                                <w:szCs w:val="18"/>
                              </w:rPr>
                              <w:t>* A kibocsátásáthelyezés kockázatának kitett ágazatok jelenlegi listája a következő címen érhető el: http://eur-lex.europa.eu/legal-content/HU/ALL/?uri=CELEX:32014D0746</w:t>
                            </w:r>
                          </w:p>
                        </w:txbxContent>
                      </wps:txbx>
                      <wps:bodyPr rot="0" vert="horz" wrap="square" lIns="91440" tIns="45720" rIns="91440" bIns="45720" anchor="t" anchorCtr="0">
                        <a:noAutofit/>
                      </wps:bodyPr>
                    </wps:wsp>
                  </a:graphicData>
                </a:graphic>
              </wp:inline>
            </w:drawing>
          </mc:Choice>
          <mc:Fallback>
            <w:pict>
              <v:shape w14:anchorId="580257BA" id="_x0000_s1030" type="#_x0000_t202" style="width:452.75pt;height:38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" fillcolor="#d8d8d8 [2732]" strokeweight="1pt">
                <v:textbox>
                  <w:txbxContent>
                    <w:p w14:paraId="09080025" w14:textId="77777777" w:rsidR="0067338B" w:rsidRPr="00C64727" w:rsidRDefault="00516F65">
                      <w:pPr>
                        <w:jc w:val="both"/>
                        <w:rPr>
                          <w:rFonts w:ascii="Times New Roman" w:hAnsi="Times New Roman"/>
                          <w:sz w:val="24"/>
                          <w:szCs w:val="24"/>
                        </w:rPr>
                      </w:pPr>
                      <w:r w:rsidRPr="00C64727">
                        <w:rPr>
                          <w:rFonts w:ascii="Times New Roman" w:hAnsi="Times New Roman"/>
                          <w:sz w:val="24"/>
                          <w:szCs w:val="24"/>
                        </w:rPr>
                        <w:t>Noha az EU ETS 3. szakaszában az alapértelmezett kiosztási módszer az árverés, a kibocsátási egységek jelentős mennyiségét ingyenesen osztják ki. A következő elveket alkalmazzák:</w:t>
                      </w:r>
                    </w:p>
                    <w:p w14:paraId="12FA4896" w14:textId="77777777" w:rsidR="0067338B" w:rsidRPr="00C64727" w:rsidRDefault="00516F65">
                      <w:pPr>
                        <w:pStyle w:val="ListParagraph"/>
                        <w:numPr>
                          <w:ilvl w:val="0"/>
                          <w:numId w:val="10"/>
                        </w:numPr>
                        <w:spacing w:after="200" w:line="276" w:lineRule="auto"/>
                        <w:jc w:val="both"/>
                        <w:rPr>
                          <w:rFonts w:ascii="Times New Roman" w:hAnsi="Times New Roman"/>
                          <w:sz w:val="24"/>
                          <w:szCs w:val="24"/>
                        </w:rPr>
                      </w:pPr>
                      <w:r w:rsidRPr="00C64727">
                        <w:rPr>
                          <w:rFonts w:ascii="Times New Roman" w:hAnsi="Times New Roman"/>
                          <w:sz w:val="24"/>
                          <w:szCs w:val="24"/>
                        </w:rPr>
                        <w:t>a villamosenergia-termelés nem jut ingyenes kibocsátási egységekhez;</w:t>
                      </w:r>
                    </w:p>
                    <w:p w14:paraId="26BF5E5D" w14:textId="77777777" w:rsidR="0067338B" w:rsidRPr="00C64727" w:rsidRDefault="00516F65">
                      <w:pPr>
                        <w:pStyle w:val="ListParagraph"/>
                        <w:numPr>
                          <w:ilvl w:val="0"/>
                          <w:numId w:val="10"/>
                        </w:numPr>
                        <w:spacing w:after="200" w:line="276" w:lineRule="auto"/>
                        <w:jc w:val="both"/>
                        <w:rPr>
                          <w:rFonts w:ascii="Times New Roman" w:hAnsi="Times New Roman"/>
                          <w:sz w:val="24"/>
                          <w:szCs w:val="24"/>
                        </w:rPr>
                      </w:pPr>
                      <w:r w:rsidRPr="00C64727">
                        <w:rPr>
                          <w:rFonts w:ascii="Times New Roman" w:hAnsi="Times New Roman"/>
                          <w:sz w:val="24"/>
                          <w:szCs w:val="24"/>
                        </w:rPr>
                        <w:t>a feldolgozóipar számára biztosított ingyenes kibocsátási egységek kiosztása az egész Unióra érvényes harmonizált szabályok alapján történik;</w:t>
                      </w:r>
                    </w:p>
                    <w:p w14:paraId="1693CE49" w14:textId="77777777" w:rsidR="0067338B" w:rsidRPr="00C64727" w:rsidRDefault="00516F65">
                      <w:pPr>
                        <w:pStyle w:val="ListParagraph"/>
                        <w:numPr>
                          <w:ilvl w:val="0"/>
                          <w:numId w:val="10"/>
                        </w:numPr>
                        <w:spacing w:after="200" w:line="276" w:lineRule="auto"/>
                        <w:jc w:val="both"/>
                        <w:rPr>
                          <w:rFonts w:ascii="Times New Roman" w:hAnsi="Times New Roman"/>
                          <w:sz w:val="24"/>
                          <w:szCs w:val="24"/>
                        </w:rPr>
                      </w:pPr>
                      <w:r w:rsidRPr="00C64727">
                        <w:rPr>
                          <w:rFonts w:ascii="Times New Roman" w:hAnsi="Times New Roman"/>
                          <w:sz w:val="24"/>
                          <w:szCs w:val="24"/>
                        </w:rPr>
                        <w:t>az ingyenes kiosztás teljesítménymutatókon alapul, hogy jobban ösztönözze az üvegházhatású gázok kibocsátásának csökkentését és az innovációt, és jutalmazza a leghatékonyabb létesítményeket;</w:t>
                      </w:r>
                    </w:p>
                    <w:p w14:paraId="3F5D7859" w14:textId="77777777" w:rsidR="0067338B" w:rsidRPr="00C64727" w:rsidRDefault="00516F65">
                      <w:pPr>
                        <w:pStyle w:val="ListParagraph"/>
                        <w:numPr>
                          <w:ilvl w:val="0"/>
                          <w:numId w:val="10"/>
                        </w:numPr>
                        <w:spacing w:after="200" w:line="276" w:lineRule="auto"/>
                        <w:jc w:val="both"/>
                        <w:rPr>
                          <w:rFonts w:ascii="Times New Roman" w:hAnsi="Times New Roman"/>
                          <w:sz w:val="24"/>
                          <w:szCs w:val="24"/>
                        </w:rPr>
                      </w:pPr>
                      <w:r w:rsidRPr="00C64727">
                        <w:rPr>
                          <w:rFonts w:ascii="Times New Roman" w:hAnsi="Times New Roman"/>
                          <w:sz w:val="24"/>
                          <w:szCs w:val="24"/>
                        </w:rPr>
                        <w:t>uniós szinten létrehozták az új belépők részére fenntartott tartalékot (NER) az új ipari létesítmények és a kapacitásukat jelentősen növelő létesítmények számára, amely a 3. szakasz összes kibocsátási egységének 5 %-ával egyenértékű.</w:t>
                      </w:r>
                    </w:p>
                    <w:p w14:paraId="7FDEC026" w14:textId="77777777" w:rsidR="0067338B" w:rsidRPr="00C64727" w:rsidRDefault="00516F65">
                      <w:pPr>
                        <w:jc w:val="both"/>
                        <w:rPr>
                          <w:rFonts w:ascii="Times New Roman" w:hAnsi="Times New Roman"/>
                          <w:sz w:val="24"/>
                          <w:szCs w:val="24"/>
                        </w:rPr>
                      </w:pPr>
                      <w:r w:rsidRPr="00C64727">
                        <w:rPr>
                          <w:rFonts w:ascii="Times New Roman" w:hAnsi="Times New Roman"/>
                          <w:sz w:val="24"/>
                          <w:szCs w:val="24"/>
                        </w:rPr>
                        <w:t>Az ipari létesítmények a kibocsátásáthelyezés kockázatának kezelése céljából részesülnek ingyenes kiosztásban (azaz abban az esetben, ha a vállalatok olyan harmadik országba helyezik át termelésüket, amely az üvegházhatású gázok kibocsátása tekintetében lazább szabályokat ír elő, és ez a vállalatok összes kibocsátásának a növekedéséhez vezethet). Azok az ágazatok és alágazatok, amelyek a kibocsátásáthelyezés jelentős kockázatának kitettnek minősülnek, a kibocsátásáthelyezés kockázatának kitett ágazatok listájára* kerülnek. Jóllehet a lista eredetileg a 2015–2019-es időszakra vonatkozott, a felülvizsgált EU ETS irányelv 2020. december 31-ig meghosszabbította az érvényességét.</w:t>
                      </w:r>
                    </w:p>
                    <w:p w14:paraId="1F7E7F7F" w14:textId="77777777" w:rsidR="0067338B" w:rsidRDefault="00516F65">
                      <w:pPr>
                        <w:spacing w:line="240" w:lineRule="auto"/>
                        <w:rPr>
                          <w:rFonts w:ascii="Times New Roman" w:hAnsi="Times New Roman"/>
                          <w:sz w:val="18"/>
                          <w:szCs w:val="18"/>
                        </w:rPr>
                      </w:pPr>
                      <w:r>
                        <w:rPr>
                          <w:rFonts w:ascii="Times New Roman" w:hAnsi="Times New Roman"/>
                          <w:sz w:val="18"/>
                          <w:szCs w:val="18"/>
                        </w:rPr>
                        <w:t>* A kibocsátásáthelyezés kockázatának kitett ágazatok jelenlegi listája a következő címen érhető el: http://eur-lex.europa.eu/legal-content/HU/ALL/?uri=CELEX:32014D0746</w:t>
                      </w:r>
                    </w:p>
                  </w:txbxContent>
                </v:textbox>
                <w10:anchorlock/>
              </v:shape>
            </w:pict>
          </mc:Fallback>
        </mc:AlternateContent>
      </w:r>
    </w:p>
    <w:p w14:paraId="6499690B" w14:textId="77777777" w:rsidR="0067338B" w:rsidRPr="00C64727" w:rsidRDefault="003A348D">
      <w:pPr>
        <w:pStyle w:val="NormalWeb"/>
        <w:spacing w:line="276" w:lineRule="auto"/>
        <w:jc w:val="both"/>
      </w:pPr>
      <w:r w:rsidRPr="00C64727">
        <w:t>A 3. szakasz során a rendelkezésre álló kibocsátási egységek teljes mennyiségének körülbelül 43 %-át ingyenesen fogják kiosztani, a kibocsátási egységek tagállamok által árverésre bocsátandó aránya pedig mintegy 57 %-ot tesz ki.</w:t>
      </w:r>
    </w:p>
    <w:p w14:paraId="6C5FC979" w14:textId="77777777" w:rsidR="0067338B" w:rsidRPr="00C64727" w:rsidRDefault="003A348D">
      <w:pPr>
        <w:pStyle w:val="NormalWeb"/>
        <w:spacing w:before="0" w:beforeAutospacing="0" w:after="300" w:afterAutospacing="0" w:line="276" w:lineRule="auto"/>
        <w:jc w:val="both"/>
      </w:pPr>
      <w:r w:rsidRPr="00C64727">
        <w:t>Az új belépők részére fenntartott tartalék eredetileg 480,2 millió kibocsátási egységet tartalmazott a NER 300 programra elkülönített 300 millió kibocsátási egység levonása után. 2019 júniusáig 167,9 millió kibocsátási egységet tartalékoltak a 3. szakasz egészére 937 létesítmény számára. Az új belépők részére fenntartott tartalék fennmaradó része 312,3 millió kibocsátási egységet tett ki. E kibocsátási egységek jelentős része várhatóan nem kerül kiosztásra. A 3. szakasz végén ezek az egységek bekerülnek a piaci stabilitási tartalékba, amelyből 200 millió kerül majd felhasználásra egy új belépők részére fenntartott tartalék létrehozására a 4. szakaszra.</w:t>
      </w:r>
    </w:p>
    <w:p w14:paraId="31C1182D" w14:textId="77777777" w:rsidR="0067338B" w:rsidRPr="00C64727" w:rsidRDefault="003A348D">
      <w:pPr>
        <w:pStyle w:val="NormalWeb"/>
        <w:spacing w:before="0" w:beforeAutospacing="0" w:after="300" w:afterAutospacing="0" w:line="276" w:lineRule="auto"/>
        <w:jc w:val="both"/>
      </w:pPr>
      <w:r w:rsidRPr="00C64727">
        <w:t>2019. június végéig körülbelül 457 millióval csökkent az ingyenesen kiosztott kibocsátási egységek száma az olyan létesítmények miatt, amelyeket bezártak, vagy amelyeknek csökkent a termelése vagy a termelési kapacitása a 3. szakaszban kiosztásra kerülő kibocsátási egységek számának meghatározásához eredetileg használt adathoz képest.</w:t>
      </w:r>
    </w:p>
    <w:p w14:paraId="57C93B81" w14:textId="77777777" w:rsidR="0067338B" w:rsidRPr="00C64727" w:rsidRDefault="003A348D">
      <w:pPr>
        <w:pStyle w:val="Caption"/>
        <w:keepNext/>
        <w:rPr>
          <w:rFonts w:ascii="Times New Roman" w:hAnsi="Times New Roman"/>
          <w:sz w:val="22"/>
          <w:szCs w:val="22"/>
        </w:rPr>
      </w:pPr>
      <w:r w:rsidRPr="00C64727">
        <w:rPr>
          <w:rFonts w:ascii="Times New Roman" w:hAnsi="Times New Roman"/>
          <w:sz w:val="22"/>
          <w:szCs w:val="22"/>
        </w:rPr>
        <w:t>2. táblázat: Az ipar számára a 2013–2019-es időszakban ingyenesen kiosztott kibocsátási egységek száma (millió)</w:t>
      </w:r>
      <w:r w:rsidRPr="00C64727">
        <w:rPr>
          <w:rStyle w:val="FootnoteReference"/>
          <w:rFonts w:ascii="Times New Roman" w:hAnsi="Times New Roman"/>
          <w:b w:val="0"/>
          <w:sz w:val="22"/>
          <w:szCs w:val="22"/>
        </w:rPr>
        <w:footnoteReference w:id="18"/>
      </w:r>
    </w:p>
    <w:tbl>
      <w:tblPr>
        <w:tblW w:w="8963"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376"/>
        <w:gridCol w:w="940"/>
        <w:gridCol w:w="948"/>
        <w:gridCol w:w="948"/>
        <w:gridCol w:w="948"/>
        <w:gridCol w:w="949"/>
        <w:gridCol w:w="927"/>
        <w:gridCol w:w="927"/>
      </w:tblGrid>
      <w:tr w:rsidR="0067338B" w:rsidRPr="00C64727" w14:paraId="301E88E7" w14:textId="77777777" w:rsidTr="005D3412">
        <w:trPr>
          <w:trHeight w:val="517"/>
        </w:trPr>
        <w:tc>
          <w:tcPr>
            <w:tcW w:w="2376" w:type="dxa"/>
            <w:shd w:val="clear" w:color="auto" w:fill="auto"/>
            <w:vAlign w:val="center"/>
          </w:tcPr>
          <w:p w14:paraId="5DFCB6CD" w14:textId="77777777" w:rsidR="0067338B" w:rsidRPr="00C64727" w:rsidRDefault="0067338B">
            <w:pPr>
              <w:jc w:val="center"/>
              <w:rPr>
                <w:rFonts w:ascii="Times New Roman" w:hAnsi="Times New Roman"/>
                <w:b/>
                <w:sz w:val="20"/>
                <w:szCs w:val="20"/>
              </w:rPr>
            </w:pPr>
          </w:p>
        </w:tc>
        <w:tc>
          <w:tcPr>
            <w:tcW w:w="940" w:type="dxa"/>
            <w:shd w:val="clear" w:color="auto" w:fill="auto"/>
            <w:vAlign w:val="center"/>
          </w:tcPr>
          <w:p w14:paraId="42FDC8BD" w14:textId="77777777" w:rsidR="0067338B" w:rsidRPr="00C64727" w:rsidRDefault="00A838C0">
            <w:pPr>
              <w:jc w:val="center"/>
              <w:rPr>
                <w:rFonts w:ascii="Times New Roman" w:hAnsi="Times New Roman"/>
                <w:b/>
                <w:sz w:val="20"/>
                <w:szCs w:val="20"/>
              </w:rPr>
            </w:pPr>
            <w:r w:rsidRPr="00C64727">
              <w:rPr>
                <w:rFonts w:ascii="Times New Roman" w:hAnsi="Times New Roman"/>
                <w:b/>
                <w:sz w:val="20"/>
                <w:szCs w:val="20"/>
              </w:rPr>
              <w:t>2013</w:t>
            </w:r>
          </w:p>
        </w:tc>
        <w:tc>
          <w:tcPr>
            <w:tcW w:w="948" w:type="dxa"/>
            <w:shd w:val="clear" w:color="auto" w:fill="auto"/>
            <w:vAlign w:val="center"/>
          </w:tcPr>
          <w:p w14:paraId="1D0AD494" w14:textId="77777777" w:rsidR="0067338B" w:rsidRPr="00C64727" w:rsidRDefault="00A838C0">
            <w:pPr>
              <w:jc w:val="center"/>
              <w:rPr>
                <w:rFonts w:ascii="Times New Roman" w:hAnsi="Times New Roman"/>
                <w:b/>
                <w:sz w:val="20"/>
                <w:szCs w:val="20"/>
              </w:rPr>
            </w:pPr>
            <w:r w:rsidRPr="00C64727">
              <w:rPr>
                <w:rFonts w:ascii="Times New Roman" w:hAnsi="Times New Roman"/>
                <w:b/>
                <w:sz w:val="20"/>
                <w:szCs w:val="20"/>
              </w:rPr>
              <w:t>2014</w:t>
            </w:r>
          </w:p>
        </w:tc>
        <w:tc>
          <w:tcPr>
            <w:tcW w:w="948" w:type="dxa"/>
            <w:vAlign w:val="center"/>
          </w:tcPr>
          <w:p w14:paraId="4389E40B" w14:textId="77777777" w:rsidR="0067338B" w:rsidRPr="00C64727" w:rsidRDefault="00A838C0">
            <w:pPr>
              <w:jc w:val="center"/>
              <w:rPr>
                <w:rFonts w:ascii="Times New Roman" w:hAnsi="Times New Roman"/>
                <w:b/>
                <w:sz w:val="20"/>
                <w:szCs w:val="20"/>
              </w:rPr>
            </w:pPr>
            <w:r w:rsidRPr="00C64727">
              <w:rPr>
                <w:rFonts w:ascii="Times New Roman" w:hAnsi="Times New Roman"/>
                <w:b/>
                <w:sz w:val="20"/>
                <w:szCs w:val="20"/>
              </w:rPr>
              <w:t>2015</w:t>
            </w:r>
          </w:p>
        </w:tc>
        <w:tc>
          <w:tcPr>
            <w:tcW w:w="948" w:type="dxa"/>
            <w:vAlign w:val="center"/>
          </w:tcPr>
          <w:p w14:paraId="1BFE4F44" w14:textId="77777777" w:rsidR="0067338B" w:rsidRPr="00C64727" w:rsidRDefault="00A838C0">
            <w:pPr>
              <w:jc w:val="center"/>
              <w:rPr>
                <w:rFonts w:ascii="Times New Roman" w:hAnsi="Times New Roman"/>
                <w:b/>
                <w:sz w:val="20"/>
                <w:szCs w:val="20"/>
              </w:rPr>
            </w:pPr>
            <w:r w:rsidRPr="00C64727">
              <w:rPr>
                <w:rFonts w:ascii="Times New Roman" w:hAnsi="Times New Roman"/>
                <w:b/>
                <w:sz w:val="20"/>
                <w:szCs w:val="20"/>
              </w:rPr>
              <w:t>2016</w:t>
            </w:r>
          </w:p>
        </w:tc>
        <w:tc>
          <w:tcPr>
            <w:tcW w:w="949" w:type="dxa"/>
            <w:vAlign w:val="center"/>
          </w:tcPr>
          <w:p w14:paraId="0633B24F" w14:textId="77777777" w:rsidR="0067338B" w:rsidRPr="00C64727" w:rsidRDefault="00A838C0">
            <w:pPr>
              <w:jc w:val="center"/>
              <w:rPr>
                <w:rFonts w:ascii="Times New Roman" w:hAnsi="Times New Roman"/>
                <w:b/>
                <w:sz w:val="20"/>
                <w:szCs w:val="20"/>
              </w:rPr>
            </w:pPr>
            <w:r w:rsidRPr="00C64727">
              <w:rPr>
                <w:rFonts w:ascii="Times New Roman" w:hAnsi="Times New Roman"/>
                <w:b/>
                <w:sz w:val="20"/>
                <w:szCs w:val="20"/>
              </w:rPr>
              <w:t>2017</w:t>
            </w:r>
          </w:p>
        </w:tc>
        <w:tc>
          <w:tcPr>
            <w:tcW w:w="927" w:type="dxa"/>
            <w:vAlign w:val="center"/>
          </w:tcPr>
          <w:p w14:paraId="084C2292" w14:textId="77777777" w:rsidR="0067338B" w:rsidRPr="00C64727" w:rsidRDefault="00A838C0">
            <w:pPr>
              <w:jc w:val="center"/>
              <w:rPr>
                <w:rFonts w:ascii="Times New Roman" w:hAnsi="Times New Roman"/>
                <w:b/>
                <w:sz w:val="20"/>
                <w:szCs w:val="20"/>
                <w:highlight w:val="yellow"/>
              </w:rPr>
            </w:pPr>
            <w:r w:rsidRPr="00C64727">
              <w:rPr>
                <w:rFonts w:ascii="Times New Roman" w:hAnsi="Times New Roman"/>
                <w:b/>
                <w:sz w:val="20"/>
                <w:szCs w:val="20"/>
              </w:rPr>
              <w:t>2018</w:t>
            </w:r>
          </w:p>
        </w:tc>
        <w:tc>
          <w:tcPr>
            <w:tcW w:w="927" w:type="dxa"/>
            <w:vAlign w:val="center"/>
          </w:tcPr>
          <w:p w14:paraId="6BD6F269" w14:textId="77777777" w:rsidR="0067338B" w:rsidRPr="00C64727" w:rsidRDefault="00A838C0">
            <w:pPr>
              <w:jc w:val="center"/>
              <w:rPr>
                <w:rFonts w:ascii="Times New Roman" w:hAnsi="Times New Roman"/>
                <w:b/>
                <w:sz w:val="20"/>
                <w:szCs w:val="20"/>
              </w:rPr>
            </w:pPr>
            <w:r w:rsidRPr="00C64727">
              <w:rPr>
                <w:rFonts w:ascii="Times New Roman" w:hAnsi="Times New Roman"/>
                <w:b/>
                <w:sz w:val="20"/>
                <w:szCs w:val="20"/>
              </w:rPr>
              <w:t>2019</w:t>
            </w:r>
          </w:p>
        </w:tc>
      </w:tr>
      <w:tr w:rsidR="0067338B" w:rsidRPr="00C64727" w14:paraId="1A471EAD" w14:textId="77777777" w:rsidTr="005D3412">
        <w:trPr>
          <w:trHeight w:val="611"/>
        </w:trPr>
        <w:tc>
          <w:tcPr>
            <w:tcW w:w="2376" w:type="dxa"/>
            <w:shd w:val="clear" w:color="auto" w:fill="auto"/>
            <w:vAlign w:val="center"/>
          </w:tcPr>
          <w:p w14:paraId="1E76C8FB" w14:textId="77777777" w:rsidR="0067338B" w:rsidRPr="00C64727" w:rsidRDefault="00A838C0">
            <w:pPr>
              <w:jc w:val="center"/>
              <w:rPr>
                <w:rFonts w:ascii="Times New Roman" w:hAnsi="Times New Roman"/>
                <w:b/>
                <w:sz w:val="20"/>
                <w:szCs w:val="20"/>
              </w:rPr>
            </w:pPr>
            <w:r w:rsidRPr="00C64727">
              <w:rPr>
                <w:rFonts w:ascii="Times New Roman" w:hAnsi="Times New Roman"/>
                <w:b/>
                <w:sz w:val="20"/>
                <w:szCs w:val="20"/>
              </w:rPr>
              <w:t>Térítésmentes kiosztás</w:t>
            </w:r>
            <w:r w:rsidRPr="00C64727">
              <w:rPr>
                <w:rFonts w:ascii="Times New Roman" w:hAnsi="Times New Roman"/>
                <w:b/>
                <w:sz w:val="20"/>
                <w:szCs w:val="20"/>
                <w:vertAlign w:val="superscript"/>
              </w:rPr>
              <w:footnoteReference w:id="19"/>
            </w:r>
            <w:r w:rsidRPr="00C64727">
              <w:rPr>
                <w:rFonts w:ascii="Times New Roman" w:hAnsi="Times New Roman"/>
                <w:b/>
                <w:sz w:val="20"/>
                <w:szCs w:val="20"/>
              </w:rPr>
              <w:br/>
              <w:t>(EU28 + EGT és EFTA tagállamok)</w:t>
            </w:r>
          </w:p>
        </w:tc>
        <w:tc>
          <w:tcPr>
            <w:tcW w:w="940" w:type="dxa"/>
            <w:shd w:val="clear" w:color="auto" w:fill="auto"/>
            <w:vAlign w:val="center"/>
          </w:tcPr>
          <w:p w14:paraId="4E090E77" w14:textId="77777777" w:rsidR="0067338B" w:rsidRPr="00C64727" w:rsidRDefault="00A838C0">
            <w:pPr>
              <w:jc w:val="center"/>
              <w:rPr>
                <w:rFonts w:ascii="Times New Roman" w:hAnsi="Times New Roman"/>
                <w:sz w:val="20"/>
                <w:szCs w:val="20"/>
              </w:rPr>
            </w:pPr>
            <w:r w:rsidRPr="00C64727">
              <w:rPr>
                <w:rFonts w:ascii="Times New Roman" w:hAnsi="Times New Roman"/>
                <w:sz w:val="20"/>
                <w:szCs w:val="20"/>
              </w:rPr>
              <w:t>903,0</w:t>
            </w:r>
          </w:p>
        </w:tc>
        <w:tc>
          <w:tcPr>
            <w:tcW w:w="948" w:type="dxa"/>
            <w:shd w:val="clear" w:color="auto" w:fill="auto"/>
            <w:vAlign w:val="center"/>
          </w:tcPr>
          <w:p w14:paraId="4C7CB76F" w14:textId="77777777" w:rsidR="0067338B" w:rsidRPr="00C64727" w:rsidRDefault="00A838C0">
            <w:pPr>
              <w:jc w:val="center"/>
              <w:rPr>
                <w:rFonts w:ascii="Times New Roman" w:hAnsi="Times New Roman"/>
                <w:sz w:val="20"/>
                <w:szCs w:val="20"/>
              </w:rPr>
            </w:pPr>
            <w:r w:rsidRPr="00C64727">
              <w:rPr>
                <w:rFonts w:ascii="Times New Roman" w:hAnsi="Times New Roman"/>
                <w:sz w:val="20"/>
                <w:szCs w:val="20"/>
              </w:rPr>
              <w:t>874,8</w:t>
            </w:r>
          </w:p>
        </w:tc>
        <w:tc>
          <w:tcPr>
            <w:tcW w:w="948" w:type="dxa"/>
            <w:vAlign w:val="center"/>
          </w:tcPr>
          <w:p w14:paraId="6795ECBF" w14:textId="77777777" w:rsidR="0067338B" w:rsidRPr="00C64727" w:rsidRDefault="00A838C0">
            <w:pPr>
              <w:jc w:val="center"/>
              <w:rPr>
                <w:rFonts w:ascii="Times New Roman" w:hAnsi="Times New Roman"/>
                <w:sz w:val="20"/>
                <w:szCs w:val="20"/>
              </w:rPr>
            </w:pPr>
            <w:r w:rsidRPr="00C64727">
              <w:rPr>
                <w:rFonts w:ascii="Times New Roman" w:hAnsi="Times New Roman"/>
                <w:sz w:val="20"/>
                <w:szCs w:val="20"/>
              </w:rPr>
              <w:t>847,6</w:t>
            </w:r>
          </w:p>
        </w:tc>
        <w:tc>
          <w:tcPr>
            <w:tcW w:w="948" w:type="dxa"/>
            <w:vAlign w:val="center"/>
          </w:tcPr>
          <w:p w14:paraId="7DA849E7" w14:textId="77777777" w:rsidR="0067338B" w:rsidRPr="00C64727" w:rsidRDefault="00A838C0">
            <w:pPr>
              <w:jc w:val="center"/>
              <w:rPr>
                <w:rFonts w:ascii="Times New Roman" w:hAnsi="Times New Roman"/>
                <w:sz w:val="20"/>
                <w:szCs w:val="20"/>
              </w:rPr>
            </w:pPr>
            <w:r w:rsidRPr="00C64727">
              <w:rPr>
                <w:rFonts w:ascii="Times New Roman" w:hAnsi="Times New Roman"/>
                <w:sz w:val="20"/>
                <w:szCs w:val="20"/>
              </w:rPr>
              <w:t>821,3</w:t>
            </w:r>
          </w:p>
        </w:tc>
        <w:tc>
          <w:tcPr>
            <w:tcW w:w="949" w:type="dxa"/>
            <w:vAlign w:val="center"/>
          </w:tcPr>
          <w:p w14:paraId="3C28200C" w14:textId="77777777" w:rsidR="0067338B" w:rsidRPr="00C64727" w:rsidRDefault="00A838C0">
            <w:pPr>
              <w:jc w:val="center"/>
              <w:rPr>
                <w:rFonts w:ascii="Times New Roman" w:hAnsi="Times New Roman"/>
                <w:sz w:val="20"/>
                <w:szCs w:val="20"/>
              </w:rPr>
            </w:pPr>
            <w:r w:rsidRPr="00C64727">
              <w:rPr>
                <w:rFonts w:ascii="Times New Roman" w:hAnsi="Times New Roman"/>
                <w:sz w:val="20"/>
                <w:szCs w:val="20"/>
              </w:rPr>
              <w:t>796,2</w:t>
            </w:r>
          </w:p>
        </w:tc>
        <w:tc>
          <w:tcPr>
            <w:tcW w:w="927" w:type="dxa"/>
            <w:vAlign w:val="center"/>
          </w:tcPr>
          <w:p w14:paraId="6A625362" w14:textId="77777777" w:rsidR="0067338B" w:rsidRPr="00C64727" w:rsidRDefault="00A838C0">
            <w:pPr>
              <w:jc w:val="center"/>
              <w:rPr>
                <w:rFonts w:ascii="Times New Roman" w:hAnsi="Times New Roman"/>
                <w:sz w:val="20"/>
                <w:szCs w:val="20"/>
              </w:rPr>
            </w:pPr>
            <w:r w:rsidRPr="00C64727">
              <w:rPr>
                <w:rFonts w:ascii="Times New Roman" w:hAnsi="Times New Roman"/>
                <w:sz w:val="20"/>
                <w:szCs w:val="20"/>
              </w:rPr>
              <w:t>771,9</w:t>
            </w:r>
          </w:p>
        </w:tc>
        <w:tc>
          <w:tcPr>
            <w:tcW w:w="927" w:type="dxa"/>
            <w:vAlign w:val="center"/>
          </w:tcPr>
          <w:p w14:paraId="5925CD70" w14:textId="77777777" w:rsidR="0067338B" w:rsidRPr="00C64727" w:rsidRDefault="00A838C0">
            <w:pPr>
              <w:jc w:val="center"/>
              <w:rPr>
                <w:rFonts w:ascii="Times New Roman" w:hAnsi="Times New Roman"/>
                <w:sz w:val="20"/>
                <w:szCs w:val="20"/>
              </w:rPr>
            </w:pPr>
            <w:r w:rsidRPr="00C64727">
              <w:rPr>
                <w:rFonts w:ascii="Times New Roman" w:hAnsi="Times New Roman"/>
                <w:sz w:val="20"/>
                <w:szCs w:val="20"/>
              </w:rPr>
              <w:t>748,1</w:t>
            </w:r>
            <w:r w:rsidRPr="00C64727">
              <w:rPr>
                <w:rStyle w:val="FootnoteReference"/>
                <w:rFonts w:ascii="Times New Roman" w:hAnsi="Times New Roman"/>
                <w:sz w:val="20"/>
                <w:szCs w:val="20"/>
              </w:rPr>
              <w:footnoteReference w:id="20"/>
            </w:r>
          </w:p>
        </w:tc>
      </w:tr>
      <w:tr w:rsidR="0067338B" w:rsidRPr="00C64727" w14:paraId="06EC50EF" w14:textId="77777777" w:rsidTr="005D3412">
        <w:trPr>
          <w:trHeight w:val="1191"/>
        </w:trPr>
        <w:tc>
          <w:tcPr>
            <w:tcW w:w="2376" w:type="dxa"/>
            <w:shd w:val="clear" w:color="auto" w:fill="auto"/>
            <w:vAlign w:val="center"/>
          </w:tcPr>
          <w:p w14:paraId="35709649" w14:textId="77777777" w:rsidR="0067338B" w:rsidRPr="00C64727" w:rsidRDefault="00A838C0">
            <w:pPr>
              <w:jc w:val="center"/>
              <w:rPr>
                <w:rFonts w:ascii="Times New Roman" w:hAnsi="Times New Roman"/>
                <w:b/>
                <w:sz w:val="20"/>
                <w:szCs w:val="20"/>
              </w:rPr>
            </w:pPr>
            <w:r w:rsidRPr="00C64727">
              <w:rPr>
                <w:rFonts w:ascii="Times New Roman" w:hAnsi="Times New Roman"/>
                <w:b/>
                <w:sz w:val="20"/>
                <w:szCs w:val="20"/>
              </w:rPr>
              <w:t>Az új belépők részére fenntartott tartalékból történő kiosztás (zöldmezős beruházások és kapacitásbővítések)</w:t>
            </w:r>
          </w:p>
        </w:tc>
        <w:tc>
          <w:tcPr>
            <w:tcW w:w="940" w:type="dxa"/>
            <w:shd w:val="clear" w:color="auto" w:fill="auto"/>
            <w:vAlign w:val="center"/>
          </w:tcPr>
          <w:p w14:paraId="3B423447" w14:textId="77777777" w:rsidR="0067338B" w:rsidRPr="00C64727" w:rsidRDefault="00A838C0">
            <w:pPr>
              <w:jc w:val="center"/>
              <w:rPr>
                <w:rFonts w:ascii="Times New Roman" w:hAnsi="Times New Roman"/>
                <w:sz w:val="20"/>
                <w:szCs w:val="20"/>
              </w:rPr>
            </w:pPr>
            <w:r w:rsidRPr="00C64727">
              <w:rPr>
                <w:rFonts w:ascii="Times New Roman" w:hAnsi="Times New Roman"/>
                <w:sz w:val="20"/>
                <w:szCs w:val="20"/>
              </w:rPr>
              <w:t>11,7</w:t>
            </w:r>
          </w:p>
        </w:tc>
        <w:tc>
          <w:tcPr>
            <w:tcW w:w="948" w:type="dxa"/>
            <w:shd w:val="clear" w:color="auto" w:fill="auto"/>
            <w:vAlign w:val="center"/>
          </w:tcPr>
          <w:p w14:paraId="75DC65C0" w14:textId="77777777" w:rsidR="0067338B" w:rsidRPr="00C64727" w:rsidRDefault="00A838C0">
            <w:pPr>
              <w:jc w:val="center"/>
              <w:rPr>
                <w:rFonts w:ascii="Times New Roman" w:hAnsi="Times New Roman"/>
                <w:sz w:val="20"/>
                <w:szCs w:val="20"/>
              </w:rPr>
            </w:pPr>
            <w:r w:rsidRPr="00C64727">
              <w:rPr>
                <w:rFonts w:ascii="Times New Roman" w:hAnsi="Times New Roman"/>
                <w:sz w:val="20"/>
                <w:szCs w:val="20"/>
              </w:rPr>
              <w:t>15,3</w:t>
            </w:r>
          </w:p>
        </w:tc>
        <w:tc>
          <w:tcPr>
            <w:tcW w:w="948" w:type="dxa"/>
            <w:vAlign w:val="center"/>
          </w:tcPr>
          <w:p w14:paraId="23386E6A" w14:textId="77777777" w:rsidR="0067338B" w:rsidRPr="00C64727" w:rsidRDefault="00A838C0">
            <w:pPr>
              <w:jc w:val="center"/>
              <w:rPr>
                <w:rFonts w:ascii="Times New Roman" w:hAnsi="Times New Roman"/>
                <w:sz w:val="20"/>
                <w:szCs w:val="20"/>
              </w:rPr>
            </w:pPr>
            <w:r w:rsidRPr="00C64727">
              <w:rPr>
                <w:rFonts w:ascii="Times New Roman" w:hAnsi="Times New Roman"/>
                <w:sz w:val="20"/>
                <w:szCs w:val="20"/>
              </w:rPr>
              <w:t>18,6</w:t>
            </w:r>
          </w:p>
        </w:tc>
        <w:tc>
          <w:tcPr>
            <w:tcW w:w="948" w:type="dxa"/>
            <w:vAlign w:val="center"/>
          </w:tcPr>
          <w:p w14:paraId="46F08F21" w14:textId="77777777" w:rsidR="0067338B" w:rsidRPr="00C64727" w:rsidRDefault="00A838C0">
            <w:pPr>
              <w:jc w:val="center"/>
              <w:rPr>
                <w:rFonts w:ascii="Times New Roman" w:hAnsi="Times New Roman"/>
                <w:sz w:val="20"/>
                <w:szCs w:val="20"/>
              </w:rPr>
            </w:pPr>
            <w:r w:rsidRPr="00C64727">
              <w:rPr>
                <w:rFonts w:ascii="Times New Roman" w:hAnsi="Times New Roman"/>
                <w:sz w:val="20"/>
                <w:szCs w:val="20"/>
              </w:rPr>
              <w:t>21,8</w:t>
            </w:r>
          </w:p>
        </w:tc>
        <w:tc>
          <w:tcPr>
            <w:tcW w:w="949" w:type="dxa"/>
            <w:vAlign w:val="center"/>
          </w:tcPr>
          <w:p w14:paraId="15AFCECA" w14:textId="77777777" w:rsidR="0067338B" w:rsidRPr="00C64727" w:rsidRDefault="00A838C0">
            <w:pPr>
              <w:jc w:val="center"/>
              <w:rPr>
                <w:rFonts w:ascii="Times New Roman" w:hAnsi="Times New Roman"/>
                <w:sz w:val="20"/>
                <w:szCs w:val="20"/>
              </w:rPr>
            </w:pPr>
            <w:r w:rsidRPr="00C64727">
              <w:rPr>
                <w:rFonts w:ascii="Times New Roman" w:hAnsi="Times New Roman"/>
                <w:sz w:val="20"/>
                <w:szCs w:val="20"/>
              </w:rPr>
              <w:t>23,4</w:t>
            </w:r>
          </w:p>
        </w:tc>
        <w:tc>
          <w:tcPr>
            <w:tcW w:w="927" w:type="dxa"/>
            <w:vAlign w:val="center"/>
          </w:tcPr>
          <w:p w14:paraId="149CE125" w14:textId="77777777" w:rsidR="0067338B" w:rsidRPr="00C64727" w:rsidRDefault="00A838C0">
            <w:pPr>
              <w:jc w:val="center"/>
              <w:rPr>
                <w:rFonts w:ascii="Times New Roman" w:hAnsi="Times New Roman"/>
                <w:sz w:val="20"/>
                <w:szCs w:val="20"/>
              </w:rPr>
            </w:pPr>
            <w:r w:rsidRPr="00C64727">
              <w:rPr>
                <w:rFonts w:ascii="Times New Roman" w:hAnsi="Times New Roman"/>
                <w:sz w:val="20"/>
                <w:szCs w:val="20"/>
              </w:rPr>
              <w:t>23,6</w:t>
            </w:r>
          </w:p>
        </w:tc>
        <w:tc>
          <w:tcPr>
            <w:tcW w:w="927" w:type="dxa"/>
            <w:vAlign w:val="center"/>
          </w:tcPr>
          <w:p w14:paraId="61760009" w14:textId="77777777" w:rsidR="0067338B" w:rsidRPr="00C64727" w:rsidRDefault="00A838C0">
            <w:pPr>
              <w:jc w:val="center"/>
              <w:rPr>
                <w:rFonts w:ascii="Times New Roman" w:hAnsi="Times New Roman"/>
                <w:sz w:val="20"/>
                <w:szCs w:val="20"/>
              </w:rPr>
            </w:pPr>
            <w:r w:rsidRPr="00C64727">
              <w:rPr>
                <w:rFonts w:ascii="Times New Roman" w:hAnsi="Times New Roman"/>
                <w:sz w:val="20"/>
                <w:szCs w:val="20"/>
              </w:rPr>
              <w:t>22,9</w:t>
            </w:r>
          </w:p>
        </w:tc>
      </w:tr>
      <w:tr w:rsidR="0067338B" w:rsidRPr="00C64727" w14:paraId="50BD8E4D" w14:textId="77777777" w:rsidTr="005D3412">
        <w:trPr>
          <w:trHeight w:val="947"/>
        </w:trPr>
        <w:tc>
          <w:tcPr>
            <w:tcW w:w="2376" w:type="dxa"/>
            <w:shd w:val="clear" w:color="auto" w:fill="auto"/>
            <w:vAlign w:val="center"/>
          </w:tcPr>
          <w:p w14:paraId="32E99760" w14:textId="77777777" w:rsidR="0067338B" w:rsidRPr="00C64727" w:rsidRDefault="00A838C0">
            <w:pPr>
              <w:jc w:val="center"/>
              <w:rPr>
                <w:rFonts w:ascii="Times New Roman" w:hAnsi="Times New Roman"/>
                <w:b/>
                <w:sz w:val="20"/>
                <w:szCs w:val="20"/>
              </w:rPr>
            </w:pPr>
            <w:r w:rsidRPr="00C64727">
              <w:rPr>
                <w:rFonts w:ascii="Times New Roman" w:hAnsi="Times New Roman"/>
                <w:b/>
                <w:sz w:val="20"/>
                <w:szCs w:val="20"/>
              </w:rPr>
              <w:t>A bezárások, valamint a termelés vagy a termelési kapacitás megváltozása miatt kiosztatlanul maradt ingyenes kibocsátási egységek</w:t>
            </w:r>
          </w:p>
        </w:tc>
        <w:tc>
          <w:tcPr>
            <w:tcW w:w="940" w:type="dxa"/>
            <w:shd w:val="clear" w:color="auto" w:fill="auto"/>
            <w:vAlign w:val="center"/>
          </w:tcPr>
          <w:p w14:paraId="4660FA58" w14:textId="77777777" w:rsidR="0067338B" w:rsidRPr="00C64727" w:rsidRDefault="00A838C0">
            <w:pPr>
              <w:jc w:val="center"/>
              <w:rPr>
                <w:rFonts w:ascii="Times New Roman" w:hAnsi="Times New Roman"/>
                <w:sz w:val="20"/>
                <w:szCs w:val="20"/>
                <w:highlight w:val="yellow"/>
              </w:rPr>
            </w:pPr>
            <w:r w:rsidRPr="00C64727">
              <w:rPr>
                <w:rFonts w:ascii="Times New Roman" w:hAnsi="Times New Roman"/>
                <w:sz w:val="20"/>
                <w:szCs w:val="20"/>
              </w:rPr>
              <w:t>40,1</w:t>
            </w:r>
          </w:p>
        </w:tc>
        <w:tc>
          <w:tcPr>
            <w:tcW w:w="948" w:type="dxa"/>
            <w:shd w:val="clear" w:color="auto" w:fill="auto"/>
            <w:vAlign w:val="center"/>
          </w:tcPr>
          <w:p w14:paraId="1170CBDA" w14:textId="77777777" w:rsidR="0067338B" w:rsidRPr="00C64727" w:rsidRDefault="00A838C0">
            <w:pPr>
              <w:jc w:val="center"/>
              <w:rPr>
                <w:rFonts w:ascii="Times New Roman" w:hAnsi="Times New Roman"/>
                <w:sz w:val="20"/>
                <w:szCs w:val="20"/>
              </w:rPr>
            </w:pPr>
            <w:r w:rsidRPr="00C64727">
              <w:rPr>
                <w:rFonts w:ascii="Times New Roman" w:hAnsi="Times New Roman"/>
                <w:sz w:val="20"/>
                <w:szCs w:val="20"/>
              </w:rPr>
              <w:t>58,9</w:t>
            </w:r>
          </w:p>
        </w:tc>
        <w:tc>
          <w:tcPr>
            <w:tcW w:w="948" w:type="dxa"/>
            <w:vAlign w:val="center"/>
          </w:tcPr>
          <w:p w14:paraId="2F49216B" w14:textId="77777777" w:rsidR="0067338B" w:rsidRPr="00C64727" w:rsidRDefault="00A838C0">
            <w:pPr>
              <w:jc w:val="center"/>
              <w:rPr>
                <w:rFonts w:ascii="Times New Roman" w:hAnsi="Times New Roman"/>
                <w:sz w:val="20"/>
                <w:szCs w:val="20"/>
              </w:rPr>
            </w:pPr>
            <w:r w:rsidRPr="00C64727">
              <w:rPr>
                <w:rFonts w:ascii="Times New Roman" w:hAnsi="Times New Roman"/>
                <w:sz w:val="20"/>
                <w:szCs w:val="20"/>
              </w:rPr>
              <w:t>70,8</w:t>
            </w:r>
          </w:p>
        </w:tc>
        <w:tc>
          <w:tcPr>
            <w:tcW w:w="948" w:type="dxa"/>
            <w:vAlign w:val="center"/>
          </w:tcPr>
          <w:p w14:paraId="2393DAB1" w14:textId="77777777" w:rsidR="0067338B" w:rsidRPr="00C64727" w:rsidRDefault="00711C2B">
            <w:pPr>
              <w:jc w:val="center"/>
              <w:rPr>
                <w:rFonts w:ascii="Times New Roman" w:hAnsi="Times New Roman"/>
                <w:sz w:val="20"/>
                <w:szCs w:val="20"/>
              </w:rPr>
            </w:pPr>
            <w:r w:rsidRPr="00C64727">
              <w:rPr>
                <w:rFonts w:ascii="Times New Roman" w:hAnsi="Times New Roman"/>
                <w:sz w:val="20"/>
                <w:szCs w:val="20"/>
              </w:rPr>
              <w:t>67,5</w:t>
            </w:r>
          </w:p>
        </w:tc>
        <w:tc>
          <w:tcPr>
            <w:tcW w:w="949" w:type="dxa"/>
            <w:vAlign w:val="center"/>
          </w:tcPr>
          <w:p w14:paraId="7A398373" w14:textId="77777777" w:rsidR="0067338B" w:rsidRPr="00C64727" w:rsidRDefault="00711C2B">
            <w:pPr>
              <w:jc w:val="center"/>
              <w:rPr>
                <w:rFonts w:ascii="Times New Roman" w:hAnsi="Times New Roman"/>
                <w:sz w:val="20"/>
                <w:szCs w:val="20"/>
              </w:rPr>
            </w:pPr>
            <w:r w:rsidRPr="00C64727">
              <w:rPr>
                <w:rFonts w:ascii="Times New Roman" w:hAnsi="Times New Roman"/>
                <w:sz w:val="20"/>
                <w:szCs w:val="20"/>
              </w:rPr>
              <w:t>71,6</w:t>
            </w:r>
          </w:p>
        </w:tc>
        <w:tc>
          <w:tcPr>
            <w:tcW w:w="927" w:type="dxa"/>
            <w:vAlign w:val="center"/>
          </w:tcPr>
          <w:p w14:paraId="0B74DA1A" w14:textId="77777777" w:rsidR="0067338B" w:rsidRPr="00C64727" w:rsidRDefault="00711C2B">
            <w:pPr>
              <w:jc w:val="center"/>
              <w:rPr>
                <w:rFonts w:ascii="Times New Roman" w:hAnsi="Times New Roman"/>
                <w:sz w:val="20"/>
                <w:szCs w:val="20"/>
              </w:rPr>
            </w:pPr>
            <w:r w:rsidRPr="00C64727">
              <w:rPr>
                <w:rFonts w:ascii="Times New Roman" w:hAnsi="Times New Roman"/>
                <w:sz w:val="20"/>
                <w:szCs w:val="20"/>
              </w:rPr>
              <w:t>75,9</w:t>
            </w:r>
          </w:p>
        </w:tc>
        <w:tc>
          <w:tcPr>
            <w:tcW w:w="927" w:type="dxa"/>
            <w:vAlign w:val="center"/>
          </w:tcPr>
          <w:p w14:paraId="1CDFCCB9" w14:textId="77777777" w:rsidR="0067338B" w:rsidRPr="00C64727" w:rsidRDefault="00A838C0">
            <w:pPr>
              <w:jc w:val="center"/>
              <w:rPr>
                <w:rFonts w:ascii="Times New Roman" w:hAnsi="Times New Roman"/>
                <w:sz w:val="20"/>
                <w:szCs w:val="20"/>
              </w:rPr>
            </w:pPr>
            <w:r w:rsidRPr="00C64727">
              <w:rPr>
                <w:rFonts w:ascii="Times New Roman" w:hAnsi="Times New Roman"/>
                <w:sz w:val="20"/>
                <w:szCs w:val="20"/>
              </w:rPr>
              <w:t>71,9</w:t>
            </w:r>
          </w:p>
        </w:tc>
      </w:tr>
    </w:tbl>
    <w:p w14:paraId="1309098D" w14:textId="77777777" w:rsidR="0067338B" w:rsidRPr="00C64727" w:rsidRDefault="003A348D">
      <w:pPr>
        <w:pStyle w:val="NormalWeb"/>
        <w:spacing w:line="276" w:lineRule="auto"/>
        <w:jc w:val="both"/>
      </w:pPr>
      <w:r w:rsidRPr="00C64727">
        <w:t>Mivel az ingyenes kiosztás iránti kereslet meghaladta a rendelkezésre álló mennyiséget, az EU ETS alá tartozó minden létesítmény számára azonos százalékban csökkentették a kiosztást az ún. ágazatközi korrekciós tényező alkalmazásával</w:t>
      </w:r>
      <w:r w:rsidRPr="00C64727">
        <w:rPr>
          <w:rStyle w:val="FootnoteReference"/>
        </w:rPr>
        <w:footnoteReference w:id="21"/>
      </w:r>
      <w:r w:rsidRPr="00C64727">
        <w:t>. 2017-ben felülvizsgálták az eredeti ágazatközi korrekciós tényezők értékeit</w:t>
      </w:r>
      <w:r w:rsidRPr="00C64727">
        <w:rPr>
          <w:rStyle w:val="FootnoteReference"/>
        </w:rPr>
        <w:footnoteReference w:id="22"/>
      </w:r>
      <w:r w:rsidRPr="00C64727">
        <w:t>.</w:t>
      </w:r>
    </w:p>
    <w:p w14:paraId="5CC01713" w14:textId="77777777" w:rsidR="0067338B" w:rsidRPr="00C64727" w:rsidRDefault="00341982">
      <w:pPr>
        <w:pStyle w:val="NormalWeb"/>
        <w:spacing w:line="276" w:lineRule="auto"/>
        <w:jc w:val="both"/>
      </w:pPr>
      <w:r w:rsidRPr="00C64727">
        <w:t>A kibocsátásáthelyezés kockázatának megelőzése érdekében az ingyenes kiosztás 2020 után is folytatódni fog, és az alapjául szolgáló naprakésszé tett referenciaértékeket az Unió leghatékonyabb létesítményeinek felső 10 %-a által nyújtott teljesítményből vezetik le. Az ágazatok kibocsátásáthelyezésnek való kitettségének mértékét egy, az ágazat harmadik országokkal folytatott kereskedelmének intenzitása és a kibocsátások intenzitása szorzataként kapott összevont mutató alapján értékelték. Az értékelés alapján 2019 februárjában a Bizottság elfogadta a kibocsátásáthelyezés kockázatának kitett ágazatok következő kereskedési időszakra vonatkozó listáját</w:t>
      </w:r>
      <w:r w:rsidRPr="00C64727">
        <w:rPr>
          <w:rStyle w:val="FootnoteReference"/>
        </w:rPr>
        <w:footnoteReference w:id="23"/>
      </w:r>
      <w:r w:rsidRPr="00C64727">
        <w:t>, amely a teljes 4. szakaszra érvényes.</w:t>
      </w:r>
    </w:p>
    <w:p w14:paraId="50421E3A" w14:textId="77777777" w:rsidR="0067338B" w:rsidRPr="00C64727" w:rsidRDefault="00511F9D">
      <w:pPr>
        <w:jc w:val="both"/>
        <w:rPr>
          <w:rFonts w:ascii="Times New Roman" w:eastAsia="Times New Roman" w:hAnsi="Times New Roman"/>
          <w:sz w:val="24"/>
          <w:szCs w:val="24"/>
        </w:rPr>
      </w:pPr>
      <w:r w:rsidRPr="00C64727">
        <w:rPr>
          <w:rFonts w:ascii="Times New Roman" w:hAnsi="Times New Roman"/>
          <w:sz w:val="24"/>
          <w:szCs w:val="24"/>
        </w:rPr>
        <w:t>A technológiai fejlődés és az innováció figyelembevétele érdekében a referenciaértéket a 4. szakaszban valós adatok alapján kétszer frissítik majd. Az első kiosztási időszakra (2021–2025) ingyenes kiosztásért folyamadó létesítményeknek 2019. május 30-ig kellett benyújtaniuk a szükséges adatokat az illetékes hatóságokhoz. Ezeket az adatokat a Bizottság fel fogja használni az egyes létesítmények kiosztásának kiszámításához és a 2021–2025 közötti időszakra vonatkozó referenciaértékek frissítéséhez. A 2021–2030 közötti időszakra vonatkozó ingyenes kiosztási szabályok felülvizsgálatáról szóló felhatalmazáson alapuló jogi aktust 2018 decemberében fogadták el</w:t>
      </w:r>
      <w:r w:rsidRPr="00C64727">
        <w:rPr>
          <w:rFonts w:ascii="Times New Roman" w:eastAsia="Times New Roman" w:hAnsi="Times New Roman"/>
          <w:sz w:val="24"/>
          <w:szCs w:val="24"/>
          <w:vertAlign w:val="superscript"/>
        </w:rPr>
        <w:footnoteReference w:id="24"/>
      </w:r>
      <w:r w:rsidRPr="00C64727">
        <w:rPr>
          <w:rFonts w:ascii="Times New Roman" w:hAnsi="Times New Roman"/>
          <w:sz w:val="24"/>
          <w:szCs w:val="24"/>
        </w:rPr>
        <w:t xml:space="preserve">, míg a 2021–2025 közötti időszakra vonatkozó referenciaértékek aktualizálására irányuló munka már megkezdődött (lásd a melléklet 7. függelékét). </w:t>
      </w:r>
    </w:p>
    <w:p w14:paraId="138E673F" w14:textId="77777777" w:rsidR="0067338B" w:rsidRPr="00C64727" w:rsidRDefault="00427EEB">
      <w:pPr>
        <w:jc w:val="both"/>
        <w:rPr>
          <w:rFonts w:ascii="Times New Roman" w:hAnsi="Times New Roman"/>
          <w:sz w:val="24"/>
          <w:szCs w:val="24"/>
        </w:rPr>
      </w:pPr>
      <w:r w:rsidRPr="00C64727">
        <w:rPr>
          <w:rFonts w:ascii="Times New Roman" w:hAnsi="Times New Roman"/>
          <w:sz w:val="24"/>
          <w:szCs w:val="24"/>
        </w:rPr>
        <w:t>A 4. szakaszban az egyes létesítmények kiosztásai a megfelelő időben kiigazításra kerülnek a működés jelentős növekedésének vagy csökkenésének figyelembevétele érdekében. A kiosztásokat érintő kiigazítások manipulálása és az azokkal való visszaélések megelőzése, valamint az indokolatlan adminisztratív terhek elkerülése érdekében a Bizottság végrehajtási jogi aktust fogad el, hogy a kiigazításokra vonatkozó további szabályokat határozzon meg (lásd a melléklet 7. függelékét).</w:t>
      </w:r>
    </w:p>
    <w:p w14:paraId="591B9D00" w14:textId="77777777" w:rsidR="0067338B" w:rsidRPr="00C64727" w:rsidRDefault="0067338B">
      <w:pPr>
        <w:pStyle w:val="NormalWeb"/>
        <w:spacing w:line="276" w:lineRule="auto"/>
        <w:jc w:val="both"/>
      </w:pPr>
    </w:p>
    <w:p w14:paraId="1362DCEC" w14:textId="77777777" w:rsidR="0067338B" w:rsidRPr="00C64727" w:rsidRDefault="003A348D">
      <w:pPr>
        <w:pStyle w:val="NormalWeb"/>
        <w:spacing w:line="276" w:lineRule="auto"/>
        <w:jc w:val="both"/>
      </w:pPr>
      <w:r w:rsidRPr="00C64727">
        <w:br w:type="page"/>
      </w:r>
    </w:p>
    <w:p w14:paraId="52C20DFE" w14:textId="77777777" w:rsidR="0067338B" w:rsidRPr="00C64727" w:rsidRDefault="00A52F4C">
      <w:pPr>
        <w:pStyle w:val="Heading4"/>
        <w:spacing w:before="0" w:after="200"/>
        <w:ind w:left="1080"/>
        <w:rPr>
          <w:szCs w:val="24"/>
        </w:rPr>
      </w:pPr>
      <w:bookmarkStart w:id="12" w:name="_Toc24093089"/>
      <w:r w:rsidRPr="00C64727">
        <w:rPr>
          <w:szCs w:val="24"/>
        </w:rPr>
        <w:t>3.1.2.2. A NER 300 program és az innovációs alap</w:t>
      </w:r>
      <w:bookmarkEnd w:id="12"/>
      <w:r w:rsidRPr="00C64727">
        <w:rPr>
          <w:szCs w:val="24"/>
        </w:rPr>
        <w:t xml:space="preserve"> </w:t>
      </w:r>
    </w:p>
    <w:p w14:paraId="799FB551" w14:textId="77777777" w:rsidR="0067338B" w:rsidRPr="00C64727" w:rsidRDefault="003A348D">
      <w:pPr>
        <w:pStyle w:val="a3520normalp11"/>
        <w:spacing w:line="276" w:lineRule="auto"/>
      </w:pPr>
      <w:r w:rsidRPr="00C64727">
        <w:rPr>
          <w:noProof/>
          <w:lang w:val="en-GB"/>
        </w:rPr>
        <mc:AlternateContent>
          <mc:Choice Requires="wps">
            <w:drawing>
              <wp:inline distT="0" distB="0" distL="0" distR="0" wp14:anchorId="43B3B7B1" wp14:editId="75B03456">
                <wp:extent cx="5720486" cy="3691466"/>
                <wp:effectExtent l="0" t="0" r="13970" b="23495"/>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486" cy="3691466"/>
                        </a:xfrm>
                        <a:prstGeom prst="rect">
                          <a:avLst/>
                        </a:prstGeom>
                        <a:solidFill>
                          <a:schemeClr val="bg1">
                            <a:lumMod val="85000"/>
                          </a:schemeClr>
                        </a:solidFill>
                        <a:ln w="12700">
                          <a:solidFill>
                            <a:srgbClr val="000000"/>
                          </a:solidFill>
                          <a:miter lim="800000"/>
                          <a:headEnd/>
                          <a:tailEnd/>
                        </a:ln>
                      </wps:spPr>
                      <wps:txbx>
                        <w:txbxContent>
                          <w:p w14:paraId="0D4ADEA3" w14:textId="77777777" w:rsidR="0067338B" w:rsidRPr="00C64727" w:rsidRDefault="00516F65">
                            <w:pPr>
                              <w:jc w:val="both"/>
                              <w:rPr>
                                <w:rFonts w:ascii="Times New Roman" w:hAnsi="Times New Roman"/>
                                <w:sz w:val="24"/>
                                <w:szCs w:val="24"/>
                              </w:rPr>
                            </w:pPr>
                            <w:r w:rsidRPr="00C64727">
                              <w:rPr>
                                <w:rFonts w:ascii="Times New Roman" w:hAnsi="Times New Roman"/>
                                <w:sz w:val="24"/>
                                <w:szCs w:val="24"/>
                              </w:rPr>
                              <w:t xml:space="preserve">A NER 300 egy nagyléptékű program, amely az innovatív, kis szén-dioxid-kibocsátást célzó demonstrációs projekteknek nyújt finanszírozást. A program a szén-dioxid környezetvédelmi szempontból biztonságos leválasztásának és tárolásának, valamint a megújuló energiaforrásokhoz kapcsolódó innovatív technológiáknak az Unión belüli, ipari méretű demonstrálására irányul. A NER 300 finanszírozása az új belépők részére fenntartott tartalékból értékesített 300 millió kibocsátási egységből származó bevételből történt. A forrásokat a kétfordulós – 2012 decemberében és 2014 júliusában lezajlott – pályázati eljárás keretében kiválasztott projekteknek ítélték oda. </w:t>
                            </w:r>
                          </w:p>
                          <w:p w14:paraId="0C4BD408" w14:textId="15685AD9" w:rsidR="0067338B" w:rsidRPr="00C64727" w:rsidRDefault="00516F65">
                            <w:pPr>
                              <w:jc w:val="both"/>
                              <w:rPr>
                                <w:rFonts w:ascii="Times New Roman" w:hAnsi="Times New Roman"/>
                                <w:sz w:val="24"/>
                                <w:szCs w:val="24"/>
                              </w:rPr>
                            </w:pPr>
                            <w:r w:rsidRPr="00C64727">
                              <w:rPr>
                                <w:rFonts w:ascii="Times New Roman" w:hAnsi="Times New Roman"/>
                                <w:sz w:val="24"/>
                                <w:szCs w:val="24"/>
                              </w:rPr>
                              <w:t>Az innovációs alap a felülvizsgált EU ETS irányelv által a 4. szakaszra létrehozott két alacsony szén-dioxid-kibocsátási mechanizmus egyike. Pályáztatás útján fogja támogatni az innovatív technológiák és az áttörést jelentő innovációk első alkalommal történő piaci kifejlesztését és kereskedelmi nagyságrendű demonstrálását az EU ETS hatálya alá tartozó ágazatokban, ideértve az innovatív megújuló energiákat, az energiaigényes ágazatokat, a szén-dioxid-leválasztást és -hasznosítást, valamint az energiatárolást.</w:t>
                            </w:r>
                            <w:r w:rsidRPr="00C64727">
                              <w:rPr>
                                <w:sz w:val="24"/>
                                <w:szCs w:val="24"/>
                              </w:rPr>
                              <w:t xml:space="preserve"> </w:t>
                            </w:r>
                            <w:r w:rsidRPr="00C64727">
                              <w:rPr>
                                <w:rFonts w:ascii="Times New Roman" w:hAnsi="Times New Roman"/>
                                <w:sz w:val="24"/>
                                <w:szCs w:val="24"/>
                              </w:rPr>
                              <w:t>Finanszírozása legalább 450 millió kibocsátási egység elárverezésével és a NER 300 program ki nem fizetett költségvetéséből történik. A 2020-ra vonatkozó első pályázati felhívás előkészítő szakaszban van.</w:t>
                            </w:r>
                          </w:p>
                          <w:p w14:paraId="5411EEF4" w14:textId="77777777" w:rsidR="0067338B" w:rsidRDefault="0067338B">
                            <w:pPr>
                              <w:rPr>
                                <w:rFonts w:ascii="Times New Roman" w:hAnsi="Times New Roman"/>
                                <w:sz w:val="24"/>
                                <w:szCs w:val="24"/>
                              </w:rPr>
                            </w:pPr>
                          </w:p>
                          <w:p w14:paraId="4F08DB62" w14:textId="77777777" w:rsidR="0067338B" w:rsidRDefault="0067338B">
                            <w:pPr>
                              <w:rPr>
                                <w:rFonts w:ascii="Times New Roman" w:hAnsi="Times New Roman"/>
                                <w:sz w:val="24"/>
                                <w:szCs w:val="24"/>
                              </w:rPr>
                            </w:pPr>
                          </w:p>
                        </w:txbxContent>
                      </wps:txbx>
                      <wps:bodyPr rot="0" vert="horz" wrap="square" lIns="91440" tIns="45720" rIns="91440" bIns="45720" anchor="t" anchorCtr="0">
                        <a:noAutofit/>
                      </wps:bodyPr>
                    </wps:wsp>
                  </a:graphicData>
                </a:graphic>
              </wp:inline>
            </w:drawing>
          </mc:Choice>
          <mc:Fallback>
            <w:pict>
              <v:shape w14:anchorId="43B3B7B1" id="_x0000_s1031" type="#_x0000_t202" style="width:450.45pt;height:29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" fillcolor="#d8d8d8 [2732]" strokeweight="1pt">
                <v:textbox>
                  <w:txbxContent>
                    <w:p w14:paraId="0D4ADEA3" w14:textId="77777777" w:rsidR="0067338B" w:rsidRPr="00C64727" w:rsidRDefault="00516F65">
                      <w:pPr>
                        <w:jc w:val="both"/>
                        <w:rPr>
                          <w:rFonts w:ascii="Times New Roman" w:hAnsi="Times New Roman"/>
                          <w:sz w:val="24"/>
                          <w:szCs w:val="24"/>
                        </w:rPr>
                      </w:pPr>
                      <w:r w:rsidRPr="00C64727">
                        <w:rPr>
                          <w:rFonts w:ascii="Times New Roman" w:hAnsi="Times New Roman"/>
                          <w:sz w:val="24"/>
                          <w:szCs w:val="24"/>
                        </w:rPr>
                        <w:t xml:space="preserve">A NER 300 egy nagyléptékű program, amely az innovatív, kis szén-dioxid-kibocsátást célzó demonstrációs projekteknek nyújt finanszírozást. A program a szén-dioxid környezetvédelmi szempontból biztonságos leválasztásának és tárolásának, valamint a megújuló energiaforrásokhoz kapcsolódó innovatív technológiáknak az Unión belüli, ipari méretű demonstrálására irányul. A NER 300 finanszírozása az új belépők részére fenntartott tartalékból értékesített 300 millió kibocsátási egységből származó bevételből történt. A forrásokat a kétfordulós – 2012 decemberében és 2014 júliusában lezajlott – pályázati eljárás keretében kiválasztott projekteknek ítélték oda. </w:t>
                      </w:r>
                    </w:p>
                    <w:p w14:paraId="0C4BD408" w14:textId="15685AD9" w:rsidR="0067338B" w:rsidRPr="00C64727" w:rsidRDefault="00516F65">
                      <w:pPr>
                        <w:jc w:val="both"/>
                        <w:rPr>
                          <w:rFonts w:ascii="Times New Roman" w:hAnsi="Times New Roman"/>
                          <w:sz w:val="24"/>
                          <w:szCs w:val="24"/>
                        </w:rPr>
                      </w:pPr>
                      <w:r w:rsidRPr="00C64727">
                        <w:rPr>
                          <w:rFonts w:ascii="Times New Roman" w:hAnsi="Times New Roman"/>
                          <w:sz w:val="24"/>
                          <w:szCs w:val="24"/>
                        </w:rPr>
                        <w:t>Az innovációs alap a felülvizsgált EU ETS irányelv által a 4. szakaszra létrehozott két alacsony szén-dioxid-kibocsátási mechanizmus egyike. Pályáztatás útján fogja támogatni az innovatív technológiák és az áttörést jelentő innovációk első alkalommal történő piaci kifejlesztését és kereskedelmi nagyságrendű demonstrálását az EU ETS hatálya alá tartozó ágazatokban, ideértve az innovatív megújuló energiákat, az energiaigényes ágazatokat, a szén-dioxid-leválasztást és -hasznosítást, valamint az energiatárolást.</w:t>
                      </w:r>
                      <w:r w:rsidRPr="00C64727">
                        <w:rPr>
                          <w:sz w:val="24"/>
                          <w:szCs w:val="24"/>
                        </w:rPr>
                        <w:t xml:space="preserve"> </w:t>
                      </w:r>
                      <w:r w:rsidRPr="00C64727">
                        <w:rPr>
                          <w:rFonts w:ascii="Times New Roman" w:hAnsi="Times New Roman"/>
                          <w:sz w:val="24"/>
                          <w:szCs w:val="24"/>
                        </w:rPr>
                        <w:t>Finanszírozása legalább 450 millió kibocsátási egység elárverezésével és a NER 300 program ki nem fizetett költségvetéséből történik. A 2020-ra vonatkozó első pályázati felhívás előkészítő szakaszban van.</w:t>
                      </w:r>
                    </w:p>
                    <w:p w14:paraId="5411EEF4" w14:textId="77777777" w:rsidR="0067338B" w:rsidRDefault="0067338B">
                      <w:pPr>
                        <w:rPr>
                          <w:rFonts w:ascii="Times New Roman" w:hAnsi="Times New Roman"/>
                          <w:sz w:val="24"/>
                          <w:szCs w:val="24"/>
                        </w:rPr>
                      </w:pPr>
                    </w:p>
                    <w:p w14:paraId="4F08DB62" w14:textId="77777777" w:rsidR="0067338B" w:rsidRDefault="0067338B">
                      <w:pPr>
                        <w:rPr>
                          <w:rFonts w:ascii="Times New Roman" w:hAnsi="Times New Roman"/>
                          <w:sz w:val="24"/>
                          <w:szCs w:val="24"/>
                        </w:rPr>
                      </w:pPr>
                    </w:p>
                  </w:txbxContent>
                </v:textbox>
                <w10:anchorlock/>
              </v:shape>
            </w:pict>
          </mc:Fallback>
        </mc:AlternateContent>
      </w:r>
    </w:p>
    <w:p w14:paraId="7EFBE1C7" w14:textId="348E395B" w:rsidR="0067338B" w:rsidRPr="00C64727" w:rsidRDefault="003A348D">
      <w:pPr>
        <w:spacing w:after="120"/>
        <w:ind w:right="57"/>
        <w:jc w:val="both"/>
        <w:rPr>
          <w:rFonts w:ascii="Times New Roman" w:eastAsia="Times New Roman" w:hAnsi="Times New Roman"/>
          <w:sz w:val="24"/>
          <w:szCs w:val="24"/>
        </w:rPr>
      </w:pPr>
      <w:r w:rsidRPr="00C64727">
        <w:rPr>
          <w:rFonts w:ascii="Times New Roman" w:hAnsi="Times New Roman"/>
          <w:sz w:val="24"/>
          <w:szCs w:val="24"/>
        </w:rPr>
        <w:t>A NER 300 program e két pályázati felhívásának eredményeként összesen 2,1 milliárd EUR értékben ítéltek oda támogatásokat 20 uniós tagállamban 38 megújuló energiaforrásokhoz kapcsolódó projekt és 1 szén-dioxid-leválasztáshoz és -tároláshoz kapcsolódó projekt részére. Ezek közül hét üzemel: az olaszországi BEST és a németországi Verbiostraw bioenergia-projekt, a svédországi Windpark Blaiken és az ausztriai Windpark Handalm szárazföldi szélenergia-projekt, a Veja Mate és a Nordsee One németországi tengeri szélenergia-projektek, valamint az olaszországi Puglia Active Network intelligens energiahálózati projekt.</w:t>
      </w:r>
    </w:p>
    <w:p w14:paraId="20118B27" w14:textId="77777777" w:rsidR="0067338B" w:rsidRPr="00C64727" w:rsidRDefault="00FB28EB">
      <w:pPr>
        <w:spacing w:after="120"/>
        <w:ind w:right="57"/>
        <w:jc w:val="both"/>
        <w:rPr>
          <w:rFonts w:ascii="Times New Roman" w:eastAsia="Times New Roman" w:hAnsi="Times New Roman"/>
          <w:sz w:val="24"/>
          <w:szCs w:val="24"/>
        </w:rPr>
      </w:pPr>
      <w:r w:rsidRPr="00C64727">
        <w:rPr>
          <w:rFonts w:ascii="Times New Roman" w:hAnsi="Times New Roman"/>
          <w:sz w:val="24"/>
          <w:szCs w:val="24"/>
        </w:rPr>
        <w:t>Az első pályázat projektjei közül öt üzembe helyezésére várhatóan 2019 végéig kerül sor, míg a második pályázat négy projektje esetében már folynak az előkészületek a 2021. június 30-ig történő üzembe helyezésre. Tekintettel a NER 300 program létrehozása óta fennálló nehéz gazdasági és szakpolitikai helyzetre, 19 projekt nem tudott elegendő kiegészítő pénzügyi támogatást szerezni és azokat visszavonták, és így összesen 1,358 milliárd euró szabadult fel. További négy projekt az előkészítés különböző szakaszaiban jár.</w:t>
      </w:r>
    </w:p>
    <w:p w14:paraId="5C141462" w14:textId="77777777" w:rsidR="0067338B" w:rsidRPr="00C64727" w:rsidRDefault="003A348D">
      <w:pPr>
        <w:spacing w:after="120"/>
        <w:ind w:right="57"/>
        <w:jc w:val="both"/>
        <w:rPr>
          <w:rFonts w:ascii="Times New Roman" w:eastAsia="Times New Roman" w:hAnsi="Times New Roman"/>
          <w:sz w:val="24"/>
          <w:szCs w:val="24"/>
        </w:rPr>
      </w:pPr>
      <w:r w:rsidRPr="00C64727">
        <w:rPr>
          <w:rFonts w:ascii="Times New Roman" w:hAnsi="Times New Roman"/>
          <w:sz w:val="24"/>
          <w:szCs w:val="24"/>
        </w:rPr>
        <w:t>A NER 300 programról szóló módosított határozat</w:t>
      </w:r>
      <w:r w:rsidRPr="00C64727">
        <w:rPr>
          <w:rFonts w:ascii="Times New Roman" w:eastAsia="Times New Roman" w:hAnsi="Times New Roman"/>
          <w:sz w:val="24"/>
          <w:szCs w:val="24"/>
          <w:vertAlign w:val="superscript"/>
        </w:rPr>
        <w:footnoteReference w:id="25"/>
      </w:r>
      <w:r w:rsidRPr="00C64727">
        <w:rPr>
          <w:rFonts w:ascii="Times New Roman" w:hAnsi="Times New Roman"/>
          <w:sz w:val="24"/>
          <w:szCs w:val="24"/>
        </w:rPr>
        <w:t xml:space="preserve"> lehetővé tette az első pályázati felhívás törölt projektjeiből felszabaduló források (eddig 623 millió EUR) újbóli befektetését az Európai Beruházási Bank által kezelt meglévő pénzügyi eszközökbe – az InnovFin energetikai demonstrációs projekteket támogató (EDP) eszközbe és az Európai Hálózatfinanszírozási Eszköz hitelviszonyt megtestesítő eszközébe. Ez lehetőséget nyújt a NER 300 program előnyeinek maximális kihasználására és alacsony szén-dioxid-kibocsátású innovációkba történő kiegészítő magánbefektetések mozgósítására.</w:t>
      </w:r>
    </w:p>
    <w:p w14:paraId="095EDCCE" w14:textId="77777777" w:rsidR="0067338B" w:rsidRPr="00C64727" w:rsidRDefault="00BB416E">
      <w:pPr>
        <w:spacing w:after="120"/>
        <w:ind w:right="57"/>
        <w:jc w:val="both"/>
        <w:rPr>
          <w:rFonts w:ascii="Times New Roman" w:eastAsia="Times New Roman" w:hAnsi="Times New Roman"/>
          <w:sz w:val="24"/>
          <w:szCs w:val="24"/>
        </w:rPr>
      </w:pPr>
      <w:r w:rsidRPr="00C64727">
        <w:rPr>
          <w:rFonts w:ascii="Times New Roman" w:hAnsi="Times New Roman"/>
          <w:sz w:val="24"/>
          <w:szCs w:val="24"/>
        </w:rPr>
        <w:t>Ez idáig három projekt került kiválasztásra, amely az InnovFin EDP keretében részesülhet a NER 300 program fel nem használt forrásaiból, és amelyek esetében a támogatás összege mintegy 73 millió EUR (lásd a melléklet 9. függelékét).</w:t>
      </w:r>
    </w:p>
    <w:p w14:paraId="17497F37" w14:textId="77777777" w:rsidR="0067338B" w:rsidRPr="00C64727" w:rsidRDefault="003A348D">
      <w:pPr>
        <w:jc w:val="both"/>
        <w:rPr>
          <w:rFonts w:ascii="Times New Roman" w:hAnsi="Times New Roman"/>
          <w:b/>
          <w:sz w:val="24"/>
          <w:szCs w:val="24"/>
        </w:rPr>
      </w:pPr>
      <w:r w:rsidRPr="00C64727">
        <w:rPr>
          <w:rFonts w:ascii="Times New Roman" w:hAnsi="Times New Roman"/>
          <w:sz w:val="24"/>
          <w:szCs w:val="24"/>
        </w:rPr>
        <w:t xml:space="preserve">A második pályázati felhívás törölt projektjeiből felszabaduló forrásokkal (eddig 735,5 millió EUR) az innovációs alap rendelkezésére álló forrásokat növelik. </w:t>
      </w:r>
    </w:p>
    <w:p w14:paraId="79A2132E" w14:textId="77777777" w:rsidR="0067338B" w:rsidRPr="00C64727" w:rsidRDefault="003A348D">
      <w:pPr>
        <w:spacing w:after="120"/>
        <w:ind w:right="57"/>
        <w:jc w:val="both"/>
        <w:rPr>
          <w:rFonts w:ascii="Times New Roman" w:eastAsia="Times New Roman" w:hAnsi="Times New Roman"/>
        </w:rPr>
      </w:pPr>
      <w:r w:rsidRPr="00C64727">
        <w:rPr>
          <w:rFonts w:ascii="Times New Roman" w:hAnsi="Times New Roman"/>
          <w:b/>
        </w:rPr>
        <w:t>3. táblázat: Az első és második pályázati fordulóban támogatást nyert NER 300 projektek</w:t>
      </w:r>
      <w:r w:rsidRPr="00C64727">
        <w:rPr>
          <w:rFonts w:ascii="Times New Roman" w:eastAsia="Times New Roman" w:hAnsi="Times New Roman"/>
          <w:b/>
          <w:vertAlign w:val="superscript"/>
        </w:rPr>
        <w:footnoteReference w:id="26"/>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18"/>
        <w:gridCol w:w="3081"/>
        <w:gridCol w:w="3081"/>
      </w:tblGrid>
      <w:tr w:rsidR="0067338B" w:rsidRPr="00C64727" w14:paraId="629A31D5" w14:textId="77777777">
        <w:trPr>
          <w:trHeight w:val="481"/>
          <w:jc w:val="center"/>
        </w:trPr>
        <w:tc>
          <w:tcPr>
            <w:tcW w:w="2918" w:type="dxa"/>
            <w:shd w:val="clear" w:color="auto" w:fill="auto"/>
            <w:vAlign w:val="center"/>
          </w:tcPr>
          <w:p w14:paraId="59C6C05F" w14:textId="77777777" w:rsidR="0067338B" w:rsidRPr="00C64727" w:rsidRDefault="0067338B">
            <w:pPr>
              <w:spacing w:after="0"/>
              <w:jc w:val="center"/>
              <w:rPr>
                <w:rFonts w:ascii="Times New Roman" w:hAnsi="Times New Roman"/>
                <w:sz w:val="20"/>
                <w:szCs w:val="20"/>
              </w:rPr>
            </w:pPr>
          </w:p>
        </w:tc>
        <w:tc>
          <w:tcPr>
            <w:tcW w:w="3081" w:type="dxa"/>
            <w:shd w:val="clear" w:color="auto" w:fill="auto"/>
            <w:vAlign w:val="center"/>
          </w:tcPr>
          <w:p w14:paraId="38CEF5AC" w14:textId="77777777" w:rsidR="0067338B" w:rsidRPr="00C64727" w:rsidRDefault="003A348D">
            <w:pPr>
              <w:spacing w:after="0"/>
              <w:jc w:val="center"/>
              <w:rPr>
                <w:rFonts w:ascii="Times New Roman" w:hAnsi="Times New Roman"/>
                <w:b/>
                <w:sz w:val="20"/>
                <w:szCs w:val="20"/>
              </w:rPr>
            </w:pPr>
            <w:r w:rsidRPr="00C64727">
              <w:rPr>
                <w:rFonts w:ascii="Times New Roman" w:hAnsi="Times New Roman"/>
                <w:b/>
                <w:sz w:val="20"/>
                <w:szCs w:val="20"/>
              </w:rPr>
              <w:t>1. pályázati felhívás</w:t>
            </w:r>
          </w:p>
        </w:tc>
        <w:tc>
          <w:tcPr>
            <w:tcW w:w="3081" w:type="dxa"/>
            <w:vAlign w:val="center"/>
          </w:tcPr>
          <w:p w14:paraId="76B3964E" w14:textId="77777777" w:rsidR="0067338B" w:rsidRPr="00C64727" w:rsidRDefault="003A348D">
            <w:pPr>
              <w:spacing w:after="0"/>
              <w:jc w:val="center"/>
              <w:rPr>
                <w:rFonts w:ascii="Times New Roman" w:hAnsi="Times New Roman"/>
                <w:b/>
                <w:sz w:val="20"/>
                <w:szCs w:val="20"/>
              </w:rPr>
            </w:pPr>
            <w:r w:rsidRPr="00C64727">
              <w:rPr>
                <w:rFonts w:ascii="Times New Roman" w:hAnsi="Times New Roman"/>
                <w:b/>
                <w:sz w:val="20"/>
                <w:szCs w:val="20"/>
              </w:rPr>
              <w:t>2. pályázati felhívás</w:t>
            </w:r>
          </w:p>
        </w:tc>
      </w:tr>
      <w:tr w:rsidR="0067338B" w:rsidRPr="00C64727" w14:paraId="561F27E0" w14:textId="77777777">
        <w:trPr>
          <w:trHeight w:val="481"/>
          <w:jc w:val="center"/>
        </w:trPr>
        <w:tc>
          <w:tcPr>
            <w:tcW w:w="2918" w:type="dxa"/>
            <w:shd w:val="clear" w:color="auto" w:fill="auto"/>
            <w:vAlign w:val="center"/>
          </w:tcPr>
          <w:p w14:paraId="5076B030" w14:textId="77777777" w:rsidR="0067338B" w:rsidRPr="00C64727" w:rsidRDefault="003A348D">
            <w:pPr>
              <w:spacing w:after="0"/>
              <w:jc w:val="center"/>
              <w:rPr>
                <w:rFonts w:ascii="Times New Roman" w:eastAsia="Times New Roman" w:hAnsi="Times New Roman"/>
                <w:b/>
                <w:sz w:val="20"/>
                <w:szCs w:val="20"/>
              </w:rPr>
            </w:pPr>
            <w:r w:rsidRPr="00C64727">
              <w:rPr>
                <w:rFonts w:ascii="Times New Roman" w:hAnsi="Times New Roman"/>
                <w:b/>
                <w:sz w:val="20"/>
                <w:szCs w:val="20"/>
              </w:rPr>
              <w:t>Előkészítés alatt álló projektek</w:t>
            </w:r>
          </w:p>
        </w:tc>
        <w:tc>
          <w:tcPr>
            <w:tcW w:w="3081" w:type="dxa"/>
            <w:shd w:val="clear" w:color="auto" w:fill="auto"/>
            <w:vAlign w:val="center"/>
          </w:tcPr>
          <w:p w14:paraId="74520C48" w14:textId="77777777" w:rsidR="0067338B" w:rsidRPr="00C64727" w:rsidRDefault="00A729A2">
            <w:pPr>
              <w:spacing w:after="0"/>
              <w:jc w:val="center"/>
              <w:rPr>
                <w:rFonts w:ascii="Times New Roman" w:eastAsia="Times New Roman" w:hAnsi="Times New Roman"/>
                <w:sz w:val="20"/>
                <w:szCs w:val="20"/>
              </w:rPr>
            </w:pPr>
            <w:r w:rsidRPr="00C64727">
              <w:rPr>
                <w:rFonts w:ascii="Times New Roman" w:hAnsi="Times New Roman"/>
                <w:sz w:val="20"/>
                <w:szCs w:val="20"/>
              </w:rPr>
              <w:t>6</w:t>
            </w:r>
          </w:p>
        </w:tc>
        <w:tc>
          <w:tcPr>
            <w:tcW w:w="3081" w:type="dxa"/>
            <w:vAlign w:val="center"/>
          </w:tcPr>
          <w:p w14:paraId="0AAE271D" w14:textId="77777777" w:rsidR="0067338B" w:rsidRPr="00C64727" w:rsidRDefault="00A729A2">
            <w:pPr>
              <w:spacing w:after="0"/>
              <w:jc w:val="center"/>
              <w:rPr>
                <w:rFonts w:ascii="Times New Roman" w:hAnsi="Times New Roman"/>
                <w:sz w:val="20"/>
                <w:szCs w:val="20"/>
              </w:rPr>
            </w:pPr>
            <w:r w:rsidRPr="00C64727">
              <w:rPr>
                <w:rFonts w:ascii="Times New Roman" w:hAnsi="Times New Roman"/>
                <w:sz w:val="20"/>
                <w:szCs w:val="20"/>
              </w:rPr>
              <w:t>7</w:t>
            </w:r>
          </w:p>
        </w:tc>
      </w:tr>
      <w:tr w:rsidR="0067338B" w:rsidRPr="00C64727" w14:paraId="6DE87C9C" w14:textId="77777777">
        <w:trPr>
          <w:trHeight w:val="403"/>
          <w:jc w:val="center"/>
        </w:trPr>
        <w:tc>
          <w:tcPr>
            <w:tcW w:w="2918" w:type="dxa"/>
            <w:shd w:val="clear" w:color="auto" w:fill="auto"/>
            <w:vAlign w:val="center"/>
          </w:tcPr>
          <w:p w14:paraId="044999E4" w14:textId="77777777" w:rsidR="0067338B" w:rsidRPr="00C64727" w:rsidRDefault="003A348D">
            <w:pPr>
              <w:spacing w:after="0"/>
              <w:jc w:val="center"/>
              <w:rPr>
                <w:rFonts w:ascii="Times New Roman" w:eastAsia="Times New Roman" w:hAnsi="Times New Roman"/>
                <w:b/>
                <w:sz w:val="20"/>
                <w:szCs w:val="20"/>
              </w:rPr>
            </w:pPr>
            <w:r w:rsidRPr="00C64727">
              <w:rPr>
                <w:rFonts w:ascii="Times New Roman" w:hAnsi="Times New Roman"/>
                <w:b/>
                <w:sz w:val="20"/>
                <w:szCs w:val="20"/>
              </w:rPr>
              <w:t>Működő projektek</w:t>
            </w:r>
          </w:p>
        </w:tc>
        <w:tc>
          <w:tcPr>
            <w:tcW w:w="3081" w:type="dxa"/>
            <w:shd w:val="clear" w:color="auto" w:fill="auto"/>
            <w:vAlign w:val="center"/>
          </w:tcPr>
          <w:p w14:paraId="16A16751" w14:textId="77777777" w:rsidR="0067338B" w:rsidRPr="00C64727" w:rsidRDefault="003A348D">
            <w:pPr>
              <w:spacing w:after="0"/>
              <w:jc w:val="center"/>
              <w:rPr>
                <w:rFonts w:ascii="Times New Roman" w:eastAsia="Times New Roman" w:hAnsi="Times New Roman"/>
                <w:sz w:val="20"/>
                <w:szCs w:val="20"/>
              </w:rPr>
            </w:pPr>
            <w:r w:rsidRPr="00C64727">
              <w:rPr>
                <w:rFonts w:ascii="Times New Roman" w:hAnsi="Times New Roman"/>
                <w:sz w:val="20"/>
                <w:szCs w:val="20"/>
              </w:rPr>
              <w:t>6</w:t>
            </w:r>
          </w:p>
        </w:tc>
        <w:tc>
          <w:tcPr>
            <w:tcW w:w="3081" w:type="dxa"/>
            <w:vAlign w:val="center"/>
          </w:tcPr>
          <w:p w14:paraId="49055DB3" w14:textId="77777777" w:rsidR="0067338B" w:rsidRPr="00C64727" w:rsidRDefault="00A729A2">
            <w:pPr>
              <w:spacing w:after="0"/>
              <w:jc w:val="center"/>
              <w:rPr>
                <w:rFonts w:ascii="Times New Roman" w:hAnsi="Times New Roman"/>
                <w:sz w:val="20"/>
                <w:szCs w:val="20"/>
              </w:rPr>
            </w:pPr>
            <w:r w:rsidRPr="00C64727">
              <w:rPr>
                <w:rFonts w:ascii="Times New Roman" w:hAnsi="Times New Roman"/>
                <w:sz w:val="20"/>
                <w:szCs w:val="20"/>
              </w:rPr>
              <w:t>1</w:t>
            </w:r>
          </w:p>
        </w:tc>
      </w:tr>
      <w:tr w:rsidR="0067338B" w:rsidRPr="00C64727" w14:paraId="31D49227" w14:textId="77777777">
        <w:trPr>
          <w:trHeight w:val="422"/>
          <w:jc w:val="center"/>
        </w:trPr>
        <w:tc>
          <w:tcPr>
            <w:tcW w:w="2918" w:type="dxa"/>
            <w:shd w:val="clear" w:color="auto" w:fill="auto"/>
            <w:vAlign w:val="center"/>
          </w:tcPr>
          <w:p w14:paraId="0B014BAF" w14:textId="77777777" w:rsidR="0067338B" w:rsidRPr="00C64727" w:rsidRDefault="003A348D">
            <w:pPr>
              <w:spacing w:after="0"/>
              <w:jc w:val="center"/>
              <w:rPr>
                <w:rFonts w:ascii="Times New Roman" w:eastAsia="Times New Roman" w:hAnsi="Times New Roman"/>
                <w:b/>
                <w:sz w:val="20"/>
                <w:szCs w:val="20"/>
              </w:rPr>
            </w:pPr>
            <w:r w:rsidRPr="00C64727">
              <w:rPr>
                <w:rFonts w:ascii="Times New Roman" w:hAnsi="Times New Roman"/>
                <w:b/>
                <w:sz w:val="20"/>
                <w:szCs w:val="20"/>
              </w:rPr>
              <w:t>Visszavont projektek</w:t>
            </w:r>
          </w:p>
        </w:tc>
        <w:tc>
          <w:tcPr>
            <w:tcW w:w="3081" w:type="dxa"/>
            <w:shd w:val="clear" w:color="auto" w:fill="auto"/>
            <w:vAlign w:val="center"/>
          </w:tcPr>
          <w:p w14:paraId="4BC13856" w14:textId="77777777" w:rsidR="0067338B" w:rsidRPr="00C64727" w:rsidRDefault="00A729A2">
            <w:pPr>
              <w:spacing w:after="0"/>
              <w:jc w:val="center"/>
              <w:rPr>
                <w:rFonts w:ascii="Times New Roman" w:eastAsia="Times New Roman" w:hAnsi="Times New Roman"/>
                <w:sz w:val="20"/>
                <w:szCs w:val="20"/>
              </w:rPr>
            </w:pPr>
            <w:r w:rsidRPr="00C64727">
              <w:rPr>
                <w:rFonts w:ascii="Times New Roman" w:hAnsi="Times New Roman"/>
                <w:sz w:val="20"/>
                <w:szCs w:val="20"/>
              </w:rPr>
              <w:t>8</w:t>
            </w:r>
          </w:p>
        </w:tc>
        <w:tc>
          <w:tcPr>
            <w:tcW w:w="3081" w:type="dxa"/>
            <w:vAlign w:val="center"/>
          </w:tcPr>
          <w:p w14:paraId="4E9B2B2F" w14:textId="77777777" w:rsidR="0067338B" w:rsidRPr="00C64727" w:rsidRDefault="00A729A2">
            <w:pPr>
              <w:spacing w:after="0"/>
              <w:jc w:val="center"/>
              <w:rPr>
                <w:rFonts w:ascii="Times New Roman" w:hAnsi="Times New Roman"/>
                <w:sz w:val="20"/>
                <w:szCs w:val="20"/>
              </w:rPr>
            </w:pPr>
            <w:r w:rsidRPr="00C64727">
              <w:rPr>
                <w:rFonts w:ascii="Times New Roman" w:hAnsi="Times New Roman"/>
                <w:sz w:val="20"/>
                <w:szCs w:val="20"/>
              </w:rPr>
              <w:t>11</w:t>
            </w:r>
          </w:p>
        </w:tc>
      </w:tr>
      <w:tr w:rsidR="0067338B" w:rsidRPr="00C64727" w14:paraId="1D86FED9" w14:textId="77777777">
        <w:trPr>
          <w:trHeight w:val="415"/>
          <w:jc w:val="center"/>
        </w:trPr>
        <w:tc>
          <w:tcPr>
            <w:tcW w:w="2918" w:type="dxa"/>
            <w:shd w:val="clear" w:color="auto" w:fill="auto"/>
            <w:vAlign w:val="center"/>
          </w:tcPr>
          <w:p w14:paraId="42F7A11C" w14:textId="77777777" w:rsidR="0067338B" w:rsidRPr="00C64727" w:rsidRDefault="003A348D">
            <w:pPr>
              <w:spacing w:after="0"/>
              <w:jc w:val="center"/>
              <w:rPr>
                <w:rFonts w:ascii="Times New Roman" w:eastAsia="Times New Roman" w:hAnsi="Times New Roman"/>
                <w:b/>
                <w:sz w:val="20"/>
                <w:szCs w:val="20"/>
              </w:rPr>
            </w:pPr>
            <w:r w:rsidRPr="00C64727">
              <w:rPr>
                <w:rFonts w:ascii="Times New Roman" w:hAnsi="Times New Roman"/>
                <w:b/>
                <w:i/>
                <w:iCs/>
                <w:sz w:val="20"/>
                <w:szCs w:val="20"/>
              </w:rPr>
              <w:t>Összesen</w:t>
            </w:r>
          </w:p>
        </w:tc>
        <w:tc>
          <w:tcPr>
            <w:tcW w:w="3081" w:type="dxa"/>
            <w:shd w:val="clear" w:color="auto" w:fill="auto"/>
            <w:vAlign w:val="center"/>
          </w:tcPr>
          <w:p w14:paraId="30EC78D4" w14:textId="77777777" w:rsidR="0067338B" w:rsidRPr="00C64727" w:rsidRDefault="003A348D">
            <w:pPr>
              <w:spacing w:after="0"/>
              <w:jc w:val="center"/>
              <w:rPr>
                <w:rFonts w:ascii="Times New Roman" w:eastAsia="Times New Roman" w:hAnsi="Times New Roman"/>
                <w:sz w:val="20"/>
                <w:szCs w:val="20"/>
              </w:rPr>
            </w:pPr>
            <w:r w:rsidRPr="00C64727">
              <w:rPr>
                <w:rFonts w:ascii="Times New Roman" w:hAnsi="Times New Roman"/>
                <w:i/>
                <w:iCs/>
                <w:sz w:val="20"/>
                <w:szCs w:val="20"/>
              </w:rPr>
              <w:t>20</w:t>
            </w:r>
          </w:p>
        </w:tc>
        <w:tc>
          <w:tcPr>
            <w:tcW w:w="3081" w:type="dxa"/>
            <w:vAlign w:val="center"/>
          </w:tcPr>
          <w:p w14:paraId="7AE425B1" w14:textId="77777777" w:rsidR="0067338B" w:rsidRPr="00C64727" w:rsidRDefault="003A348D">
            <w:pPr>
              <w:spacing w:after="0"/>
              <w:jc w:val="center"/>
              <w:rPr>
                <w:rFonts w:ascii="Times New Roman" w:hAnsi="Times New Roman"/>
                <w:i/>
                <w:iCs/>
                <w:sz w:val="20"/>
                <w:szCs w:val="20"/>
              </w:rPr>
            </w:pPr>
            <w:r w:rsidRPr="00C64727">
              <w:rPr>
                <w:rFonts w:ascii="Times New Roman" w:hAnsi="Times New Roman"/>
                <w:i/>
                <w:iCs/>
                <w:sz w:val="20"/>
                <w:szCs w:val="20"/>
              </w:rPr>
              <w:t>19</w:t>
            </w:r>
          </w:p>
        </w:tc>
      </w:tr>
    </w:tbl>
    <w:p w14:paraId="5EEB94EF" w14:textId="77777777" w:rsidR="0067338B" w:rsidRPr="00C64727" w:rsidRDefault="007748C6">
      <w:pPr>
        <w:pStyle w:val="a3520normalp11"/>
        <w:spacing w:line="276" w:lineRule="auto"/>
      </w:pPr>
      <w:r w:rsidRPr="00C64727">
        <w:t xml:space="preserve"> </w:t>
      </w:r>
    </w:p>
    <w:p w14:paraId="0EBD8751" w14:textId="77777777" w:rsidR="0067338B" w:rsidRPr="00C64727" w:rsidRDefault="00B0756E">
      <w:pPr>
        <w:jc w:val="both"/>
        <w:rPr>
          <w:rFonts w:ascii="Times New Roman" w:hAnsi="Times New Roman"/>
          <w:sz w:val="24"/>
          <w:szCs w:val="24"/>
        </w:rPr>
      </w:pPr>
      <w:r w:rsidRPr="00C64727">
        <w:rPr>
          <w:rFonts w:ascii="Times New Roman" w:hAnsi="Times New Roman"/>
          <w:sz w:val="24"/>
          <w:szCs w:val="24"/>
        </w:rPr>
        <w:t>A 4. szakaszban az innovációs alap keretében az innovatív technológiák és áttörést jelentő innovációk demonstrálására rendelkezésre álló források összértéke valószínűleg jelentős mértékben meg fogja haladni a 2,1 milliárd EUR-t a NER 300 program számára</w:t>
      </w:r>
      <w:r w:rsidRPr="00C64727">
        <w:rPr>
          <w:rStyle w:val="FootnoteReference"/>
          <w:rFonts w:ascii="Times New Roman" w:hAnsi="Times New Roman"/>
          <w:sz w:val="24"/>
          <w:szCs w:val="24"/>
        </w:rPr>
        <w:footnoteReference w:id="27"/>
      </w:r>
      <w:r w:rsidRPr="00C64727">
        <w:rPr>
          <w:rFonts w:ascii="Times New Roman" w:hAnsi="Times New Roman"/>
          <w:sz w:val="24"/>
          <w:szCs w:val="24"/>
        </w:rPr>
        <w:t>. 2019 februárjában elfogadták az innovációs alap működéséről szóló felhatalmazáson alapuló rendeletet</w:t>
      </w:r>
      <w:r w:rsidRPr="00C64727">
        <w:rPr>
          <w:rStyle w:val="FootnoteReference"/>
          <w:rFonts w:ascii="Times New Roman" w:hAnsi="Times New Roman"/>
          <w:sz w:val="24"/>
          <w:szCs w:val="24"/>
        </w:rPr>
        <w:footnoteReference w:id="28"/>
      </w:r>
      <w:r w:rsidRPr="00C64727">
        <w:rPr>
          <w:rFonts w:ascii="Times New Roman" w:hAnsi="Times New Roman"/>
          <w:sz w:val="24"/>
          <w:szCs w:val="24"/>
        </w:rPr>
        <w:t xml:space="preserve">. Az alapból való támogatásra valamennyi tagállam projektjei jogosultak, a kisebb projekteket is beleértve. </w:t>
      </w:r>
    </w:p>
    <w:p w14:paraId="17FCF6E2" w14:textId="77777777" w:rsidR="0067338B" w:rsidRPr="00C64727" w:rsidRDefault="00487626">
      <w:pPr>
        <w:jc w:val="both"/>
        <w:rPr>
          <w:rFonts w:ascii="Times New Roman" w:hAnsi="Times New Roman"/>
          <w:sz w:val="24"/>
          <w:szCs w:val="24"/>
        </w:rPr>
      </w:pPr>
      <w:r w:rsidRPr="00C64727">
        <w:rPr>
          <w:rFonts w:ascii="Times New Roman" w:hAnsi="Times New Roman"/>
          <w:sz w:val="24"/>
          <w:szCs w:val="24"/>
        </w:rPr>
        <w:t>Az innovációs alappal kapcsolatos figyelemfelhívás érdekében 2019-ben és 2020 első felében a Bizottság fel fogja venni a kapcsolatot az iparral és a tagállamokkal az egyes ágazatok számára a projektek kiválasztása és végrehajtása tekintetében kiemelt fontosságú kérdések megvitatása érdekében. Az innovációs alap keretében meghirdetendő első pályázati felhívásra a tervek szerint 2020-ban kerül sor, amelyet 2030-ig rendszeres pályázatok követnek.</w:t>
      </w:r>
    </w:p>
    <w:p w14:paraId="5E980861" w14:textId="77777777" w:rsidR="0067338B" w:rsidRPr="00C64727" w:rsidRDefault="0067338B">
      <w:pPr>
        <w:jc w:val="both"/>
        <w:rPr>
          <w:rFonts w:ascii="Times New Roman" w:hAnsi="Times New Roman"/>
          <w:sz w:val="24"/>
          <w:szCs w:val="24"/>
        </w:rPr>
      </w:pPr>
    </w:p>
    <w:p w14:paraId="098647A2" w14:textId="77777777" w:rsidR="0067338B" w:rsidRPr="00C64727" w:rsidRDefault="0067338B">
      <w:pPr>
        <w:jc w:val="both"/>
        <w:rPr>
          <w:rFonts w:ascii="Times New Roman" w:hAnsi="Times New Roman"/>
          <w:sz w:val="24"/>
          <w:szCs w:val="24"/>
        </w:rPr>
      </w:pPr>
    </w:p>
    <w:p w14:paraId="7F76D5E2" w14:textId="77777777" w:rsidR="0067338B" w:rsidRPr="00C64727" w:rsidRDefault="0067338B">
      <w:pPr>
        <w:jc w:val="both"/>
        <w:rPr>
          <w:rFonts w:ascii="Times New Roman" w:hAnsi="Times New Roman"/>
          <w:sz w:val="24"/>
          <w:szCs w:val="24"/>
        </w:rPr>
      </w:pPr>
    </w:p>
    <w:p w14:paraId="0DE6664D" w14:textId="4CC64989" w:rsidR="0067338B" w:rsidRPr="00C64727" w:rsidRDefault="0067338B">
      <w:pPr>
        <w:jc w:val="both"/>
        <w:rPr>
          <w:rFonts w:ascii="Times New Roman" w:hAnsi="Times New Roman"/>
          <w:sz w:val="24"/>
          <w:szCs w:val="24"/>
        </w:rPr>
      </w:pPr>
    </w:p>
    <w:p w14:paraId="5AEF46F4" w14:textId="77777777" w:rsidR="0067338B" w:rsidRPr="00C64727" w:rsidRDefault="0067338B">
      <w:pPr>
        <w:jc w:val="both"/>
        <w:rPr>
          <w:rFonts w:ascii="Times New Roman" w:hAnsi="Times New Roman"/>
          <w:sz w:val="24"/>
          <w:szCs w:val="24"/>
        </w:rPr>
      </w:pPr>
    </w:p>
    <w:p w14:paraId="2881D436" w14:textId="77777777" w:rsidR="0067338B" w:rsidRPr="00C64727" w:rsidRDefault="00A52F4C">
      <w:pPr>
        <w:pStyle w:val="Heading4"/>
        <w:spacing w:before="0" w:after="200"/>
        <w:ind w:left="1080"/>
        <w:rPr>
          <w:szCs w:val="24"/>
          <w:highlight w:val="yellow"/>
        </w:rPr>
      </w:pPr>
      <w:bookmarkStart w:id="13" w:name="_Toc24093090"/>
      <w:r w:rsidRPr="00C64727">
        <w:rPr>
          <w:szCs w:val="24"/>
        </w:rPr>
        <w:t>3.1.2.3. A közvetett szén-dioxid-kibocsátási költségek kompenzációja</w:t>
      </w:r>
      <w:bookmarkEnd w:id="13"/>
    </w:p>
    <w:p w14:paraId="17B6DFBB" w14:textId="77777777" w:rsidR="0067338B" w:rsidRPr="00C64727" w:rsidRDefault="0067338B">
      <w:pPr>
        <w:spacing w:after="0"/>
        <w:rPr>
          <w:rFonts w:ascii="Times New Roman" w:hAnsi="Times New Roman"/>
          <w:b/>
          <w:bCs/>
          <w:sz w:val="24"/>
          <w:szCs w:val="24"/>
        </w:rPr>
      </w:pPr>
    </w:p>
    <w:p w14:paraId="5DB1C0AE" w14:textId="77777777" w:rsidR="0067338B" w:rsidRPr="00C64727" w:rsidRDefault="00E07823">
      <w:pPr>
        <w:spacing w:after="0"/>
        <w:rPr>
          <w:rFonts w:ascii="Times New Roman" w:hAnsi="Times New Roman"/>
          <w:b/>
          <w:bCs/>
          <w:sz w:val="24"/>
          <w:szCs w:val="24"/>
        </w:rPr>
      </w:pPr>
      <w:r w:rsidRPr="00C64727">
        <w:rPr>
          <w:rFonts w:ascii="Times New Roman" w:hAnsi="Times New Roman"/>
          <w:noProof/>
          <w:sz w:val="24"/>
          <w:szCs w:val="24"/>
          <w:lang w:val="en-GB" w:eastAsia="en-GB"/>
        </w:rPr>
        <mc:AlternateContent>
          <mc:Choice Requires="wps">
            <w:drawing>
              <wp:inline distT="0" distB="0" distL="0" distR="0" wp14:anchorId="317F329C" wp14:editId="28364A52">
                <wp:extent cx="5720486" cy="4854222"/>
                <wp:effectExtent l="0" t="0" r="13970" b="2286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486" cy="4854222"/>
                        </a:xfrm>
                        <a:prstGeom prst="rect">
                          <a:avLst/>
                        </a:prstGeom>
                        <a:solidFill>
                          <a:sysClr val="window" lastClr="FFFFFF">
                            <a:lumMod val="85000"/>
                          </a:sysClr>
                        </a:solidFill>
                        <a:ln w="12700">
                          <a:solidFill>
                            <a:srgbClr val="000000"/>
                          </a:solidFill>
                          <a:miter lim="800000"/>
                          <a:headEnd/>
                          <a:tailEnd/>
                        </a:ln>
                      </wps:spPr>
                      <wps:txbx>
                        <w:txbxContent>
                          <w:p w14:paraId="09987BE3" w14:textId="77777777" w:rsidR="0067338B" w:rsidRPr="00C64727" w:rsidRDefault="00516F65">
                            <w:pPr>
                              <w:jc w:val="both"/>
                              <w:rPr>
                                <w:rFonts w:ascii="Times New Roman" w:hAnsi="Times New Roman"/>
                                <w:sz w:val="24"/>
                                <w:szCs w:val="24"/>
                              </w:rPr>
                            </w:pPr>
                            <w:r w:rsidRPr="00C64727">
                              <w:rPr>
                                <w:rFonts w:ascii="Times New Roman" w:hAnsi="Times New Roman"/>
                                <w:sz w:val="24"/>
                                <w:szCs w:val="24"/>
                              </w:rPr>
                              <w:t xml:space="preserve">A közvetlen szén-dioxid-kibocsátási költségek fedezésére szolgáló ingyenes kiosztáson túlmenően az uniós tagállamok állami támogatást nyújthatnak, hogy kompenzálják egyes villamosenergia-intenzív iparágak közvetett szén-dioxid-kibocsátási költségeit, azaz a villamosenergia-árak abból eredő emelkedése miatti költségeket, hogy a villamosenergia-termelők a kibocsátási egységek megvásárlásának a költségeit továbbhárítják a fogyasztókra. </w:t>
                            </w:r>
                          </w:p>
                          <w:p w14:paraId="39D56837" w14:textId="77777777" w:rsidR="0067338B" w:rsidRPr="00C64727" w:rsidRDefault="00516F65">
                            <w:pPr>
                              <w:jc w:val="both"/>
                              <w:rPr>
                                <w:rFonts w:ascii="Times New Roman" w:hAnsi="Times New Roman"/>
                                <w:sz w:val="24"/>
                                <w:szCs w:val="24"/>
                              </w:rPr>
                            </w:pPr>
                            <w:r w:rsidRPr="00C64727">
                              <w:rPr>
                                <w:rFonts w:ascii="Times New Roman" w:hAnsi="Times New Roman"/>
                                <w:sz w:val="24"/>
                                <w:szCs w:val="24"/>
                              </w:rPr>
                              <w:t xml:space="preserve">A közvetett szén-dioxid-kibocsátási költségek kompenzációja tagállamok közötti harmonizált alkalmazásának biztosítása, illetve a belső piaci versenytorzulások minimalizálása érdekében a Bizottság iránymutatást* adott ki az EU ETS-hez kapcsolódó állami támogatások tekintetében, amely 2020 végéig érvényes. Az iránymutatás többek között meghatározza a támogatható ágazatokat és a közvetett szén-dioxid-kibocsátási költségek kompenzációjának maximális összegeit. </w:t>
                            </w:r>
                          </w:p>
                          <w:p w14:paraId="4B0BDB06" w14:textId="77777777" w:rsidR="0067338B" w:rsidRPr="00C64727" w:rsidRDefault="00516F65">
                            <w:pPr>
                              <w:jc w:val="both"/>
                              <w:rPr>
                                <w:rFonts w:ascii="Times New Roman" w:hAnsi="Times New Roman"/>
                                <w:sz w:val="24"/>
                                <w:szCs w:val="24"/>
                              </w:rPr>
                            </w:pPr>
                            <w:r w:rsidRPr="00C64727">
                              <w:rPr>
                                <w:rFonts w:ascii="Times New Roman" w:hAnsi="Times New Roman"/>
                                <w:sz w:val="24"/>
                                <w:szCs w:val="24"/>
                              </w:rPr>
                              <w:t>A felülvizsgált EU ETS irányelv lehetővé teszi a tagállamok számára, hogy a 4. szakaszban folytassák a közvetett szén-dioxid-kibocsátási költségek kompenzálását, és ezt bővített átláthatósági és jelentéstételi rendelkezésekkel egészíti ki. Tekintettel erre a Bizottság kezdeményezte az EU ETS-hez kapcsolódó állami támogatásokra vonatkozó iránymutatás felülvizsgálatát a következő kereskedési időszakra (lásd a melléklet 7. függelékét). A folyamat részeként az érdekelt felekkel és a tagállamokkal 2019 elején folytatott konzultációk alapján a Bizottság felül fogja vizsgálni mind a támogatható ágazatok listáját, mind a maximális támogatási összegeket meghatározó tényezőket.</w:t>
                            </w:r>
                          </w:p>
                          <w:p w14:paraId="20DE553D" w14:textId="6927CD3D" w:rsidR="0067338B" w:rsidRDefault="00516F65">
                            <w:pPr>
                              <w:jc w:val="both"/>
                              <w:rPr>
                                <w:rFonts w:ascii="Times New Roman" w:hAnsi="Times New Roman"/>
                                <w:sz w:val="18"/>
                                <w:szCs w:val="18"/>
                              </w:rPr>
                            </w:pPr>
                            <w:r>
                              <w:rPr>
                                <w:rFonts w:ascii="Times New Roman" w:hAnsi="Times New Roman"/>
                                <w:sz w:val="18"/>
                                <w:szCs w:val="18"/>
                              </w:rPr>
                              <w:t>* Iránymutatás az üvegházhatású gázok kibocsátási egységei 2012 utáni kereskedelmi rendszerének kontextusában hozott egyes állami támogatási intézkedésekhez, HL C 158., 2012.6.5., 4. o.</w:t>
                            </w:r>
                          </w:p>
                        </w:txbxContent>
                      </wps:txbx>
                      <wps:bodyPr rot="0" vert="horz" wrap="square" lIns="91440" tIns="45720" rIns="91440" bIns="45720" anchor="t" anchorCtr="0">
                        <a:noAutofit/>
                      </wps:bodyPr>
                    </wps:wsp>
                  </a:graphicData>
                </a:graphic>
              </wp:inline>
            </w:drawing>
          </mc:Choice>
          <mc:Fallback>
            <w:pict>
              <v:shape w14:anchorId="317F329C" id="Text Box 7" o:spid="_x0000_s1032" type="#_x0000_t202" style="width:450.45pt;height:38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" fillcolor="#d9d9d9" strokeweight="1pt">
                <v:textbox>
                  <w:txbxContent>
                    <w:p w14:paraId="09987BE3" w14:textId="77777777" w:rsidR="0067338B" w:rsidRPr="00C64727" w:rsidRDefault="00516F65">
                      <w:pPr>
                        <w:jc w:val="both"/>
                        <w:rPr>
                          <w:rFonts w:ascii="Times New Roman" w:hAnsi="Times New Roman"/>
                          <w:sz w:val="24"/>
                          <w:szCs w:val="24"/>
                        </w:rPr>
                      </w:pPr>
                      <w:r w:rsidRPr="00C64727">
                        <w:rPr>
                          <w:rFonts w:ascii="Times New Roman" w:hAnsi="Times New Roman"/>
                          <w:sz w:val="24"/>
                          <w:szCs w:val="24"/>
                        </w:rPr>
                        <w:t xml:space="preserve">A közvetlen szén-dioxid-kibocsátási költségek fedezésére szolgáló ingyenes kiosztáson túlmenően az uniós tagállamok állami támogatást nyújthatnak, hogy kompenzálják egyes villamosenergia-intenzív iparágak közvetett szén-dioxid-kibocsátási költségeit, azaz a villamosenergia-árak abból eredő emelkedése miatti költségeket, hogy a villamosenergia-termelők a kibocsátási egységek megvásárlásának a költségeit továbbhárítják a fogyasztókra. </w:t>
                      </w:r>
                    </w:p>
                    <w:p w14:paraId="39D56837" w14:textId="77777777" w:rsidR="0067338B" w:rsidRPr="00C64727" w:rsidRDefault="00516F65">
                      <w:pPr>
                        <w:jc w:val="both"/>
                        <w:rPr>
                          <w:rFonts w:ascii="Times New Roman" w:hAnsi="Times New Roman"/>
                          <w:sz w:val="24"/>
                          <w:szCs w:val="24"/>
                        </w:rPr>
                      </w:pPr>
                      <w:r w:rsidRPr="00C64727">
                        <w:rPr>
                          <w:rFonts w:ascii="Times New Roman" w:hAnsi="Times New Roman"/>
                          <w:sz w:val="24"/>
                          <w:szCs w:val="24"/>
                        </w:rPr>
                        <w:t xml:space="preserve">A közvetett szén-dioxid-kibocsátási költségek kompenzációja tagállamok közötti harmonizált alkalmazásának biztosítása, illetve a belső piaci versenytorzulások minimalizálása érdekében a Bizottság iránymutatást* adott ki az EU ETS-hez kapcsolódó állami támogatások tekintetében, amely 2020 végéig érvényes. Az iránymutatás többek között meghatározza a támogatható ágazatokat és a közvetett szén-dioxid-kibocsátási költségek kompenzációjának maximális összegeit. </w:t>
                      </w:r>
                    </w:p>
                    <w:p w14:paraId="4B0BDB06" w14:textId="77777777" w:rsidR="0067338B" w:rsidRPr="00C64727" w:rsidRDefault="00516F65">
                      <w:pPr>
                        <w:jc w:val="both"/>
                        <w:rPr>
                          <w:rFonts w:ascii="Times New Roman" w:hAnsi="Times New Roman"/>
                          <w:sz w:val="24"/>
                          <w:szCs w:val="24"/>
                        </w:rPr>
                      </w:pPr>
                      <w:r w:rsidRPr="00C64727">
                        <w:rPr>
                          <w:rFonts w:ascii="Times New Roman" w:hAnsi="Times New Roman"/>
                          <w:sz w:val="24"/>
                          <w:szCs w:val="24"/>
                        </w:rPr>
                        <w:t>A felülvizsgált EU ETS irányelv lehetővé teszi a tagállamok számára, hogy a 4. szakaszban folytassák a közvetett szén-dioxid-kibocsátási költségek kompenzálását, és ezt bővített átláthatósági és jelentéstételi rendelkezésekkel egészíti ki. Tekintettel erre a Bizottság kezdeményezte az EU ETS-hez kapcsolódó állami támogatásokra vonatkozó iránymutatás felülvizsgálatát a következő kereskedési időszakra (lásd a melléklet 7. függelékét). A folyamat részeként az érdekelt felekkel és a tagállamokkal 2019 elején folytatott konzultációk alapján a Bizottság felül fogja vizsgálni mind a támogatható ágazatok listáját, mind a maximális támogatási összegeket meghatározó tényezőket.</w:t>
                      </w:r>
                    </w:p>
                    <w:p w14:paraId="20DE553D" w14:textId="6927CD3D" w:rsidR="0067338B" w:rsidRDefault="00516F65">
                      <w:pPr>
                        <w:jc w:val="both"/>
                        <w:rPr>
                          <w:rFonts w:ascii="Times New Roman" w:hAnsi="Times New Roman"/>
                          <w:sz w:val="18"/>
                          <w:szCs w:val="18"/>
                        </w:rPr>
                      </w:pPr>
                      <w:r>
                        <w:rPr>
                          <w:rFonts w:ascii="Times New Roman" w:hAnsi="Times New Roman"/>
                          <w:sz w:val="18"/>
                          <w:szCs w:val="18"/>
                        </w:rPr>
                        <w:t>* Iránymutatás az üvegházhatású gázok kibocsátási egységei 2012 utáni kereskedelmi rendszerének kontextusában hozott egyes állami támogatási intézkedésekhez, HL C 158., 2012.6.5., 4. o.</w:t>
                      </w:r>
                    </w:p>
                  </w:txbxContent>
                </v:textbox>
                <w10:anchorlock/>
              </v:shape>
            </w:pict>
          </mc:Fallback>
        </mc:AlternateContent>
      </w:r>
    </w:p>
    <w:p w14:paraId="0739B273" w14:textId="77777777" w:rsidR="0067338B" w:rsidRPr="00C64727" w:rsidRDefault="0067338B">
      <w:pPr>
        <w:jc w:val="both"/>
        <w:rPr>
          <w:rFonts w:ascii="Times New Roman" w:eastAsia="Times New Roman" w:hAnsi="Times New Roman"/>
          <w:sz w:val="24"/>
          <w:szCs w:val="24"/>
        </w:rPr>
      </w:pPr>
    </w:p>
    <w:p w14:paraId="4B7F9415" w14:textId="77777777" w:rsidR="0067338B" w:rsidRPr="00C64727" w:rsidRDefault="00E07823">
      <w:pPr>
        <w:jc w:val="both"/>
        <w:rPr>
          <w:rFonts w:ascii="Times New Roman" w:eastAsia="Times New Roman" w:hAnsi="Times New Roman"/>
          <w:sz w:val="24"/>
          <w:szCs w:val="24"/>
        </w:rPr>
      </w:pPr>
      <w:r w:rsidRPr="00C64727">
        <w:rPr>
          <w:rFonts w:ascii="Times New Roman" w:hAnsi="Times New Roman"/>
          <w:sz w:val="24"/>
          <w:szCs w:val="24"/>
        </w:rPr>
        <w:t>A Bizottság eddig 13</w:t>
      </w:r>
      <w:r w:rsidRPr="00C64727">
        <w:rPr>
          <w:rStyle w:val="FootnoteReference"/>
          <w:rFonts w:ascii="Times New Roman" w:eastAsia="Times New Roman" w:hAnsi="Times New Roman"/>
          <w:sz w:val="24"/>
          <w:szCs w:val="24"/>
        </w:rPr>
        <w:footnoteReference w:id="29"/>
      </w:r>
      <w:r w:rsidRPr="00C64727">
        <w:rPr>
          <w:rFonts w:ascii="Times New Roman" w:hAnsi="Times New Roman"/>
          <w:sz w:val="24"/>
          <w:szCs w:val="24"/>
        </w:rPr>
        <w:t xml:space="preserve">, a közvetett szén-dioxid-kibocsátási költségek kompenzálására szolgáló programot hagyott jóvá 12 tagállamban. 2018-ban a vallóniai és a luxemburgi program első alkalommal fizetett ki kompenzációt. A spanyol kormány a program felülvizsgálatát jelentette be a Bizottságnak a költségvetése növelése érdekében. 2019-ben Lengyelország intézkedéstervezetet jelentett be a Bizottságnak és állami támogatásra vonatkozó jóváhagyást kapott egy olyan rendszerre, amely 2020-ban kezdi meg a támogatások kifizetését a 2019-ben felmerült közvetett költségekre. </w:t>
      </w:r>
    </w:p>
    <w:p w14:paraId="7860CD35" w14:textId="77777777" w:rsidR="0067338B" w:rsidRPr="00C64727" w:rsidRDefault="00E07823">
      <w:pPr>
        <w:jc w:val="both"/>
        <w:rPr>
          <w:rFonts w:ascii="Times New Roman" w:eastAsia="Times New Roman" w:hAnsi="Times New Roman"/>
          <w:sz w:val="24"/>
          <w:szCs w:val="24"/>
        </w:rPr>
      </w:pPr>
      <w:r w:rsidRPr="00C64727">
        <w:rPr>
          <w:rFonts w:ascii="Times New Roman" w:hAnsi="Times New Roman"/>
          <w:sz w:val="24"/>
          <w:szCs w:val="24"/>
        </w:rPr>
        <w:t>Az EU ETS irányelv meghatározza, hogy azoknak a tagállamoknak, amelyekben a közvetett költségek kompenzálására vonatkozó rendszer működik, minden év vége előtt három hónappal könnyen hozzáférhető formában közzé kell tenniük a kompenzáció teljes összegét, valamint annak a kedvezményezett ágazatonkénti vagy alágazatonkénti bontását.</w:t>
      </w:r>
    </w:p>
    <w:p w14:paraId="34AD5374" w14:textId="77777777" w:rsidR="0067338B" w:rsidRPr="00C64727" w:rsidRDefault="00E07823">
      <w:pPr>
        <w:jc w:val="both"/>
        <w:rPr>
          <w:rFonts w:ascii="Times New Roman" w:eastAsia="Times New Roman" w:hAnsi="Times New Roman"/>
          <w:sz w:val="24"/>
          <w:szCs w:val="24"/>
        </w:rPr>
      </w:pPr>
      <w:r w:rsidRPr="00C64727">
        <w:rPr>
          <w:rFonts w:ascii="Times New Roman" w:hAnsi="Times New Roman"/>
          <w:sz w:val="24"/>
          <w:szCs w:val="24"/>
        </w:rPr>
        <w:t xml:space="preserve">A tagállamok 2018-ban kifizetett kompenzációiról közzétett adatokat a 4. táblázat ismerteti. </w:t>
      </w:r>
    </w:p>
    <w:p w14:paraId="316F874E" w14:textId="77777777" w:rsidR="0067338B" w:rsidRPr="00C64727" w:rsidRDefault="0067338B">
      <w:pPr>
        <w:jc w:val="both"/>
        <w:rPr>
          <w:rFonts w:ascii="Times New Roman" w:eastAsia="Times New Roman" w:hAnsi="Times New Roman"/>
          <w:sz w:val="24"/>
          <w:szCs w:val="24"/>
          <w:highlight w:val="yellow"/>
        </w:rPr>
      </w:pPr>
    </w:p>
    <w:p w14:paraId="1EA689CA" w14:textId="77777777" w:rsidR="0067338B" w:rsidRPr="00C64727" w:rsidRDefault="00E07823">
      <w:pPr>
        <w:jc w:val="both"/>
        <w:rPr>
          <w:rFonts w:ascii="Times New Roman" w:eastAsia="Times New Roman" w:hAnsi="Times New Roman"/>
          <w:b/>
        </w:rPr>
      </w:pPr>
      <w:r w:rsidRPr="00C64727">
        <w:rPr>
          <w:rFonts w:ascii="Times New Roman" w:hAnsi="Times New Roman"/>
          <w:b/>
        </w:rPr>
        <w:t>4. táblázat: A tagállamok által a közvetett szén-dioxid-kibocsátási költségek kompenzálása céljából 2018-ban kifizetett összegek</w:t>
      </w:r>
      <w:r w:rsidRPr="00C64727">
        <w:rPr>
          <w:rStyle w:val="FootnoteReference"/>
          <w:rFonts w:ascii="Times New Roman" w:eastAsia="Times New Roman" w:hAnsi="Times New Roman"/>
          <w:b/>
        </w:rPr>
        <w:footnoteReference w:id="30"/>
      </w:r>
    </w:p>
    <w:tbl>
      <w:tblPr>
        <w:tblW w:w="4855"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44"/>
        <w:gridCol w:w="1216"/>
        <w:gridCol w:w="1339"/>
        <w:gridCol w:w="1916"/>
        <w:gridCol w:w="1194"/>
        <w:gridCol w:w="1616"/>
      </w:tblGrid>
      <w:tr w:rsidR="0067338B" w:rsidRPr="00C64727" w14:paraId="06757829" w14:textId="77777777" w:rsidTr="00516F65">
        <w:trPr>
          <w:trHeight w:val="1019"/>
          <w:jc w:val="center"/>
        </w:trPr>
        <w:tc>
          <w:tcPr>
            <w:tcW w:w="492" w:type="pct"/>
            <w:tcBorders>
              <w:bottom w:val="double" w:sz="4" w:space="0" w:color="auto"/>
            </w:tcBorders>
            <w:shd w:val="clear" w:color="000000" w:fill="D9D9D9"/>
            <w:vAlign w:val="center"/>
            <w:hideMark/>
          </w:tcPr>
          <w:p w14:paraId="7600C4AD" w14:textId="77777777" w:rsidR="0067338B" w:rsidRPr="00C64727" w:rsidRDefault="00E07823">
            <w:pPr>
              <w:spacing w:after="0" w:line="240" w:lineRule="auto"/>
              <w:jc w:val="center"/>
              <w:rPr>
                <w:rFonts w:ascii="Times New Roman" w:eastAsia="Times New Roman" w:hAnsi="Times New Roman"/>
                <w:b/>
                <w:bCs/>
                <w:color w:val="000000"/>
                <w:sz w:val="20"/>
                <w:szCs w:val="20"/>
              </w:rPr>
            </w:pPr>
            <w:r w:rsidRPr="00C64727">
              <w:rPr>
                <w:rFonts w:ascii="Times New Roman" w:hAnsi="Times New Roman"/>
                <w:b/>
                <w:bCs/>
                <w:sz w:val="20"/>
                <w:szCs w:val="20"/>
              </w:rPr>
              <w:t>Tagállam</w:t>
            </w:r>
          </w:p>
        </w:tc>
        <w:tc>
          <w:tcPr>
            <w:tcW w:w="647" w:type="pct"/>
            <w:tcBorders>
              <w:bottom w:val="double" w:sz="4" w:space="0" w:color="auto"/>
            </w:tcBorders>
            <w:shd w:val="clear" w:color="000000" w:fill="D9D9D9"/>
            <w:vAlign w:val="center"/>
            <w:hideMark/>
          </w:tcPr>
          <w:p w14:paraId="168606D4" w14:textId="77777777" w:rsidR="0067338B" w:rsidRPr="00C64727" w:rsidRDefault="00E07823">
            <w:pPr>
              <w:spacing w:after="0" w:line="240" w:lineRule="auto"/>
              <w:jc w:val="center"/>
              <w:rPr>
                <w:rFonts w:ascii="Times New Roman" w:eastAsia="Times New Roman" w:hAnsi="Times New Roman"/>
                <w:b/>
                <w:bCs/>
                <w:color w:val="000000"/>
                <w:sz w:val="20"/>
                <w:szCs w:val="20"/>
              </w:rPr>
            </w:pPr>
            <w:r w:rsidRPr="00C64727">
              <w:rPr>
                <w:rFonts w:ascii="Times New Roman" w:hAnsi="Times New Roman"/>
                <w:b/>
                <w:bCs/>
                <w:sz w:val="20"/>
                <w:szCs w:val="20"/>
              </w:rPr>
              <w:t>A támogatási rendszer időtartama</w:t>
            </w:r>
          </w:p>
        </w:tc>
        <w:tc>
          <w:tcPr>
            <w:tcW w:w="995" w:type="pct"/>
            <w:tcBorders>
              <w:bottom w:val="double" w:sz="4" w:space="0" w:color="auto"/>
            </w:tcBorders>
            <w:shd w:val="clear" w:color="000000" w:fill="D9D9D9"/>
            <w:vAlign w:val="center"/>
            <w:hideMark/>
          </w:tcPr>
          <w:p w14:paraId="2EC0AEBC" w14:textId="77777777" w:rsidR="0067338B" w:rsidRPr="00C64727" w:rsidRDefault="00E07823">
            <w:pPr>
              <w:spacing w:after="0" w:line="240" w:lineRule="auto"/>
              <w:jc w:val="center"/>
              <w:rPr>
                <w:rFonts w:ascii="Times New Roman" w:eastAsia="Times New Roman" w:hAnsi="Times New Roman"/>
                <w:b/>
                <w:bCs/>
                <w:color w:val="000000"/>
                <w:sz w:val="20"/>
                <w:szCs w:val="20"/>
              </w:rPr>
            </w:pPr>
            <w:r w:rsidRPr="00C64727">
              <w:rPr>
                <w:rFonts w:ascii="Times New Roman" w:hAnsi="Times New Roman"/>
                <w:b/>
                <w:bCs/>
                <w:sz w:val="20"/>
                <w:szCs w:val="20"/>
              </w:rPr>
              <w:t>A 2017-ben felmerült közvetett költségekre 2018-ban kifizetett kompenzáció (millió EUR)</w:t>
            </w:r>
          </w:p>
        </w:tc>
        <w:tc>
          <w:tcPr>
            <w:tcW w:w="764" w:type="pct"/>
            <w:tcBorders>
              <w:bottom w:val="double" w:sz="4" w:space="0" w:color="auto"/>
            </w:tcBorders>
            <w:shd w:val="clear" w:color="000000" w:fill="D9D9D9"/>
            <w:vAlign w:val="center"/>
            <w:hideMark/>
          </w:tcPr>
          <w:p w14:paraId="30FC3338" w14:textId="77777777" w:rsidR="0067338B" w:rsidRPr="00C64727" w:rsidRDefault="00E07823">
            <w:pPr>
              <w:spacing w:after="0" w:line="240" w:lineRule="auto"/>
              <w:jc w:val="center"/>
              <w:rPr>
                <w:rFonts w:ascii="Times New Roman" w:eastAsia="Times New Roman" w:hAnsi="Times New Roman"/>
                <w:b/>
                <w:bCs/>
                <w:color w:val="000000"/>
                <w:sz w:val="20"/>
                <w:szCs w:val="20"/>
              </w:rPr>
            </w:pPr>
            <w:r w:rsidRPr="00C64727">
              <w:rPr>
                <w:rFonts w:ascii="Times New Roman" w:hAnsi="Times New Roman"/>
                <w:b/>
                <w:bCs/>
                <w:sz w:val="20"/>
                <w:szCs w:val="20"/>
              </w:rPr>
              <w:t>Kedvezményezettek (létesítmények) száma</w:t>
            </w:r>
          </w:p>
        </w:tc>
        <w:tc>
          <w:tcPr>
            <w:tcW w:w="1073" w:type="pct"/>
            <w:tcBorders>
              <w:bottom w:val="double" w:sz="4" w:space="0" w:color="auto"/>
            </w:tcBorders>
            <w:shd w:val="clear" w:color="000000" w:fill="D9D9D9"/>
            <w:vAlign w:val="center"/>
            <w:hideMark/>
          </w:tcPr>
          <w:p w14:paraId="5645CBC7" w14:textId="77777777" w:rsidR="0067338B" w:rsidRPr="00C64727" w:rsidRDefault="00E07823">
            <w:pPr>
              <w:spacing w:after="0" w:line="240" w:lineRule="auto"/>
              <w:jc w:val="center"/>
              <w:rPr>
                <w:rFonts w:ascii="Times New Roman" w:eastAsia="Times New Roman" w:hAnsi="Times New Roman"/>
                <w:b/>
                <w:bCs/>
                <w:color w:val="000000"/>
                <w:sz w:val="20"/>
                <w:szCs w:val="20"/>
              </w:rPr>
            </w:pPr>
            <w:r w:rsidRPr="00C64727">
              <w:rPr>
                <w:rFonts w:ascii="Times New Roman" w:hAnsi="Times New Roman"/>
                <w:b/>
                <w:bCs/>
                <w:sz w:val="20"/>
                <w:szCs w:val="20"/>
              </w:rPr>
              <w:t>Árverési bevételek 2017-ben (a légi közlekedési kibocsátási egység kivételével, millió EUR)</w:t>
            </w:r>
          </w:p>
        </w:tc>
        <w:tc>
          <w:tcPr>
            <w:tcW w:w="1029" w:type="pct"/>
            <w:tcBorders>
              <w:bottom w:val="double" w:sz="4" w:space="0" w:color="auto"/>
            </w:tcBorders>
            <w:shd w:val="clear" w:color="000000" w:fill="D9D9D9"/>
            <w:vAlign w:val="center"/>
            <w:hideMark/>
          </w:tcPr>
          <w:p w14:paraId="4EA7625D" w14:textId="77777777" w:rsidR="0067338B" w:rsidRPr="00C64727" w:rsidRDefault="00E07823">
            <w:pPr>
              <w:spacing w:after="0" w:line="240" w:lineRule="auto"/>
              <w:jc w:val="center"/>
              <w:rPr>
                <w:rFonts w:ascii="Times New Roman" w:eastAsia="Times New Roman" w:hAnsi="Times New Roman"/>
                <w:b/>
                <w:bCs/>
                <w:color w:val="000000"/>
                <w:sz w:val="20"/>
                <w:szCs w:val="20"/>
              </w:rPr>
            </w:pPr>
            <w:r w:rsidRPr="00C64727">
              <w:rPr>
                <w:rFonts w:ascii="Times New Roman" w:hAnsi="Times New Roman"/>
                <w:b/>
                <w:bCs/>
                <w:sz w:val="20"/>
                <w:szCs w:val="20"/>
              </w:rPr>
              <w:t>A közvetett költségek kompenzálására fordított árverési bevételek aránya</w:t>
            </w:r>
          </w:p>
        </w:tc>
      </w:tr>
      <w:tr w:rsidR="0067338B" w:rsidRPr="00C64727" w14:paraId="1FFB60A8" w14:textId="77777777" w:rsidTr="00516F65">
        <w:trPr>
          <w:trHeight w:val="764"/>
          <w:jc w:val="center"/>
        </w:trPr>
        <w:tc>
          <w:tcPr>
            <w:tcW w:w="492" w:type="pct"/>
            <w:shd w:val="clear" w:color="auto" w:fill="auto"/>
            <w:noWrap/>
            <w:vAlign w:val="center"/>
            <w:hideMark/>
          </w:tcPr>
          <w:p w14:paraId="638F5F5C"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Egyesült Királyság</w:t>
            </w:r>
          </w:p>
        </w:tc>
        <w:tc>
          <w:tcPr>
            <w:tcW w:w="647" w:type="pct"/>
            <w:shd w:val="clear" w:color="auto" w:fill="auto"/>
            <w:noWrap/>
            <w:vAlign w:val="center"/>
            <w:hideMark/>
          </w:tcPr>
          <w:p w14:paraId="0E4A3B8B"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2013 – 2020</w:t>
            </w:r>
          </w:p>
        </w:tc>
        <w:tc>
          <w:tcPr>
            <w:tcW w:w="995" w:type="pct"/>
            <w:shd w:val="clear" w:color="auto" w:fill="auto"/>
            <w:vAlign w:val="center"/>
            <w:hideMark/>
          </w:tcPr>
          <w:p w14:paraId="50DB0548"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22,36</w:t>
            </w:r>
            <w:r w:rsidRPr="00C64727">
              <w:rPr>
                <w:rStyle w:val="FootnoteReference"/>
                <w:rFonts w:ascii="Times New Roman" w:eastAsia="Times New Roman" w:hAnsi="Times New Roman"/>
                <w:sz w:val="20"/>
                <w:szCs w:val="20"/>
              </w:rPr>
              <w:footnoteReference w:id="31"/>
            </w:r>
          </w:p>
        </w:tc>
        <w:tc>
          <w:tcPr>
            <w:tcW w:w="764" w:type="pct"/>
            <w:shd w:val="clear" w:color="auto" w:fill="auto"/>
            <w:vAlign w:val="center"/>
            <w:hideMark/>
          </w:tcPr>
          <w:p w14:paraId="7D66876D"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60</w:t>
            </w:r>
            <w:r w:rsidRPr="00C64727">
              <w:rPr>
                <w:rStyle w:val="FootnoteReference"/>
                <w:rFonts w:ascii="Times New Roman" w:eastAsia="Times New Roman" w:hAnsi="Times New Roman"/>
                <w:sz w:val="20"/>
                <w:szCs w:val="20"/>
              </w:rPr>
              <w:footnoteReference w:id="32"/>
            </w:r>
          </w:p>
        </w:tc>
        <w:tc>
          <w:tcPr>
            <w:tcW w:w="1073" w:type="pct"/>
            <w:shd w:val="clear" w:color="auto" w:fill="auto"/>
            <w:vAlign w:val="center"/>
            <w:hideMark/>
          </w:tcPr>
          <w:p w14:paraId="61664C7E" w14:textId="77777777" w:rsidR="0067338B" w:rsidRPr="00C64727" w:rsidRDefault="00513707">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1607</w:t>
            </w:r>
            <w:r w:rsidRPr="00C64727">
              <w:rPr>
                <w:rStyle w:val="FootnoteReference"/>
                <w:rFonts w:ascii="Times New Roman" w:eastAsia="Times New Roman" w:hAnsi="Times New Roman"/>
                <w:sz w:val="20"/>
                <w:szCs w:val="20"/>
              </w:rPr>
              <w:footnoteReference w:id="33"/>
            </w:r>
          </w:p>
        </w:tc>
        <w:tc>
          <w:tcPr>
            <w:tcW w:w="1029" w:type="pct"/>
            <w:shd w:val="clear" w:color="auto" w:fill="auto"/>
            <w:vAlign w:val="center"/>
            <w:hideMark/>
          </w:tcPr>
          <w:p w14:paraId="2C916D31"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3,7 %</w:t>
            </w:r>
          </w:p>
          <w:p w14:paraId="6216CE76" w14:textId="77777777" w:rsidR="0067338B" w:rsidRPr="00C64727" w:rsidRDefault="00E07823">
            <w:pPr>
              <w:spacing w:after="0" w:line="240" w:lineRule="auto"/>
              <w:rPr>
                <w:rFonts w:ascii="Times New Roman" w:eastAsia="Times New Roman" w:hAnsi="Times New Roman"/>
                <w:sz w:val="20"/>
                <w:szCs w:val="20"/>
              </w:rPr>
            </w:pPr>
            <w:r w:rsidRPr="00C64727">
              <w:rPr>
                <w:rFonts w:ascii="Times New Roman" w:hAnsi="Times New Roman"/>
                <w:sz w:val="20"/>
                <w:szCs w:val="20"/>
              </w:rPr>
              <w:t> </w:t>
            </w:r>
          </w:p>
        </w:tc>
      </w:tr>
      <w:tr w:rsidR="0067338B" w:rsidRPr="00C64727" w14:paraId="0978FDAA" w14:textId="77777777" w:rsidTr="00516F65">
        <w:trPr>
          <w:trHeight w:val="299"/>
          <w:jc w:val="center"/>
        </w:trPr>
        <w:tc>
          <w:tcPr>
            <w:tcW w:w="492" w:type="pct"/>
            <w:shd w:val="clear" w:color="auto" w:fill="auto"/>
            <w:noWrap/>
            <w:vAlign w:val="center"/>
            <w:hideMark/>
          </w:tcPr>
          <w:p w14:paraId="09B7D411"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DE</w:t>
            </w:r>
          </w:p>
        </w:tc>
        <w:tc>
          <w:tcPr>
            <w:tcW w:w="647" w:type="pct"/>
            <w:shd w:val="clear" w:color="auto" w:fill="auto"/>
            <w:noWrap/>
            <w:vAlign w:val="center"/>
            <w:hideMark/>
          </w:tcPr>
          <w:p w14:paraId="6C4F4B24"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2013 – 2020</w:t>
            </w:r>
          </w:p>
        </w:tc>
        <w:tc>
          <w:tcPr>
            <w:tcW w:w="995" w:type="pct"/>
            <w:shd w:val="clear" w:color="auto" w:fill="auto"/>
            <w:vAlign w:val="center"/>
            <w:hideMark/>
          </w:tcPr>
          <w:p w14:paraId="3902A268"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202</w:t>
            </w:r>
          </w:p>
        </w:tc>
        <w:tc>
          <w:tcPr>
            <w:tcW w:w="764" w:type="pct"/>
            <w:shd w:val="clear" w:color="auto" w:fill="auto"/>
            <w:vAlign w:val="center"/>
            <w:hideMark/>
          </w:tcPr>
          <w:p w14:paraId="351D5336"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891</w:t>
            </w:r>
          </w:p>
        </w:tc>
        <w:tc>
          <w:tcPr>
            <w:tcW w:w="1073" w:type="pct"/>
            <w:shd w:val="clear" w:color="auto" w:fill="auto"/>
            <w:vAlign w:val="center"/>
            <w:hideMark/>
          </w:tcPr>
          <w:p w14:paraId="410E19E1" w14:textId="77777777" w:rsidR="0067338B" w:rsidRPr="00C64727" w:rsidRDefault="00F92EFD">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1141,7</w:t>
            </w:r>
          </w:p>
        </w:tc>
        <w:tc>
          <w:tcPr>
            <w:tcW w:w="1029" w:type="pct"/>
            <w:shd w:val="clear" w:color="auto" w:fill="auto"/>
            <w:vAlign w:val="center"/>
            <w:hideMark/>
          </w:tcPr>
          <w:p w14:paraId="5503AFB8"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 17,6 %</w:t>
            </w:r>
          </w:p>
        </w:tc>
      </w:tr>
      <w:tr w:rsidR="0067338B" w:rsidRPr="00C64727" w14:paraId="25DF01F7" w14:textId="77777777" w:rsidTr="00516F65">
        <w:trPr>
          <w:trHeight w:val="299"/>
          <w:jc w:val="center"/>
        </w:trPr>
        <w:tc>
          <w:tcPr>
            <w:tcW w:w="492" w:type="pct"/>
            <w:shd w:val="clear" w:color="auto" w:fill="auto"/>
            <w:noWrap/>
            <w:vAlign w:val="center"/>
            <w:hideMark/>
          </w:tcPr>
          <w:p w14:paraId="01A811BE"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BE (FL)</w:t>
            </w:r>
          </w:p>
        </w:tc>
        <w:tc>
          <w:tcPr>
            <w:tcW w:w="647" w:type="pct"/>
            <w:shd w:val="clear" w:color="auto" w:fill="auto"/>
            <w:noWrap/>
            <w:vAlign w:val="center"/>
            <w:hideMark/>
          </w:tcPr>
          <w:p w14:paraId="27BD553B"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2013 – 2020</w:t>
            </w:r>
          </w:p>
        </w:tc>
        <w:tc>
          <w:tcPr>
            <w:tcW w:w="995" w:type="pct"/>
            <w:shd w:val="clear" w:color="auto" w:fill="auto"/>
            <w:vAlign w:val="center"/>
            <w:hideMark/>
          </w:tcPr>
          <w:p w14:paraId="257B7C8C" w14:textId="77777777" w:rsidR="0067338B" w:rsidRPr="00C64727" w:rsidRDefault="00F92EFD">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31,7</w:t>
            </w:r>
          </w:p>
        </w:tc>
        <w:tc>
          <w:tcPr>
            <w:tcW w:w="764" w:type="pct"/>
            <w:shd w:val="clear" w:color="auto" w:fill="auto"/>
            <w:vAlign w:val="center"/>
            <w:hideMark/>
          </w:tcPr>
          <w:p w14:paraId="0D65CA1C"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106 </w:t>
            </w:r>
          </w:p>
        </w:tc>
        <w:tc>
          <w:tcPr>
            <w:tcW w:w="1073" w:type="pct"/>
            <w:vMerge w:val="restart"/>
            <w:shd w:val="clear" w:color="auto" w:fill="auto"/>
            <w:vAlign w:val="center"/>
            <w:hideMark/>
          </w:tcPr>
          <w:p w14:paraId="15075BB2" w14:textId="77777777" w:rsidR="0067338B" w:rsidRPr="00C64727" w:rsidRDefault="00F92EFD">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143,5</w:t>
            </w:r>
          </w:p>
        </w:tc>
        <w:tc>
          <w:tcPr>
            <w:tcW w:w="1029" w:type="pct"/>
            <w:vMerge w:val="restart"/>
            <w:shd w:val="clear" w:color="auto" w:fill="auto"/>
            <w:vAlign w:val="center"/>
            <w:hideMark/>
          </w:tcPr>
          <w:p w14:paraId="56556A61"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27,3 %</w:t>
            </w:r>
          </w:p>
        </w:tc>
      </w:tr>
      <w:tr w:rsidR="0067338B" w:rsidRPr="00C64727" w14:paraId="0B7CA88F" w14:textId="77777777" w:rsidTr="00516F65">
        <w:trPr>
          <w:trHeight w:val="299"/>
          <w:jc w:val="center"/>
        </w:trPr>
        <w:tc>
          <w:tcPr>
            <w:tcW w:w="492" w:type="pct"/>
            <w:shd w:val="clear" w:color="auto" w:fill="auto"/>
            <w:noWrap/>
            <w:vAlign w:val="center"/>
            <w:hideMark/>
          </w:tcPr>
          <w:p w14:paraId="775B201E"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BE (WL)</w:t>
            </w:r>
          </w:p>
        </w:tc>
        <w:tc>
          <w:tcPr>
            <w:tcW w:w="647" w:type="pct"/>
            <w:shd w:val="clear" w:color="auto" w:fill="auto"/>
            <w:noWrap/>
            <w:vAlign w:val="center"/>
            <w:hideMark/>
          </w:tcPr>
          <w:p w14:paraId="7DEC125C"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2017 – 2020</w:t>
            </w:r>
          </w:p>
        </w:tc>
        <w:tc>
          <w:tcPr>
            <w:tcW w:w="995" w:type="pct"/>
            <w:shd w:val="clear" w:color="auto" w:fill="auto"/>
            <w:vAlign w:val="center"/>
            <w:hideMark/>
          </w:tcPr>
          <w:p w14:paraId="6489502D" w14:textId="77777777" w:rsidR="0067338B" w:rsidRPr="00C64727" w:rsidRDefault="00F92EFD">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7,5</w:t>
            </w:r>
          </w:p>
        </w:tc>
        <w:tc>
          <w:tcPr>
            <w:tcW w:w="764" w:type="pct"/>
            <w:shd w:val="clear" w:color="auto" w:fill="auto"/>
            <w:vAlign w:val="center"/>
            <w:hideMark/>
          </w:tcPr>
          <w:p w14:paraId="02D5B8D3"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30</w:t>
            </w:r>
          </w:p>
        </w:tc>
        <w:tc>
          <w:tcPr>
            <w:tcW w:w="1073" w:type="pct"/>
            <w:vMerge/>
            <w:shd w:val="clear" w:color="auto" w:fill="auto"/>
            <w:vAlign w:val="center"/>
            <w:hideMark/>
          </w:tcPr>
          <w:p w14:paraId="5C202E66" w14:textId="77777777" w:rsidR="0067338B" w:rsidRPr="00C64727" w:rsidRDefault="0067338B">
            <w:pPr>
              <w:spacing w:after="0" w:line="240" w:lineRule="auto"/>
              <w:rPr>
                <w:rFonts w:ascii="Times New Roman" w:eastAsia="Times New Roman" w:hAnsi="Times New Roman"/>
                <w:sz w:val="20"/>
                <w:szCs w:val="20"/>
              </w:rPr>
            </w:pPr>
          </w:p>
        </w:tc>
        <w:tc>
          <w:tcPr>
            <w:tcW w:w="1029" w:type="pct"/>
            <w:vMerge/>
            <w:shd w:val="clear" w:color="auto" w:fill="auto"/>
            <w:vAlign w:val="center"/>
            <w:hideMark/>
          </w:tcPr>
          <w:p w14:paraId="59A0DE4A" w14:textId="77777777" w:rsidR="0067338B" w:rsidRPr="00C64727" w:rsidRDefault="0067338B">
            <w:pPr>
              <w:spacing w:after="0" w:line="240" w:lineRule="auto"/>
              <w:rPr>
                <w:rFonts w:ascii="Times New Roman" w:eastAsia="Times New Roman" w:hAnsi="Times New Roman"/>
                <w:sz w:val="20"/>
                <w:szCs w:val="20"/>
              </w:rPr>
            </w:pPr>
          </w:p>
        </w:tc>
      </w:tr>
      <w:tr w:rsidR="0067338B" w:rsidRPr="00C64727" w14:paraId="0A5705B0" w14:textId="77777777" w:rsidTr="00516F65">
        <w:trPr>
          <w:trHeight w:val="299"/>
          <w:jc w:val="center"/>
        </w:trPr>
        <w:tc>
          <w:tcPr>
            <w:tcW w:w="492" w:type="pct"/>
            <w:shd w:val="clear" w:color="auto" w:fill="auto"/>
            <w:noWrap/>
            <w:vAlign w:val="center"/>
            <w:hideMark/>
          </w:tcPr>
          <w:p w14:paraId="485B2A19"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NL</w:t>
            </w:r>
          </w:p>
        </w:tc>
        <w:tc>
          <w:tcPr>
            <w:tcW w:w="647" w:type="pct"/>
            <w:shd w:val="clear" w:color="auto" w:fill="auto"/>
            <w:noWrap/>
            <w:vAlign w:val="center"/>
            <w:hideMark/>
          </w:tcPr>
          <w:p w14:paraId="6C6AEB1A"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2013 – 2020</w:t>
            </w:r>
          </w:p>
        </w:tc>
        <w:tc>
          <w:tcPr>
            <w:tcW w:w="995" w:type="pct"/>
            <w:shd w:val="clear" w:color="auto" w:fill="auto"/>
            <w:vAlign w:val="center"/>
            <w:hideMark/>
          </w:tcPr>
          <w:p w14:paraId="5CCA4578" w14:textId="77777777" w:rsidR="0067338B" w:rsidRPr="00C64727" w:rsidRDefault="00F92EFD">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36,9</w:t>
            </w:r>
          </w:p>
        </w:tc>
        <w:tc>
          <w:tcPr>
            <w:tcW w:w="764" w:type="pct"/>
            <w:shd w:val="clear" w:color="auto" w:fill="auto"/>
            <w:vAlign w:val="center"/>
            <w:hideMark/>
          </w:tcPr>
          <w:p w14:paraId="56D804B4"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96</w:t>
            </w:r>
          </w:p>
        </w:tc>
        <w:tc>
          <w:tcPr>
            <w:tcW w:w="1073" w:type="pct"/>
            <w:shd w:val="clear" w:color="auto" w:fill="auto"/>
            <w:vAlign w:val="center"/>
            <w:hideMark/>
          </w:tcPr>
          <w:p w14:paraId="38394DC0"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189</w:t>
            </w:r>
          </w:p>
        </w:tc>
        <w:tc>
          <w:tcPr>
            <w:tcW w:w="1029" w:type="pct"/>
            <w:shd w:val="clear" w:color="auto" w:fill="auto"/>
            <w:vAlign w:val="center"/>
            <w:hideMark/>
          </w:tcPr>
          <w:p w14:paraId="096888DC"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19,5 %</w:t>
            </w:r>
          </w:p>
        </w:tc>
      </w:tr>
      <w:tr w:rsidR="0067338B" w:rsidRPr="00C64727" w14:paraId="72DCA1D8" w14:textId="77777777" w:rsidTr="00516F65">
        <w:trPr>
          <w:trHeight w:val="299"/>
          <w:jc w:val="center"/>
        </w:trPr>
        <w:tc>
          <w:tcPr>
            <w:tcW w:w="492" w:type="pct"/>
            <w:shd w:val="clear" w:color="auto" w:fill="auto"/>
            <w:noWrap/>
            <w:vAlign w:val="center"/>
            <w:hideMark/>
          </w:tcPr>
          <w:p w14:paraId="4781F965"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EL</w:t>
            </w:r>
          </w:p>
        </w:tc>
        <w:tc>
          <w:tcPr>
            <w:tcW w:w="647" w:type="pct"/>
            <w:shd w:val="clear" w:color="auto" w:fill="auto"/>
            <w:noWrap/>
            <w:vAlign w:val="center"/>
            <w:hideMark/>
          </w:tcPr>
          <w:p w14:paraId="604963F7"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2013 – 2020</w:t>
            </w:r>
          </w:p>
        </w:tc>
        <w:tc>
          <w:tcPr>
            <w:tcW w:w="995" w:type="pct"/>
            <w:shd w:val="clear" w:color="auto" w:fill="auto"/>
            <w:vAlign w:val="center"/>
            <w:hideMark/>
          </w:tcPr>
          <w:p w14:paraId="7A8CF77C"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16,8</w:t>
            </w:r>
          </w:p>
        </w:tc>
        <w:tc>
          <w:tcPr>
            <w:tcW w:w="764" w:type="pct"/>
            <w:shd w:val="clear" w:color="auto" w:fill="auto"/>
            <w:vAlign w:val="center"/>
            <w:hideMark/>
          </w:tcPr>
          <w:p w14:paraId="0CFF3A73"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 50</w:t>
            </w:r>
          </w:p>
        </w:tc>
        <w:tc>
          <w:tcPr>
            <w:tcW w:w="1073" w:type="pct"/>
            <w:shd w:val="clear" w:color="auto" w:fill="auto"/>
            <w:vAlign w:val="center"/>
            <w:hideMark/>
          </w:tcPr>
          <w:p w14:paraId="3671FE8E" w14:textId="77777777" w:rsidR="0067338B" w:rsidRPr="00C64727" w:rsidRDefault="00F92EFD">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196,6</w:t>
            </w:r>
          </w:p>
        </w:tc>
        <w:tc>
          <w:tcPr>
            <w:tcW w:w="1029" w:type="pct"/>
            <w:shd w:val="clear" w:color="auto" w:fill="auto"/>
            <w:vAlign w:val="center"/>
            <w:hideMark/>
          </w:tcPr>
          <w:p w14:paraId="4E3F70F1"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8,5 %</w:t>
            </w:r>
          </w:p>
        </w:tc>
      </w:tr>
      <w:tr w:rsidR="0067338B" w:rsidRPr="00C64727" w14:paraId="6129C85F" w14:textId="77777777" w:rsidTr="00516F65">
        <w:trPr>
          <w:trHeight w:val="299"/>
          <w:jc w:val="center"/>
        </w:trPr>
        <w:tc>
          <w:tcPr>
            <w:tcW w:w="492" w:type="pct"/>
            <w:shd w:val="clear" w:color="auto" w:fill="auto"/>
            <w:noWrap/>
            <w:vAlign w:val="center"/>
            <w:hideMark/>
          </w:tcPr>
          <w:p w14:paraId="1539C293"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LT</w:t>
            </w:r>
          </w:p>
        </w:tc>
        <w:tc>
          <w:tcPr>
            <w:tcW w:w="647" w:type="pct"/>
            <w:shd w:val="clear" w:color="auto" w:fill="auto"/>
            <w:noWrap/>
            <w:vAlign w:val="center"/>
            <w:hideMark/>
          </w:tcPr>
          <w:p w14:paraId="63EA327A"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2014 – 2020</w:t>
            </w:r>
          </w:p>
        </w:tc>
        <w:tc>
          <w:tcPr>
            <w:tcW w:w="995" w:type="pct"/>
            <w:shd w:val="clear" w:color="auto" w:fill="auto"/>
            <w:vAlign w:val="center"/>
            <w:hideMark/>
          </w:tcPr>
          <w:p w14:paraId="2A9F718D"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 0,24</w:t>
            </w:r>
          </w:p>
        </w:tc>
        <w:tc>
          <w:tcPr>
            <w:tcW w:w="764" w:type="pct"/>
            <w:shd w:val="clear" w:color="auto" w:fill="auto"/>
            <w:vAlign w:val="center"/>
            <w:hideMark/>
          </w:tcPr>
          <w:p w14:paraId="41D3F208"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1 </w:t>
            </w:r>
          </w:p>
        </w:tc>
        <w:tc>
          <w:tcPr>
            <w:tcW w:w="1073" w:type="pct"/>
            <w:shd w:val="clear" w:color="auto" w:fill="auto"/>
            <w:vAlign w:val="center"/>
            <w:hideMark/>
          </w:tcPr>
          <w:p w14:paraId="7AF90581" w14:textId="77777777" w:rsidR="0067338B" w:rsidRPr="00C64727" w:rsidRDefault="00F92EFD">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31,4</w:t>
            </w:r>
          </w:p>
        </w:tc>
        <w:tc>
          <w:tcPr>
            <w:tcW w:w="1029" w:type="pct"/>
            <w:shd w:val="clear" w:color="auto" w:fill="auto"/>
            <w:vAlign w:val="center"/>
            <w:hideMark/>
          </w:tcPr>
          <w:p w14:paraId="3E551595"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 0,8 %</w:t>
            </w:r>
          </w:p>
        </w:tc>
      </w:tr>
      <w:tr w:rsidR="0067338B" w:rsidRPr="00C64727" w14:paraId="0E1FA869" w14:textId="77777777" w:rsidTr="00516F65">
        <w:trPr>
          <w:trHeight w:val="299"/>
          <w:jc w:val="center"/>
        </w:trPr>
        <w:tc>
          <w:tcPr>
            <w:tcW w:w="492" w:type="pct"/>
            <w:shd w:val="clear" w:color="auto" w:fill="auto"/>
            <w:noWrap/>
            <w:vAlign w:val="center"/>
            <w:hideMark/>
          </w:tcPr>
          <w:p w14:paraId="1AF8DD26"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SK</w:t>
            </w:r>
          </w:p>
        </w:tc>
        <w:tc>
          <w:tcPr>
            <w:tcW w:w="647" w:type="pct"/>
            <w:shd w:val="clear" w:color="auto" w:fill="auto"/>
            <w:noWrap/>
            <w:vAlign w:val="center"/>
            <w:hideMark/>
          </w:tcPr>
          <w:p w14:paraId="5848BF37"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2014 – 2020</w:t>
            </w:r>
          </w:p>
        </w:tc>
        <w:tc>
          <w:tcPr>
            <w:tcW w:w="995" w:type="pct"/>
            <w:shd w:val="clear" w:color="auto" w:fill="auto"/>
            <w:vAlign w:val="center"/>
            <w:hideMark/>
          </w:tcPr>
          <w:p w14:paraId="79DC7499"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10</w:t>
            </w:r>
          </w:p>
        </w:tc>
        <w:tc>
          <w:tcPr>
            <w:tcW w:w="764" w:type="pct"/>
            <w:shd w:val="clear" w:color="auto" w:fill="auto"/>
            <w:vAlign w:val="center"/>
            <w:hideMark/>
          </w:tcPr>
          <w:p w14:paraId="197206B3"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7</w:t>
            </w:r>
          </w:p>
        </w:tc>
        <w:tc>
          <w:tcPr>
            <w:tcW w:w="1073" w:type="pct"/>
            <w:shd w:val="clear" w:color="auto" w:fill="auto"/>
            <w:vAlign w:val="center"/>
            <w:hideMark/>
          </w:tcPr>
          <w:p w14:paraId="4677B0E8"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87</w:t>
            </w:r>
          </w:p>
        </w:tc>
        <w:tc>
          <w:tcPr>
            <w:tcW w:w="1029" w:type="pct"/>
            <w:shd w:val="clear" w:color="auto" w:fill="auto"/>
            <w:vAlign w:val="center"/>
            <w:hideMark/>
          </w:tcPr>
          <w:p w14:paraId="78CA90BD"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11,4 %</w:t>
            </w:r>
          </w:p>
        </w:tc>
      </w:tr>
      <w:tr w:rsidR="0067338B" w:rsidRPr="00C64727" w14:paraId="4A33C947" w14:textId="77777777" w:rsidTr="00516F65">
        <w:trPr>
          <w:trHeight w:val="299"/>
          <w:jc w:val="center"/>
        </w:trPr>
        <w:tc>
          <w:tcPr>
            <w:tcW w:w="492" w:type="pct"/>
            <w:shd w:val="clear" w:color="auto" w:fill="auto"/>
            <w:noWrap/>
            <w:vAlign w:val="center"/>
            <w:hideMark/>
          </w:tcPr>
          <w:p w14:paraId="6F8C8076"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FR</w:t>
            </w:r>
          </w:p>
        </w:tc>
        <w:tc>
          <w:tcPr>
            <w:tcW w:w="647" w:type="pct"/>
            <w:shd w:val="clear" w:color="auto" w:fill="auto"/>
            <w:noWrap/>
            <w:vAlign w:val="center"/>
            <w:hideMark/>
          </w:tcPr>
          <w:p w14:paraId="7C29112B"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2015 – 2020</w:t>
            </w:r>
          </w:p>
        </w:tc>
        <w:tc>
          <w:tcPr>
            <w:tcW w:w="995" w:type="pct"/>
            <w:shd w:val="clear" w:color="auto" w:fill="auto"/>
            <w:vAlign w:val="center"/>
            <w:hideMark/>
          </w:tcPr>
          <w:p w14:paraId="4E84AAD0" w14:textId="77777777" w:rsidR="0067338B" w:rsidRPr="00C64727" w:rsidRDefault="00F92EFD">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98,7</w:t>
            </w:r>
          </w:p>
        </w:tc>
        <w:tc>
          <w:tcPr>
            <w:tcW w:w="764" w:type="pct"/>
            <w:shd w:val="clear" w:color="auto" w:fill="auto"/>
            <w:vAlign w:val="center"/>
            <w:hideMark/>
          </w:tcPr>
          <w:p w14:paraId="5299C1B5"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296</w:t>
            </w:r>
          </w:p>
        </w:tc>
        <w:tc>
          <w:tcPr>
            <w:tcW w:w="1073" w:type="pct"/>
            <w:shd w:val="clear" w:color="auto" w:fill="auto"/>
            <w:vAlign w:val="center"/>
            <w:hideMark/>
          </w:tcPr>
          <w:p w14:paraId="6FA915EA" w14:textId="77777777" w:rsidR="0067338B" w:rsidRPr="00C64727" w:rsidRDefault="00F92EFD">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309,8</w:t>
            </w:r>
          </w:p>
        </w:tc>
        <w:tc>
          <w:tcPr>
            <w:tcW w:w="1029" w:type="pct"/>
            <w:shd w:val="clear" w:color="auto" w:fill="auto"/>
            <w:vAlign w:val="center"/>
            <w:hideMark/>
          </w:tcPr>
          <w:p w14:paraId="44BAB80E"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31,8 %</w:t>
            </w:r>
          </w:p>
        </w:tc>
      </w:tr>
      <w:tr w:rsidR="0067338B" w:rsidRPr="00C64727" w14:paraId="63F6199D" w14:textId="77777777" w:rsidTr="00516F65">
        <w:trPr>
          <w:trHeight w:val="299"/>
          <w:jc w:val="center"/>
        </w:trPr>
        <w:tc>
          <w:tcPr>
            <w:tcW w:w="492" w:type="pct"/>
            <w:shd w:val="clear" w:color="auto" w:fill="auto"/>
            <w:noWrap/>
            <w:vAlign w:val="center"/>
            <w:hideMark/>
          </w:tcPr>
          <w:p w14:paraId="3FBD7A9D"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FI</w:t>
            </w:r>
          </w:p>
        </w:tc>
        <w:tc>
          <w:tcPr>
            <w:tcW w:w="647" w:type="pct"/>
            <w:shd w:val="clear" w:color="auto" w:fill="auto"/>
            <w:noWrap/>
            <w:vAlign w:val="center"/>
            <w:hideMark/>
          </w:tcPr>
          <w:p w14:paraId="6315C05C"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2016 – 2020</w:t>
            </w:r>
          </w:p>
        </w:tc>
        <w:tc>
          <w:tcPr>
            <w:tcW w:w="995" w:type="pct"/>
            <w:shd w:val="clear" w:color="auto" w:fill="auto"/>
            <w:noWrap/>
            <w:vAlign w:val="center"/>
            <w:hideMark/>
          </w:tcPr>
          <w:p w14:paraId="548175C4" w14:textId="77777777" w:rsidR="0067338B" w:rsidRPr="00C64727" w:rsidRDefault="00F92EFD">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26,7</w:t>
            </w:r>
          </w:p>
        </w:tc>
        <w:tc>
          <w:tcPr>
            <w:tcW w:w="764" w:type="pct"/>
            <w:shd w:val="clear" w:color="auto" w:fill="auto"/>
            <w:noWrap/>
            <w:vAlign w:val="center"/>
            <w:hideMark/>
          </w:tcPr>
          <w:p w14:paraId="058FD312"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58</w:t>
            </w:r>
          </w:p>
        </w:tc>
        <w:tc>
          <w:tcPr>
            <w:tcW w:w="1073" w:type="pct"/>
            <w:shd w:val="clear" w:color="auto" w:fill="auto"/>
            <w:vAlign w:val="center"/>
            <w:hideMark/>
          </w:tcPr>
          <w:p w14:paraId="79A11E78" w14:textId="77777777" w:rsidR="0067338B" w:rsidRPr="00C64727" w:rsidRDefault="00F92EFD">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94,6</w:t>
            </w:r>
          </w:p>
        </w:tc>
        <w:tc>
          <w:tcPr>
            <w:tcW w:w="1029" w:type="pct"/>
            <w:shd w:val="clear" w:color="auto" w:fill="auto"/>
            <w:vAlign w:val="center"/>
            <w:hideMark/>
          </w:tcPr>
          <w:p w14:paraId="351AE5FE"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28,2 %</w:t>
            </w:r>
          </w:p>
        </w:tc>
      </w:tr>
      <w:tr w:rsidR="0067338B" w:rsidRPr="00C64727" w14:paraId="5FD826FD" w14:textId="77777777" w:rsidTr="00516F65">
        <w:trPr>
          <w:trHeight w:val="299"/>
          <w:jc w:val="center"/>
        </w:trPr>
        <w:tc>
          <w:tcPr>
            <w:tcW w:w="492" w:type="pct"/>
            <w:shd w:val="clear" w:color="auto" w:fill="auto"/>
            <w:noWrap/>
            <w:vAlign w:val="center"/>
            <w:hideMark/>
          </w:tcPr>
          <w:p w14:paraId="73417BCA"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ES</w:t>
            </w:r>
          </w:p>
        </w:tc>
        <w:tc>
          <w:tcPr>
            <w:tcW w:w="647" w:type="pct"/>
            <w:shd w:val="clear" w:color="auto" w:fill="auto"/>
            <w:noWrap/>
            <w:vAlign w:val="center"/>
            <w:hideMark/>
          </w:tcPr>
          <w:p w14:paraId="3236F9D5"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2013 – 2015</w:t>
            </w:r>
          </w:p>
        </w:tc>
        <w:tc>
          <w:tcPr>
            <w:tcW w:w="995" w:type="pct"/>
            <w:shd w:val="clear" w:color="auto" w:fill="auto"/>
            <w:noWrap/>
            <w:vAlign w:val="center"/>
            <w:hideMark/>
          </w:tcPr>
          <w:p w14:paraId="021B2731"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6</w:t>
            </w:r>
          </w:p>
        </w:tc>
        <w:tc>
          <w:tcPr>
            <w:tcW w:w="764" w:type="pct"/>
            <w:shd w:val="clear" w:color="auto" w:fill="auto"/>
            <w:noWrap/>
            <w:vAlign w:val="center"/>
            <w:hideMark/>
          </w:tcPr>
          <w:p w14:paraId="66BB28DD"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151</w:t>
            </w:r>
          </w:p>
        </w:tc>
        <w:tc>
          <w:tcPr>
            <w:tcW w:w="1073" w:type="pct"/>
            <w:shd w:val="clear" w:color="auto" w:fill="auto"/>
            <w:vAlign w:val="center"/>
            <w:hideMark/>
          </w:tcPr>
          <w:p w14:paraId="351B8A9E" w14:textId="77777777" w:rsidR="0067338B" w:rsidRPr="00C64727" w:rsidRDefault="00F92EFD">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488,8</w:t>
            </w:r>
          </w:p>
        </w:tc>
        <w:tc>
          <w:tcPr>
            <w:tcW w:w="1029" w:type="pct"/>
            <w:shd w:val="clear" w:color="auto" w:fill="auto"/>
            <w:vAlign w:val="center"/>
            <w:hideMark/>
          </w:tcPr>
          <w:p w14:paraId="7CA1A231" w14:textId="4AFC64F3"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1,2 %</w:t>
            </w:r>
          </w:p>
        </w:tc>
      </w:tr>
      <w:tr w:rsidR="0067338B" w:rsidRPr="00C64727" w14:paraId="6064E2EE" w14:textId="77777777" w:rsidTr="00516F65">
        <w:trPr>
          <w:trHeight w:val="299"/>
          <w:jc w:val="center"/>
        </w:trPr>
        <w:tc>
          <w:tcPr>
            <w:tcW w:w="492" w:type="pct"/>
            <w:shd w:val="clear" w:color="auto" w:fill="auto"/>
            <w:noWrap/>
            <w:vAlign w:val="center"/>
            <w:hideMark/>
          </w:tcPr>
          <w:p w14:paraId="025C950D"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LU</w:t>
            </w:r>
          </w:p>
        </w:tc>
        <w:tc>
          <w:tcPr>
            <w:tcW w:w="647" w:type="pct"/>
            <w:shd w:val="clear" w:color="auto" w:fill="auto"/>
            <w:noWrap/>
            <w:vAlign w:val="center"/>
            <w:hideMark/>
          </w:tcPr>
          <w:p w14:paraId="34CEBEBC"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2018 – 2020</w:t>
            </w:r>
          </w:p>
        </w:tc>
        <w:tc>
          <w:tcPr>
            <w:tcW w:w="995" w:type="pct"/>
            <w:shd w:val="clear" w:color="auto" w:fill="auto"/>
            <w:noWrap/>
            <w:vAlign w:val="bottom"/>
            <w:hideMark/>
          </w:tcPr>
          <w:p w14:paraId="7A77EFD0" w14:textId="77777777" w:rsidR="0067338B" w:rsidRPr="00C64727" w:rsidRDefault="00F92EFD">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3,4</w:t>
            </w:r>
          </w:p>
        </w:tc>
        <w:tc>
          <w:tcPr>
            <w:tcW w:w="764" w:type="pct"/>
            <w:shd w:val="clear" w:color="auto" w:fill="auto"/>
            <w:noWrap/>
            <w:vAlign w:val="bottom"/>
            <w:hideMark/>
          </w:tcPr>
          <w:p w14:paraId="6637F446"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2</w:t>
            </w:r>
          </w:p>
        </w:tc>
        <w:tc>
          <w:tcPr>
            <w:tcW w:w="1073" w:type="pct"/>
            <w:shd w:val="clear" w:color="auto" w:fill="auto"/>
            <w:vAlign w:val="center"/>
            <w:hideMark/>
          </w:tcPr>
          <w:p w14:paraId="0BA3090F" w14:textId="77777777" w:rsidR="0067338B" w:rsidRPr="00C64727" w:rsidRDefault="00F92EFD">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6,8</w:t>
            </w:r>
          </w:p>
        </w:tc>
        <w:tc>
          <w:tcPr>
            <w:tcW w:w="1029" w:type="pct"/>
            <w:shd w:val="clear" w:color="auto" w:fill="auto"/>
            <w:noWrap/>
            <w:vAlign w:val="bottom"/>
            <w:hideMark/>
          </w:tcPr>
          <w:p w14:paraId="089F3FF2" w14:textId="77777777" w:rsidR="0067338B" w:rsidRPr="00C64727" w:rsidRDefault="00E07823">
            <w:pPr>
              <w:spacing w:after="0" w:line="240" w:lineRule="auto"/>
              <w:jc w:val="center"/>
              <w:rPr>
                <w:rFonts w:ascii="Times New Roman" w:eastAsia="Times New Roman" w:hAnsi="Times New Roman"/>
                <w:sz w:val="20"/>
                <w:szCs w:val="20"/>
              </w:rPr>
            </w:pPr>
            <w:r w:rsidRPr="00C64727">
              <w:rPr>
                <w:rFonts w:ascii="Times New Roman" w:hAnsi="Times New Roman"/>
                <w:sz w:val="20"/>
                <w:szCs w:val="20"/>
              </w:rPr>
              <w:t> 50 %</w:t>
            </w:r>
          </w:p>
        </w:tc>
      </w:tr>
    </w:tbl>
    <w:p w14:paraId="1962B142" w14:textId="77777777" w:rsidR="0067338B" w:rsidRPr="00C64727" w:rsidRDefault="0067338B">
      <w:pPr>
        <w:jc w:val="both"/>
        <w:rPr>
          <w:rFonts w:ascii="Times New Roman" w:eastAsia="Times New Roman" w:hAnsi="Times New Roman"/>
          <w:sz w:val="24"/>
          <w:szCs w:val="24"/>
        </w:rPr>
      </w:pPr>
    </w:p>
    <w:p w14:paraId="7A3700EC" w14:textId="77777777" w:rsidR="0067338B" w:rsidRPr="00C64727" w:rsidRDefault="00E07823">
      <w:pPr>
        <w:jc w:val="both"/>
        <w:rPr>
          <w:rFonts w:ascii="Times New Roman" w:eastAsia="Times New Roman" w:hAnsi="Times New Roman"/>
          <w:sz w:val="24"/>
          <w:szCs w:val="24"/>
        </w:rPr>
      </w:pPr>
      <w:r w:rsidRPr="00C64727">
        <w:rPr>
          <w:rFonts w:ascii="Times New Roman" w:hAnsi="Times New Roman"/>
          <w:sz w:val="24"/>
          <w:szCs w:val="24"/>
        </w:rPr>
        <w:t>A közvetett költségek teljes kompenzálására 2018-ban 11 tagállam</w:t>
      </w:r>
      <w:r w:rsidRPr="00C64727">
        <w:rPr>
          <w:rStyle w:val="FootnoteReference"/>
          <w:rFonts w:ascii="Times New Roman" w:eastAsia="Times New Roman" w:hAnsi="Times New Roman"/>
          <w:sz w:val="24"/>
          <w:szCs w:val="24"/>
        </w:rPr>
        <w:footnoteReference w:id="34"/>
      </w:r>
      <w:r w:rsidRPr="00C64727">
        <w:rPr>
          <w:rFonts w:ascii="Times New Roman" w:hAnsi="Times New Roman"/>
          <w:sz w:val="24"/>
          <w:szCs w:val="24"/>
        </w:rPr>
        <w:t xml:space="preserve"> által kifizetett összeg 462 millió EUR volt, ami e tagállamok árverési bevételeinek közel 11 %-át teszi ki. A kompenzációs rendszert működtető tagállamok együttesen az uniós GDP mintegy 70 %-át adják. A kompenzációban részesülő legnagyobb ágazatok a vegyipar, a nemvasfémgyártás, valamint a vas- és acélipar volt.</w:t>
      </w:r>
    </w:p>
    <w:p w14:paraId="2B2B56AC" w14:textId="77777777" w:rsidR="0067338B" w:rsidRPr="00C64727" w:rsidRDefault="00E07823">
      <w:pPr>
        <w:jc w:val="both"/>
        <w:rPr>
          <w:rFonts w:ascii="Times New Roman" w:eastAsia="Times New Roman" w:hAnsi="Times New Roman"/>
          <w:bCs/>
          <w:i/>
          <w:sz w:val="24"/>
          <w:szCs w:val="24"/>
        </w:rPr>
      </w:pPr>
      <w:r w:rsidRPr="00C64727">
        <w:rPr>
          <w:rFonts w:ascii="Times New Roman" w:hAnsi="Times New Roman"/>
          <w:sz w:val="24"/>
          <w:szCs w:val="24"/>
        </w:rPr>
        <w:t>A felülvizsgált EU ETS irányelv egyik átláthatósági rendelkezése értelmében azoknak a tagállamoknak, amelyek bármely évben az árverési bevételeik több mint 25 %-át költik a közvetett költségek kompenzálására, jelentést kell közzétenniük, amelyben kifejtik, hogy milyen okból lépték túl ezt az összeget. A 2017-es naptári évre vonatkozó árverési bevételek alapján 2018-ban négy ország haladta meg a 25 %-os küszöböt.</w:t>
      </w:r>
      <w:r w:rsidRPr="00C64727">
        <w:rPr>
          <w:rFonts w:ascii="Times New Roman" w:eastAsia="Times New Roman" w:hAnsi="Times New Roman"/>
          <w:sz w:val="24"/>
          <w:szCs w:val="24"/>
          <w:vertAlign w:val="superscript"/>
        </w:rPr>
        <w:footnoteReference w:id="35"/>
      </w:r>
      <w:r w:rsidRPr="00C64727">
        <w:rPr>
          <w:rFonts w:ascii="Times New Roman" w:hAnsi="Times New Roman"/>
          <w:sz w:val="24"/>
          <w:szCs w:val="24"/>
        </w:rPr>
        <w:t xml:space="preserve">  </w:t>
      </w:r>
    </w:p>
    <w:p w14:paraId="38A8BE8E" w14:textId="77777777" w:rsidR="0067338B" w:rsidRPr="00C64727" w:rsidRDefault="0067338B">
      <w:pPr>
        <w:jc w:val="both"/>
        <w:rPr>
          <w:rFonts w:ascii="Times New Roman" w:eastAsia="Times New Roman" w:hAnsi="Times New Roman"/>
          <w:bCs/>
          <w:sz w:val="24"/>
          <w:szCs w:val="24"/>
        </w:rPr>
      </w:pPr>
    </w:p>
    <w:p w14:paraId="3CA31EA9" w14:textId="77777777" w:rsidR="0067338B" w:rsidRPr="00C64727" w:rsidRDefault="00A52F4C">
      <w:pPr>
        <w:keepNext/>
        <w:ind w:left="1080"/>
        <w:outlineLvl w:val="3"/>
        <w:rPr>
          <w:rFonts w:ascii="Times New Roman" w:eastAsia="Times New Roman" w:hAnsi="Times New Roman"/>
          <w:color w:val="000000" w:themeColor="text1"/>
          <w:sz w:val="24"/>
          <w:szCs w:val="24"/>
        </w:rPr>
      </w:pPr>
      <w:bookmarkStart w:id="14" w:name="_Toc24093091"/>
      <w:r w:rsidRPr="00C64727">
        <w:rPr>
          <w:rFonts w:ascii="Times New Roman" w:hAnsi="Times New Roman"/>
          <w:bCs/>
          <w:i/>
          <w:sz w:val="24"/>
          <w:szCs w:val="24"/>
        </w:rPr>
        <w:t>3.1.2.4. Kibocsátási egységek értékesítése árverés útján</w:t>
      </w:r>
      <w:bookmarkEnd w:id="14"/>
    </w:p>
    <w:p w14:paraId="58DC0166" w14:textId="77777777" w:rsidR="0067338B" w:rsidRPr="00C64727" w:rsidRDefault="003A348D">
      <w:pPr>
        <w:pStyle w:val="a3520normalp11"/>
        <w:spacing w:line="276" w:lineRule="auto"/>
      </w:pPr>
      <w:r w:rsidRPr="00C64727">
        <w:rPr>
          <w:noProof/>
          <w:lang w:val="en-GB"/>
        </w:rPr>
        <mc:AlternateContent>
          <mc:Choice Requires="wps">
            <w:drawing>
              <wp:inline distT="0" distB="0" distL="0" distR="0" wp14:anchorId="6B32014F" wp14:editId="786935B2">
                <wp:extent cx="5719648" cy="1565564"/>
                <wp:effectExtent l="0" t="0" r="14605" b="15875"/>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648" cy="1565564"/>
                        </a:xfrm>
                        <a:prstGeom prst="rect">
                          <a:avLst/>
                        </a:prstGeom>
                        <a:solidFill>
                          <a:schemeClr val="bg1">
                            <a:lumMod val="85000"/>
                          </a:schemeClr>
                        </a:solidFill>
                        <a:ln w="12700">
                          <a:solidFill>
                            <a:srgbClr val="000000"/>
                          </a:solidFill>
                          <a:miter lim="800000"/>
                          <a:headEnd/>
                          <a:tailEnd/>
                        </a:ln>
                      </wps:spPr>
                      <wps:txbx>
                        <w:txbxContent>
                          <w:p w14:paraId="13469DBA" w14:textId="77777777" w:rsidR="0067338B" w:rsidRPr="00C64727" w:rsidRDefault="00516F65">
                            <w:pPr>
                              <w:spacing w:after="120"/>
                              <w:ind w:right="57"/>
                              <w:jc w:val="both"/>
                              <w:rPr>
                                <w:rFonts w:ascii="Times New Roman" w:eastAsia="Times New Roman" w:hAnsi="Times New Roman"/>
                                <w:sz w:val="24"/>
                                <w:szCs w:val="24"/>
                              </w:rPr>
                            </w:pPr>
                            <w:r w:rsidRPr="00C64727">
                              <w:rPr>
                                <w:rFonts w:ascii="Times New Roman" w:hAnsi="Times New Roman"/>
                                <w:sz w:val="24"/>
                                <w:szCs w:val="24"/>
                              </w:rPr>
                              <w:t>A 3. szakaszban az árverés a kibocsátási egységek kiosztásának alapértelmezett módja. Az elsődleges árveréseket az árverésekről szóló rendelet* szabályozza, amely megszabja az árverések menetének időbeli ütemezését, lebonyolítását és egyéb vonatkozásait a nyílt, átlátható, harmonizált és diszkriminációmentes eljárás biztosítása érdekében.</w:t>
                            </w:r>
                          </w:p>
                          <w:p w14:paraId="171DAF88" w14:textId="77777777" w:rsidR="0067338B" w:rsidRDefault="00516F65">
                            <w:pPr>
                              <w:spacing w:after="120"/>
                              <w:ind w:right="57"/>
                              <w:jc w:val="both"/>
                              <w:rPr>
                                <w:rFonts w:ascii="Times New Roman" w:eastAsia="Times New Roman" w:hAnsi="Times New Roman"/>
                                <w:sz w:val="18"/>
                                <w:szCs w:val="18"/>
                              </w:rPr>
                            </w:pPr>
                            <w:r>
                              <w:rPr>
                                <w:rFonts w:ascii="Times New Roman" w:hAnsi="Times New Roman"/>
                                <w:sz w:val="18"/>
                                <w:szCs w:val="18"/>
                              </w:rPr>
                              <w:t>* A Bizottság 1031/2010/EU rendelete (2010. november 12.) az üvegházhatást okozó gázok kibocsátási egységei Közösségen belüli kereskedelmi rendszerének létrehozásáról szóló 2003/87/EK európai parlamenti és tanácsi irányelv alapján az üvegházhatást okozó gázok kibocsátási egységei árverés útján történő értékesítésének időbeli ütemezéséről, lebonyolításáról és egyéb vonatkozásairól, HL L 302., 2010.11.18., 1. o.</w:t>
                            </w:r>
                          </w:p>
                          <w:p w14:paraId="68E3A868" w14:textId="77777777" w:rsidR="0067338B" w:rsidRDefault="0067338B">
                            <w:pPr>
                              <w:pStyle w:val="a3520normalp11"/>
                              <w:spacing w:line="276" w:lineRule="auto"/>
                            </w:pPr>
                          </w:p>
                          <w:p w14:paraId="00C079DF" w14:textId="77777777" w:rsidR="0067338B" w:rsidRDefault="0067338B">
                            <w:pPr>
                              <w:ind w:left="-142" w:firstLine="142"/>
                            </w:pPr>
                          </w:p>
                        </w:txbxContent>
                      </wps:txbx>
                      <wps:bodyPr rot="0" vert="horz" wrap="square" lIns="91440" tIns="45720" rIns="91440" bIns="45720" anchor="t" anchorCtr="0">
                        <a:noAutofit/>
                      </wps:bodyPr>
                    </wps:wsp>
                  </a:graphicData>
                </a:graphic>
              </wp:inline>
            </w:drawing>
          </mc:Choice>
          <mc:Fallback>
            <w:pict>
              <v:shape w14:anchorId="6B32014F" id="_x0000_s1033" type="#_x0000_t202" style="width:450.35pt;height:1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" fillcolor="#d8d8d8 [2732]" strokeweight="1pt">
                <v:textbox>
                  <w:txbxContent>
                    <w:p w14:paraId="13469DBA" w14:textId="77777777" w:rsidR="0067338B" w:rsidRPr="00C64727" w:rsidRDefault="00516F65">
                      <w:pPr>
                        <w:spacing w:after="120"/>
                        <w:ind w:right="57"/>
                        <w:jc w:val="both"/>
                        <w:rPr>
                          <w:rFonts w:ascii="Times New Roman" w:eastAsia="Times New Roman" w:hAnsi="Times New Roman"/>
                          <w:sz w:val="24"/>
                          <w:szCs w:val="24"/>
                        </w:rPr>
                      </w:pPr>
                      <w:r w:rsidRPr="00C64727">
                        <w:rPr>
                          <w:rFonts w:ascii="Times New Roman" w:hAnsi="Times New Roman"/>
                          <w:sz w:val="24"/>
                          <w:szCs w:val="24"/>
                        </w:rPr>
                        <w:t>A 3. szakaszban az árverés a kibocsátási egységek kiosztásának alapértelmezett módja. Az elsődleges árveréseket az árverésekről szóló rendelet* szabályozza, amely megszabja az árverések menetének időbeli ütemezését, lebonyolítását és egyéb vonatkozásait a nyílt, átlátható, harmonizált és diszkriminációmentes eljárás biztosítása érdekében.</w:t>
                      </w:r>
                    </w:p>
                    <w:p w14:paraId="171DAF88" w14:textId="77777777" w:rsidR="0067338B" w:rsidRDefault="00516F65">
                      <w:pPr>
                        <w:spacing w:after="120"/>
                        <w:ind w:right="57"/>
                        <w:jc w:val="both"/>
                        <w:rPr>
                          <w:rFonts w:ascii="Times New Roman" w:eastAsia="Times New Roman" w:hAnsi="Times New Roman"/>
                          <w:sz w:val="18"/>
                          <w:szCs w:val="18"/>
                        </w:rPr>
                      </w:pPr>
                      <w:r>
                        <w:rPr>
                          <w:rFonts w:ascii="Times New Roman" w:hAnsi="Times New Roman"/>
                          <w:sz w:val="18"/>
                          <w:szCs w:val="18"/>
                        </w:rPr>
                        <w:t>* A Bizottság 1031/2010/EU rendelete (2010. november 12.) az üvegházhatást okozó gázok kibocsátási egységei Közösségen belüli kereskedelmi rendszerének létrehozásáról szóló 2003/87/EK európai parlamenti és tanácsi irányelv alapján az üvegházhatást okozó gázok kibocsátási egységei árverés útján történő értékesítésének időbeli ütemezéséről, lebonyolításáról és egyéb vonatkozásairól, HL L 302., 2010.11.18., 1. o.</w:t>
                      </w:r>
                    </w:p>
                    <w:p w14:paraId="68E3A868" w14:textId="77777777" w:rsidR="0067338B" w:rsidRDefault="0067338B">
                      <w:pPr>
                        <w:pStyle w:val="a3520normalp11"/>
                        <w:spacing w:line="276" w:lineRule="auto"/>
                      </w:pPr>
                    </w:p>
                    <w:p w14:paraId="00C079DF" w14:textId="77777777" w:rsidR="0067338B" w:rsidRDefault="0067338B">
                      <w:pPr>
                        <w:ind w:left="-142" w:firstLine="142"/>
                      </w:pPr>
                    </w:p>
                  </w:txbxContent>
                </v:textbox>
                <w10:anchorlock/>
              </v:shape>
            </w:pict>
          </mc:Fallback>
        </mc:AlternateContent>
      </w:r>
    </w:p>
    <w:p w14:paraId="0B2E9540" w14:textId="77777777" w:rsidR="0067338B" w:rsidRPr="00C64727" w:rsidRDefault="007B6B06">
      <w:pPr>
        <w:spacing w:after="120"/>
        <w:ind w:right="57"/>
        <w:jc w:val="both"/>
        <w:rPr>
          <w:rFonts w:ascii="Times New Roman" w:eastAsia="Times New Roman" w:hAnsi="Times New Roman"/>
          <w:sz w:val="24"/>
          <w:szCs w:val="24"/>
        </w:rPr>
      </w:pPr>
      <w:r w:rsidRPr="00C64727">
        <w:rPr>
          <w:rFonts w:ascii="Times New Roman" w:hAnsi="Times New Roman"/>
          <w:sz w:val="24"/>
          <w:szCs w:val="24"/>
        </w:rPr>
        <w:t>2018-ban módosították</w:t>
      </w:r>
      <w:r w:rsidRPr="00C64727">
        <w:rPr>
          <w:rStyle w:val="FootnoteReference"/>
          <w:rFonts w:ascii="Times New Roman" w:eastAsia="Times New Roman" w:hAnsi="Times New Roman"/>
          <w:sz w:val="24"/>
          <w:szCs w:val="24"/>
        </w:rPr>
        <w:footnoteReference w:id="36"/>
      </w:r>
      <w:r w:rsidRPr="00C64727">
        <w:rPr>
          <w:rFonts w:ascii="Times New Roman" w:hAnsi="Times New Roman"/>
          <w:sz w:val="24"/>
          <w:szCs w:val="24"/>
        </w:rPr>
        <w:t xml:space="preserve"> az árverésekről szóló rendeletet annak érdekében, hogy a European Energy Exchange-t (EEX) jelöljék ki Németország „közös beszerzésen kívüli” aukciós platformjává, és hogy lehetővé váljon a piaci stabilitási tartalékból az első 50 millió kibocsátási egységet tartalmazó tételnek az innovációs alap 2020-as finanszírozása érdekében történő értékesítése.</w:t>
      </w:r>
    </w:p>
    <w:p w14:paraId="15208102" w14:textId="77777777" w:rsidR="0067338B" w:rsidRPr="00C64727" w:rsidRDefault="004724FA">
      <w:pPr>
        <w:spacing w:after="120"/>
        <w:ind w:right="57"/>
        <w:jc w:val="both"/>
        <w:rPr>
          <w:rFonts w:ascii="Times New Roman" w:eastAsia="Times New Roman" w:hAnsi="Times New Roman"/>
          <w:sz w:val="24"/>
          <w:szCs w:val="24"/>
        </w:rPr>
      </w:pPr>
      <w:r w:rsidRPr="00C64727">
        <w:rPr>
          <w:rFonts w:ascii="Times New Roman" w:hAnsi="Times New Roman"/>
          <w:sz w:val="24"/>
          <w:szCs w:val="24"/>
        </w:rPr>
        <w:t>A Bizottság 2019 augusztusában ismét módosította az árverésekről szóló rendeletet annak érdekében, hogy keretet hozzon létre a kibocsátási egységek árverés útján történő értékesítése, valamint a projekteknek az innovációs alap és a modernizációs alap keretében a 4. szakaszban történő irányítása számára. A módosítás az EU ETS kibocsátási egységeknek a pénzügyi eszközök piacairól szóló 2014/65/EU irányelv (MiFID2) szerinti „pénzügyi eszközként” való besorolását is tükrözi.</w:t>
      </w:r>
    </w:p>
    <w:p w14:paraId="1B01EB84" w14:textId="77777777" w:rsidR="0067338B" w:rsidRPr="00C64727" w:rsidRDefault="005C40E5">
      <w:pPr>
        <w:spacing w:after="120"/>
        <w:ind w:right="57"/>
        <w:jc w:val="both"/>
        <w:rPr>
          <w:rFonts w:ascii="Times New Roman" w:eastAsia="Times New Roman" w:hAnsi="Times New Roman"/>
          <w:sz w:val="24"/>
          <w:szCs w:val="24"/>
        </w:rPr>
      </w:pPr>
      <w:r w:rsidRPr="00C64727">
        <w:rPr>
          <w:rFonts w:ascii="Times New Roman" w:hAnsi="Times New Roman"/>
          <w:sz w:val="24"/>
          <w:szCs w:val="24"/>
        </w:rPr>
        <w:t>Az EU ETS környezeti integritásának védelme érdekében elfogadott védintézkedések értelmében (lásd a 2.2. fejezetet) az Egyesült Királyság által 2018-ra kibocsátott kibocsátási egységeket elfogadták leadásra, de 2019-ben az Egyesült Királyság részéről árverés útján nem értékesítettek kibocsátási egységeket.</w:t>
      </w:r>
    </w:p>
    <w:p w14:paraId="33B4ECDD" w14:textId="77777777" w:rsidR="0067338B" w:rsidRPr="00C64727" w:rsidRDefault="00D20456">
      <w:pPr>
        <w:spacing w:after="120"/>
        <w:ind w:right="57"/>
        <w:jc w:val="both"/>
        <w:rPr>
          <w:rFonts w:ascii="Times New Roman" w:eastAsia="Times New Roman" w:hAnsi="Times New Roman"/>
          <w:sz w:val="24"/>
          <w:szCs w:val="24"/>
        </w:rPr>
      </w:pPr>
      <w:r w:rsidRPr="00C64727">
        <w:rPr>
          <w:rFonts w:ascii="Times New Roman" w:hAnsi="Times New Roman"/>
          <w:sz w:val="24"/>
          <w:szCs w:val="24"/>
        </w:rPr>
        <w:t>A 2018-as árverések a következő aukciós platformokon zajlottak:</w:t>
      </w:r>
    </w:p>
    <w:p w14:paraId="3EEF9FD2" w14:textId="77777777" w:rsidR="0067338B" w:rsidRPr="00C64727" w:rsidRDefault="00D20456">
      <w:pPr>
        <w:numPr>
          <w:ilvl w:val="0"/>
          <w:numId w:val="2"/>
        </w:numPr>
        <w:spacing w:after="120"/>
        <w:ind w:right="57"/>
        <w:jc w:val="both"/>
        <w:rPr>
          <w:rFonts w:ascii="Times New Roman" w:eastAsia="Times New Roman" w:hAnsi="Times New Roman"/>
          <w:sz w:val="24"/>
          <w:szCs w:val="24"/>
        </w:rPr>
      </w:pPr>
      <w:r w:rsidRPr="00C64727">
        <w:rPr>
          <w:rFonts w:ascii="Times New Roman" w:hAnsi="Times New Roman"/>
          <w:sz w:val="24"/>
          <w:szCs w:val="24"/>
        </w:rPr>
        <w:t xml:space="preserve">EEX, amely a közös beszerzési eljárásban részt vevő 25 tagállam, illetve a közös beszerzési eljárásból saját döntése alapján kimaradó, ám külön aukciós platformot még ki nem jelölő Lengyelország közös aukciós platformjaként tart árveréseket. 2016. szeptember 5-től az EEX a második közös aukciós platformként bonyolít árveréseket, amelyre 2016. július 13-án jelölték ki; </w:t>
      </w:r>
    </w:p>
    <w:p w14:paraId="09D30459" w14:textId="77777777" w:rsidR="0067338B" w:rsidRPr="00C64727" w:rsidRDefault="00D20456">
      <w:pPr>
        <w:numPr>
          <w:ilvl w:val="0"/>
          <w:numId w:val="2"/>
        </w:numPr>
        <w:spacing w:after="120"/>
        <w:ind w:right="57"/>
        <w:jc w:val="both"/>
        <w:rPr>
          <w:rFonts w:ascii="Times New Roman" w:eastAsia="Times New Roman" w:hAnsi="Times New Roman"/>
          <w:sz w:val="24"/>
          <w:szCs w:val="24"/>
        </w:rPr>
      </w:pPr>
      <w:r w:rsidRPr="00C64727">
        <w:rPr>
          <w:rFonts w:ascii="Times New Roman" w:hAnsi="Times New Roman"/>
          <w:sz w:val="24"/>
          <w:szCs w:val="24"/>
        </w:rPr>
        <w:t>EEX mint Németország árveréseinek bonyolítója Németország közös beszerzésen kívüli platformjaként;</w:t>
      </w:r>
    </w:p>
    <w:p w14:paraId="7F5A81A0" w14:textId="77777777" w:rsidR="0067338B" w:rsidRPr="00C64727" w:rsidRDefault="00D20456">
      <w:pPr>
        <w:numPr>
          <w:ilvl w:val="0"/>
          <w:numId w:val="2"/>
        </w:numPr>
        <w:spacing w:after="120"/>
        <w:ind w:right="57"/>
        <w:jc w:val="both"/>
        <w:rPr>
          <w:rFonts w:ascii="Times New Roman" w:eastAsia="Times New Roman" w:hAnsi="Times New Roman"/>
          <w:sz w:val="24"/>
          <w:szCs w:val="24"/>
        </w:rPr>
      </w:pPr>
      <w:r w:rsidRPr="00C64727">
        <w:rPr>
          <w:rFonts w:ascii="Times New Roman" w:hAnsi="Times New Roman"/>
          <w:sz w:val="24"/>
          <w:szCs w:val="24"/>
        </w:rPr>
        <w:t>az ICE mint az Egyesült Királyság árveréseinek lebonyolítója az Egyesült Királyság közös beszerzésen kívüli platformjaként.</w:t>
      </w:r>
    </w:p>
    <w:p w14:paraId="4E2BD946" w14:textId="77777777" w:rsidR="0067338B" w:rsidRPr="00C64727" w:rsidRDefault="00D20456">
      <w:pPr>
        <w:spacing w:after="120"/>
        <w:ind w:right="57"/>
        <w:jc w:val="both"/>
        <w:rPr>
          <w:rFonts w:ascii="Times New Roman" w:eastAsia="Times New Roman" w:hAnsi="Times New Roman"/>
          <w:sz w:val="24"/>
          <w:szCs w:val="24"/>
        </w:rPr>
      </w:pPr>
      <w:r w:rsidRPr="00C64727">
        <w:rPr>
          <w:rFonts w:ascii="Times New Roman" w:hAnsi="Times New Roman"/>
          <w:sz w:val="24"/>
          <w:szCs w:val="24"/>
        </w:rPr>
        <w:t>Izland, Liechtenstein és Norvégia 2019 júniusában kezdte meg a kibocsátási egységek árverezés útján történő értékesítését, miután az EGT-megállapodást úgy módosították, hogy lehetővé tegye ezen országok számára, hogy részt vegyenek a közös aukciós platformra vonatkozó közös beszerzési megállapodásban. A három országgal egyetértésben az árverésre bocsátott kibocsátási egységek 2013–2018 közötti időszakra vonatkozó mennyiségét 2019-re és 2020-ra is kiterjesztették, hogy biztosítsák a kibocsátási egységek stabil és kiszámítható kínálatát a piac számára, és hogy elkerüljék a szén-dioxid-piacra gyakorolt kedvezőtlen hatásokat e további kínálat miatt. A felülvizsgált 2019-es és 2020-as aukciós naptár ennek következtében tartalmazza a korábbi mennyiségek árverésről visszatartott részét.</w:t>
      </w:r>
    </w:p>
    <w:p w14:paraId="033B3FE7" w14:textId="77777777" w:rsidR="0067338B" w:rsidRPr="00C64727" w:rsidRDefault="00D20456">
      <w:pPr>
        <w:spacing w:after="120"/>
        <w:ind w:right="57"/>
        <w:jc w:val="both"/>
        <w:rPr>
          <w:rFonts w:ascii="Times New Roman" w:eastAsia="Times New Roman" w:hAnsi="Times New Roman"/>
          <w:sz w:val="24"/>
          <w:szCs w:val="24"/>
        </w:rPr>
      </w:pPr>
      <w:r w:rsidRPr="00C64727">
        <w:rPr>
          <w:rFonts w:ascii="Times New Roman" w:hAnsi="Times New Roman"/>
          <w:sz w:val="24"/>
          <w:szCs w:val="24"/>
        </w:rPr>
        <w:t xml:space="preserve">2018-ban az árverésen értékesített összmennyiség 89 %-ának árverését az EEX bonyolította le 27 tagállama nevében, míg az ICE a teljes mennyiség 11 %-át bonyolította le az Egyesült Királyság nevében. 2019. június 30-ig több mint 1480 árverést tartottak. </w:t>
      </w:r>
    </w:p>
    <w:p w14:paraId="130F42DC" w14:textId="77777777" w:rsidR="0067338B" w:rsidRPr="00C64727" w:rsidRDefault="003A348D">
      <w:pPr>
        <w:spacing w:after="0"/>
        <w:ind w:right="57"/>
        <w:jc w:val="both"/>
        <w:rPr>
          <w:rFonts w:ascii="Times New Roman" w:eastAsia="Times New Roman" w:hAnsi="Times New Roman"/>
          <w:sz w:val="24"/>
          <w:szCs w:val="24"/>
        </w:rPr>
      </w:pPr>
      <w:r w:rsidRPr="00C64727">
        <w:rPr>
          <w:rFonts w:ascii="Times New Roman" w:hAnsi="Times New Roman"/>
          <w:sz w:val="24"/>
          <w:szCs w:val="24"/>
        </w:rPr>
        <w:t>Az 5. táblázat az EEX és az ICE révén 2019. június 30-ig árverésre bocsátott kibocsátási egységek mennyiségéről</w:t>
      </w:r>
      <w:r w:rsidRPr="00C64727">
        <w:rPr>
          <w:rStyle w:val="FootnoteReference"/>
          <w:rFonts w:ascii="Times New Roman" w:eastAsia="Times New Roman" w:hAnsi="Times New Roman"/>
          <w:sz w:val="24"/>
          <w:szCs w:val="24"/>
        </w:rPr>
        <w:footnoteReference w:id="37"/>
      </w:r>
      <w:r w:rsidRPr="00C64727">
        <w:rPr>
          <w:rFonts w:ascii="Times New Roman" w:hAnsi="Times New Roman"/>
          <w:sz w:val="24"/>
          <w:szCs w:val="24"/>
        </w:rPr>
        <w:t xml:space="preserve"> nyújt áttekintést, ideértve az általános célú kibocsátási egységek korai aukcióit</w:t>
      </w:r>
      <w:r w:rsidRPr="00C64727">
        <w:rPr>
          <w:rFonts w:ascii="Times New Roman" w:eastAsia="Times New Roman" w:hAnsi="Times New Roman"/>
          <w:sz w:val="24"/>
          <w:szCs w:val="24"/>
          <w:vertAlign w:val="superscript"/>
        </w:rPr>
        <w:footnoteReference w:id="38"/>
      </w:r>
      <w:r w:rsidRPr="00C64727">
        <w:rPr>
          <w:rFonts w:ascii="Times New Roman" w:hAnsi="Times New Roman"/>
          <w:sz w:val="24"/>
          <w:szCs w:val="24"/>
        </w:rPr>
        <w:t xml:space="preserve">. </w:t>
      </w:r>
    </w:p>
    <w:p w14:paraId="4B849F68" w14:textId="77777777" w:rsidR="0067338B" w:rsidRPr="00C64727" w:rsidRDefault="0067338B">
      <w:pPr>
        <w:spacing w:after="0"/>
        <w:ind w:right="57"/>
        <w:jc w:val="both"/>
        <w:rPr>
          <w:rFonts w:ascii="Times New Roman" w:eastAsia="Times New Roman" w:hAnsi="Times New Roman"/>
          <w:sz w:val="24"/>
          <w:szCs w:val="24"/>
        </w:rPr>
      </w:pPr>
    </w:p>
    <w:p w14:paraId="39E42D14" w14:textId="77777777" w:rsidR="0067338B" w:rsidRPr="00C64727" w:rsidRDefault="003A348D">
      <w:pPr>
        <w:keepNext/>
        <w:rPr>
          <w:rFonts w:ascii="Times New Roman" w:hAnsi="Times New Roman"/>
          <w:b/>
          <w:bCs/>
        </w:rPr>
      </w:pPr>
      <w:r w:rsidRPr="00C64727">
        <w:rPr>
          <w:rFonts w:ascii="Times New Roman" w:hAnsi="Times New Roman"/>
          <w:b/>
          <w:bCs/>
        </w:rPr>
        <w:t>5. táblázat: A 2012-2019-es időszakban árverésre bocsátott 3. szakaszbeli kibocsátási egységek teljes mennyisége</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08"/>
        <w:gridCol w:w="3051"/>
        <w:gridCol w:w="2989"/>
      </w:tblGrid>
      <w:tr w:rsidR="0067338B" w:rsidRPr="00C64727" w14:paraId="66060B7D"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01A21902" w14:textId="77777777" w:rsidR="0067338B" w:rsidRPr="00C64727" w:rsidRDefault="003A348D">
            <w:pPr>
              <w:spacing w:after="0"/>
              <w:jc w:val="center"/>
              <w:rPr>
                <w:rFonts w:ascii="Times New Roman" w:eastAsia="Times New Roman" w:hAnsi="Times New Roman"/>
                <w:sz w:val="20"/>
                <w:szCs w:val="20"/>
              </w:rPr>
            </w:pPr>
            <w:r w:rsidRPr="00C64727">
              <w:rPr>
                <w:rFonts w:ascii="Times New Roman" w:hAnsi="Times New Roman"/>
                <w:sz w:val="20"/>
                <w:szCs w:val="20"/>
              </w:rPr>
              <w:t>Év</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42A612CE" w14:textId="77777777" w:rsidR="0067338B" w:rsidRPr="00C64727" w:rsidRDefault="003A348D">
            <w:pPr>
              <w:spacing w:after="0"/>
              <w:jc w:val="center"/>
              <w:rPr>
                <w:rFonts w:ascii="Times New Roman" w:eastAsia="Times New Roman" w:hAnsi="Times New Roman"/>
                <w:sz w:val="20"/>
                <w:szCs w:val="20"/>
              </w:rPr>
            </w:pPr>
            <w:r w:rsidRPr="00C64727">
              <w:rPr>
                <w:rFonts w:ascii="Times New Roman" w:hAnsi="Times New Roman"/>
                <w:sz w:val="20"/>
                <w:szCs w:val="20"/>
              </w:rPr>
              <w:br/>
              <w:t xml:space="preserve">Általános célú kibocsátási egységek </w:t>
            </w:r>
          </w:p>
          <w:p w14:paraId="782C41B3" w14:textId="77777777" w:rsidR="0067338B" w:rsidRPr="00C64727" w:rsidRDefault="0067338B">
            <w:pPr>
              <w:spacing w:after="0"/>
              <w:jc w:val="center"/>
              <w:rPr>
                <w:rFonts w:ascii="Times New Roman" w:eastAsia="Times New Roman" w:hAnsi="Times New Roman"/>
                <w:sz w:val="20"/>
                <w:szCs w:val="20"/>
              </w:rPr>
            </w:pP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54E165AA" w14:textId="77777777" w:rsidR="0067338B" w:rsidRPr="00C64727" w:rsidRDefault="003A348D">
            <w:pPr>
              <w:spacing w:after="0"/>
              <w:jc w:val="center"/>
              <w:rPr>
                <w:rFonts w:ascii="Times New Roman" w:hAnsi="Times New Roman"/>
                <w:bCs/>
                <w:color w:val="000000"/>
                <w:sz w:val="20"/>
                <w:szCs w:val="20"/>
              </w:rPr>
            </w:pPr>
            <w:r w:rsidRPr="00C64727">
              <w:rPr>
                <w:rFonts w:ascii="Times New Roman" w:hAnsi="Times New Roman"/>
                <w:bCs/>
                <w:sz w:val="20"/>
                <w:szCs w:val="20"/>
              </w:rPr>
              <w:t xml:space="preserve">Légi közlekedési kibocsátási egységek </w:t>
            </w:r>
          </w:p>
        </w:tc>
      </w:tr>
      <w:tr w:rsidR="0067338B" w:rsidRPr="00C64727" w14:paraId="7085048E"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10F3A75C" w14:textId="77777777" w:rsidR="0067338B" w:rsidRPr="00C64727" w:rsidRDefault="003A348D">
            <w:pPr>
              <w:spacing w:after="0"/>
              <w:jc w:val="center"/>
              <w:rPr>
                <w:rFonts w:ascii="Times New Roman" w:eastAsia="Times New Roman" w:hAnsi="Times New Roman"/>
                <w:sz w:val="20"/>
                <w:szCs w:val="20"/>
              </w:rPr>
            </w:pPr>
            <w:r w:rsidRPr="00C64727">
              <w:rPr>
                <w:rFonts w:ascii="Times New Roman" w:hAnsi="Times New Roman"/>
                <w:sz w:val="20"/>
                <w:szCs w:val="20"/>
              </w:rPr>
              <w:t>2012</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6E682BF1" w14:textId="77777777" w:rsidR="0067338B" w:rsidRPr="00C64727" w:rsidRDefault="003A348D">
            <w:pPr>
              <w:spacing w:after="0"/>
              <w:jc w:val="center"/>
              <w:rPr>
                <w:rFonts w:ascii="Times New Roman" w:eastAsia="Times New Roman" w:hAnsi="Times New Roman"/>
                <w:sz w:val="20"/>
                <w:szCs w:val="20"/>
              </w:rPr>
            </w:pPr>
            <w:r w:rsidRPr="00C64727">
              <w:rPr>
                <w:rFonts w:ascii="Times New Roman" w:hAnsi="Times New Roman"/>
                <w:sz w:val="20"/>
                <w:szCs w:val="20"/>
              </w:rPr>
              <w:t>89 701 500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2D6AAD3F" w14:textId="77777777" w:rsidR="0067338B" w:rsidRPr="00C64727" w:rsidRDefault="003A348D">
            <w:pPr>
              <w:spacing w:after="0"/>
              <w:jc w:val="center"/>
              <w:rPr>
                <w:rFonts w:ascii="Times New Roman" w:hAnsi="Times New Roman"/>
                <w:bCs/>
                <w:color w:val="000000"/>
                <w:sz w:val="20"/>
                <w:szCs w:val="20"/>
              </w:rPr>
            </w:pPr>
            <w:r w:rsidRPr="00C64727">
              <w:rPr>
                <w:rFonts w:ascii="Times New Roman" w:hAnsi="Times New Roman"/>
                <w:bCs/>
                <w:sz w:val="20"/>
                <w:szCs w:val="20"/>
              </w:rPr>
              <w:t>2 500 000</w:t>
            </w:r>
          </w:p>
        </w:tc>
      </w:tr>
      <w:tr w:rsidR="0067338B" w:rsidRPr="00C64727" w14:paraId="69D529D4"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3A0C9E0B" w14:textId="77777777" w:rsidR="0067338B" w:rsidRPr="00C64727" w:rsidRDefault="003A348D">
            <w:pPr>
              <w:spacing w:after="0"/>
              <w:jc w:val="center"/>
              <w:rPr>
                <w:rFonts w:ascii="Times New Roman" w:eastAsia="Times New Roman" w:hAnsi="Times New Roman"/>
                <w:sz w:val="20"/>
                <w:szCs w:val="20"/>
              </w:rPr>
            </w:pPr>
            <w:r w:rsidRPr="00C64727">
              <w:rPr>
                <w:rFonts w:ascii="Times New Roman" w:hAnsi="Times New Roman"/>
                <w:sz w:val="20"/>
                <w:szCs w:val="20"/>
              </w:rPr>
              <w:t>2013</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1117D98D" w14:textId="77777777" w:rsidR="0067338B" w:rsidRPr="00C64727" w:rsidRDefault="003A348D">
            <w:pPr>
              <w:spacing w:after="0"/>
              <w:jc w:val="center"/>
              <w:rPr>
                <w:rFonts w:ascii="Times New Roman" w:eastAsia="Times New Roman" w:hAnsi="Times New Roman"/>
                <w:sz w:val="20"/>
                <w:szCs w:val="20"/>
              </w:rPr>
            </w:pPr>
            <w:r w:rsidRPr="00C64727">
              <w:rPr>
                <w:rFonts w:ascii="Times New Roman" w:hAnsi="Times New Roman"/>
                <w:sz w:val="20"/>
                <w:szCs w:val="20"/>
              </w:rPr>
              <w:t>808 146 500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5B01A99F" w14:textId="77777777" w:rsidR="0067338B" w:rsidRPr="00C64727" w:rsidRDefault="003A348D">
            <w:pPr>
              <w:spacing w:after="0"/>
              <w:jc w:val="center"/>
              <w:rPr>
                <w:rFonts w:ascii="Times New Roman" w:hAnsi="Times New Roman"/>
                <w:bCs/>
                <w:color w:val="000000"/>
                <w:sz w:val="20"/>
                <w:szCs w:val="20"/>
              </w:rPr>
            </w:pPr>
            <w:r w:rsidRPr="00C64727">
              <w:rPr>
                <w:rFonts w:ascii="Times New Roman" w:hAnsi="Times New Roman"/>
                <w:bCs/>
                <w:sz w:val="20"/>
                <w:szCs w:val="20"/>
              </w:rPr>
              <w:t xml:space="preserve">0 </w:t>
            </w:r>
          </w:p>
        </w:tc>
      </w:tr>
      <w:tr w:rsidR="0067338B" w:rsidRPr="00C64727" w14:paraId="58C940D0"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31B28787" w14:textId="77777777" w:rsidR="0067338B" w:rsidRPr="00C64727" w:rsidRDefault="003A348D">
            <w:pPr>
              <w:spacing w:after="0"/>
              <w:jc w:val="center"/>
              <w:rPr>
                <w:rFonts w:ascii="Times New Roman" w:eastAsia="Times New Roman" w:hAnsi="Times New Roman"/>
                <w:sz w:val="20"/>
                <w:szCs w:val="20"/>
              </w:rPr>
            </w:pPr>
            <w:r w:rsidRPr="00C64727">
              <w:rPr>
                <w:rFonts w:ascii="Times New Roman" w:hAnsi="Times New Roman"/>
                <w:sz w:val="20"/>
                <w:szCs w:val="20"/>
              </w:rPr>
              <w:t>2014</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290613E5" w14:textId="77777777" w:rsidR="0067338B" w:rsidRPr="00C64727" w:rsidRDefault="003A348D">
            <w:pPr>
              <w:spacing w:after="0"/>
              <w:jc w:val="center"/>
              <w:rPr>
                <w:rFonts w:ascii="Times New Roman" w:eastAsia="Times New Roman" w:hAnsi="Times New Roman"/>
                <w:sz w:val="20"/>
                <w:szCs w:val="20"/>
              </w:rPr>
            </w:pPr>
            <w:r w:rsidRPr="00C64727">
              <w:rPr>
                <w:rFonts w:ascii="Times New Roman" w:hAnsi="Times New Roman"/>
                <w:sz w:val="20"/>
                <w:szCs w:val="20"/>
              </w:rPr>
              <w:t>528 399 500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69360777" w14:textId="77777777" w:rsidR="0067338B" w:rsidRPr="00C64727" w:rsidRDefault="003A348D">
            <w:pPr>
              <w:spacing w:after="0"/>
              <w:jc w:val="center"/>
              <w:rPr>
                <w:rFonts w:ascii="Times New Roman" w:hAnsi="Times New Roman"/>
                <w:bCs/>
                <w:color w:val="000000"/>
                <w:sz w:val="20"/>
                <w:szCs w:val="20"/>
              </w:rPr>
            </w:pPr>
            <w:r w:rsidRPr="00C64727">
              <w:rPr>
                <w:rFonts w:ascii="Times New Roman" w:hAnsi="Times New Roman"/>
                <w:bCs/>
                <w:sz w:val="20"/>
                <w:szCs w:val="20"/>
              </w:rPr>
              <w:t>9 278 000</w:t>
            </w:r>
          </w:p>
        </w:tc>
      </w:tr>
      <w:tr w:rsidR="0067338B" w:rsidRPr="00C64727" w14:paraId="62C5AC9A"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3BC84A92" w14:textId="77777777" w:rsidR="0067338B" w:rsidRPr="00C64727" w:rsidRDefault="003A348D">
            <w:pPr>
              <w:spacing w:after="0"/>
              <w:jc w:val="center"/>
              <w:rPr>
                <w:rFonts w:ascii="Times New Roman" w:eastAsia="Times New Roman" w:hAnsi="Times New Roman"/>
                <w:sz w:val="20"/>
                <w:szCs w:val="20"/>
              </w:rPr>
            </w:pPr>
            <w:r w:rsidRPr="00C64727">
              <w:rPr>
                <w:rFonts w:ascii="Times New Roman" w:hAnsi="Times New Roman"/>
                <w:sz w:val="20"/>
                <w:szCs w:val="20"/>
              </w:rPr>
              <w:t>2015</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0DE1A92B" w14:textId="77777777" w:rsidR="0067338B" w:rsidRPr="00C64727" w:rsidRDefault="003A348D">
            <w:pPr>
              <w:spacing w:after="0"/>
              <w:jc w:val="center"/>
              <w:rPr>
                <w:rFonts w:ascii="Times New Roman" w:eastAsia="Times New Roman" w:hAnsi="Times New Roman"/>
                <w:sz w:val="20"/>
                <w:szCs w:val="20"/>
              </w:rPr>
            </w:pPr>
            <w:r w:rsidRPr="00C64727">
              <w:rPr>
                <w:rFonts w:ascii="Times New Roman" w:hAnsi="Times New Roman"/>
                <w:sz w:val="20"/>
                <w:szCs w:val="20"/>
              </w:rPr>
              <w:t>632 725 500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2523A034" w14:textId="77777777" w:rsidR="0067338B" w:rsidRPr="00C64727" w:rsidRDefault="003A348D">
            <w:pPr>
              <w:spacing w:after="0"/>
              <w:jc w:val="center"/>
              <w:rPr>
                <w:rFonts w:ascii="Times New Roman" w:hAnsi="Times New Roman"/>
                <w:bCs/>
                <w:color w:val="000000"/>
                <w:sz w:val="20"/>
                <w:szCs w:val="20"/>
              </w:rPr>
            </w:pPr>
            <w:r w:rsidRPr="00C64727">
              <w:rPr>
                <w:rFonts w:ascii="Times New Roman" w:hAnsi="Times New Roman"/>
                <w:bCs/>
                <w:sz w:val="20"/>
                <w:szCs w:val="20"/>
              </w:rPr>
              <w:t>16 390 500</w:t>
            </w:r>
          </w:p>
        </w:tc>
      </w:tr>
      <w:tr w:rsidR="0067338B" w:rsidRPr="00C64727" w14:paraId="7C82438C"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547B753F" w14:textId="77777777" w:rsidR="0067338B" w:rsidRPr="00C64727" w:rsidRDefault="003A348D">
            <w:pPr>
              <w:spacing w:after="0"/>
              <w:jc w:val="center"/>
              <w:rPr>
                <w:rFonts w:ascii="Times New Roman" w:eastAsia="Times New Roman" w:hAnsi="Times New Roman"/>
                <w:sz w:val="20"/>
                <w:szCs w:val="20"/>
              </w:rPr>
            </w:pPr>
            <w:r w:rsidRPr="00C64727">
              <w:rPr>
                <w:rFonts w:ascii="Times New Roman" w:hAnsi="Times New Roman"/>
                <w:sz w:val="20"/>
                <w:szCs w:val="20"/>
              </w:rPr>
              <w:t>2016</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1F4DE1E8" w14:textId="77777777" w:rsidR="0067338B" w:rsidRPr="00C64727" w:rsidRDefault="003A348D">
            <w:pPr>
              <w:spacing w:after="0"/>
              <w:jc w:val="center"/>
              <w:rPr>
                <w:rFonts w:ascii="Times New Roman" w:eastAsia="Times New Roman" w:hAnsi="Times New Roman"/>
                <w:sz w:val="20"/>
                <w:szCs w:val="20"/>
              </w:rPr>
            </w:pPr>
            <w:r w:rsidRPr="00C64727">
              <w:rPr>
                <w:rFonts w:ascii="Times New Roman" w:hAnsi="Times New Roman"/>
                <w:sz w:val="20"/>
                <w:szCs w:val="20"/>
              </w:rPr>
              <w:t>715 289 500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09E049F7" w14:textId="77777777" w:rsidR="0067338B" w:rsidRPr="00C64727" w:rsidRDefault="003A348D">
            <w:pPr>
              <w:spacing w:after="0"/>
              <w:jc w:val="center"/>
              <w:rPr>
                <w:rFonts w:ascii="Times New Roman" w:hAnsi="Times New Roman"/>
                <w:bCs/>
                <w:color w:val="000000"/>
                <w:sz w:val="20"/>
                <w:szCs w:val="20"/>
              </w:rPr>
            </w:pPr>
            <w:r w:rsidRPr="00C64727">
              <w:rPr>
                <w:rFonts w:ascii="Times New Roman" w:hAnsi="Times New Roman"/>
                <w:bCs/>
                <w:sz w:val="20"/>
                <w:szCs w:val="20"/>
              </w:rPr>
              <w:t>5 997 500</w:t>
            </w:r>
          </w:p>
        </w:tc>
      </w:tr>
      <w:tr w:rsidR="0067338B" w:rsidRPr="00C64727" w14:paraId="4F933B21"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2C664241" w14:textId="77777777" w:rsidR="0067338B" w:rsidRPr="00C64727" w:rsidRDefault="003A348D">
            <w:pPr>
              <w:spacing w:after="0"/>
              <w:jc w:val="center"/>
              <w:rPr>
                <w:rFonts w:ascii="Times New Roman" w:eastAsia="Times New Roman" w:hAnsi="Times New Roman"/>
                <w:sz w:val="20"/>
                <w:szCs w:val="20"/>
              </w:rPr>
            </w:pPr>
            <w:r w:rsidRPr="00C64727">
              <w:rPr>
                <w:rFonts w:ascii="Times New Roman" w:hAnsi="Times New Roman"/>
                <w:sz w:val="20"/>
                <w:szCs w:val="20"/>
              </w:rPr>
              <w:t xml:space="preserve">2017  </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6A087CC5" w14:textId="77777777" w:rsidR="0067338B" w:rsidRPr="00C64727" w:rsidRDefault="003A348D">
            <w:pPr>
              <w:spacing w:after="0"/>
              <w:jc w:val="center"/>
              <w:rPr>
                <w:rFonts w:ascii="Times New Roman" w:eastAsia="Times New Roman" w:hAnsi="Times New Roman"/>
                <w:sz w:val="20"/>
                <w:szCs w:val="20"/>
              </w:rPr>
            </w:pPr>
            <w:r w:rsidRPr="00C64727">
              <w:rPr>
                <w:rFonts w:ascii="Times New Roman" w:hAnsi="Times New Roman"/>
                <w:sz w:val="20"/>
                <w:szCs w:val="20"/>
              </w:rPr>
              <w:t>951 195 500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62A78481" w14:textId="77777777" w:rsidR="0067338B" w:rsidRPr="00C64727" w:rsidRDefault="003A348D">
            <w:pPr>
              <w:spacing w:after="0"/>
              <w:jc w:val="center"/>
              <w:rPr>
                <w:rFonts w:ascii="Times New Roman" w:hAnsi="Times New Roman"/>
                <w:bCs/>
                <w:color w:val="000000"/>
                <w:sz w:val="20"/>
                <w:szCs w:val="20"/>
              </w:rPr>
            </w:pPr>
            <w:r w:rsidRPr="00C64727">
              <w:rPr>
                <w:rFonts w:ascii="Times New Roman" w:hAnsi="Times New Roman"/>
                <w:bCs/>
                <w:sz w:val="20"/>
                <w:szCs w:val="20"/>
              </w:rPr>
              <w:t>4 730 500</w:t>
            </w:r>
          </w:p>
        </w:tc>
      </w:tr>
      <w:tr w:rsidR="0067338B" w:rsidRPr="00C64727" w14:paraId="4BBC51F1"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5E503AE7" w14:textId="77777777" w:rsidR="0067338B" w:rsidRPr="00C64727" w:rsidRDefault="003A348D">
            <w:pPr>
              <w:spacing w:after="0"/>
              <w:jc w:val="center"/>
              <w:rPr>
                <w:rFonts w:ascii="Times New Roman" w:eastAsia="Times New Roman" w:hAnsi="Times New Roman"/>
                <w:sz w:val="20"/>
                <w:szCs w:val="20"/>
              </w:rPr>
            </w:pPr>
            <w:r w:rsidRPr="00C64727">
              <w:rPr>
                <w:rFonts w:ascii="Times New Roman" w:hAnsi="Times New Roman"/>
                <w:sz w:val="20"/>
                <w:szCs w:val="20"/>
              </w:rPr>
              <w:t xml:space="preserve">2018 </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46F0888F" w14:textId="77777777" w:rsidR="0067338B" w:rsidRPr="00C64727" w:rsidRDefault="00D20456">
            <w:pPr>
              <w:spacing w:after="0"/>
              <w:jc w:val="center"/>
              <w:rPr>
                <w:rFonts w:ascii="Times New Roman" w:eastAsia="Times New Roman" w:hAnsi="Times New Roman"/>
                <w:sz w:val="20"/>
                <w:szCs w:val="20"/>
              </w:rPr>
            </w:pPr>
            <w:r w:rsidRPr="00C64727">
              <w:rPr>
                <w:rFonts w:ascii="Times New Roman" w:hAnsi="Times New Roman"/>
                <w:sz w:val="20"/>
                <w:szCs w:val="20"/>
              </w:rPr>
              <w:t>915 750 000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14B3AB38" w14:textId="77777777" w:rsidR="0067338B" w:rsidRPr="00C64727" w:rsidRDefault="00D20456">
            <w:pPr>
              <w:spacing w:after="0"/>
              <w:jc w:val="center"/>
              <w:rPr>
                <w:rFonts w:ascii="Times New Roman" w:hAnsi="Times New Roman"/>
                <w:bCs/>
                <w:color w:val="000000"/>
                <w:sz w:val="20"/>
                <w:szCs w:val="20"/>
              </w:rPr>
            </w:pPr>
            <w:r w:rsidRPr="00C64727">
              <w:rPr>
                <w:rFonts w:ascii="Times New Roman" w:hAnsi="Times New Roman"/>
                <w:sz w:val="20"/>
                <w:szCs w:val="20"/>
              </w:rPr>
              <w:t>5 601 500</w:t>
            </w:r>
          </w:p>
        </w:tc>
      </w:tr>
      <w:tr w:rsidR="0067338B" w:rsidRPr="00C64727" w14:paraId="01BC19B9"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12A07926" w14:textId="77777777" w:rsidR="0067338B" w:rsidRPr="00C64727" w:rsidRDefault="00DA23BD">
            <w:pPr>
              <w:spacing w:after="0"/>
              <w:jc w:val="center"/>
              <w:rPr>
                <w:rFonts w:ascii="Times New Roman" w:eastAsia="Times New Roman" w:hAnsi="Times New Roman"/>
                <w:sz w:val="20"/>
                <w:szCs w:val="20"/>
              </w:rPr>
            </w:pPr>
            <w:r w:rsidRPr="00C64727">
              <w:rPr>
                <w:rFonts w:ascii="Times New Roman" w:hAnsi="Times New Roman"/>
                <w:sz w:val="20"/>
                <w:szCs w:val="20"/>
              </w:rPr>
              <w:t>2019 (2019. június 30-ig)</w:t>
            </w:r>
            <w:r w:rsidRPr="00C64727">
              <w:rPr>
                <w:rStyle w:val="FootnoteReference"/>
                <w:rFonts w:ascii="Times New Roman" w:eastAsia="Times New Roman" w:hAnsi="Times New Roman"/>
                <w:sz w:val="20"/>
                <w:szCs w:val="20"/>
              </w:rPr>
              <w:footnoteReference w:id="39"/>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31545E2E" w14:textId="77777777" w:rsidR="0067338B" w:rsidRPr="00C64727" w:rsidRDefault="00DA23BD">
            <w:pPr>
              <w:spacing w:after="0"/>
              <w:jc w:val="center"/>
              <w:rPr>
                <w:rFonts w:ascii="Times New Roman" w:eastAsia="Times New Roman" w:hAnsi="Times New Roman"/>
                <w:sz w:val="20"/>
                <w:szCs w:val="20"/>
              </w:rPr>
            </w:pPr>
            <w:r w:rsidRPr="00C64727">
              <w:rPr>
                <w:rFonts w:ascii="Times New Roman" w:hAnsi="Times New Roman"/>
                <w:sz w:val="20"/>
                <w:szCs w:val="20"/>
              </w:rPr>
              <w:t>292 975 500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0CADC71B" w14:textId="77777777" w:rsidR="0067338B" w:rsidRPr="00C64727" w:rsidRDefault="00DA23BD">
            <w:pPr>
              <w:spacing w:after="0"/>
              <w:jc w:val="center"/>
              <w:rPr>
                <w:rFonts w:ascii="Times New Roman" w:eastAsia="Times New Roman" w:hAnsi="Times New Roman"/>
                <w:sz w:val="20"/>
                <w:szCs w:val="20"/>
              </w:rPr>
            </w:pPr>
            <w:r w:rsidRPr="00C64727">
              <w:rPr>
                <w:rFonts w:ascii="Times New Roman" w:hAnsi="Times New Roman"/>
                <w:sz w:val="20"/>
                <w:szCs w:val="20"/>
              </w:rPr>
              <w:t>2 032 500</w:t>
            </w:r>
          </w:p>
        </w:tc>
      </w:tr>
    </w:tbl>
    <w:p w14:paraId="2833898D" w14:textId="77777777" w:rsidR="0067338B" w:rsidRPr="00C64727" w:rsidRDefault="00BE16E5">
      <w:pPr>
        <w:spacing w:after="120" w:line="240" w:lineRule="auto"/>
        <w:ind w:right="57"/>
        <w:jc w:val="both"/>
        <w:rPr>
          <w:rFonts w:ascii="Times New Roman" w:eastAsia="Times New Roman" w:hAnsi="Times New Roman"/>
          <w:sz w:val="24"/>
          <w:szCs w:val="24"/>
        </w:rPr>
      </w:pPr>
      <w:r w:rsidRPr="00C64727">
        <w:rPr>
          <w:rFonts w:ascii="Times New Roman" w:hAnsi="Times New Roman"/>
          <w:sz w:val="24"/>
          <w:szCs w:val="24"/>
        </w:rPr>
        <w:t>Forrás: EEX</w:t>
      </w:r>
    </w:p>
    <w:p w14:paraId="5C30BAAB" w14:textId="77777777" w:rsidR="0067338B" w:rsidRPr="00C64727" w:rsidRDefault="00C505AB">
      <w:pPr>
        <w:jc w:val="both"/>
        <w:rPr>
          <w:rFonts w:ascii="Times New Roman" w:hAnsi="Times New Roman"/>
          <w:sz w:val="24"/>
          <w:szCs w:val="24"/>
        </w:rPr>
      </w:pPr>
      <w:r w:rsidRPr="00C64727">
        <w:rPr>
          <w:rFonts w:ascii="Times New Roman" w:hAnsi="Times New Roman"/>
          <w:sz w:val="24"/>
          <w:szCs w:val="24"/>
        </w:rPr>
        <w:t xml:space="preserve">A 2019-es számadatok tükrözik a piaci stabilitási tartalék 2019 januárjában törtét hatálybalépésének hatását, ami 2019-ben jelentős mértékben csökkentette a kibocsátási egységek árverési kínálatát (lásd a 3.3. fejezetet). Az árverések általában zökkenőmentesen zajlottak, és az aukciós elszámolóárak általában szorosan igazodtak a másodlagos piaci árakhoz. </w:t>
      </w:r>
    </w:p>
    <w:p w14:paraId="547617CC" w14:textId="09C0FB5B" w:rsidR="0067338B" w:rsidRPr="00C64727" w:rsidRDefault="003A348D">
      <w:pPr>
        <w:jc w:val="both"/>
        <w:rPr>
          <w:rFonts w:ascii="Times New Roman" w:hAnsi="Times New Roman"/>
          <w:sz w:val="24"/>
          <w:szCs w:val="24"/>
        </w:rPr>
      </w:pPr>
      <w:r w:rsidRPr="00C64727">
        <w:rPr>
          <w:rFonts w:ascii="Times New Roman" w:hAnsi="Times New Roman"/>
          <w:sz w:val="24"/>
          <w:szCs w:val="24"/>
        </w:rPr>
        <w:t>2018. január és 2019. június között öt árverést töröltek, vagy mert nem érték el a kikiáltási árat, vagy mert a teljes ajánlati mennyiség nem érte el az árverésre bocsátott mennyiséget. Ezzel az öt törölt árveréssel együtt összesen 1</w:t>
      </w:r>
      <w:r w:rsidR="0086407F">
        <w:rPr>
          <w:rFonts w:ascii="Times New Roman" w:hAnsi="Times New Roman"/>
          <w:sz w:val="24"/>
          <w:szCs w:val="24"/>
        </w:rPr>
        <w:t>3</w:t>
      </w:r>
      <w:r w:rsidRPr="00C64727">
        <w:rPr>
          <w:rFonts w:ascii="Times New Roman" w:hAnsi="Times New Roman"/>
          <w:sz w:val="24"/>
          <w:szCs w:val="24"/>
        </w:rPr>
        <w:t xml:space="preserve"> árverést töröltek a 2012 vége óta megtartott több mint 1480 árverés közül. Az 1. ábra áttekintést nyújt a 2013 és 2019. június 30. közötti aukciós elszámolóárakról.</w:t>
      </w:r>
    </w:p>
    <w:p w14:paraId="517BD99B" w14:textId="77777777" w:rsidR="0067338B" w:rsidRPr="00C64727" w:rsidRDefault="0067338B">
      <w:pPr>
        <w:rPr>
          <w:rFonts w:ascii="Times New Roman" w:hAnsi="Times New Roman"/>
          <w:b/>
          <w:sz w:val="24"/>
          <w:szCs w:val="24"/>
        </w:rPr>
      </w:pPr>
    </w:p>
    <w:p w14:paraId="1757E9C0" w14:textId="77777777" w:rsidR="0067338B" w:rsidRPr="00C64727" w:rsidRDefault="001D5A68">
      <w:pPr>
        <w:rPr>
          <w:rFonts w:ascii="Times New Roman" w:hAnsi="Times New Roman"/>
          <w:b/>
        </w:rPr>
      </w:pPr>
      <w:r w:rsidRPr="00C64727">
        <w:rPr>
          <w:rFonts w:ascii="Times New Roman" w:hAnsi="Times New Roman"/>
          <w:b/>
        </w:rPr>
        <w:t>1. ábra: Általános célú kibocsátási egységekre vonatkozó aukciós elszámolóárak 2013 és 2019. június 30. között</w:t>
      </w:r>
    </w:p>
    <w:p w14:paraId="22AF2772" w14:textId="77777777" w:rsidR="0067338B" w:rsidRPr="00C64727" w:rsidRDefault="001D5A68">
      <w:pPr>
        <w:spacing w:after="0"/>
        <w:jc w:val="both"/>
        <w:rPr>
          <w:rFonts w:ascii="Times New Roman" w:hAnsi="Times New Roman"/>
          <w:sz w:val="24"/>
          <w:szCs w:val="24"/>
        </w:rPr>
      </w:pPr>
      <w:r w:rsidRPr="00C64727">
        <w:rPr>
          <w:rFonts w:ascii="Times New Roman" w:hAnsi="Times New Roman"/>
          <w:noProof/>
          <w:sz w:val="24"/>
          <w:szCs w:val="24"/>
          <w:lang w:val="en-GB" w:eastAsia="en-GB"/>
        </w:rPr>
        <w:drawing>
          <wp:inline distT="0" distB="0" distL="0" distR="0" wp14:anchorId="773DF38F" wp14:editId="1EB5A592">
            <wp:extent cx="5575300" cy="2790731"/>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98291" cy="2802239"/>
                    </a:xfrm>
                    <a:prstGeom prst="rect">
                      <a:avLst/>
                    </a:prstGeom>
                    <a:noFill/>
                  </pic:spPr>
                </pic:pic>
              </a:graphicData>
            </a:graphic>
          </wp:inline>
        </w:drawing>
      </w:r>
    </w:p>
    <w:p w14:paraId="3488F8D6" w14:textId="77777777" w:rsidR="0067338B" w:rsidRPr="00C64727" w:rsidRDefault="00626D3C">
      <w:pPr>
        <w:spacing w:after="0"/>
        <w:jc w:val="both"/>
        <w:rPr>
          <w:rFonts w:ascii="Times New Roman" w:hAnsi="Times New Roman"/>
          <w:sz w:val="24"/>
          <w:szCs w:val="24"/>
        </w:rPr>
      </w:pPr>
      <w:r w:rsidRPr="00C64727">
        <w:rPr>
          <w:rFonts w:ascii="Times New Roman" w:hAnsi="Times New Roman"/>
          <w:sz w:val="24"/>
          <w:szCs w:val="24"/>
        </w:rPr>
        <w:t>Forrás: EEX</w:t>
      </w:r>
    </w:p>
    <w:p w14:paraId="05BEFAF8" w14:textId="77777777" w:rsidR="0067338B" w:rsidRPr="00C64727" w:rsidRDefault="001D5A68">
      <w:pPr>
        <w:rPr>
          <w:rFonts w:ascii="Times New Roman" w:hAnsi="Times New Roman"/>
          <w:sz w:val="24"/>
          <w:szCs w:val="24"/>
        </w:rPr>
      </w:pPr>
      <w:r w:rsidRPr="00C64727">
        <w:rPr>
          <w:rFonts w:ascii="Times New Roman" w:hAnsi="Times New Roman"/>
          <w:b/>
          <w:color w:val="00B050"/>
          <w:sz w:val="24"/>
          <w:szCs w:val="24"/>
        </w:rPr>
        <w:t>___</w:t>
      </w:r>
      <w:r w:rsidRPr="00C64727">
        <w:rPr>
          <w:rFonts w:ascii="Times New Roman" w:hAnsi="Times New Roman"/>
          <w:sz w:val="24"/>
          <w:szCs w:val="24"/>
        </w:rPr>
        <w:t xml:space="preserve"> Aukciós elszámolóár</w:t>
      </w:r>
    </w:p>
    <w:p w14:paraId="0AAEABAD" w14:textId="77777777" w:rsidR="0067338B" w:rsidRPr="00C64727" w:rsidRDefault="001D5A68">
      <w:pPr>
        <w:jc w:val="both"/>
        <w:rPr>
          <w:rFonts w:ascii="Times New Roman" w:hAnsi="Times New Roman"/>
          <w:sz w:val="24"/>
          <w:szCs w:val="24"/>
        </w:rPr>
      </w:pPr>
      <w:r w:rsidRPr="00C64727">
        <w:rPr>
          <w:rFonts w:ascii="Times New Roman" w:hAnsi="Times New Roman"/>
          <w:sz w:val="24"/>
          <w:szCs w:val="24"/>
        </w:rPr>
        <w:t>Az általános célú kibocsátási egységek 2013 és 2019. június 30. közötti árverésein részt vevők számáról a 2. függelék ad tájékoztatást. Az aukciós platformok minden egyes árverés részletes eredményét megfelelő időben közzéteszik a kifejezetten erre a célra létrehozott weboldalakon. Az árverések működésére vonatkozó további tájékoztatás, többek közt a részvételre, az aukciós fedezettségre és az árakra vonatkozó információk a Bizottság weboldalán</w:t>
      </w:r>
      <w:r w:rsidRPr="00C64727">
        <w:rPr>
          <w:rFonts w:ascii="Times New Roman" w:hAnsi="Times New Roman"/>
          <w:sz w:val="24"/>
          <w:szCs w:val="24"/>
          <w:vertAlign w:val="superscript"/>
        </w:rPr>
        <w:footnoteReference w:id="40"/>
      </w:r>
      <w:r w:rsidRPr="00C64727">
        <w:rPr>
          <w:rFonts w:ascii="Times New Roman" w:hAnsi="Times New Roman"/>
          <w:sz w:val="24"/>
          <w:szCs w:val="24"/>
        </w:rPr>
        <w:t xml:space="preserve"> közzétett tagállami jelentésekben találhatók.</w:t>
      </w:r>
    </w:p>
    <w:p w14:paraId="69FCCC6F" w14:textId="77777777" w:rsidR="0067338B" w:rsidRPr="00C64727" w:rsidRDefault="00952A42">
      <w:pPr>
        <w:jc w:val="both"/>
        <w:rPr>
          <w:rFonts w:ascii="Times New Roman" w:hAnsi="Times New Roman"/>
          <w:sz w:val="24"/>
          <w:szCs w:val="24"/>
        </w:rPr>
      </w:pPr>
      <w:r w:rsidRPr="00C64727">
        <w:rPr>
          <w:rFonts w:ascii="Times New Roman" w:hAnsi="Times New Roman"/>
          <w:sz w:val="24"/>
          <w:szCs w:val="24"/>
        </w:rPr>
        <w:t>A 2012 és 2019. június 30. között a tagállamok árverésekből elért összbevétele meghaladta a 42 milliárd EUR-t (lásd a 2. függelék 2.1. táblázatát). Egyedül 2018-ban a befolyó összbevétel 14 milliárd EUR volt. Az EU ETS irányelv úgy rendelkezik, hogy a tagállamoknak az árverésekből származó bevételek – ideértve a szolidaritás és a növekedés érdekében kiosztott kibocsátási egységekből származó összes bevételt is – legalább 50 %-át éghajlatváltozással vagy energiaüggyel kapcsolatos célokra kell fordítaniuk. A tagállamok által a Bizottságnak benyújtott adatok alapján 2018-ban a tagállamok e bevételeknek közel 70 %-át meghatározott, éghajlatváltozással vagy energiaüggyel kapcsolatos célokra költötték vagy tervezték költeni. A 2013–2018 közötti időszakban az árverési bevételek körülbelül 80 %-át költötték ilyen célokra.</w:t>
      </w:r>
    </w:p>
    <w:p w14:paraId="223BAE32" w14:textId="77777777" w:rsidR="0067338B" w:rsidRPr="00C64727" w:rsidRDefault="00A52F4C">
      <w:pPr>
        <w:pStyle w:val="Heading4"/>
        <w:spacing w:before="0" w:after="200"/>
        <w:ind w:left="1080"/>
        <w:rPr>
          <w:szCs w:val="24"/>
        </w:rPr>
      </w:pPr>
      <w:bookmarkStart w:id="15" w:name="_Toc24093092"/>
      <w:r w:rsidRPr="00C64727">
        <w:rPr>
          <w:szCs w:val="24"/>
        </w:rPr>
        <w:t>3.1.2.5. A teljes árverésre vonatkozó szabálytól való eltérésre a villamosenergia- és a hőtermelés esetében</w:t>
      </w:r>
      <w:bookmarkEnd w:id="15"/>
    </w:p>
    <w:p w14:paraId="66966EE8" w14:textId="77777777" w:rsidR="0067338B" w:rsidRPr="00C64727" w:rsidRDefault="003A348D">
      <w:pPr>
        <w:jc w:val="both"/>
        <w:rPr>
          <w:rFonts w:ascii="Times New Roman" w:hAnsi="Times New Roman"/>
          <w:sz w:val="24"/>
          <w:szCs w:val="24"/>
        </w:rPr>
      </w:pPr>
      <w:r w:rsidRPr="00C64727">
        <w:rPr>
          <w:rFonts w:ascii="Times New Roman" w:hAnsi="Times New Roman"/>
          <w:noProof/>
          <w:sz w:val="24"/>
          <w:szCs w:val="24"/>
          <w:lang w:val="en-GB" w:eastAsia="en-GB"/>
        </w:rPr>
        <mc:AlternateContent>
          <mc:Choice Requires="wps">
            <w:drawing>
              <wp:inline distT="0" distB="0" distL="0" distR="0" wp14:anchorId="399D85D1" wp14:editId="619EBEC8">
                <wp:extent cx="5720487" cy="5599289"/>
                <wp:effectExtent l="0" t="0" r="13970" b="20955"/>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487" cy="5599289"/>
                        </a:xfrm>
                        <a:prstGeom prst="rect">
                          <a:avLst/>
                        </a:prstGeom>
                        <a:solidFill>
                          <a:sysClr val="window" lastClr="FFFFFF">
                            <a:lumMod val="85000"/>
                          </a:sysClr>
                        </a:solidFill>
                        <a:ln w="12700">
                          <a:solidFill>
                            <a:srgbClr val="000000">
                              <a:alpha val="70000"/>
                            </a:srgbClr>
                          </a:solidFill>
                          <a:miter lim="800000"/>
                          <a:headEnd/>
                          <a:tailEnd/>
                        </a:ln>
                      </wps:spPr>
                      <wps:txbx>
                        <w:txbxContent>
                          <w:p w14:paraId="4C24446F" w14:textId="77777777" w:rsidR="0067338B" w:rsidRPr="00AC48C8" w:rsidRDefault="00516F65" w:rsidP="00AC48C8">
                            <w:pPr>
                              <w:pStyle w:val="FootnoteText"/>
                              <w:rPr>
                                <w:sz w:val="24"/>
                                <w:szCs w:val="24"/>
                              </w:rPr>
                            </w:pPr>
                            <w:r w:rsidRPr="00AC48C8">
                              <w:rPr>
                                <w:sz w:val="24"/>
                                <w:szCs w:val="24"/>
                              </w:rPr>
                              <w:t xml:space="preserve">Az EU ETS irányelv 10c. cikke eltérést határoz meg az árverés általános szabályától, hogy támogassa a villamosenergia-ágazat korszerűsítésére irányuló beruházásokat egyes alacsonyabb jövedelmű uniós tagállamokban. Tízből nyolc jogosult tagállam* igénybe veszi ezt az eltérést a 3. Szakaszban és ingyenesen biztosít kibocsátási egységeket a villamosenergia-termelők számára azzal a feltétellel, hogy azok megfelelő beruházásokat hajtanak végre. </w:t>
                            </w:r>
                          </w:p>
                          <w:p w14:paraId="26623B68" w14:textId="6FD7686E" w:rsidR="0067338B" w:rsidRPr="00AC48C8" w:rsidRDefault="00516F65" w:rsidP="00AC48C8">
                            <w:pPr>
                              <w:pStyle w:val="FootnoteText"/>
                              <w:rPr>
                                <w:sz w:val="24"/>
                                <w:szCs w:val="24"/>
                              </w:rPr>
                            </w:pPr>
                            <w:r w:rsidRPr="00AC48C8">
                              <w:rPr>
                                <w:sz w:val="24"/>
                                <w:szCs w:val="24"/>
                              </w:rPr>
                              <w:t>A 10c. cikk alapján ingyenesen kiosztott kibocsátási egységeket levonják a kibocsátási egységek azon mennyiségéből, amelyet a tagállam egyébként árverésre bocsátana. Az eltérés végrehajtására vonatkozó nemzeti szabályoktól függően a villamosenergia-termelők a nemzeti beruházási tervben felsorolt folyamatban lévő beruházásaikkal, vagy az ilyen beruházások finanszírozására szolgáló nemzeti alapba való befizetéseikkel egyenértékű kibocsátásiegység-mennyiségben részesülnek ingyenesen. Mivel a kibocsátási egységek villamosenergia-termelőknek való, 10c. cikk szerinti ingyenes kiosztása elvben állami támogatást jelentene, a 10c. cikkben foglalt eltérés végrehajtására szolgáló nemzeti programokat az állami támogatási szabályok alapján engedélyezték, és ezek az állami támogatásról szóló iránymutatás hatálya alá tartoznak.**</w:t>
                            </w:r>
                          </w:p>
                          <w:p w14:paraId="218DB988" w14:textId="68974703" w:rsidR="0067338B" w:rsidRDefault="00516F65" w:rsidP="00AC48C8">
                            <w:pPr>
                              <w:pStyle w:val="FootnoteText"/>
                              <w:rPr>
                                <w:sz w:val="24"/>
                                <w:szCs w:val="24"/>
                              </w:rPr>
                            </w:pPr>
                            <w:r w:rsidRPr="00AC48C8">
                              <w:rPr>
                                <w:sz w:val="24"/>
                                <w:szCs w:val="24"/>
                              </w:rPr>
                              <w:t>A 10c. cikk szerinti átmeneti ingyenes kiosztás a 4. szakaszban továbbra is rendelkezésre áll majd, de az átláthatóságra vonatkozó bővített rendelkezések és azon alternatív lehetőség mellett, hogy a jogosult tagállamok a 10c. cikk szerinti kibocsátási egységek egészét vagy egy részét arra is felhasználhatják, hogy a modernizációs alap keretében támogassanak beruházásokat. A tagállamok által a Bizottságnak benyújtott információk alapján a 10c. cikkben foglalt eltérés igénybevétele a következő kereskedési időszakban igen korlátozott lesz. Tízből hét jogosult tagállam, köztük Lengyelország és a Cseh Köztársaság, amelyek a 3. szakaszban a legnagyobb átmeneti ingyenes kiosztási mennyiségekkel rendelkeztek, úgy döntött, hogy az eltérést a továbbiakban nem veszi igénybe.</w:t>
                            </w:r>
                          </w:p>
                          <w:p w14:paraId="0E8C2CD6" w14:textId="77777777" w:rsidR="00AC48C8" w:rsidRPr="00AC48C8" w:rsidRDefault="00AC48C8" w:rsidP="00AC48C8">
                            <w:pPr>
                              <w:pStyle w:val="FootnoteText"/>
                              <w:rPr>
                                <w:sz w:val="24"/>
                                <w:szCs w:val="24"/>
                              </w:rPr>
                            </w:pPr>
                          </w:p>
                          <w:p w14:paraId="55136B73" w14:textId="77777777" w:rsidR="0067338B" w:rsidRDefault="00516F65">
                            <w:pPr>
                              <w:spacing w:after="120"/>
                              <w:jc w:val="both"/>
                              <w:rPr>
                                <w:rFonts w:ascii="Times New Roman" w:hAnsi="Times New Roman"/>
                                <w:sz w:val="18"/>
                                <w:szCs w:val="18"/>
                              </w:rPr>
                            </w:pPr>
                            <w:r>
                              <w:rPr>
                                <w:rFonts w:ascii="Times New Roman" w:hAnsi="Times New Roman"/>
                                <w:sz w:val="18"/>
                                <w:szCs w:val="18"/>
                              </w:rPr>
                              <w:t>* Az eltérésre Bulgária, Ciprus, a Cseh Köztársaság, Észtország, Lengyelország, Lettország, Litvánia, Magyarország, Málta és Románia jogosult. Málta és Lettország úgy döntött, hogy ezt a lehetőséget a 3. szakaszban nem veszi igénybe.</w:t>
                            </w:r>
                          </w:p>
                          <w:p w14:paraId="650DFAD5" w14:textId="43F69296" w:rsidR="0067338B" w:rsidRDefault="00516F65">
                            <w:pPr>
                              <w:spacing w:after="120"/>
                              <w:jc w:val="both"/>
                              <w:rPr>
                                <w:rFonts w:ascii="Times New Roman" w:hAnsi="Times New Roman"/>
                                <w:sz w:val="18"/>
                                <w:szCs w:val="18"/>
                              </w:rPr>
                            </w:pPr>
                            <w:r>
                              <w:rPr>
                                <w:rFonts w:ascii="Times New Roman" w:hAnsi="Times New Roman"/>
                                <w:sz w:val="18"/>
                                <w:szCs w:val="18"/>
                              </w:rPr>
                              <w:t>** Iránymutatás az üvegházhatású gázok kibocsátási egységei 2012 utáni kereskedelmi rendszerének kontextusában hozott egyes állami támogatási intézkedésekhez, HL C 158., 2012.6.5., 4. o.</w:t>
                            </w:r>
                          </w:p>
                        </w:txbxContent>
                      </wps:txbx>
                      <wps:bodyPr rot="0" vert="horz" wrap="square" lIns="91440" tIns="45720" rIns="91440" bIns="45720" anchor="t" anchorCtr="0">
                        <a:noAutofit/>
                      </wps:bodyPr>
                    </wps:wsp>
                  </a:graphicData>
                </a:graphic>
              </wp:inline>
            </w:drawing>
          </mc:Choice>
          <mc:Fallback>
            <w:pict>
              <v:shape w14:anchorId="399D85D1" id="_x0000_s1034" type="#_x0000_t202" style="width:450.45pt;height:44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" fillcolor="#d9d9d9" strokeweight="1pt">
                <v:stroke opacity="46003f"/>
                <v:textbox>
                  <w:txbxContent>
                    <w:p w14:paraId="4C24446F" w14:textId="77777777" w:rsidR="0067338B" w:rsidRPr="00AC48C8" w:rsidRDefault="00516F65" w:rsidP="00AC48C8">
                      <w:pPr>
                        <w:pStyle w:val="FootnoteText"/>
                        <w:rPr>
                          <w:sz w:val="24"/>
                          <w:szCs w:val="24"/>
                        </w:rPr>
                      </w:pPr>
                      <w:r w:rsidRPr="00AC48C8">
                        <w:rPr>
                          <w:sz w:val="24"/>
                          <w:szCs w:val="24"/>
                        </w:rPr>
                        <w:t xml:space="preserve">Az EU ETS irányelv 10c. cikke eltérést határoz meg az árverés általános szabályától, hogy támogassa a villamosenergia-ágazat korszerűsítésére irányuló beruházásokat egyes alacsonyabb jövedelmű uniós tagállamokban. Tízből nyolc jogosult tagállam* igénybe veszi ezt az eltérést a 3. Szakaszban és ingyenesen biztosít kibocsátási egységeket a villamosenergia-termelők számára azzal a feltétellel, hogy azok megfelelő beruházásokat hajtanak végre. </w:t>
                      </w:r>
                    </w:p>
                    <w:p w14:paraId="26623B68" w14:textId="6FD7686E" w:rsidR="0067338B" w:rsidRPr="00AC48C8" w:rsidRDefault="00516F65" w:rsidP="00AC48C8">
                      <w:pPr>
                        <w:pStyle w:val="FootnoteText"/>
                        <w:rPr>
                          <w:sz w:val="24"/>
                          <w:szCs w:val="24"/>
                        </w:rPr>
                      </w:pPr>
                      <w:r w:rsidRPr="00AC48C8">
                        <w:rPr>
                          <w:sz w:val="24"/>
                          <w:szCs w:val="24"/>
                        </w:rPr>
                        <w:t>A 10c. cikk alapján ingyenesen kiosztott kibocsátási egységeket levonják a kibocsátási egységek azon mennyiségéből, amelyet a tagállam egyébként árverésre bocsátana. Az eltérés végrehajtására vonatkozó nemzeti szabályoktól függően a villamosenergia-termelők a nemzeti beruházási tervben felsorolt folyamatban lévő beruházásaikkal, vagy az ilyen beruházások finanszírozására szolgáló nemzeti alapba való befizetéseikkel egyenértékű kibocsátásiegység-mennyiségben részesülnek ingyenesen. Mivel a kibocsátási egységek villamosenergia-termelőknek való, 10c. cikk szerinti ingyenes kiosztása elvben állami támogatást jelentene, a 10c. cikkben foglalt eltérés végrehajtására szolgáló nemzeti programokat az állami támogatási szabályok alapján engedélyezték, és ezek az állami támogatásról szóló iránymutatás hatálya alá tartoznak.**</w:t>
                      </w:r>
                    </w:p>
                    <w:p w14:paraId="218DB988" w14:textId="68974703" w:rsidR="0067338B" w:rsidRDefault="00516F65" w:rsidP="00AC48C8">
                      <w:pPr>
                        <w:pStyle w:val="FootnoteText"/>
                        <w:rPr>
                          <w:sz w:val="24"/>
                          <w:szCs w:val="24"/>
                        </w:rPr>
                      </w:pPr>
                      <w:r w:rsidRPr="00AC48C8">
                        <w:rPr>
                          <w:sz w:val="24"/>
                          <w:szCs w:val="24"/>
                        </w:rPr>
                        <w:t>A 10c. cikk szerinti átmeneti ingyenes kiosztás a 4. szakaszban továbbra is rendelkezésre áll majd, de az átláthatóságra vonatkozó bővített rendelkezések és azon alternatív lehetőség mellett, hogy a jogosult tagállamok a 10c. cikk szerinti kibocsátási egységek egészét vagy egy részét arra is felhasználhatják, hogy a modernizációs alap keretében támogassanak beruházásokat. A tagállamok által a Bizottságnak benyújtott információk alapján a 10c. cikkben foglalt eltérés igénybevétele a következő kereskedési időszakban igen korlátozott lesz. Tízből hét jogosult tagállam, köztük Lengyelország és a Cseh Köztársaság, amelyek a 3. szakaszban a legnagyobb átmeneti ingyenes kiosztási mennyiségekkel rendelkeztek, úgy döntött, hogy az eltérést a továbbiakban nem veszi igénybe.</w:t>
                      </w:r>
                    </w:p>
                    <w:p w14:paraId="0E8C2CD6" w14:textId="77777777" w:rsidR="00AC48C8" w:rsidRPr="00AC48C8" w:rsidRDefault="00AC48C8" w:rsidP="00AC48C8">
                      <w:pPr>
                        <w:pStyle w:val="FootnoteText"/>
                        <w:rPr>
                          <w:sz w:val="24"/>
                          <w:szCs w:val="24"/>
                        </w:rPr>
                      </w:pPr>
                    </w:p>
                    <w:p w14:paraId="55136B73" w14:textId="77777777" w:rsidR="0067338B" w:rsidRDefault="00516F65">
                      <w:pPr>
                        <w:spacing w:after="120"/>
                        <w:jc w:val="both"/>
                        <w:rPr>
                          <w:rFonts w:ascii="Times New Roman" w:hAnsi="Times New Roman"/>
                          <w:sz w:val="18"/>
                          <w:szCs w:val="18"/>
                        </w:rPr>
                      </w:pPr>
                      <w:r>
                        <w:rPr>
                          <w:rFonts w:ascii="Times New Roman" w:hAnsi="Times New Roman"/>
                          <w:sz w:val="18"/>
                          <w:szCs w:val="18"/>
                        </w:rPr>
                        <w:t>* Az eltérésre Bulgária, Ciprus, a Cseh Köztársaság, Észtország, Lengyelország, Lettország, Litvánia, Magyarország, Málta és Románia jogosult. Málta és Lettország úgy döntött, hogy ezt a lehetőséget a 3. szakaszban nem veszi igénybe.</w:t>
                      </w:r>
                    </w:p>
                    <w:p w14:paraId="650DFAD5" w14:textId="43F69296" w:rsidR="0067338B" w:rsidRDefault="00516F65">
                      <w:pPr>
                        <w:spacing w:after="120"/>
                        <w:jc w:val="both"/>
                        <w:rPr>
                          <w:rFonts w:ascii="Times New Roman" w:hAnsi="Times New Roman"/>
                          <w:sz w:val="18"/>
                          <w:szCs w:val="18"/>
                        </w:rPr>
                      </w:pPr>
                      <w:r>
                        <w:rPr>
                          <w:rFonts w:ascii="Times New Roman" w:hAnsi="Times New Roman"/>
                          <w:sz w:val="18"/>
                          <w:szCs w:val="18"/>
                        </w:rPr>
                        <w:t>** Iránymutatás az üvegházhatású gázok kibocsátási egységei 2012 utáni kereskedelmi rendszerének kontextusában hozott egyes állami támogatási intézkedésekhez, HL C 158., 2012.6.5., 4. o.</w:t>
                      </w:r>
                    </w:p>
                  </w:txbxContent>
                </v:textbox>
                <w10:anchorlock/>
              </v:shape>
            </w:pict>
          </mc:Fallback>
        </mc:AlternateContent>
      </w:r>
    </w:p>
    <w:p w14:paraId="3429A3B5" w14:textId="77777777" w:rsidR="0067338B" w:rsidRPr="00C64727" w:rsidRDefault="003A348D">
      <w:pPr>
        <w:spacing w:after="160" w:line="259" w:lineRule="auto"/>
        <w:contextualSpacing/>
        <w:jc w:val="both"/>
        <w:rPr>
          <w:rFonts w:ascii="Times New Roman" w:hAnsi="Times New Roman"/>
          <w:sz w:val="24"/>
          <w:szCs w:val="24"/>
        </w:rPr>
      </w:pPr>
      <w:r w:rsidRPr="00C64727">
        <w:rPr>
          <w:rFonts w:ascii="Times New Roman" w:hAnsi="Times New Roman"/>
          <w:sz w:val="24"/>
          <w:szCs w:val="24"/>
        </w:rPr>
        <w:t xml:space="preserve">A 2009 és 2018 közötti beruházási támogatás bejelentett összértéke körülbelül 12,4 milliárd euró. Ennek az összegnek mintegy 82 %-át szánták az infrastruktúra fejlesztésére és átalakítására, míg a beruházások többi része a tiszta technológiákhoz vagy a kínálat diverzifikálásához kapcsolódott. </w:t>
      </w:r>
    </w:p>
    <w:p w14:paraId="3C7A2009" w14:textId="77777777" w:rsidR="0067338B" w:rsidRPr="00C64727" w:rsidRDefault="0067338B">
      <w:pPr>
        <w:spacing w:after="160" w:line="259" w:lineRule="auto"/>
        <w:contextualSpacing/>
        <w:jc w:val="both"/>
        <w:rPr>
          <w:rFonts w:ascii="Times New Roman" w:hAnsi="Times New Roman"/>
          <w:sz w:val="24"/>
          <w:szCs w:val="24"/>
        </w:rPr>
      </w:pPr>
    </w:p>
    <w:p w14:paraId="342BC579" w14:textId="77777777" w:rsidR="0067338B" w:rsidRPr="00C64727" w:rsidRDefault="00FE4E64">
      <w:pPr>
        <w:jc w:val="both"/>
        <w:rPr>
          <w:rFonts w:ascii="Times New Roman" w:hAnsi="Times New Roman"/>
          <w:sz w:val="24"/>
          <w:szCs w:val="24"/>
        </w:rPr>
      </w:pPr>
      <w:r w:rsidRPr="00C64727">
        <w:rPr>
          <w:rFonts w:ascii="Times New Roman" w:hAnsi="Times New Roman"/>
          <w:sz w:val="24"/>
          <w:szCs w:val="24"/>
        </w:rPr>
        <w:t>A villamosenergia-termelők számára 2018-ban ingyenesen kiosztott kibocsátási egységek számát az 1.1. táblázat és a melléklet 1. függeléke, míg a kibocsátási egységek évenkénti maximális számát az 1. függelék 1.2. táblázata ismerteti.</w:t>
      </w:r>
    </w:p>
    <w:p w14:paraId="0E438262" w14:textId="77777777" w:rsidR="0067338B" w:rsidRPr="00C64727" w:rsidRDefault="003A348D">
      <w:pPr>
        <w:jc w:val="both"/>
        <w:rPr>
          <w:rFonts w:ascii="Times New Roman" w:hAnsi="Times New Roman"/>
          <w:sz w:val="24"/>
          <w:szCs w:val="24"/>
        </w:rPr>
      </w:pPr>
      <w:r w:rsidRPr="00C64727">
        <w:rPr>
          <w:rFonts w:ascii="Times New Roman" w:hAnsi="Times New Roman"/>
          <w:sz w:val="24"/>
          <w:szCs w:val="24"/>
        </w:rPr>
        <w:t>A ki nem osztott kibocsátási egységeket vagy el lehet árverezni, vagy a felülvizsgált EU ETS irányelv rendelkezéseinek megfelelően a 2021–2030-as időszakban a versenytárgyalásos ajánlattételi eljárással kiválasztott 10c. cikk szerinti beruházásoknak lehet kiosztani. A 2. ábra a 2013-2018-as időszakban kiosztott kibocsátási egységek számát mutatja be.</w:t>
      </w:r>
    </w:p>
    <w:p w14:paraId="4EEDB1C2" w14:textId="77777777" w:rsidR="0067338B" w:rsidRPr="00C64727" w:rsidRDefault="0067338B">
      <w:pPr>
        <w:jc w:val="both"/>
        <w:rPr>
          <w:rFonts w:ascii="Times New Roman" w:hAnsi="Times New Roman"/>
          <w:sz w:val="24"/>
          <w:szCs w:val="24"/>
        </w:rPr>
      </w:pPr>
    </w:p>
    <w:p w14:paraId="0FC9363F" w14:textId="77777777" w:rsidR="0067338B" w:rsidRPr="00C64727" w:rsidRDefault="003A348D">
      <w:pPr>
        <w:jc w:val="both"/>
        <w:rPr>
          <w:rFonts w:ascii="Times New Roman" w:hAnsi="Times New Roman"/>
          <w:b/>
        </w:rPr>
      </w:pPr>
      <w:r w:rsidRPr="00C64727">
        <w:rPr>
          <w:rFonts w:ascii="Times New Roman" w:hAnsi="Times New Roman"/>
          <w:b/>
        </w:rPr>
        <w:t xml:space="preserve"> 2. ábra: A 10c. cikk alapján ingyenesen kiosztott kibocsátási egységek</w:t>
      </w:r>
    </w:p>
    <w:p w14:paraId="3532CF67" w14:textId="77777777" w:rsidR="0067338B" w:rsidRPr="00C64727" w:rsidRDefault="00F47B94">
      <w:pPr>
        <w:spacing w:after="160" w:line="259" w:lineRule="auto"/>
        <w:contextualSpacing/>
        <w:rPr>
          <w:rFonts w:ascii="Times New Roman" w:hAnsi="Times New Roman"/>
          <w:sz w:val="24"/>
          <w:szCs w:val="24"/>
        </w:rPr>
      </w:pPr>
      <w:r w:rsidRPr="00C64727">
        <w:rPr>
          <w:rFonts w:ascii="Times New Roman" w:hAnsi="Times New Roman"/>
          <w:noProof/>
          <w:sz w:val="24"/>
          <w:szCs w:val="24"/>
          <w:lang w:val="en-GB" w:eastAsia="en-GB"/>
        </w:rPr>
        <w:drawing>
          <wp:inline distT="0" distB="0" distL="0" distR="0" wp14:anchorId="48AA7D14" wp14:editId="4F8D3810">
            <wp:extent cx="5694218" cy="2910011"/>
            <wp:effectExtent l="0" t="0" r="190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2132" cy="2914056"/>
                    </a:xfrm>
                    <a:prstGeom prst="rect">
                      <a:avLst/>
                    </a:prstGeom>
                    <a:noFill/>
                  </pic:spPr>
                </pic:pic>
              </a:graphicData>
            </a:graphic>
          </wp:inline>
        </w:drawing>
      </w:r>
    </w:p>
    <w:p w14:paraId="794B64F3" w14:textId="379A3F8E" w:rsidR="0067338B" w:rsidRPr="00C64727" w:rsidRDefault="00A92C10">
      <w:pPr>
        <w:jc w:val="both"/>
        <w:rPr>
          <w:rFonts w:ascii="Times New Roman" w:hAnsi="Times New Roman"/>
          <w:sz w:val="24"/>
          <w:szCs w:val="24"/>
        </w:rPr>
      </w:pPr>
      <w:r w:rsidRPr="00C64727">
        <w:rPr>
          <w:rFonts w:ascii="Times New Roman" w:hAnsi="Times New Roman"/>
          <w:sz w:val="24"/>
          <w:szCs w:val="24"/>
        </w:rPr>
        <w:t>Forrás: Éghajlatpolitikai Főigazgatóság</w:t>
      </w:r>
    </w:p>
    <w:p w14:paraId="5C6CC9DE" w14:textId="77777777" w:rsidR="0067338B" w:rsidRPr="00C64727" w:rsidRDefault="00967BB6">
      <w:pPr>
        <w:jc w:val="both"/>
        <w:rPr>
          <w:rFonts w:ascii="Times New Roman" w:hAnsi="Times New Roman"/>
          <w:b/>
          <w:sz w:val="24"/>
          <w:szCs w:val="24"/>
        </w:rPr>
      </w:pPr>
      <w:r w:rsidRPr="00C64727">
        <w:rPr>
          <w:rFonts w:ascii="Times New Roman" w:hAnsi="Times New Roman"/>
          <w:sz w:val="24"/>
          <w:szCs w:val="24"/>
        </w:rPr>
        <w:t xml:space="preserve">2018 decemberében Lengyelország tájékoztatta a Bizottságot, hogy 2019-ben a 10c. cikk szerinti eltérés alapján ki nem osztott kibocsátási egységeiből 55,8 milliót kíván érverés útján értékesíteni. 2019 májusában Lengyelország értesítette a Bizottságot, hogy a 10c. cikk szerinti eltérés alapján ki nem osztott további 49,52 millió kibocsátási egységet szándékozik hozzáadni a Lengyelország által 2020-ban elárverezni kívánt mennyiségekhez. </w:t>
      </w:r>
    </w:p>
    <w:p w14:paraId="548932C6" w14:textId="77777777" w:rsidR="0067338B" w:rsidRPr="00C64727" w:rsidRDefault="00967BB6">
      <w:pPr>
        <w:jc w:val="both"/>
        <w:rPr>
          <w:rFonts w:ascii="Times New Roman" w:hAnsi="Times New Roman"/>
          <w:b/>
          <w:sz w:val="24"/>
          <w:szCs w:val="24"/>
        </w:rPr>
      </w:pPr>
      <w:r w:rsidRPr="00C64727">
        <w:rPr>
          <w:rFonts w:ascii="Times New Roman" w:hAnsi="Times New Roman"/>
          <w:sz w:val="24"/>
          <w:szCs w:val="24"/>
        </w:rPr>
        <w:t xml:space="preserve">A 3. ábra azt mutatja be, hogy a 10c. cikk szerinti kibocsátási egységek mekkora hányadát osztották ki, adták hozzá az árverésre bocsátott kibocsátási egységekhez vagy hagyták felhasználatlanul (azaz egyelőre nem osztották ki és nem is adták hozzá az árverésre bocsátott egységekhez). </w:t>
      </w:r>
    </w:p>
    <w:p w14:paraId="2E6DA9B3" w14:textId="77777777" w:rsidR="0067338B" w:rsidRPr="00C64727" w:rsidRDefault="0067338B">
      <w:pPr>
        <w:jc w:val="both"/>
        <w:rPr>
          <w:rFonts w:ascii="Times New Roman" w:hAnsi="Times New Roman"/>
          <w:b/>
          <w:sz w:val="24"/>
          <w:szCs w:val="24"/>
        </w:rPr>
      </w:pPr>
    </w:p>
    <w:p w14:paraId="401414B7" w14:textId="77777777" w:rsidR="0067338B" w:rsidRPr="00C64727" w:rsidRDefault="0067338B">
      <w:pPr>
        <w:jc w:val="both"/>
        <w:rPr>
          <w:rFonts w:ascii="Times New Roman" w:hAnsi="Times New Roman"/>
          <w:b/>
          <w:sz w:val="24"/>
          <w:szCs w:val="24"/>
        </w:rPr>
      </w:pPr>
    </w:p>
    <w:p w14:paraId="5D6B7E68" w14:textId="77777777" w:rsidR="0067338B" w:rsidRPr="00C64727" w:rsidRDefault="0067338B">
      <w:pPr>
        <w:jc w:val="both"/>
        <w:rPr>
          <w:rFonts w:ascii="Times New Roman" w:hAnsi="Times New Roman"/>
          <w:b/>
          <w:sz w:val="24"/>
          <w:szCs w:val="24"/>
        </w:rPr>
      </w:pPr>
    </w:p>
    <w:p w14:paraId="7FDD3205" w14:textId="77777777" w:rsidR="0067338B" w:rsidRPr="00C64727" w:rsidRDefault="0067338B">
      <w:pPr>
        <w:jc w:val="both"/>
        <w:rPr>
          <w:rFonts w:ascii="Times New Roman" w:hAnsi="Times New Roman"/>
          <w:b/>
          <w:sz w:val="24"/>
          <w:szCs w:val="24"/>
        </w:rPr>
      </w:pPr>
    </w:p>
    <w:p w14:paraId="63D4ECA4" w14:textId="77777777" w:rsidR="0067338B" w:rsidRPr="00C64727" w:rsidRDefault="0067338B">
      <w:pPr>
        <w:jc w:val="both"/>
        <w:rPr>
          <w:rFonts w:ascii="Times New Roman" w:hAnsi="Times New Roman"/>
          <w:b/>
          <w:sz w:val="24"/>
          <w:szCs w:val="24"/>
        </w:rPr>
      </w:pPr>
    </w:p>
    <w:p w14:paraId="54B19E0B" w14:textId="77777777" w:rsidR="0067338B" w:rsidRPr="00C64727" w:rsidRDefault="003A348D">
      <w:pPr>
        <w:jc w:val="both"/>
        <w:rPr>
          <w:rFonts w:ascii="Times New Roman" w:hAnsi="Times New Roman"/>
        </w:rPr>
      </w:pPr>
      <w:r w:rsidRPr="00C64727">
        <w:rPr>
          <w:rFonts w:ascii="Times New Roman" w:hAnsi="Times New Roman"/>
          <w:b/>
        </w:rPr>
        <w:t>3. ábra: Kibocsátási egységek megoszlása (kiosztott, árverésre bocsátott, megmaradó felhasználatlan)</w:t>
      </w:r>
      <w:r w:rsidRPr="00C64727">
        <w:rPr>
          <w:rStyle w:val="FootnoteReference"/>
          <w:rFonts w:ascii="Times New Roman" w:hAnsi="Times New Roman"/>
          <w:b/>
        </w:rPr>
        <w:footnoteReference w:id="41"/>
      </w:r>
    </w:p>
    <w:p w14:paraId="3D08DE0B" w14:textId="77777777" w:rsidR="0067338B" w:rsidRPr="00C64727" w:rsidRDefault="007D07C5">
      <w:pPr>
        <w:keepNext/>
        <w:spacing w:after="0" w:line="240" w:lineRule="auto"/>
        <w:rPr>
          <w:rFonts w:ascii="Times New Roman" w:hAnsi="Times New Roman"/>
          <w:sz w:val="24"/>
          <w:szCs w:val="24"/>
        </w:rPr>
      </w:pPr>
      <w:r w:rsidRPr="00C64727">
        <w:rPr>
          <w:rFonts w:ascii="Times New Roman" w:hAnsi="Times New Roman"/>
          <w:noProof/>
          <w:sz w:val="24"/>
          <w:szCs w:val="24"/>
          <w:lang w:val="en-GB" w:eastAsia="en-GB"/>
        </w:rPr>
        <w:drawing>
          <wp:inline distT="0" distB="0" distL="0" distR="0" wp14:anchorId="77ACA8CF" wp14:editId="35D4F5BA">
            <wp:extent cx="5583382" cy="2848221"/>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7766" cy="2850457"/>
                    </a:xfrm>
                    <a:prstGeom prst="rect">
                      <a:avLst/>
                    </a:prstGeom>
                    <a:noFill/>
                  </pic:spPr>
                </pic:pic>
              </a:graphicData>
            </a:graphic>
          </wp:inline>
        </w:drawing>
      </w:r>
    </w:p>
    <w:p w14:paraId="183B21DE" w14:textId="3C7C0EB2" w:rsidR="0067338B" w:rsidRPr="00C64727" w:rsidRDefault="00A92C10">
      <w:pPr>
        <w:keepNext/>
        <w:spacing w:after="0" w:line="240" w:lineRule="auto"/>
        <w:rPr>
          <w:rFonts w:ascii="Times New Roman" w:hAnsi="Times New Roman"/>
          <w:sz w:val="18"/>
          <w:szCs w:val="18"/>
        </w:rPr>
      </w:pPr>
      <w:r w:rsidRPr="00C64727">
        <w:rPr>
          <w:rFonts w:ascii="Times New Roman" w:hAnsi="Times New Roman"/>
          <w:sz w:val="18"/>
          <w:szCs w:val="18"/>
        </w:rPr>
        <w:t>Forrás: Éghajlatpolitikai Főigazgatóság</w:t>
      </w:r>
    </w:p>
    <w:tbl>
      <w:tblPr>
        <w:tblStyle w:val="TableGrid5"/>
        <w:tblpPr w:leftFromText="180" w:rightFromText="180" w:vertAnchor="text" w:horzAnchor="page" w:tblpX="1794" w:tblpY="142"/>
        <w:tblW w:w="1109" w:type="pct"/>
        <w:tblLook w:val="04A0" w:firstRow="1" w:lastRow="0" w:firstColumn="1" w:lastColumn="0" w:noHBand="0" w:noVBand="1"/>
      </w:tblPr>
      <w:tblGrid>
        <w:gridCol w:w="514"/>
        <w:gridCol w:w="1536"/>
      </w:tblGrid>
      <w:tr w:rsidR="0067338B" w:rsidRPr="00C64727" w14:paraId="0D798E09" w14:textId="77777777" w:rsidTr="00C64727">
        <w:trPr>
          <w:trHeight w:val="660"/>
        </w:trPr>
        <w:tc>
          <w:tcPr>
            <w:tcW w:w="1254" w:type="pct"/>
            <w:shd w:val="clear" w:color="auto" w:fill="4F81BD"/>
          </w:tcPr>
          <w:p w14:paraId="2F8EFB45" w14:textId="77777777" w:rsidR="0067338B" w:rsidRPr="00C64727" w:rsidRDefault="0067338B">
            <w:pPr>
              <w:rPr>
                <w:rFonts w:ascii="Times New Roman" w:hAnsi="Times New Roman"/>
                <w:sz w:val="24"/>
                <w:szCs w:val="24"/>
                <w:highlight w:val="yellow"/>
              </w:rPr>
            </w:pPr>
          </w:p>
        </w:tc>
        <w:tc>
          <w:tcPr>
            <w:tcW w:w="3746" w:type="pct"/>
            <w:vAlign w:val="center"/>
          </w:tcPr>
          <w:p w14:paraId="1B4A53B2" w14:textId="77777777" w:rsidR="0067338B" w:rsidRPr="00C64727" w:rsidRDefault="007708E7">
            <w:pPr>
              <w:rPr>
                <w:rFonts w:ascii="Times New Roman" w:hAnsi="Times New Roman"/>
                <w:sz w:val="18"/>
                <w:szCs w:val="18"/>
              </w:rPr>
            </w:pPr>
            <w:r w:rsidRPr="00C64727">
              <w:rPr>
                <w:rFonts w:ascii="Times New Roman" w:hAnsi="Times New Roman"/>
                <w:sz w:val="18"/>
                <w:szCs w:val="18"/>
              </w:rPr>
              <w:t>Kiosztott kibocsátási egységek</w:t>
            </w:r>
          </w:p>
        </w:tc>
      </w:tr>
      <w:tr w:rsidR="0067338B" w:rsidRPr="00C64727" w14:paraId="4D39D1F5" w14:textId="77777777" w:rsidTr="00C64727">
        <w:trPr>
          <w:trHeight w:val="660"/>
        </w:trPr>
        <w:tc>
          <w:tcPr>
            <w:tcW w:w="1254" w:type="pct"/>
            <w:shd w:val="clear" w:color="auto" w:fill="C00000"/>
          </w:tcPr>
          <w:p w14:paraId="0B4AB5DB" w14:textId="77777777" w:rsidR="0067338B" w:rsidRPr="00C64727" w:rsidRDefault="0067338B">
            <w:pPr>
              <w:jc w:val="both"/>
              <w:rPr>
                <w:rFonts w:ascii="Times New Roman" w:hAnsi="Times New Roman"/>
                <w:sz w:val="24"/>
                <w:szCs w:val="24"/>
                <w:highlight w:val="yellow"/>
              </w:rPr>
            </w:pPr>
          </w:p>
        </w:tc>
        <w:tc>
          <w:tcPr>
            <w:tcW w:w="3746" w:type="pct"/>
            <w:vAlign w:val="center"/>
          </w:tcPr>
          <w:p w14:paraId="4C2F4A14" w14:textId="77777777" w:rsidR="0067338B" w:rsidRPr="00C64727" w:rsidRDefault="007708E7">
            <w:pPr>
              <w:rPr>
                <w:rFonts w:ascii="Times New Roman" w:hAnsi="Times New Roman"/>
                <w:sz w:val="18"/>
                <w:szCs w:val="18"/>
              </w:rPr>
            </w:pPr>
            <w:r w:rsidRPr="00C64727">
              <w:rPr>
                <w:rFonts w:ascii="Times New Roman" w:hAnsi="Times New Roman"/>
                <w:sz w:val="18"/>
                <w:szCs w:val="18"/>
              </w:rPr>
              <w:t>Árverésre bocsátott kibocsátási egységek</w:t>
            </w:r>
          </w:p>
        </w:tc>
      </w:tr>
      <w:tr w:rsidR="0067338B" w:rsidRPr="00C64727" w14:paraId="5BA788F8" w14:textId="77777777" w:rsidTr="00C64727">
        <w:trPr>
          <w:trHeight w:val="660"/>
        </w:trPr>
        <w:tc>
          <w:tcPr>
            <w:tcW w:w="1254" w:type="pct"/>
            <w:shd w:val="clear" w:color="auto" w:fill="9BBB59"/>
          </w:tcPr>
          <w:p w14:paraId="3E388509" w14:textId="77777777" w:rsidR="0067338B" w:rsidRPr="00C64727" w:rsidRDefault="0067338B">
            <w:pPr>
              <w:rPr>
                <w:rFonts w:ascii="Times New Roman" w:hAnsi="Times New Roman"/>
                <w:sz w:val="24"/>
                <w:szCs w:val="24"/>
                <w:highlight w:val="yellow"/>
              </w:rPr>
            </w:pPr>
          </w:p>
        </w:tc>
        <w:tc>
          <w:tcPr>
            <w:tcW w:w="3746" w:type="pct"/>
            <w:vAlign w:val="center"/>
          </w:tcPr>
          <w:p w14:paraId="19548CBA" w14:textId="77777777" w:rsidR="0067338B" w:rsidRPr="00C64727" w:rsidRDefault="007708E7">
            <w:pPr>
              <w:rPr>
                <w:rFonts w:ascii="Times New Roman" w:hAnsi="Times New Roman"/>
                <w:sz w:val="18"/>
                <w:szCs w:val="18"/>
              </w:rPr>
            </w:pPr>
            <w:r w:rsidRPr="00C64727">
              <w:rPr>
                <w:rFonts w:ascii="Times New Roman" w:hAnsi="Times New Roman"/>
                <w:sz w:val="18"/>
                <w:szCs w:val="18"/>
              </w:rPr>
              <w:t>Megmaradó felhasználatlan kibocsátási egységek</w:t>
            </w:r>
          </w:p>
        </w:tc>
      </w:tr>
    </w:tbl>
    <w:p w14:paraId="453E8449" w14:textId="77777777" w:rsidR="0067338B" w:rsidRPr="00C64727" w:rsidRDefault="0067338B">
      <w:pPr>
        <w:keepNext/>
        <w:spacing w:line="240" w:lineRule="auto"/>
        <w:jc w:val="both"/>
        <w:rPr>
          <w:rFonts w:ascii="Times New Roman" w:hAnsi="Times New Roman"/>
          <w:sz w:val="24"/>
          <w:szCs w:val="24"/>
        </w:rPr>
      </w:pPr>
    </w:p>
    <w:p w14:paraId="0A65B778" w14:textId="77777777" w:rsidR="0067338B" w:rsidRPr="00C64727" w:rsidRDefault="0067338B">
      <w:pPr>
        <w:keepNext/>
        <w:spacing w:line="240" w:lineRule="auto"/>
        <w:jc w:val="both"/>
        <w:rPr>
          <w:rFonts w:ascii="Times New Roman" w:hAnsi="Times New Roman"/>
          <w:sz w:val="24"/>
          <w:szCs w:val="24"/>
        </w:rPr>
      </w:pPr>
    </w:p>
    <w:p w14:paraId="7B3C2CFD" w14:textId="77777777" w:rsidR="0067338B" w:rsidRPr="00C64727" w:rsidRDefault="0067338B">
      <w:pPr>
        <w:keepNext/>
        <w:spacing w:line="240" w:lineRule="auto"/>
        <w:jc w:val="both"/>
        <w:rPr>
          <w:rFonts w:ascii="Times New Roman" w:hAnsi="Times New Roman"/>
          <w:sz w:val="24"/>
          <w:szCs w:val="24"/>
        </w:rPr>
      </w:pPr>
    </w:p>
    <w:p w14:paraId="4E96E12B" w14:textId="77777777" w:rsidR="0067338B" w:rsidRPr="00C64727" w:rsidRDefault="0067338B">
      <w:pPr>
        <w:jc w:val="both"/>
        <w:rPr>
          <w:rFonts w:ascii="Times New Roman" w:hAnsi="Times New Roman"/>
          <w:sz w:val="24"/>
          <w:szCs w:val="24"/>
        </w:rPr>
      </w:pPr>
    </w:p>
    <w:p w14:paraId="3FF74A9A" w14:textId="77777777" w:rsidR="00C64727" w:rsidRDefault="00C64727">
      <w:pPr>
        <w:jc w:val="both"/>
        <w:rPr>
          <w:rFonts w:ascii="Times New Roman" w:hAnsi="Times New Roman"/>
          <w:sz w:val="24"/>
          <w:szCs w:val="24"/>
        </w:rPr>
      </w:pPr>
    </w:p>
    <w:p w14:paraId="7DA2C4F5" w14:textId="77777777" w:rsidR="00C64727" w:rsidRDefault="00C64727">
      <w:pPr>
        <w:jc w:val="both"/>
        <w:rPr>
          <w:rFonts w:ascii="Times New Roman" w:hAnsi="Times New Roman"/>
          <w:sz w:val="24"/>
          <w:szCs w:val="24"/>
        </w:rPr>
      </w:pPr>
    </w:p>
    <w:p w14:paraId="0D4900D2" w14:textId="0AF53FF1" w:rsidR="0067338B" w:rsidRPr="00C64727" w:rsidRDefault="003A348D">
      <w:pPr>
        <w:jc w:val="both"/>
        <w:rPr>
          <w:rFonts w:ascii="Times New Roman" w:hAnsi="Times New Roman"/>
          <w:sz w:val="24"/>
          <w:szCs w:val="24"/>
        </w:rPr>
      </w:pPr>
      <w:r w:rsidRPr="00C64727">
        <w:rPr>
          <w:rFonts w:ascii="Times New Roman" w:hAnsi="Times New Roman"/>
          <w:sz w:val="24"/>
          <w:szCs w:val="24"/>
        </w:rPr>
        <w:t xml:space="preserve">A 6. táblázat a 2013 és 2018 közötti időszakban árverésre bocsátott, valamint a megmaradó felhasználatlan 10c. cikk szerinti kibocsátási egységek számát mutatja. </w:t>
      </w:r>
    </w:p>
    <w:p w14:paraId="44B135BB" w14:textId="77777777" w:rsidR="0067338B" w:rsidRPr="00C64727" w:rsidRDefault="003A348D">
      <w:pPr>
        <w:keepNext/>
        <w:rPr>
          <w:rFonts w:ascii="Times New Roman" w:hAnsi="Times New Roman"/>
          <w:b/>
          <w:bCs/>
        </w:rPr>
      </w:pPr>
      <w:r w:rsidRPr="00C64727">
        <w:rPr>
          <w:rFonts w:ascii="Times New Roman" w:hAnsi="Times New Roman"/>
          <w:b/>
          <w:bCs/>
        </w:rPr>
        <w:t>6. táblázat: A 2013-2018 között felhasználatlanul maradt 10c. cikk szerinti kibocsátási egységek kezelése</w:t>
      </w:r>
      <w:r w:rsidRPr="00C64727">
        <w:rPr>
          <w:rStyle w:val="FootnoteReference"/>
          <w:rFonts w:ascii="Times New Roman" w:hAnsi="Times New Roman"/>
          <w:b/>
          <w:bCs/>
        </w:rPr>
        <w:footnoteReference w:id="42"/>
      </w:r>
    </w:p>
    <w:tbl>
      <w:tblPr>
        <w:tblW w:w="885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1805"/>
        <w:gridCol w:w="3561"/>
        <w:gridCol w:w="3488"/>
      </w:tblGrid>
      <w:tr w:rsidR="0067338B" w:rsidRPr="00C64727" w14:paraId="31DE2C04"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5D671EAC" w14:textId="77777777" w:rsidR="0067338B" w:rsidRPr="00C64727" w:rsidRDefault="00AF42BE">
            <w:pPr>
              <w:spacing w:after="0" w:line="240" w:lineRule="auto"/>
              <w:jc w:val="center"/>
              <w:rPr>
                <w:rFonts w:ascii="Times New Roman" w:hAnsi="Times New Roman"/>
                <w:b/>
                <w:bCs/>
                <w:color w:val="000000"/>
                <w:sz w:val="20"/>
                <w:szCs w:val="20"/>
              </w:rPr>
            </w:pPr>
            <w:r w:rsidRPr="00C64727">
              <w:rPr>
                <w:rFonts w:ascii="Times New Roman" w:hAnsi="Times New Roman"/>
                <w:b/>
                <w:bCs/>
                <w:sz w:val="20"/>
                <w:szCs w:val="20"/>
              </w:rPr>
              <w:t>Tagállam</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5810A139" w14:textId="77777777" w:rsidR="0067338B" w:rsidRPr="00C64727" w:rsidRDefault="00AF42BE">
            <w:pPr>
              <w:spacing w:after="0" w:line="240" w:lineRule="auto"/>
              <w:jc w:val="center"/>
              <w:rPr>
                <w:rFonts w:ascii="Times New Roman" w:hAnsi="Times New Roman"/>
                <w:b/>
                <w:bCs/>
                <w:color w:val="000000"/>
                <w:sz w:val="20"/>
                <w:szCs w:val="20"/>
              </w:rPr>
            </w:pPr>
            <w:r w:rsidRPr="00C64727">
              <w:rPr>
                <w:rFonts w:ascii="Times New Roman" w:hAnsi="Times New Roman"/>
                <w:b/>
                <w:bCs/>
                <w:sz w:val="20"/>
                <w:szCs w:val="20"/>
              </w:rPr>
              <w:t xml:space="preserve">Az érverésre bocsátott 10c. cikk </w:t>
            </w:r>
          </w:p>
          <w:p w14:paraId="1105E166" w14:textId="77777777" w:rsidR="0067338B" w:rsidRPr="00C64727" w:rsidRDefault="00AF42BE">
            <w:pPr>
              <w:spacing w:after="0" w:line="240" w:lineRule="auto"/>
              <w:jc w:val="center"/>
              <w:rPr>
                <w:rFonts w:ascii="Times New Roman" w:hAnsi="Times New Roman"/>
                <w:b/>
                <w:bCs/>
                <w:color w:val="000000"/>
                <w:sz w:val="20"/>
                <w:szCs w:val="20"/>
              </w:rPr>
            </w:pPr>
            <w:r w:rsidRPr="00C64727">
              <w:rPr>
                <w:rFonts w:ascii="Times New Roman" w:hAnsi="Times New Roman"/>
                <w:b/>
                <w:bCs/>
                <w:sz w:val="20"/>
                <w:szCs w:val="20"/>
              </w:rPr>
              <w:t>szerinti kibocsátási egységek száma (millió)</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29A4C9CB" w14:textId="77777777" w:rsidR="0067338B" w:rsidRPr="00C64727" w:rsidRDefault="00AF42BE">
            <w:pPr>
              <w:spacing w:after="0" w:line="240" w:lineRule="auto"/>
              <w:jc w:val="center"/>
              <w:rPr>
                <w:rFonts w:ascii="Times New Roman" w:hAnsi="Times New Roman"/>
                <w:b/>
                <w:bCs/>
                <w:color w:val="000000"/>
                <w:sz w:val="20"/>
                <w:szCs w:val="20"/>
              </w:rPr>
            </w:pPr>
            <w:r w:rsidRPr="00C64727">
              <w:rPr>
                <w:rFonts w:ascii="Times New Roman" w:hAnsi="Times New Roman"/>
                <w:b/>
                <w:bCs/>
                <w:sz w:val="20"/>
                <w:szCs w:val="20"/>
              </w:rPr>
              <w:t>A megmaradó felhasználatlan kibocsátási egységek száma (millió)</w:t>
            </w:r>
          </w:p>
        </w:tc>
      </w:tr>
      <w:tr w:rsidR="0067338B" w:rsidRPr="00C64727" w14:paraId="643A4E9B"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334B62EE" w14:textId="77777777" w:rsidR="0067338B" w:rsidRPr="00C64727" w:rsidRDefault="00AF42BE">
            <w:pPr>
              <w:spacing w:after="0" w:line="240" w:lineRule="auto"/>
              <w:jc w:val="center"/>
              <w:rPr>
                <w:rFonts w:ascii="Times New Roman" w:hAnsi="Times New Roman"/>
                <w:b/>
                <w:bCs/>
                <w:color w:val="000000"/>
                <w:sz w:val="20"/>
                <w:szCs w:val="20"/>
              </w:rPr>
            </w:pPr>
            <w:r w:rsidRPr="00C64727">
              <w:rPr>
                <w:rFonts w:ascii="Times New Roman" w:hAnsi="Times New Roman"/>
                <w:b/>
                <w:bCs/>
                <w:sz w:val="20"/>
                <w:szCs w:val="20"/>
              </w:rPr>
              <w:t>BG</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6E1F1741" w14:textId="77777777" w:rsidR="0067338B" w:rsidRPr="00C64727" w:rsidRDefault="00544382">
            <w:pPr>
              <w:spacing w:after="0" w:line="240" w:lineRule="auto"/>
              <w:jc w:val="center"/>
              <w:rPr>
                <w:rFonts w:ascii="Times New Roman" w:hAnsi="Times New Roman"/>
                <w:b/>
                <w:bCs/>
                <w:color w:val="000000"/>
                <w:sz w:val="20"/>
                <w:szCs w:val="20"/>
              </w:rPr>
            </w:pPr>
            <w:r w:rsidRPr="00C64727">
              <w:rPr>
                <w:rFonts w:ascii="Times New Roman" w:hAnsi="Times New Roman"/>
                <w:b/>
                <w:bCs/>
                <w:sz w:val="20"/>
                <w:szCs w:val="20"/>
              </w:rPr>
              <w:t>9,5</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39CC0DCD" w14:textId="77777777" w:rsidR="0067338B" w:rsidRPr="00C64727" w:rsidRDefault="00544382">
            <w:pPr>
              <w:spacing w:after="0" w:line="240" w:lineRule="auto"/>
              <w:jc w:val="center"/>
              <w:rPr>
                <w:rFonts w:ascii="Times New Roman" w:hAnsi="Times New Roman"/>
                <w:b/>
                <w:bCs/>
                <w:color w:val="000000"/>
                <w:sz w:val="20"/>
                <w:szCs w:val="20"/>
              </w:rPr>
            </w:pPr>
            <w:r w:rsidRPr="00C64727">
              <w:rPr>
                <w:rFonts w:ascii="Times New Roman" w:hAnsi="Times New Roman"/>
                <w:b/>
                <w:bCs/>
                <w:sz w:val="20"/>
                <w:szCs w:val="20"/>
              </w:rPr>
              <w:t>0,8</w:t>
            </w:r>
          </w:p>
        </w:tc>
      </w:tr>
      <w:tr w:rsidR="0067338B" w:rsidRPr="00C64727" w14:paraId="1DDDFF40"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2BE6880C" w14:textId="77777777" w:rsidR="0067338B" w:rsidRPr="00C64727" w:rsidRDefault="00AF42BE">
            <w:pPr>
              <w:spacing w:after="0" w:line="240" w:lineRule="auto"/>
              <w:jc w:val="center"/>
              <w:rPr>
                <w:rFonts w:ascii="Times New Roman" w:hAnsi="Times New Roman"/>
                <w:b/>
                <w:bCs/>
                <w:color w:val="000000"/>
                <w:sz w:val="20"/>
                <w:szCs w:val="20"/>
              </w:rPr>
            </w:pPr>
            <w:r w:rsidRPr="00C64727">
              <w:rPr>
                <w:rFonts w:ascii="Times New Roman" w:hAnsi="Times New Roman"/>
                <w:b/>
                <w:bCs/>
                <w:sz w:val="20"/>
                <w:szCs w:val="20"/>
              </w:rPr>
              <w:t>CY</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45FDF1E0" w14:textId="77777777" w:rsidR="0067338B" w:rsidRPr="00C64727" w:rsidRDefault="00AF42BE">
            <w:pPr>
              <w:spacing w:after="0" w:line="240" w:lineRule="auto"/>
              <w:jc w:val="center"/>
              <w:rPr>
                <w:rFonts w:ascii="Times New Roman" w:hAnsi="Times New Roman"/>
                <w:b/>
                <w:bCs/>
                <w:color w:val="000000"/>
                <w:sz w:val="20"/>
                <w:szCs w:val="20"/>
              </w:rPr>
            </w:pPr>
            <w:r w:rsidRPr="00C64727">
              <w:rPr>
                <w:rFonts w:ascii="Times New Roman" w:hAnsi="Times New Roman"/>
                <w:b/>
                <w:bCs/>
                <w:sz w:val="20"/>
                <w:szCs w:val="20"/>
              </w:rPr>
              <w:t>0,0</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3A34FD16" w14:textId="77777777" w:rsidR="0067338B" w:rsidRPr="00C64727" w:rsidRDefault="00AF42BE">
            <w:pPr>
              <w:spacing w:after="0" w:line="240" w:lineRule="auto"/>
              <w:jc w:val="center"/>
              <w:rPr>
                <w:rFonts w:ascii="Times New Roman" w:hAnsi="Times New Roman"/>
                <w:b/>
                <w:bCs/>
                <w:color w:val="000000"/>
                <w:sz w:val="20"/>
                <w:szCs w:val="20"/>
              </w:rPr>
            </w:pPr>
            <w:r w:rsidRPr="00C64727">
              <w:rPr>
                <w:rFonts w:ascii="Times New Roman" w:hAnsi="Times New Roman"/>
                <w:b/>
                <w:bCs/>
                <w:sz w:val="20"/>
                <w:szCs w:val="20"/>
              </w:rPr>
              <w:t>0,0</w:t>
            </w:r>
          </w:p>
        </w:tc>
      </w:tr>
      <w:tr w:rsidR="0067338B" w:rsidRPr="00C64727" w14:paraId="350720D8"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6895EDF3" w14:textId="77777777" w:rsidR="0067338B" w:rsidRPr="00C64727" w:rsidRDefault="00AF42BE">
            <w:pPr>
              <w:spacing w:after="0" w:line="240" w:lineRule="auto"/>
              <w:jc w:val="center"/>
              <w:rPr>
                <w:rFonts w:ascii="Times New Roman" w:hAnsi="Times New Roman"/>
                <w:b/>
                <w:bCs/>
                <w:color w:val="000000"/>
                <w:sz w:val="20"/>
                <w:szCs w:val="20"/>
              </w:rPr>
            </w:pPr>
            <w:r w:rsidRPr="00C64727">
              <w:rPr>
                <w:rFonts w:ascii="Times New Roman" w:hAnsi="Times New Roman"/>
                <w:b/>
                <w:bCs/>
                <w:sz w:val="20"/>
                <w:szCs w:val="20"/>
              </w:rPr>
              <w:t>CZ</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5AD669DA" w14:textId="77777777" w:rsidR="0067338B" w:rsidRPr="00C64727" w:rsidRDefault="00AF42BE">
            <w:pPr>
              <w:spacing w:after="0" w:line="240" w:lineRule="auto"/>
              <w:jc w:val="center"/>
              <w:rPr>
                <w:rFonts w:ascii="Times New Roman" w:hAnsi="Times New Roman"/>
                <w:b/>
                <w:bCs/>
                <w:color w:val="000000"/>
                <w:sz w:val="20"/>
                <w:szCs w:val="20"/>
              </w:rPr>
            </w:pPr>
            <w:r w:rsidRPr="00C64727">
              <w:rPr>
                <w:rFonts w:ascii="Times New Roman" w:hAnsi="Times New Roman"/>
                <w:b/>
                <w:bCs/>
                <w:sz w:val="20"/>
                <w:szCs w:val="20"/>
              </w:rPr>
              <w:t>0,3</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6EA7C395" w14:textId="77777777" w:rsidR="0067338B" w:rsidRPr="00C64727" w:rsidRDefault="00AF42BE">
            <w:pPr>
              <w:spacing w:after="0" w:line="240" w:lineRule="auto"/>
              <w:jc w:val="center"/>
              <w:rPr>
                <w:rFonts w:ascii="Times New Roman" w:hAnsi="Times New Roman"/>
                <w:b/>
                <w:bCs/>
                <w:color w:val="000000"/>
                <w:sz w:val="20"/>
                <w:szCs w:val="20"/>
              </w:rPr>
            </w:pPr>
            <w:r w:rsidRPr="00C64727">
              <w:rPr>
                <w:rFonts w:ascii="Times New Roman" w:hAnsi="Times New Roman"/>
                <w:b/>
                <w:bCs/>
                <w:sz w:val="20"/>
                <w:szCs w:val="20"/>
              </w:rPr>
              <w:t>0,1</w:t>
            </w:r>
          </w:p>
        </w:tc>
      </w:tr>
      <w:tr w:rsidR="0067338B" w:rsidRPr="00C64727" w14:paraId="3E1A2A74"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6D83BFBB" w14:textId="77777777" w:rsidR="0067338B" w:rsidRPr="00C64727" w:rsidRDefault="00AF42BE">
            <w:pPr>
              <w:spacing w:after="0" w:line="240" w:lineRule="auto"/>
              <w:jc w:val="center"/>
              <w:rPr>
                <w:rFonts w:ascii="Times New Roman" w:hAnsi="Times New Roman"/>
                <w:b/>
                <w:bCs/>
                <w:color w:val="000000"/>
                <w:sz w:val="20"/>
                <w:szCs w:val="20"/>
              </w:rPr>
            </w:pPr>
            <w:r w:rsidRPr="00C64727">
              <w:rPr>
                <w:rFonts w:ascii="Times New Roman" w:hAnsi="Times New Roman"/>
                <w:b/>
                <w:bCs/>
                <w:sz w:val="20"/>
                <w:szCs w:val="20"/>
              </w:rPr>
              <w:t>EE</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725F4ACA" w14:textId="77777777" w:rsidR="0067338B" w:rsidRPr="00C64727" w:rsidRDefault="00544382">
            <w:pPr>
              <w:spacing w:after="0" w:line="240" w:lineRule="auto"/>
              <w:jc w:val="center"/>
              <w:rPr>
                <w:rFonts w:ascii="Times New Roman" w:hAnsi="Times New Roman"/>
                <w:b/>
                <w:bCs/>
                <w:color w:val="000000"/>
                <w:sz w:val="20"/>
                <w:szCs w:val="20"/>
              </w:rPr>
            </w:pPr>
            <w:r w:rsidRPr="00C64727">
              <w:rPr>
                <w:rFonts w:ascii="Times New Roman" w:hAnsi="Times New Roman"/>
                <w:b/>
                <w:bCs/>
                <w:sz w:val="20"/>
                <w:szCs w:val="20"/>
              </w:rPr>
              <w:t>2,1</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4CC509EA" w14:textId="77777777" w:rsidR="0067338B" w:rsidRPr="00C64727" w:rsidRDefault="00544382">
            <w:pPr>
              <w:spacing w:after="0" w:line="240" w:lineRule="auto"/>
              <w:jc w:val="center"/>
              <w:rPr>
                <w:rFonts w:ascii="Times New Roman" w:hAnsi="Times New Roman"/>
                <w:b/>
                <w:bCs/>
                <w:color w:val="000000"/>
                <w:sz w:val="20"/>
                <w:szCs w:val="20"/>
              </w:rPr>
            </w:pPr>
            <w:r w:rsidRPr="00C64727">
              <w:rPr>
                <w:rFonts w:ascii="Times New Roman" w:hAnsi="Times New Roman"/>
                <w:b/>
                <w:bCs/>
                <w:sz w:val="20"/>
                <w:szCs w:val="20"/>
              </w:rPr>
              <w:t>0,0</w:t>
            </w:r>
          </w:p>
        </w:tc>
      </w:tr>
      <w:tr w:rsidR="0067338B" w:rsidRPr="00C64727" w14:paraId="3F591B4A"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0CDB72D2" w14:textId="77777777" w:rsidR="0067338B" w:rsidRPr="00C64727" w:rsidRDefault="00AF42BE">
            <w:pPr>
              <w:spacing w:after="0" w:line="240" w:lineRule="auto"/>
              <w:jc w:val="center"/>
              <w:rPr>
                <w:rFonts w:ascii="Times New Roman" w:hAnsi="Times New Roman"/>
                <w:b/>
                <w:bCs/>
                <w:color w:val="000000"/>
                <w:sz w:val="20"/>
                <w:szCs w:val="20"/>
              </w:rPr>
            </w:pPr>
            <w:r w:rsidRPr="00C64727">
              <w:rPr>
                <w:rFonts w:ascii="Times New Roman" w:hAnsi="Times New Roman"/>
                <w:b/>
                <w:bCs/>
                <w:sz w:val="20"/>
                <w:szCs w:val="20"/>
              </w:rPr>
              <w:t>LT</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59D08B20" w14:textId="77777777" w:rsidR="0067338B" w:rsidRPr="00C64727" w:rsidRDefault="00AF42BE">
            <w:pPr>
              <w:spacing w:after="0" w:line="240" w:lineRule="auto"/>
              <w:jc w:val="center"/>
              <w:rPr>
                <w:rFonts w:ascii="Times New Roman" w:hAnsi="Times New Roman"/>
                <w:b/>
                <w:bCs/>
                <w:color w:val="000000"/>
                <w:sz w:val="20"/>
                <w:szCs w:val="20"/>
              </w:rPr>
            </w:pPr>
            <w:r w:rsidRPr="00C64727">
              <w:rPr>
                <w:rFonts w:ascii="Times New Roman" w:hAnsi="Times New Roman"/>
                <w:b/>
                <w:bCs/>
                <w:sz w:val="20"/>
                <w:szCs w:val="20"/>
              </w:rPr>
              <w:t>1,1</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3076243E" w14:textId="77777777" w:rsidR="0067338B" w:rsidRPr="00C64727" w:rsidRDefault="00AF42BE">
            <w:pPr>
              <w:spacing w:after="0" w:line="240" w:lineRule="auto"/>
              <w:jc w:val="center"/>
              <w:rPr>
                <w:rFonts w:ascii="Times New Roman" w:hAnsi="Times New Roman"/>
                <w:b/>
                <w:bCs/>
                <w:color w:val="000000"/>
                <w:sz w:val="20"/>
                <w:szCs w:val="20"/>
              </w:rPr>
            </w:pPr>
            <w:r w:rsidRPr="00C64727">
              <w:rPr>
                <w:rFonts w:ascii="Times New Roman" w:hAnsi="Times New Roman"/>
                <w:b/>
                <w:bCs/>
                <w:sz w:val="20"/>
                <w:szCs w:val="20"/>
              </w:rPr>
              <w:t>0,1</w:t>
            </w:r>
          </w:p>
        </w:tc>
      </w:tr>
      <w:tr w:rsidR="0067338B" w:rsidRPr="00C64727" w14:paraId="24325275"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5878CBA2" w14:textId="77777777" w:rsidR="0067338B" w:rsidRPr="00C64727" w:rsidRDefault="00AF42BE">
            <w:pPr>
              <w:spacing w:after="0" w:line="240" w:lineRule="auto"/>
              <w:jc w:val="center"/>
              <w:rPr>
                <w:rFonts w:ascii="Times New Roman" w:hAnsi="Times New Roman"/>
                <w:b/>
                <w:bCs/>
                <w:color w:val="000000"/>
                <w:sz w:val="20"/>
                <w:szCs w:val="20"/>
              </w:rPr>
            </w:pPr>
            <w:r w:rsidRPr="00C64727">
              <w:rPr>
                <w:rFonts w:ascii="Times New Roman" w:hAnsi="Times New Roman"/>
                <w:b/>
                <w:bCs/>
                <w:sz w:val="20"/>
                <w:szCs w:val="20"/>
              </w:rPr>
              <w:t>PL</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2D28F951" w14:textId="77777777" w:rsidR="0067338B" w:rsidRPr="00C64727" w:rsidRDefault="00AF42BE">
            <w:pPr>
              <w:spacing w:after="0" w:line="240" w:lineRule="auto"/>
              <w:jc w:val="center"/>
              <w:rPr>
                <w:rFonts w:ascii="Times New Roman" w:hAnsi="Times New Roman"/>
                <w:b/>
                <w:bCs/>
                <w:color w:val="000000"/>
                <w:sz w:val="20"/>
                <w:szCs w:val="20"/>
              </w:rPr>
            </w:pPr>
            <w:r w:rsidRPr="00C64727">
              <w:rPr>
                <w:rFonts w:ascii="Times New Roman" w:hAnsi="Times New Roman"/>
                <w:b/>
                <w:bCs/>
                <w:sz w:val="20"/>
                <w:szCs w:val="20"/>
              </w:rPr>
              <w:t>55,8</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17F16EBF" w14:textId="77777777" w:rsidR="0067338B" w:rsidRPr="00C64727" w:rsidRDefault="00AF42BE">
            <w:pPr>
              <w:spacing w:after="0" w:line="240" w:lineRule="auto"/>
              <w:jc w:val="center"/>
              <w:rPr>
                <w:rFonts w:ascii="Times New Roman" w:hAnsi="Times New Roman"/>
                <w:b/>
                <w:bCs/>
                <w:color w:val="000000"/>
                <w:sz w:val="20"/>
                <w:szCs w:val="20"/>
              </w:rPr>
            </w:pPr>
            <w:r w:rsidRPr="00C64727">
              <w:rPr>
                <w:rFonts w:ascii="Times New Roman" w:hAnsi="Times New Roman"/>
                <w:b/>
                <w:bCs/>
                <w:sz w:val="20"/>
                <w:szCs w:val="20"/>
              </w:rPr>
              <w:t>68,9</w:t>
            </w:r>
          </w:p>
        </w:tc>
      </w:tr>
      <w:tr w:rsidR="0067338B" w:rsidRPr="00C64727" w14:paraId="7B3E655A"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39920767" w14:textId="77777777" w:rsidR="0067338B" w:rsidRPr="00C64727" w:rsidRDefault="00AF42BE">
            <w:pPr>
              <w:spacing w:after="0" w:line="240" w:lineRule="auto"/>
              <w:jc w:val="center"/>
              <w:rPr>
                <w:rFonts w:ascii="Times New Roman" w:hAnsi="Times New Roman"/>
                <w:b/>
                <w:bCs/>
                <w:color w:val="000000"/>
                <w:sz w:val="20"/>
                <w:szCs w:val="20"/>
              </w:rPr>
            </w:pPr>
            <w:r w:rsidRPr="00C64727">
              <w:rPr>
                <w:rFonts w:ascii="Times New Roman" w:hAnsi="Times New Roman"/>
                <w:b/>
                <w:bCs/>
                <w:sz w:val="20"/>
                <w:szCs w:val="20"/>
              </w:rPr>
              <w:t>RO</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3232DD66" w14:textId="77777777" w:rsidR="0067338B" w:rsidRPr="00C64727" w:rsidRDefault="00AF42BE">
            <w:pPr>
              <w:spacing w:after="0" w:line="240" w:lineRule="auto"/>
              <w:jc w:val="center"/>
              <w:rPr>
                <w:rFonts w:ascii="Times New Roman" w:hAnsi="Times New Roman"/>
                <w:b/>
                <w:bCs/>
                <w:color w:val="000000"/>
                <w:sz w:val="20"/>
                <w:szCs w:val="20"/>
              </w:rPr>
            </w:pPr>
            <w:r w:rsidRPr="00C64727">
              <w:rPr>
                <w:rFonts w:ascii="Times New Roman" w:hAnsi="Times New Roman"/>
                <w:b/>
                <w:bCs/>
                <w:sz w:val="20"/>
                <w:szCs w:val="20"/>
              </w:rPr>
              <w:t>15,4</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646469DE" w14:textId="77777777" w:rsidR="0067338B" w:rsidRPr="00C64727" w:rsidRDefault="00AF42BE">
            <w:pPr>
              <w:spacing w:after="0" w:line="240" w:lineRule="auto"/>
              <w:jc w:val="center"/>
              <w:rPr>
                <w:rFonts w:ascii="Times New Roman" w:hAnsi="Times New Roman"/>
                <w:b/>
                <w:bCs/>
                <w:color w:val="000000"/>
                <w:sz w:val="20"/>
                <w:szCs w:val="20"/>
              </w:rPr>
            </w:pPr>
            <w:r w:rsidRPr="00C64727">
              <w:rPr>
                <w:rFonts w:ascii="Times New Roman" w:hAnsi="Times New Roman"/>
                <w:b/>
                <w:bCs/>
                <w:sz w:val="20"/>
                <w:szCs w:val="20"/>
              </w:rPr>
              <w:t>2,8</w:t>
            </w:r>
          </w:p>
        </w:tc>
      </w:tr>
      <w:tr w:rsidR="0067338B" w:rsidRPr="00C64727" w14:paraId="41F9C951"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23C329A1" w14:textId="77777777" w:rsidR="0067338B" w:rsidRPr="00C64727" w:rsidRDefault="00AF42BE">
            <w:pPr>
              <w:spacing w:after="0" w:line="240" w:lineRule="auto"/>
              <w:jc w:val="center"/>
              <w:rPr>
                <w:rFonts w:ascii="Times New Roman" w:hAnsi="Times New Roman"/>
                <w:b/>
                <w:bCs/>
                <w:color w:val="000000"/>
                <w:sz w:val="20"/>
                <w:szCs w:val="20"/>
              </w:rPr>
            </w:pPr>
            <w:r w:rsidRPr="00C64727">
              <w:rPr>
                <w:rFonts w:ascii="Times New Roman" w:hAnsi="Times New Roman"/>
                <w:b/>
                <w:bCs/>
                <w:sz w:val="20"/>
                <w:szCs w:val="20"/>
              </w:rPr>
              <w:t>HU</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1120C9C0" w14:textId="77777777" w:rsidR="0067338B" w:rsidRPr="00C64727" w:rsidRDefault="00AF42BE">
            <w:pPr>
              <w:spacing w:after="0" w:line="240" w:lineRule="auto"/>
              <w:jc w:val="center"/>
              <w:rPr>
                <w:rFonts w:ascii="Times New Roman" w:hAnsi="Times New Roman"/>
                <w:b/>
                <w:bCs/>
                <w:color w:val="000000"/>
                <w:sz w:val="20"/>
                <w:szCs w:val="20"/>
              </w:rPr>
            </w:pPr>
            <w:r w:rsidRPr="00C64727">
              <w:rPr>
                <w:rFonts w:ascii="Times New Roman" w:hAnsi="Times New Roman"/>
                <w:b/>
                <w:bCs/>
                <w:sz w:val="20"/>
                <w:szCs w:val="20"/>
              </w:rPr>
              <w:t>0</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31E8906F" w14:textId="77777777" w:rsidR="0067338B" w:rsidRPr="00C64727" w:rsidRDefault="00AF42BE">
            <w:pPr>
              <w:spacing w:after="0" w:line="240" w:lineRule="auto"/>
              <w:jc w:val="center"/>
              <w:rPr>
                <w:rFonts w:ascii="Times New Roman" w:hAnsi="Times New Roman"/>
                <w:b/>
                <w:bCs/>
                <w:color w:val="000000"/>
                <w:sz w:val="20"/>
                <w:szCs w:val="20"/>
              </w:rPr>
            </w:pPr>
            <w:r w:rsidRPr="00C64727">
              <w:rPr>
                <w:rFonts w:ascii="Times New Roman" w:hAnsi="Times New Roman"/>
                <w:b/>
                <w:bCs/>
                <w:sz w:val="20"/>
                <w:szCs w:val="20"/>
              </w:rPr>
              <w:t>0,9</w:t>
            </w:r>
          </w:p>
        </w:tc>
      </w:tr>
      <w:tr w:rsidR="0067338B" w:rsidRPr="00C64727" w14:paraId="0CC8EAF8"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26ACFDD9" w14:textId="77777777" w:rsidR="0067338B" w:rsidRPr="00C64727" w:rsidRDefault="00AF42BE">
            <w:pPr>
              <w:spacing w:after="0" w:line="240" w:lineRule="auto"/>
              <w:jc w:val="center"/>
              <w:rPr>
                <w:rFonts w:ascii="Times New Roman" w:hAnsi="Times New Roman"/>
                <w:b/>
                <w:bCs/>
                <w:color w:val="000000"/>
                <w:sz w:val="20"/>
                <w:szCs w:val="20"/>
              </w:rPr>
            </w:pPr>
            <w:r w:rsidRPr="00C64727">
              <w:rPr>
                <w:rFonts w:ascii="Times New Roman" w:hAnsi="Times New Roman"/>
                <w:b/>
                <w:bCs/>
                <w:sz w:val="20"/>
                <w:szCs w:val="20"/>
              </w:rPr>
              <w:t>Összesen</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55932401" w14:textId="77777777" w:rsidR="0067338B" w:rsidRPr="00C64727" w:rsidRDefault="00544382">
            <w:pPr>
              <w:spacing w:after="0" w:line="240" w:lineRule="auto"/>
              <w:jc w:val="center"/>
              <w:rPr>
                <w:rFonts w:ascii="Times New Roman" w:hAnsi="Times New Roman"/>
                <w:b/>
                <w:bCs/>
                <w:color w:val="000000"/>
                <w:sz w:val="20"/>
                <w:szCs w:val="20"/>
              </w:rPr>
            </w:pPr>
            <w:r w:rsidRPr="00C64727">
              <w:rPr>
                <w:rFonts w:ascii="Times New Roman" w:hAnsi="Times New Roman"/>
                <w:b/>
                <w:bCs/>
                <w:sz w:val="20"/>
                <w:szCs w:val="20"/>
              </w:rPr>
              <w:t>84,2</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08D920B8" w14:textId="77777777" w:rsidR="0067338B" w:rsidRPr="00C64727" w:rsidRDefault="00544382">
            <w:pPr>
              <w:spacing w:after="0" w:line="240" w:lineRule="auto"/>
              <w:jc w:val="center"/>
              <w:rPr>
                <w:rFonts w:ascii="Times New Roman" w:hAnsi="Times New Roman"/>
                <w:b/>
                <w:bCs/>
                <w:color w:val="000000"/>
                <w:sz w:val="20"/>
                <w:szCs w:val="20"/>
              </w:rPr>
            </w:pPr>
            <w:r w:rsidRPr="00C64727">
              <w:rPr>
                <w:rFonts w:ascii="Times New Roman" w:hAnsi="Times New Roman"/>
                <w:b/>
                <w:bCs/>
                <w:sz w:val="20"/>
                <w:szCs w:val="20"/>
              </w:rPr>
              <w:t>73,5</w:t>
            </w:r>
          </w:p>
        </w:tc>
      </w:tr>
    </w:tbl>
    <w:p w14:paraId="12EAE172" w14:textId="77777777" w:rsidR="0067338B" w:rsidRPr="00C64727" w:rsidRDefault="00A92C10">
      <w:pPr>
        <w:jc w:val="both"/>
        <w:rPr>
          <w:rFonts w:ascii="Times New Roman" w:hAnsi="Times New Roman"/>
          <w:sz w:val="18"/>
          <w:szCs w:val="18"/>
        </w:rPr>
      </w:pPr>
      <w:r w:rsidRPr="00C64727">
        <w:rPr>
          <w:rFonts w:ascii="Times New Roman" w:hAnsi="Times New Roman"/>
          <w:sz w:val="18"/>
          <w:szCs w:val="18"/>
        </w:rPr>
        <w:t xml:space="preserve"> Forrás: Éghajlat-politikai Főigazgatóság</w:t>
      </w:r>
    </w:p>
    <w:p w14:paraId="57D7927A" w14:textId="77777777" w:rsidR="0067338B" w:rsidRPr="00C64727" w:rsidRDefault="00A063FC">
      <w:pPr>
        <w:jc w:val="both"/>
        <w:rPr>
          <w:rFonts w:ascii="Times New Roman" w:hAnsi="Times New Roman"/>
          <w:sz w:val="24"/>
          <w:szCs w:val="24"/>
        </w:rPr>
      </w:pPr>
      <w:r w:rsidRPr="00C64727">
        <w:rPr>
          <w:rFonts w:ascii="Times New Roman" w:hAnsi="Times New Roman"/>
          <w:sz w:val="24"/>
          <w:szCs w:val="24"/>
        </w:rPr>
        <w:t>A tagállamok által a 10c. cikk szerinti eltérés alapján a 3. szakasz minden egyes évében árverés útján értékesített (vagy értékesíteni kívánt) ki nem osztott kibocsátási egységek számát a melléklet 1. függelékében szereplő 1.3. táblázat mutatja.</w:t>
      </w:r>
    </w:p>
    <w:p w14:paraId="041B37C7" w14:textId="77777777" w:rsidR="0067338B" w:rsidRPr="00C64727" w:rsidRDefault="00A52F4C">
      <w:pPr>
        <w:pStyle w:val="Heading3"/>
        <w:spacing w:before="0" w:after="200"/>
        <w:ind w:left="720"/>
        <w:rPr>
          <w:szCs w:val="24"/>
        </w:rPr>
      </w:pPr>
      <w:bookmarkStart w:id="16" w:name="_Toc24093093"/>
      <w:r w:rsidRPr="00C64727">
        <w:rPr>
          <w:szCs w:val="24"/>
        </w:rPr>
        <w:t>3.1.3. Nemzetközi jóváírások</w:t>
      </w:r>
      <w:bookmarkEnd w:id="16"/>
    </w:p>
    <w:p w14:paraId="23377E86" w14:textId="77777777" w:rsidR="0067338B" w:rsidRPr="00C64727" w:rsidRDefault="003A348D">
      <w:pPr>
        <w:jc w:val="both"/>
        <w:rPr>
          <w:rFonts w:ascii="Times New Roman" w:hAnsi="Times New Roman"/>
          <w:sz w:val="24"/>
          <w:szCs w:val="24"/>
        </w:rPr>
      </w:pPr>
      <w:r w:rsidRPr="00C64727">
        <w:rPr>
          <w:rFonts w:ascii="Times New Roman" w:hAnsi="Times New Roman"/>
          <w:noProof/>
          <w:sz w:val="24"/>
          <w:szCs w:val="24"/>
          <w:lang w:val="en-GB" w:eastAsia="en-GB"/>
        </w:rPr>
        <mc:AlternateContent>
          <mc:Choice Requires="wps">
            <w:drawing>
              <wp:inline distT="0" distB="0" distL="0" distR="0" wp14:anchorId="45E3A308" wp14:editId="6E02BD20">
                <wp:extent cx="5742432" cy="2754489"/>
                <wp:effectExtent l="0" t="0" r="10795" b="27305"/>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432" cy="2754489"/>
                        </a:xfrm>
                        <a:prstGeom prst="rect">
                          <a:avLst/>
                        </a:prstGeom>
                        <a:solidFill>
                          <a:schemeClr val="bg1">
                            <a:lumMod val="85000"/>
                          </a:schemeClr>
                        </a:solidFill>
                        <a:ln w="12700">
                          <a:solidFill>
                            <a:srgbClr val="000000"/>
                          </a:solidFill>
                          <a:miter lim="800000"/>
                          <a:headEnd/>
                          <a:tailEnd/>
                        </a:ln>
                      </wps:spPr>
                      <wps:txbx>
                        <w:txbxContent>
                          <w:p w14:paraId="541897DA" w14:textId="77777777" w:rsidR="0067338B" w:rsidRPr="00C64727" w:rsidRDefault="00516F65">
                            <w:pPr>
                              <w:jc w:val="both"/>
                              <w:rPr>
                                <w:rFonts w:ascii="Times New Roman" w:hAnsi="Times New Roman"/>
                                <w:sz w:val="24"/>
                                <w:szCs w:val="24"/>
                              </w:rPr>
                            </w:pPr>
                            <w:r w:rsidRPr="00C64727">
                              <w:rPr>
                                <w:rFonts w:ascii="Times New Roman" w:hAnsi="Times New Roman"/>
                                <w:sz w:val="24"/>
                                <w:szCs w:val="24"/>
                              </w:rPr>
                              <w:t>Az EU ETS résztvevői 2020-ig továbbra is felhasználhatják a Kiotói Jegyzőkönyv tiszta fejlesztési mechanizmusa (CDM) és az együttes végrehajtás (JI) nemzetközi jóváírásait az EU ETS keretében fennálló kötelezettségeik teljesítésére</w:t>
                            </w:r>
                            <w:r w:rsidRPr="00C64727">
                              <w:rPr>
                                <w:rStyle w:val="FootnoteReference"/>
                                <w:rFonts w:ascii="Times New Roman" w:hAnsi="Times New Roman"/>
                                <w:sz w:val="24"/>
                                <w:szCs w:val="24"/>
                              </w:rPr>
                              <w:t>*</w:t>
                            </w:r>
                            <w:r w:rsidRPr="00C64727">
                              <w:rPr>
                                <w:rFonts w:ascii="Times New Roman" w:hAnsi="Times New Roman"/>
                                <w:sz w:val="24"/>
                                <w:szCs w:val="24"/>
                              </w:rPr>
                              <w:t xml:space="preserve"> mennyiségi és minőségi korlátozások mellett. E jóváírások a kibocsátáscsökkentési projektek eredményeként a légkörből eltávolított egy tonna CO</w:t>
                            </w:r>
                            <w:r w:rsidRPr="00C64727">
                              <w:rPr>
                                <w:rFonts w:ascii="Times New Roman" w:hAnsi="Times New Roman"/>
                                <w:sz w:val="24"/>
                                <w:szCs w:val="24"/>
                                <w:vertAlign w:val="subscript"/>
                              </w:rPr>
                              <w:t>2</w:t>
                            </w:r>
                            <w:r w:rsidRPr="00C64727">
                              <w:rPr>
                                <w:rFonts w:ascii="Times New Roman" w:hAnsi="Times New Roman"/>
                                <w:sz w:val="24"/>
                                <w:szCs w:val="24"/>
                              </w:rPr>
                              <w:t>-t megtestesítő pénzügyi eszközök. A 3. szakaszban a jóváírásokat már nem adják le közvetlenül, ehelyett azok az egész naptári évben bármikor beválthatók kibocsátási egységekre.</w:t>
                            </w:r>
                            <w:r w:rsidRPr="00C64727">
                              <w:rPr>
                                <w:sz w:val="24"/>
                                <w:szCs w:val="24"/>
                              </w:rPr>
                              <w:t xml:space="preserve"> </w:t>
                            </w:r>
                          </w:p>
                          <w:p w14:paraId="4E867384" w14:textId="77777777" w:rsidR="0067338B" w:rsidRPr="00C64727" w:rsidRDefault="00516F65">
                            <w:pPr>
                              <w:jc w:val="both"/>
                              <w:rPr>
                                <w:rFonts w:ascii="Times New Roman" w:hAnsi="Times New Roman"/>
                                <w:sz w:val="24"/>
                                <w:szCs w:val="24"/>
                              </w:rPr>
                            </w:pPr>
                            <w:r w:rsidRPr="00C64727">
                              <w:rPr>
                                <w:rFonts w:ascii="Times New Roman" w:hAnsi="Times New Roman"/>
                                <w:sz w:val="24"/>
                                <w:szCs w:val="24"/>
                              </w:rPr>
                              <w:t>A felülvizsgált EU ETS irányelv rendelkezéseinek megfelelően a nemzetközi jóváírások a következő kereskedési időszakban nem használhatók fel az EU ETS-nek való megfelelésre.</w:t>
                            </w:r>
                          </w:p>
                          <w:p w14:paraId="170A6952" w14:textId="77777777" w:rsidR="0067338B" w:rsidRDefault="00516F65">
                            <w:pPr>
                              <w:jc w:val="both"/>
                              <w:rPr>
                                <w:rFonts w:ascii="Times New Roman" w:hAnsi="Times New Roman"/>
                                <w:sz w:val="18"/>
                                <w:szCs w:val="18"/>
                              </w:rPr>
                            </w:pPr>
                            <w:r>
                              <w:rPr>
                                <w:rFonts w:ascii="Times New Roman" w:hAnsi="Times New Roman"/>
                                <w:sz w:val="18"/>
                                <w:szCs w:val="18"/>
                              </w:rPr>
                              <w:t xml:space="preserve">* A CDM-, illetve a JI-projektek kiotói szén-dioxid-krediteket generálnak: igazolt kibocsátáscsökkentési egységeket (CER-ek), illetve kibocsátáscsökkentési egységeket (ERU-k). </w:t>
                            </w:r>
                          </w:p>
                        </w:txbxContent>
                      </wps:txbx>
                      <wps:bodyPr rot="0" vert="horz" wrap="square" lIns="91440" tIns="45720" rIns="91440" bIns="45720" anchor="t" anchorCtr="0">
                        <a:noAutofit/>
                      </wps:bodyPr>
                    </wps:wsp>
                  </a:graphicData>
                </a:graphic>
              </wp:inline>
            </w:drawing>
          </mc:Choice>
          <mc:Fallback>
            <w:pict>
              <v:shape w14:anchorId="45E3A308" id="_x0000_s1035" type="#_x0000_t202" style="width:452.15pt;height:21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" fillcolor="#d8d8d8 [2732]" strokeweight="1pt">
                <v:textbox>
                  <w:txbxContent>
                    <w:p w14:paraId="541897DA" w14:textId="77777777" w:rsidR="0067338B" w:rsidRPr="00C64727" w:rsidRDefault="00516F65">
                      <w:pPr>
                        <w:jc w:val="both"/>
                        <w:rPr>
                          <w:rFonts w:ascii="Times New Roman" w:hAnsi="Times New Roman"/>
                          <w:sz w:val="24"/>
                          <w:szCs w:val="24"/>
                        </w:rPr>
                      </w:pPr>
                      <w:r w:rsidRPr="00C64727">
                        <w:rPr>
                          <w:rFonts w:ascii="Times New Roman" w:hAnsi="Times New Roman"/>
                          <w:sz w:val="24"/>
                          <w:szCs w:val="24"/>
                        </w:rPr>
                        <w:t>Az EU ETS résztvevői 2020-ig továbbra is felhasználhatják a Kiotói Jegyzőkönyv tiszta fejlesztési mechanizmusa (CDM) és az együttes végrehajtás (JI) nemzetközi jóváírásait az EU ETS keretében fennálló kötelezettségeik teljesítésére</w:t>
                      </w:r>
                      <w:r w:rsidRPr="00C64727">
                        <w:rPr>
                          <w:rStyle w:val="FootnoteReference"/>
                          <w:rFonts w:ascii="Times New Roman" w:hAnsi="Times New Roman"/>
                          <w:sz w:val="24"/>
                          <w:szCs w:val="24"/>
                        </w:rPr>
                        <w:t>*</w:t>
                      </w:r>
                      <w:r w:rsidRPr="00C64727">
                        <w:rPr>
                          <w:rFonts w:ascii="Times New Roman" w:hAnsi="Times New Roman"/>
                          <w:sz w:val="24"/>
                          <w:szCs w:val="24"/>
                        </w:rPr>
                        <w:t xml:space="preserve"> mennyiségi és minőségi korlátozások mellett. E jóváírások a kibocsátáscsökkentési projektek eredményeként a légkörből eltávolított egy tonna CO</w:t>
                      </w:r>
                      <w:r w:rsidRPr="00C64727">
                        <w:rPr>
                          <w:rFonts w:ascii="Times New Roman" w:hAnsi="Times New Roman"/>
                          <w:sz w:val="24"/>
                          <w:szCs w:val="24"/>
                          <w:vertAlign w:val="subscript"/>
                        </w:rPr>
                        <w:t>2</w:t>
                      </w:r>
                      <w:r w:rsidRPr="00C64727">
                        <w:rPr>
                          <w:rFonts w:ascii="Times New Roman" w:hAnsi="Times New Roman"/>
                          <w:sz w:val="24"/>
                          <w:szCs w:val="24"/>
                        </w:rPr>
                        <w:t>-t megtestesítő pénzügyi eszközök. A 3. szakaszban a jóváírásokat már nem adják le közvetlenül, ehelyett azok az egész naptári évben bármikor beválthatók kibocsátási egységekre.</w:t>
                      </w:r>
                      <w:r w:rsidRPr="00C64727">
                        <w:rPr>
                          <w:sz w:val="24"/>
                          <w:szCs w:val="24"/>
                        </w:rPr>
                        <w:t xml:space="preserve"> </w:t>
                      </w:r>
                    </w:p>
                    <w:p w14:paraId="4E867384" w14:textId="77777777" w:rsidR="0067338B" w:rsidRPr="00C64727" w:rsidRDefault="00516F65">
                      <w:pPr>
                        <w:jc w:val="both"/>
                        <w:rPr>
                          <w:rFonts w:ascii="Times New Roman" w:hAnsi="Times New Roman"/>
                          <w:sz w:val="24"/>
                          <w:szCs w:val="24"/>
                        </w:rPr>
                      </w:pPr>
                      <w:r w:rsidRPr="00C64727">
                        <w:rPr>
                          <w:rFonts w:ascii="Times New Roman" w:hAnsi="Times New Roman"/>
                          <w:sz w:val="24"/>
                          <w:szCs w:val="24"/>
                        </w:rPr>
                        <w:t>A felülvizsgált EU ETS irányelv rendelkezéseinek megfelelően a nemzetközi jóváírások a következő kereskedési időszakban nem használhatók fel az EU ETS-nek való megfelelésre.</w:t>
                      </w:r>
                    </w:p>
                    <w:p w14:paraId="170A6952" w14:textId="77777777" w:rsidR="0067338B" w:rsidRDefault="00516F65">
                      <w:pPr>
                        <w:jc w:val="both"/>
                        <w:rPr>
                          <w:rFonts w:ascii="Times New Roman" w:hAnsi="Times New Roman"/>
                          <w:sz w:val="18"/>
                          <w:szCs w:val="18"/>
                        </w:rPr>
                      </w:pPr>
                      <w:r>
                        <w:rPr>
                          <w:rFonts w:ascii="Times New Roman" w:hAnsi="Times New Roman"/>
                          <w:sz w:val="18"/>
                          <w:szCs w:val="18"/>
                        </w:rPr>
                        <w:t xml:space="preserve">* A CDM-, illetve a JI-projektek kiotói szén-dioxid-krediteket generálnak: igazolt kibocsátáscsökkentési egységeket (CER-ek), illetve kibocsátáscsökkentési egységeket (ERU-k). </w:t>
                      </w:r>
                    </w:p>
                  </w:txbxContent>
                </v:textbox>
                <w10:anchorlock/>
              </v:shape>
            </w:pict>
          </mc:Fallback>
        </mc:AlternateContent>
      </w:r>
    </w:p>
    <w:p w14:paraId="22FD9B1F" w14:textId="77777777" w:rsidR="0067338B" w:rsidRPr="00C64727" w:rsidRDefault="003A348D">
      <w:pPr>
        <w:jc w:val="both"/>
        <w:rPr>
          <w:rFonts w:ascii="Times New Roman" w:hAnsi="Times New Roman"/>
          <w:sz w:val="24"/>
          <w:szCs w:val="24"/>
        </w:rPr>
      </w:pPr>
      <w:r w:rsidRPr="00C64727">
        <w:rPr>
          <w:rFonts w:ascii="Times New Roman" w:hAnsi="Times New Roman"/>
          <w:sz w:val="24"/>
          <w:szCs w:val="24"/>
        </w:rPr>
        <w:t>Bár a 2. és a 3. szakasz (2008–2020) nemzetközi jóváírási jogosultságainak pontos mennyisége részben a jövőbeli hitelesített kibocsátási mennyiségektől függ, piaci elemzők körülbelül 1,6 milliárd jóváírást valószínűsítenek. A felhasznált vagy beváltott nemzetközi jóváírások teljes mennyisége 2019. június végén körülbelül 1,51 milliárdot tesz ki, ami meghaladja a megengedett becsült maximum 90 %-át.</w:t>
      </w:r>
    </w:p>
    <w:p w14:paraId="7634AFD4" w14:textId="77777777" w:rsidR="0067338B" w:rsidRPr="00C64727" w:rsidRDefault="003A348D">
      <w:pPr>
        <w:spacing w:after="0"/>
        <w:jc w:val="both"/>
        <w:rPr>
          <w:rFonts w:ascii="Times New Roman" w:hAnsi="Times New Roman"/>
          <w:sz w:val="24"/>
          <w:szCs w:val="24"/>
        </w:rPr>
      </w:pPr>
      <w:r w:rsidRPr="00C64727">
        <w:rPr>
          <w:rFonts w:ascii="Times New Roman" w:hAnsi="Times New Roman"/>
          <w:sz w:val="24"/>
          <w:szCs w:val="24"/>
        </w:rPr>
        <w:t>A nemzetközi jóváírások beváltásáról a melléklet 3. függeléke nyújt teljes körű áttekintést.</w:t>
      </w:r>
    </w:p>
    <w:p w14:paraId="5E4A415D" w14:textId="77777777" w:rsidR="0067338B" w:rsidRPr="00C64727" w:rsidRDefault="0067338B">
      <w:pPr>
        <w:spacing w:after="0"/>
        <w:jc w:val="both"/>
        <w:rPr>
          <w:rFonts w:ascii="Times New Roman" w:hAnsi="Times New Roman"/>
          <w:sz w:val="24"/>
          <w:szCs w:val="24"/>
        </w:rPr>
      </w:pPr>
    </w:p>
    <w:p w14:paraId="61BA759C" w14:textId="77777777" w:rsidR="0067338B" w:rsidRPr="00C64727" w:rsidRDefault="0067338B">
      <w:pPr>
        <w:spacing w:after="0"/>
        <w:jc w:val="both"/>
        <w:rPr>
          <w:rFonts w:ascii="Times New Roman" w:hAnsi="Times New Roman"/>
          <w:sz w:val="24"/>
          <w:szCs w:val="24"/>
        </w:rPr>
      </w:pPr>
    </w:p>
    <w:p w14:paraId="493EBFEE" w14:textId="77777777" w:rsidR="0067338B" w:rsidRPr="00C64727" w:rsidRDefault="0067338B">
      <w:pPr>
        <w:spacing w:after="0"/>
        <w:jc w:val="both"/>
        <w:rPr>
          <w:rFonts w:ascii="Times New Roman" w:hAnsi="Times New Roman"/>
          <w:sz w:val="24"/>
          <w:szCs w:val="24"/>
        </w:rPr>
      </w:pPr>
    </w:p>
    <w:p w14:paraId="0755FAA3" w14:textId="77777777" w:rsidR="0067338B" w:rsidRPr="00C64727" w:rsidRDefault="0067338B">
      <w:pPr>
        <w:spacing w:after="0"/>
        <w:jc w:val="both"/>
        <w:rPr>
          <w:rFonts w:ascii="Times New Roman" w:hAnsi="Times New Roman"/>
          <w:sz w:val="24"/>
          <w:szCs w:val="24"/>
        </w:rPr>
      </w:pPr>
    </w:p>
    <w:p w14:paraId="087CE548" w14:textId="77777777" w:rsidR="0067338B" w:rsidRPr="00C64727" w:rsidRDefault="0067338B">
      <w:pPr>
        <w:spacing w:after="0"/>
        <w:jc w:val="both"/>
        <w:rPr>
          <w:rFonts w:ascii="Times New Roman" w:hAnsi="Times New Roman"/>
          <w:sz w:val="24"/>
          <w:szCs w:val="24"/>
        </w:rPr>
      </w:pPr>
    </w:p>
    <w:p w14:paraId="3A74B91F" w14:textId="77777777" w:rsidR="0067338B" w:rsidRPr="00C64727" w:rsidRDefault="0067338B">
      <w:pPr>
        <w:spacing w:after="0"/>
        <w:jc w:val="both"/>
        <w:rPr>
          <w:rFonts w:ascii="Times New Roman" w:hAnsi="Times New Roman"/>
          <w:sz w:val="24"/>
          <w:szCs w:val="24"/>
        </w:rPr>
      </w:pPr>
    </w:p>
    <w:p w14:paraId="2AEEBC6B" w14:textId="77777777" w:rsidR="0067338B" w:rsidRPr="00C64727" w:rsidRDefault="0067338B">
      <w:pPr>
        <w:spacing w:after="0"/>
        <w:jc w:val="both"/>
        <w:rPr>
          <w:rFonts w:ascii="Times New Roman" w:hAnsi="Times New Roman"/>
          <w:sz w:val="24"/>
          <w:szCs w:val="24"/>
        </w:rPr>
      </w:pPr>
    </w:p>
    <w:p w14:paraId="23BF2CC4" w14:textId="77777777" w:rsidR="0067338B" w:rsidRPr="00C64727" w:rsidRDefault="0067338B">
      <w:pPr>
        <w:spacing w:after="0"/>
        <w:jc w:val="both"/>
        <w:rPr>
          <w:rFonts w:ascii="Times New Roman" w:hAnsi="Times New Roman"/>
          <w:sz w:val="24"/>
          <w:szCs w:val="24"/>
        </w:rPr>
      </w:pPr>
    </w:p>
    <w:p w14:paraId="78251126" w14:textId="77777777" w:rsidR="0067338B" w:rsidRPr="00C64727" w:rsidRDefault="0067338B">
      <w:pPr>
        <w:spacing w:after="0"/>
        <w:jc w:val="both"/>
        <w:rPr>
          <w:rFonts w:ascii="Times New Roman" w:hAnsi="Times New Roman"/>
          <w:sz w:val="24"/>
          <w:szCs w:val="24"/>
        </w:rPr>
      </w:pPr>
    </w:p>
    <w:p w14:paraId="410FD69E" w14:textId="77777777" w:rsidR="0067338B" w:rsidRPr="00C64727" w:rsidRDefault="0067338B">
      <w:pPr>
        <w:spacing w:after="0"/>
        <w:jc w:val="both"/>
        <w:rPr>
          <w:rFonts w:ascii="Times New Roman" w:hAnsi="Times New Roman"/>
          <w:sz w:val="24"/>
          <w:szCs w:val="24"/>
        </w:rPr>
      </w:pPr>
    </w:p>
    <w:p w14:paraId="17A92FF6" w14:textId="77777777" w:rsidR="0067338B" w:rsidRPr="00C64727" w:rsidRDefault="0067338B">
      <w:pPr>
        <w:spacing w:after="0"/>
        <w:jc w:val="both"/>
        <w:rPr>
          <w:rFonts w:ascii="Times New Roman" w:hAnsi="Times New Roman"/>
          <w:sz w:val="24"/>
          <w:szCs w:val="24"/>
        </w:rPr>
      </w:pPr>
    </w:p>
    <w:p w14:paraId="4EEDA10C" w14:textId="77777777" w:rsidR="0067338B" w:rsidRPr="00C64727" w:rsidRDefault="00A52F4C">
      <w:pPr>
        <w:pStyle w:val="Heading2"/>
        <w:rPr>
          <w:i w:val="0"/>
          <w:szCs w:val="24"/>
        </w:rPr>
      </w:pPr>
      <w:bookmarkStart w:id="17" w:name="_Toc24093094"/>
      <w:r w:rsidRPr="00C64727">
        <w:rPr>
          <w:i w:val="0"/>
          <w:szCs w:val="24"/>
        </w:rPr>
        <w:t>3.2. Kereslet: a forgalomból kivont kibocsátási egységek</w:t>
      </w:r>
      <w:bookmarkEnd w:id="17"/>
    </w:p>
    <w:p w14:paraId="0D482F57" w14:textId="77777777" w:rsidR="0067338B" w:rsidRPr="00C64727" w:rsidRDefault="003A348D">
      <w:pPr>
        <w:jc w:val="both"/>
        <w:rPr>
          <w:rFonts w:ascii="Times New Roman" w:hAnsi="Times New Roman"/>
          <w:sz w:val="24"/>
          <w:szCs w:val="24"/>
        </w:rPr>
      </w:pPr>
      <w:r w:rsidRPr="00C64727">
        <w:rPr>
          <w:rFonts w:ascii="Times New Roman" w:hAnsi="Times New Roman"/>
          <w:sz w:val="24"/>
          <w:szCs w:val="24"/>
        </w:rPr>
        <w:t xml:space="preserve">2018-ban az EU ETS-ben részt vevő létesítményekből származó kibocsátások a becslések szerint 2017-hez képest 4,1 %-kal csökkentek az EU kibocsátásiegység-forgalmi jegyzékében rögzített adatok alapján. Ahogy a 7. táblázatból látszik, a kibocsátások csökkenése elsősorban a villamosenergia- és a hőtermelésnek tulajdonítható, míg az iparból származó kibocsátások csak igen csekély mértékben csökkentek. </w:t>
      </w:r>
    </w:p>
    <w:p w14:paraId="254CD840" w14:textId="77777777" w:rsidR="0067338B" w:rsidRPr="00C64727" w:rsidRDefault="003A348D">
      <w:pPr>
        <w:pStyle w:val="Caption"/>
        <w:keepNext/>
        <w:rPr>
          <w:rFonts w:ascii="Times New Roman" w:hAnsi="Times New Roman"/>
          <w:color w:val="000000"/>
          <w:sz w:val="22"/>
          <w:szCs w:val="22"/>
        </w:rPr>
      </w:pPr>
      <w:r w:rsidRPr="00C64727">
        <w:rPr>
          <w:rFonts w:ascii="Times New Roman" w:hAnsi="Times New Roman"/>
          <w:sz w:val="22"/>
          <w:szCs w:val="22"/>
        </w:rPr>
        <w:t xml:space="preserve">7. táblázat: Hitelesített kibocsátások (millió tonna </w:t>
      </w:r>
      <w:r w:rsidRPr="00C64727">
        <w:rPr>
          <w:rFonts w:ascii="Times New Roman" w:hAnsi="Times New Roman"/>
          <w:b w:val="0"/>
          <w:bCs w:val="0"/>
          <w:sz w:val="22"/>
          <w:szCs w:val="22"/>
        </w:rPr>
        <w:t>CO</w:t>
      </w:r>
      <w:r w:rsidRPr="00C64727">
        <w:rPr>
          <w:rFonts w:ascii="Times New Roman" w:hAnsi="Times New Roman"/>
          <w:b w:val="0"/>
          <w:bCs w:val="0"/>
          <w:sz w:val="22"/>
          <w:szCs w:val="22"/>
          <w:vertAlign w:val="subscript"/>
        </w:rPr>
        <w:t>2</w:t>
      </w:r>
      <w:r w:rsidRPr="00C64727">
        <w:rPr>
          <w:rFonts w:ascii="Times New Roman" w:hAnsi="Times New Roman"/>
          <w:sz w:val="22"/>
          <w:szCs w:val="22"/>
        </w:rPr>
        <w:t>-egyenértékben)</w:t>
      </w:r>
      <w:r w:rsidRPr="00C64727">
        <w:rPr>
          <w:rStyle w:val="FootnoteReference"/>
          <w:rFonts w:ascii="Times New Roman" w:hAnsi="Times New Roman"/>
          <w:sz w:val="22"/>
          <w:szCs w:val="22"/>
        </w:rPr>
        <w:footnoteReference w:id="43"/>
      </w:r>
    </w:p>
    <w:tbl>
      <w:tblPr>
        <w:tblW w:w="4992" w:type="pct"/>
        <w:tblInd w:w="108" w:type="dxa"/>
        <w:tblLayout w:type="fixed"/>
        <w:tblCellMar>
          <w:left w:w="0" w:type="dxa"/>
          <w:right w:w="0" w:type="dxa"/>
        </w:tblCellMar>
        <w:tblLook w:val="04A0" w:firstRow="1" w:lastRow="0" w:firstColumn="1" w:lastColumn="0" w:noHBand="0" w:noVBand="1"/>
      </w:tblPr>
      <w:tblGrid>
        <w:gridCol w:w="2077"/>
        <w:gridCol w:w="895"/>
        <w:gridCol w:w="881"/>
        <w:gridCol w:w="882"/>
        <w:gridCol w:w="882"/>
        <w:gridCol w:w="881"/>
        <w:gridCol w:w="882"/>
        <w:gridCol w:w="879"/>
        <w:gridCol w:w="875"/>
      </w:tblGrid>
      <w:tr w:rsidR="0067338B" w:rsidRPr="00C64727" w14:paraId="167E3B00" w14:textId="77777777" w:rsidTr="00E72EF9">
        <w:trPr>
          <w:trHeight w:val="474"/>
        </w:trPr>
        <w:tc>
          <w:tcPr>
            <w:tcW w:w="1137"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1010D935" w14:textId="77777777" w:rsidR="0067338B" w:rsidRPr="00C64727" w:rsidRDefault="00250CD2">
            <w:pPr>
              <w:jc w:val="center"/>
              <w:rPr>
                <w:rFonts w:ascii="Times New Roman" w:hAnsi="Times New Roman"/>
                <w:b/>
                <w:bCs/>
                <w:color w:val="000000"/>
                <w:sz w:val="20"/>
                <w:szCs w:val="20"/>
              </w:rPr>
            </w:pPr>
            <w:r w:rsidRPr="00C64727">
              <w:rPr>
                <w:rFonts w:ascii="Times New Roman" w:hAnsi="Times New Roman"/>
                <w:b/>
                <w:bCs/>
                <w:sz w:val="20"/>
                <w:szCs w:val="20"/>
              </w:rPr>
              <w:t>Év</w:t>
            </w:r>
          </w:p>
        </w:tc>
        <w:tc>
          <w:tcPr>
            <w:tcW w:w="490"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71698471" w14:textId="77777777" w:rsidR="0067338B" w:rsidRPr="00C64727" w:rsidRDefault="00250CD2">
            <w:pPr>
              <w:jc w:val="center"/>
              <w:rPr>
                <w:rFonts w:ascii="Times New Roman" w:hAnsi="Times New Roman"/>
                <w:b/>
                <w:sz w:val="20"/>
                <w:szCs w:val="20"/>
              </w:rPr>
            </w:pPr>
            <w:r w:rsidRPr="00C64727">
              <w:rPr>
                <w:rFonts w:ascii="Times New Roman" w:hAnsi="Times New Roman"/>
                <w:b/>
                <w:sz w:val="20"/>
                <w:szCs w:val="20"/>
              </w:rPr>
              <w:t>2011</w:t>
            </w:r>
          </w:p>
        </w:tc>
        <w:tc>
          <w:tcPr>
            <w:tcW w:w="482"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780ADA1C" w14:textId="77777777" w:rsidR="0067338B" w:rsidRPr="00C64727" w:rsidRDefault="00250CD2">
            <w:pPr>
              <w:jc w:val="center"/>
              <w:rPr>
                <w:rFonts w:ascii="Times New Roman" w:hAnsi="Times New Roman"/>
                <w:b/>
                <w:sz w:val="20"/>
                <w:szCs w:val="20"/>
              </w:rPr>
            </w:pPr>
            <w:r w:rsidRPr="00C64727">
              <w:rPr>
                <w:rFonts w:ascii="Times New Roman" w:hAnsi="Times New Roman"/>
                <w:b/>
                <w:sz w:val="20"/>
                <w:szCs w:val="20"/>
              </w:rPr>
              <w:t>2012</w:t>
            </w:r>
          </w:p>
        </w:tc>
        <w:tc>
          <w:tcPr>
            <w:tcW w:w="483"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535E5623" w14:textId="77777777" w:rsidR="0067338B" w:rsidRPr="00C64727" w:rsidRDefault="00250CD2">
            <w:pPr>
              <w:jc w:val="center"/>
              <w:rPr>
                <w:rFonts w:ascii="Times New Roman" w:hAnsi="Times New Roman"/>
                <w:b/>
                <w:sz w:val="20"/>
                <w:szCs w:val="20"/>
              </w:rPr>
            </w:pPr>
            <w:r w:rsidRPr="00C64727">
              <w:rPr>
                <w:rFonts w:ascii="Times New Roman" w:hAnsi="Times New Roman"/>
                <w:b/>
                <w:sz w:val="20"/>
                <w:szCs w:val="20"/>
              </w:rPr>
              <w:t>2013</w:t>
            </w:r>
          </w:p>
        </w:tc>
        <w:tc>
          <w:tcPr>
            <w:tcW w:w="483"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651B6131" w14:textId="77777777" w:rsidR="0067338B" w:rsidRPr="00C64727" w:rsidRDefault="00250CD2">
            <w:pPr>
              <w:jc w:val="center"/>
              <w:rPr>
                <w:rFonts w:ascii="Times New Roman" w:hAnsi="Times New Roman"/>
                <w:b/>
                <w:sz w:val="20"/>
                <w:szCs w:val="20"/>
              </w:rPr>
            </w:pPr>
            <w:r w:rsidRPr="00C64727">
              <w:rPr>
                <w:rFonts w:ascii="Times New Roman" w:hAnsi="Times New Roman"/>
                <w:b/>
                <w:sz w:val="20"/>
                <w:szCs w:val="20"/>
              </w:rPr>
              <w:t>2014</w:t>
            </w:r>
          </w:p>
        </w:tc>
        <w:tc>
          <w:tcPr>
            <w:tcW w:w="482"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666C84E4" w14:textId="77777777" w:rsidR="0067338B" w:rsidRPr="00C64727" w:rsidRDefault="00250CD2">
            <w:pPr>
              <w:jc w:val="center"/>
              <w:rPr>
                <w:rFonts w:ascii="Times New Roman" w:hAnsi="Times New Roman"/>
                <w:b/>
                <w:sz w:val="20"/>
                <w:szCs w:val="20"/>
              </w:rPr>
            </w:pPr>
            <w:r w:rsidRPr="00C64727">
              <w:rPr>
                <w:rFonts w:ascii="Times New Roman" w:hAnsi="Times New Roman"/>
                <w:b/>
                <w:sz w:val="20"/>
                <w:szCs w:val="20"/>
              </w:rPr>
              <w:t>2015</w:t>
            </w:r>
          </w:p>
        </w:tc>
        <w:tc>
          <w:tcPr>
            <w:tcW w:w="483"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6C3314D6" w14:textId="77777777" w:rsidR="0067338B" w:rsidRPr="00C64727" w:rsidRDefault="00250CD2">
            <w:pPr>
              <w:jc w:val="center"/>
              <w:rPr>
                <w:rFonts w:ascii="Times New Roman" w:hAnsi="Times New Roman"/>
                <w:b/>
                <w:sz w:val="20"/>
                <w:szCs w:val="20"/>
              </w:rPr>
            </w:pPr>
            <w:r w:rsidRPr="00C64727">
              <w:rPr>
                <w:rFonts w:ascii="Times New Roman" w:hAnsi="Times New Roman"/>
                <w:b/>
                <w:sz w:val="20"/>
                <w:szCs w:val="20"/>
              </w:rPr>
              <w:t>2016</w:t>
            </w:r>
          </w:p>
        </w:tc>
        <w:tc>
          <w:tcPr>
            <w:tcW w:w="481"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7EB3592A" w14:textId="77777777" w:rsidR="0067338B" w:rsidRPr="00C64727" w:rsidRDefault="00250CD2">
            <w:pPr>
              <w:jc w:val="center"/>
              <w:rPr>
                <w:rFonts w:ascii="Times New Roman" w:hAnsi="Times New Roman"/>
                <w:b/>
                <w:sz w:val="20"/>
                <w:szCs w:val="20"/>
              </w:rPr>
            </w:pPr>
            <w:r w:rsidRPr="00C64727">
              <w:rPr>
                <w:rFonts w:ascii="Times New Roman" w:hAnsi="Times New Roman"/>
                <w:b/>
                <w:sz w:val="20"/>
                <w:szCs w:val="20"/>
              </w:rPr>
              <w:t>2017</w:t>
            </w:r>
          </w:p>
        </w:tc>
        <w:tc>
          <w:tcPr>
            <w:tcW w:w="479" w:type="pct"/>
            <w:tcBorders>
              <w:top w:val="double" w:sz="4" w:space="0" w:color="auto"/>
              <w:left w:val="nil"/>
              <w:bottom w:val="double" w:sz="4" w:space="0" w:color="auto"/>
              <w:right w:val="double" w:sz="4" w:space="0" w:color="auto"/>
            </w:tcBorders>
            <w:vAlign w:val="center"/>
          </w:tcPr>
          <w:p w14:paraId="4170912D" w14:textId="77777777" w:rsidR="0067338B" w:rsidRPr="00C64727" w:rsidRDefault="00250CD2">
            <w:pPr>
              <w:jc w:val="center"/>
              <w:rPr>
                <w:rFonts w:ascii="Times New Roman" w:hAnsi="Times New Roman"/>
                <w:b/>
                <w:sz w:val="20"/>
                <w:szCs w:val="20"/>
              </w:rPr>
            </w:pPr>
            <w:r w:rsidRPr="00C64727">
              <w:rPr>
                <w:rFonts w:ascii="Times New Roman" w:hAnsi="Times New Roman"/>
                <w:b/>
                <w:sz w:val="20"/>
                <w:szCs w:val="20"/>
              </w:rPr>
              <w:t>2018</w:t>
            </w:r>
          </w:p>
        </w:tc>
      </w:tr>
      <w:tr w:rsidR="0067338B" w:rsidRPr="00C64727" w14:paraId="4BB93598" w14:textId="77777777" w:rsidTr="00E72EF9">
        <w:trPr>
          <w:trHeight w:val="474"/>
        </w:trPr>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03AA25B4" w14:textId="77777777" w:rsidR="0067338B" w:rsidRPr="00C64727" w:rsidRDefault="00250CD2">
            <w:pPr>
              <w:jc w:val="center"/>
              <w:rPr>
                <w:rFonts w:ascii="Times New Roman" w:hAnsi="Times New Roman"/>
                <w:color w:val="FF0000"/>
                <w:sz w:val="20"/>
                <w:szCs w:val="20"/>
              </w:rPr>
            </w:pPr>
            <w:r w:rsidRPr="00C64727">
              <w:rPr>
                <w:rFonts w:ascii="Times New Roman" w:hAnsi="Times New Roman"/>
                <w:b/>
                <w:bCs/>
                <w:sz w:val="20"/>
                <w:szCs w:val="20"/>
              </w:rPr>
              <w:t>Hitelesített teljes kibocsátás</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1750E6F" w14:textId="77777777" w:rsidR="0067338B" w:rsidRPr="00C64727" w:rsidRDefault="00250CD2">
            <w:pPr>
              <w:jc w:val="center"/>
              <w:rPr>
                <w:rFonts w:ascii="Times New Roman" w:hAnsi="Times New Roman"/>
                <w:sz w:val="20"/>
                <w:szCs w:val="20"/>
              </w:rPr>
            </w:pPr>
            <w:r w:rsidRPr="00C64727">
              <w:rPr>
                <w:rFonts w:ascii="Times New Roman" w:hAnsi="Times New Roman"/>
                <w:sz w:val="20"/>
                <w:szCs w:val="20"/>
              </w:rPr>
              <w:t>1904</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2B779F5" w14:textId="77777777" w:rsidR="0067338B" w:rsidRPr="00C64727" w:rsidRDefault="00250CD2">
            <w:pPr>
              <w:jc w:val="center"/>
              <w:rPr>
                <w:rFonts w:ascii="Times New Roman" w:hAnsi="Times New Roman"/>
                <w:sz w:val="20"/>
                <w:szCs w:val="20"/>
              </w:rPr>
            </w:pPr>
            <w:r w:rsidRPr="00C64727">
              <w:rPr>
                <w:rFonts w:ascii="Times New Roman" w:hAnsi="Times New Roman"/>
                <w:sz w:val="20"/>
                <w:szCs w:val="20"/>
              </w:rPr>
              <w:t>1867</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3CEB0B5" w14:textId="77777777" w:rsidR="0067338B" w:rsidRPr="00C64727" w:rsidRDefault="00250CD2">
            <w:pPr>
              <w:jc w:val="center"/>
              <w:rPr>
                <w:rFonts w:ascii="Times New Roman" w:hAnsi="Times New Roman"/>
                <w:sz w:val="20"/>
                <w:szCs w:val="20"/>
              </w:rPr>
            </w:pPr>
            <w:r w:rsidRPr="00C64727">
              <w:rPr>
                <w:rFonts w:ascii="Times New Roman" w:hAnsi="Times New Roman"/>
                <w:sz w:val="20"/>
                <w:szCs w:val="20"/>
              </w:rPr>
              <w:t>1908</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B5DB73E" w14:textId="77777777" w:rsidR="0067338B" w:rsidRPr="00C64727" w:rsidRDefault="00250CD2">
            <w:pPr>
              <w:jc w:val="center"/>
              <w:rPr>
                <w:rFonts w:ascii="Times New Roman" w:hAnsi="Times New Roman"/>
                <w:sz w:val="20"/>
                <w:szCs w:val="20"/>
              </w:rPr>
            </w:pPr>
            <w:r w:rsidRPr="00C64727">
              <w:rPr>
                <w:rFonts w:ascii="Times New Roman" w:hAnsi="Times New Roman"/>
                <w:sz w:val="20"/>
                <w:szCs w:val="20"/>
              </w:rPr>
              <w:t>1814</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54B94CC" w14:textId="77777777" w:rsidR="0067338B" w:rsidRPr="00C64727" w:rsidRDefault="00250CD2">
            <w:pPr>
              <w:jc w:val="center"/>
              <w:rPr>
                <w:rFonts w:ascii="Times New Roman" w:hAnsi="Times New Roman"/>
                <w:sz w:val="20"/>
                <w:szCs w:val="20"/>
              </w:rPr>
            </w:pPr>
            <w:r w:rsidRPr="00C64727">
              <w:rPr>
                <w:rFonts w:ascii="Times New Roman" w:hAnsi="Times New Roman"/>
                <w:sz w:val="20"/>
                <w:szCs w:val="20"/>
              </w:rPr>
              <w:t>1803</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F9836B0" w14:textId="77777777" w:rsidR="0067338B" w:rsidRPr="00C64727" w:rsidRDefault="00250CD2">
            <w:pPr>
              <w:jc w:val="center"/>
              <w:rPr>
                <w:rFonts w:ascii="Times New Roman" w:hAnsi="Times New Roman"/>
                <w:sz w:val="20"/>
                <w:szCs w:val="20"/>
              </w:rPr>
            </w:pPr>
            <w:r w:rsidRPr="00C64727">
              <w:rPr>
                <w:rFonts w:ascii="Times New Roman" w:hAnsi="Times New Roman"/>
                <w:sz w:val="20"/>
                <w:szCs w:val="20"/>
              </w:rPr>
              <w:t>1750</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D770350" w14:textId="77777777" w:rsidR="0067338B" w:rsidRPr="00C64727" w:rsidRDefault="00250CD2">
            <w:pPr>
              <w:jc w:val="center"/>
              <w:rPr>
                <w:rFonts w:ascii="Times New Roman" w:hAnsi="Times New Roman"/>
                <w:sz w:val="20"/>
                <w:szCs w:val="20"/>
              </w:rPr>
            </w:pPr>
            <w:r w:rsidRPr="00C64727">
              <w:rPr>
                <w:rFonts w:ascii="Times New Roman" w:hAnsi="Times New Roman"/>
                <w:sz w:val="20"/>
                <w:szCs w:val="20"/>
              </w:rPr>
              <w:t>1755</w:t>
            </w:r>
          </w:p>
        </w:tc>
        <w:tc>
          <w:tcPr>
            <w:tcW w:w="479" w:type="pct"/>
            <w:tcBorders>
              <w:top w:val="nil"/>
              <w:left w:val="nil"/>
              <w:bottom w:val="double" w:sz="4" w:space="0" w:color="auto"/>
              <w:right w:val="double" w:sz="4" w:space="0" w:color="auto"/>
            </w:tcBorders>
            <w:vAlign w:val="center"/>
          </w:tcPr>
          <w:p w14:paraId="29C6D3D4" w14:textId="77777777" w:rsidR="0067338B" w:rsidRPr="00C64727" w:rsidRDefault="00E20A97">
            <w:pPr>
              <w:jc w:val="center"/>
              <w:rPr>
                <w:rFonts w:ascii="Times New Roman" w:hAnsi="Times New Roman"/>
                <w:sz w:val="20"/>
                <w:szCs w:val="20"/>
              </w:rPr>
            </w:pPr>
            <w:r w:rsidRPr="00C64727">
              <w:rPr>
                <w:rFonts w:ascii="Times New Roman" w:hAnsi="Times New Roman"/>
                <w:sz w:val="20"/>
                <w:szCs w:val="20"/>
              </w:rPr>
              <w:t>1682</w:t>
            </w:r>
          </w:p>
        </w:tc>
      </w:tr>
      <w:tr w:rsidR="0067338B" w:rsidRPr="00C64727" w14:paraId="13F898C8" w14:textId="77777777" w:rsidTr="00E72EF9">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1B49F04C" w14:textId="77777777" w:rsidR="0067338B" w:rsidRPr="00C64727" w:rsidRDefault="00250CD2">
            <w:pPr>
              <w:jc w:val="center"/>
              <w:rPr>
                <w:rFonts w:ascii="Times New Roman" w:hAnsi="Times New Roman"/>
                <w:b/>
                <w:bCs/>
                <w:color w:val="000000"/>
                <w:sz w:val="20"/>
                <w:szCs w:val="20"/>
              </w:rPr>
            </w:pPr>
            <w:r w:rsidRPr="00C64727">
              <w:rPr>
                <w:rFonts w:ascii="Times New Roman" w:hAnsi="Times New Roman"/>
                <w:b/>
                <w:bCs/>
                <w:sz w:val="20"/>
                <w:szCs w:val="20"/>
              </w:rPr>
              <w:t>Változás az x–1. évhez képest</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E94528C" w14:textId="77777777" w:rsidR="0067338B" w:rsidRPr="00C64727" w:rsidRDefault="00250CD2">
            <w:pPr>
              <w:jc w:val="center"/>
              <w:rPr>
                <w:rFonts w:ascii="Times New Roman" w:hAnsi="Times New Roman"/>
                <w:color w:val="FF0000"/>
                <w:sz w:val="20"/>
                <w:szCs w:val="20"/>
              </w:rPr>
            </w:pPr>
            <w:r w:rsidRPr="00C64727">
              <w:rPr>
                <w:rFonts w:ascii="Times New Roman" w:hAnsi="Times New Roman"/>
                <w:sz w:val="20"/>
                <w:szCs w:val="20"/>
              </w:rPr>
              <w:t>-1,8 %</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1B2FB4E1" w14:textId="77777777" w:rsidR="0067338B" w:rsidRPr="00C64727" w:rsidRDefault="00250CD2">
            <w:pPr>
              <w:jc w:val="center"/>
              <w:rPr>
                <w:rFonts w:ascii="Times New Roman" w:hAnsi="Times New Roman"/>
                <w:color w:val="FF0000"/>
                <w:sz w:val="20"/>
                <w:szCs w:val="20"/>
              </w:rPr>
            </w:pPr>
            <w:r w:rsidRPr="00C64727">
              <w:rPr>
                <w:rFonts w:ascii="Times New Roman" w:hAnsi="Times New Roman"/>
                <w:sz w:val="20"/>
                <w:szCs w:val="20"/>
              </w:rPr>
              <w:t>-2 %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103AE47F" w14:textId="77777777" w:rsidR="0067338B" w:rsidRPr="00C64727" w:rsidRDefault="00250CD2">
            <w:pPr>
              <w:jc w:val="center"/>
              <w:rPr>
                <w:rFonts w:ascii="Times New Roman" w:hAnsi="Times New Roman"/>
                <w:color w:val="FF0000"/>
                <w:sz w:val="20"/>
                <w:szCs w:val="20"/>
              </w:rPr>
            </w:pPr>
            <w:r w:rsidRPr="00C64727">
              <w:rPr>
                <w:rFonts w:ascii="Times New Roman" w:hAnsi="Times New Roman"/>
                <w:sz w:val="20"/>
                <w:szCs w:val="20"/>
              </w:rPr>
              <w:t>2,2 %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E5C9DED" w14:textId="77777777" w:rsidR="0067338B" w:rsidRPr="00C64727" w:rsidRDefault="00250CD2">
            <w:pPr>
              <w:jc w:val="center"/>
              <w:rPr>
                <w:rFonts w:ascii="Times New Roman" w:hAnsi="Times New Roman"/>
                <w:color w:val="000000"/>
                <w:sz w:val="20"/>
                <w:szCs w:val="20"/>
              </w:rPr>
            </w:pPr>
            <w:r w:rsidRPr="00C64727">
              <w:rPr>
                <w:rFonts w:ascii="Times New Roman" w:hAnsi="Times New Roman"/>
                <w:sz w:val="20"/>
                <w:szCs w:val="20"/>
              </w:rPr>
              <w:t>-4,9 %</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2235303" w14:textId="77777777" w:rsidR="0067338B" w:rsidRPr="00C64727" w:rsidRDefault="00250CD2">
            <w:pPr>
              <w:jc w:val="center"/>
              <w:rPr>
                <w:rFonts w:ascii="Times New Roman" w:hAnsi="Times New Roman"/>
                <w:color w:val="000000"/>
                <w:sz w:val="20"/>
                <w:szCs w:val="20"/>
              </w:rPr>
            </w:pPr>
            <w:r w:rsidRPr="00C64727">
              <w:rPr>
                <w:rFonts w:ascii="Times New Roman" w:hAnsi="Times New Roman"/>
                <w:sz w:val="20"/>
                <w:szCs w:val="20"/>
              </w:rPr>
              <w:t>-0,6 %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0343943" w14:textId="77777777" w:rsidR="0067338B" w:rsidRPr="00C64727" w:rsidRDefault="00250CD2">
            <w:pPr>
              <w:jc w:val="center"/>
              <w:rPr>
                <w:rFonts w:ascii="Times New Roman" w:hAnsi="Times New Roman"/>
                <w:color w:val="000000"/>
                <w:sz w:val="20"/>
                <w:szCs w:val="20"/>
              </w:rPr>
            </w:pPr>
            <w:r w:rsidRPr="00C64727">
              <w:rPr>
                <w:rFonts w:ascii="Times New Roman" w:hAnsi="Times New Roman"/>
                <w:sz w:val="20"/>
                <w:szCs w:val="20"/>
              </w:rPr>
              <w:t>-2,9 %</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E858867" w14:textId="77777777" w:rsidR="0067338B" w:rsidRPr="00C64727" w:rsidRDefault="00250CD2">
            <w:pPr>
              <w:jc w:val="center"/>
              <w:rPr>
                <w:rFonts w:ascii="Times New Roman" w:hAnsi="Times New Roman"/>
                <w:color w:val="000000"/>
                <w:sz w:val="20"/>
                <w:szCs w:val="20"/>
              </w:rPr>
            </w:pPr>
            <w:r w:rsidRPr="00C64727">
              <w:rPr>
                <w:rFonts w:ascii="Times New Roman" w:hAnsi="Times New Roman"/>
                <w:sz w:val="20"/>
                <w:szCs w:val="20"/>
              </w:rPr>
              <w:t>0,2 %</w:t>
            </w:r>
          </w:p>
        </w:tc>
        <w:tc>
          <w:tcPr>
            <w:tcW w:w="479" w:type="pct"/>
            <w:tcBorders>
              <w:top w:val="nil"/>
              <w:left w:val="nil"/>
              <w:bottom w:val="double" w:sz="4" w:space="0" w:color="auto"/>
              <w:right w:val="double" w:sz="4" w:space="0" w:color="auto"/>
            </w:tcBorders>
            <w:vAlign w:val="center"/>
          </w:tcPr>
          <w:p w14:paraId="33CE7F5B" w14:textId="77777777" w:rsidR="0067338B" w:rsidRPr="00C64727" w:rsidRDefault="00E20A97">
            <w:pPr>
              <w:jc w:val="center"/>
              <w:rPr>
                <w:rFonts w:ascii="Times New Roman" w:hAnsi="Times New Roman"/>
                <w:color w:val="000000"/>
                <w:sz w:val="20"/>
                <w:szCs w:val="20"/>
              </w:rPr>
            </w:pPr>
            <w:r w:rsidRPr="00C64727">
              <w:rPr>
                <w:rFonts w:ascii="Times New Roman" w:hAnsi="Times New Roman"/>
                <w:sz w:val="20"/>
                <w:szCs w:val="20"/>
              </w:rPr>
              <w:t>-4,1 %</w:t>
            </w:r>
          </w:p>
        </w:tc>
      </w:tr>
      <w:tr w:rsidR="0067338B" w:rsidRPr="00C64727" w14:paraId="5A19CCEC" w14:textId="77777777" w:rsidTr="00E72EF9">
        <w:trPr>
          <w:trHeight w:val="558"/>
        </w:trPr>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4309F883" w14:textId="77777777" w:rsidR="0067338B" w:rsidRPr="00C64727" w:rsidRDefault="00250CD2">
            <w:pPr>
              <w:jc w:val="center"/>
              <w:rPr>
                <w:rFonts w:ascii="Times New Roman" w:hAnsi="Times New Roman"/>
                <w:b/>
                <w:bCs/>
                <w:color w:val="000000"/>
                <w:sz w:val="20"/>
                <w:szCs w:val="20"/>
              </w:rPr>
            </w:pPr>
            <w:r w:rsidRPr="00C64727">
              <w:rPr>
                <w:rFonts w:ascii="Times New Roman" w:hAnsi="Times New Roman"/>
                <w:b/>
                <w:bCs/>
                <w:sz w:val="20"/>
                <w:szCs w:val="20"/>
              </w:rPr>
              <w:t>Villamosenergia- és hőtermelésből származó hitelesített kibocsátás</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08F9AD8" w14:textId="77777777" w:rsidR="0067338B" w:rsidRPr="00C64727" w:rsidRDefault="00117A8A">
            <w:pPr>
              <w:jc w:val="center"/>
              <w:rPr>
                <w:rFonts w:ascii="Times New Roman" w:hAnsi="Times New Roman"/>
                <w:color w:val="000000"/>
                <w:sz w:val="20"/>
                <w:szCs w:val="20"/>
              </w:rPr>
            </w:pPr>
            <w:r w:rsidRPr="00C64727">
              <w:rPr>
                <w:rFonts w:ascii="Times New Roman" w:hAnsi="Times New Roman"/>
                <w:sz w:val="20"/>
                <w:szCs w:val="20"/>
              </w:rPr>
              <w:t>1190</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503447D4" w14:textId="77777777" w:rsidR="0067338B" w:rsidRPr="00C64727" w:rsidRDefault="00117A8A">
            <w:pPr>
              <w:jc w:val="center"/>
              <w:rPr>
                <w:rFonts w:ascii="Times New Roman" w:hAnsi="Times New Roman"/>
                <w:color w:val="000000"/>
                <w:sz w:val="20"/>
                <w:szCs w:val="20"/>
              </w:rPr>
            </w:pPr>
            <w:r w:rsidRPr="00C64727">
              <w:rPr>
                <w:rFonts w:ascii="Times New Roman" w:hAnsi="Times New Roman"/>
                <w:sz w:val="20"/>
                <w:szCs w:val="20"/>
              </w:rPr>
              <w:t>1184</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0B4777F" w14:textId="77777777" w:rsidR="0067338B" w:rsidRPr="00C64727" w:rsidRDefault="00117A8A">
            <w:pPr>
              <w:jc w:val="center"/>
              <w:rPr>
                <w:rFonts w:ascii="Times New Roman" w:hAnsi="Times New Roman"/>
                <w:color w:val="000000"/>
                <w:sz w:val="20"/>
                <w:szCs w:val="20"/>
              </w:rPr>
            </w:pPr>
            <w:r w:rsidRPr="00C64727">
              <w:rPr>
                <w:rFonts w:ascii="Times New Roman" w:hAnsi="Times New Roman"/>
                <w:sz w:val="20"/>
                <w:szCs w:val="20"/>
              </w:rPr>
              <w:t>1125</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658F0B2" w14:textId="77777777" w:rsidR="0067338B" w:rsidRPr="00C64727" w:rsidRDefault="00117A8A">
            <w:pPr>
              <w:jc w:val="center"/>
              <w:rPr>
                <w:rFonts w:ascii="Times New Roman" w:hAnsi="Times New Roman"/>
                <w:color w:val="000000"/>
                <w:sz w:val="20"/>
                <w:szCs w:val="20"/>
              </w:rPr>
            </w:pPr>
            <w:r w:rsidRPr="00C64727">
              <w:rPr>
                <w:rFonts w:ascii="Times New Roman" w:hAnsi="Times New Roman"/>
                <w:sz w:val="20"/>
                <w:szCs w:val="20"/>
              </w:rPr>
              <w:t>1037</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D16A0ED" w14:textId="77777777" w:rsidR="0067338B" w:rsidRPr="00C64727" w:rsidRDefault="00117A8A">
            <w:pPr>
              <w:jc w:val="center"/>
              <w:rPr>
                <w:rFonts w:ascii="Times New Roman" w:hAnsi="Times New Roman"/>
                <w:color w:val="000000"/>
                <w:sz w:val="20"/>
                <w:szCs w:val="20"/>
              </w:rPr>
            </w:pPr>
            <w:r w:rsidRPr="00C64727">
              <w:rPr>
                <w:rFonts w:ascii="Times New Roman" w:hAnsi="Times New Roman"/>
                <w:sz w:val="20"/>
                <w:szCs w:val="20"/>
              </w:rPr>
              <w:t>1032</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8287549" w14:textId="77777777" w:rsidR="0067338B" w:rsidRPr="00C64727" w:rsidRDefault="00117A8A">
            <w:pPr>
              <w:jc w:val="center"/>
              <w:rPr>
                <w:rFonts w:ascii="Times New Roman" w:hAnsi="Times New Roman"/>
                <w:color w:val="000000"/>
                <w:sz w:val="20"/>
                <w:szCs w:val="20"/>
              </w:rPr>
            </w:pPr>
            <w:r w:rsidRPr="00C64727">
              <w:rPr>
                <w:rFonts w:ascii="Times New Roman" w:hAnsi="Times New Roman"/>
                <w:sz w:val="20"/>
                <w:szCs w:val="20"/>
              </w:rPr>
              <w:t>992</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32830C3" w14:textId="77777777" w:rsidR="0067338B" w:rsidRPr="00C64727" w:rsidRDefault="00117A8A">
            <w:pPr>
              <w:jc w:val="center"/>
              <w:rPr>
                <w:rFonts w:ascii="Times New Roman" w:hAnsi="Times New Roman"/>
                <w:color w:val="000000"/>
                <w:sz w:val="20"/>
                <w:szCs w:val="20"/>
              </w:rPr>
            </w:pPr>
            <w:r w:rsidRPr="00C64727">
              <w:rPr>
                <w:rFonts w:ascii="Times New Roman" w:hAnsi="Times New Roman"/>
                <w:sz w:val="20"/>
                <w:szCs w:val="20"/>
              </w:rPr>
              <w:t>985</w:t>
            </w:r>
          </w:p>
        </w:tc>
        <w:tc>
          <w:tcPr>
            <w:tcW w:w="479" w:type="pct"/>
            <w:tcBorders>
              <w:top w:val="nil"/>
              <w:left w:val="nil"/>
              <w:bottom w:val="double" w:sz="4" w:space="0" w:color="auto"/>
              <w:right w:val="double" w:sz="4" w:space="0" w:color="auto"/>
            </w:tcBorders>
            <w:vAlign w:val="center"/>
          </w:tcPr>
          <w:p w14:paraId="27E36802" w14:textId="77777777" w:rsidR="0067338B" w:rsidRPr="00C64727" w:rsidRDefault="00117A8A">
            <w:pPr>
              <w:jc w:val="center"/>
              <w:rPr>
                <w:rFonts w:ascii="Times New Roman" w:hAnsi="Times New Roman"/>
                <w:color w:val="000000"/>
                <w:sz w:val="20"/>
                <w:szCs w:val="20"/>
              </w:rPr>
            </w:pPr>
            <w:r w:rsidRPr="00C64727">
              <w:rPr>
                <w:rFonts w:ascii="Times New Roman" w:hAnsi="Times New Roman"/>
                <w:sz w:val="20"/>
                <w:szCs w:val="20"/>
              </w:rPr>
              <w:t>913</w:t>
            </w:r>
          </w:p>
        </w:tc>
      </w:tr>
      <w:tr w:rsidR="0067338B" w:rsidRPr="00C64727" w14:paraId="0B8F315E" w14:textId="77777777" w:rsidTr="00E72EF9">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2AD75C6B" w14:textId="77777777" w:rsidR="0067338B" w:rsidRPr="00C64727" w:rsidRDefault="00250CD2">
            <w:pPr>
              <w:jc w:val="center"/>
              <w:rPr>
                <w:rFonts w:ascii="Times New Roman" w:hAnsi="Times New Roman"/>
                <w:b/>
                <w:bCs/>
                <w:color w:val="000000"/>
                <w:sz w:val="20"/>
                <w:szCs w:val="20"/>
              </w:rPr>
            </w:pPr>
            <w:r w:rsidRPr="00C64727">
              <w:rPr>
                <w:rFonts w:ascii="Times New Roman" w:hAnsi="Times New Roman"/>
                <w:b/>
                <w:bCs/>
                <w:sz w:val="20"/>
                <w:szCs w:val="20"/>
              </w:rPr>
              <w:t>Változás az x–1. évhez képest</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tcPr>
          <w:p w14:paraId="230130D1" w14:textId="77777777" w:rsidR="0067338B" w:rsidRPr="00C64727" w:rsidRDefault="0067338B">
            <w:pPr>
              <w:jc w:val="center"/>
              <w:rPr>
                <w:rFonts w:ascii="Times New Roman" w:hAnsi="Times New Roman"/>
                <w:color w:val="000000"/>
                <w:sz w:val="20"/>
                <w:szCs w:val="20"/>
              </w:rPr>
            </w:pP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FBA8163" w14:textId="77777777" w:rsidR="0067338B" w:rsidRPr="00C64727" w:rsidRDefault="00117A8A">
            <w:pPr>
              <w:jc w:val="center"/>
              <w:rPr>
                <w:rFonts w:ascii="Times New Roman" w:hAnsi="Times New Roman"/>
                <w:color w:val="000000" w:themeColor="text1"/>
                <w:sz w:val="20"/>
                <w:szCs w:val="20"/>
              </w:rPr>
            </w:pPr>
            <w:r w:rsidRPr="00C64727">
              <w:rPr>
                <w:rFonts w:ascii="Times New Roman" w:hAnsi="Times New Roman"/>
                <w:sz w:val="20"/>
                <w:szCs w:val="20"/>
              </w:rPr>
              <w:t>-0,5 %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102AD66" w14:textId="77777777" w:rsidR="0067338B" w:rsidRPr="00C64727" w:rsidRDefault="00117A8A">
            <w:pPr>
              <w:jc w:val="center"/>
              <w:rPr>
                <w:rFonts w:ascii="Times New Roman" w:hAnsi="Times New Roman"/>
                <w:color w:val="000000" w:themeColor="text1"/>
                <w:sz w:val="20"/>
                <w:szCs w:val="20"/>
              </w:rPr>
            </w:pPr>
            <w:r w:rsidRPr="00C64727">
              <w:rPr>
                <w:rFonts w:ascii="Times New Roman" w:hAnsi="Times New Roman"/>
                <w:sz w:val="20"/>
                <w:szCs w:val="20"/>
              </w:rPr>
              <w:t>-5,0 %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EC2F466" w14:textId="77777777" w:rsidR="0067338B" w:rsidRPr="00C64727" w:rsidRDefault="00117A8A">
            <w:pPr>
              <w:jc w:val="center"/>
              <w:rPr>
                <w:rFonts w:ascii="Times New Roman" w:hAnsi="Times New Roman"/>
                <w:color w:val="000000" w:themeColor="text1"/>
                <w:sz w:val="20"/>
                <w:szCs w:val="20"/>
              </w:rPr>
            </w:pPr>
            <w:r w:rsidRPr="00C64727">
              <w:rPr>
                <w:rFonts w:ascii="Times New Roman" w:hAnsi="Times New Roman"/>
                <w:sz w:val="20"/>
                <w:szCs w:val="20"/>
              </w:rPr>
              <w:t>-7,8 %</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826DECC" w14:textId="77777777" w:rsidR="0067338B" w:rsidRPr="00C64727" w:rsidRDefault="00117A8A">
            <w:pPr>
              <w:jc w:val="center"/>
              <w:rPr>
                <w:rFonts w:ascii="Times New Roman" w:hAnsi="Times New Roman"/>
                <w:color w:val="000000" w:themeColor="text1"/>
                <w:sz w:val="20"/>
                <w:szCs w:val="20"/>
              </w:rPr>
            </w:pPr>
            <w:r w:rsidRPr="00C64727">
              <w:rPr>
                <w:rFonts w:ascii="Times New Roman" w:hAnsi="Times New Roman"/>
                <w:sz w:val="20"/>
                <w:szCs w:val="20"/>
              </w:rPr>
              <w:t>-0,5 %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63E079B" w14:textId="77777777" w:rsidR="0067338B" w:rsidRPr="00C64727" w:rsidRDefault="00117A8A">
            <w:pPr>
              <w:jc w:val="center"/>
              <w:rPr>
                <w:rFonts w:ascii="Times New Roman" w:hAnsi="Times New Roman"/>
                <w:color w:val="000000" w:themeColor="text1"/>
                <w:sz w:val="20"/>
                <w:szCs w:val="20"/>
              </w:rPr>
            </w:pPr>
            <w:r w:rsidRPr="00C64727">
              <w:rPr>
                <w:rFonts w:ascii="Times New Roman" w:hAnsi="Times New Roman"/>
                <w:sz w:val="20"/>
                <w:szCs w:val="20"/>
              </w:rPr>
              <w:t>-3,8 %</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4B6BACC" w14:textId="77777777" w:rsidR="0067338B" w:rsidRPr="00C64727" w:rsidRDefault="00117A8A">
            <w:pPr>
              <w:jc w:val="center"/>
              <w:rPr>
                <w:rFonts w:ascii="Times New Roman" w:hAnsi="Times New Roman"/>
                <w:color w:val="000000" w:themeColor="text1"/>
                <w:sz w:val="20"/>
                <w:szCs w:val="20"/>
              </w:rPr>
            </w:pPr>
            <w:r w:rsidRPr="00C64727">
              <w:rPr>
                <w:rFonts w:ascii="Times New Roman" w:hAnsi="Times New Roman"/>
                <w:sz w:val="20"/>
                <w:szCs w:val="20"/>
              </w:rPr>
              <w:t>-0,7 %</w:t>
            </w:r>
          </w:p>
        </w:tc>
        <w:tc>
          <w:tcPr>
            <w:tcW w:w="479" w:type="pct"/>
            <w:tcBorders>
              <w:top w:val="nil"/>
              <w:left w:val="nil"/>
              <w:bottom w:val="double" w:sz="4" w:space="0" w:color="auto"/>
              <w:right w:val="double" w:sz="4" w:space="0" w:color="auto"/>
            </w:tcBorders>
            <w:vAlign w:val="center"/>
          </w:tcPr>
          <w:p w14:paraId="3128F6C2" w14:textId="77777777" w:rsidR="0067338B" w:rsidRPr="00C64727" w:rsidRDefault="00117A8A">
            <w:pPr>
              <w:jc w:val="center"/>
              <w:rPr>
                <w:rFonts w:ascii="Times New Roman" w:hAnsi="Times New Roman"/>
                <w:color w:val="000000" w:themeColor="text1"/>
                <w:sz w:val="20"/>
                <w:szCs w:val="20"/>
              </w:rPr>
            </w:pPr>
            <w:r w:rsidRPr="00C64727">
              <w:rPr>
                <w:rFonts w:ascii="Times New Roman" w:hAnsi="Times New Roman"/>
                <w:sz w:val="20"/>
                <w:szCs w:val="20"/>
              </w:rPr>
              <w:t>-7,3 %</w:t>
            </w:r>
          </w:p>
        </w:tc>
      </w:tr>
      <w:tr w:rsidR="0067338B" w:rsidRPr="00C64727" w14:paraId="2740F905" w14:textId="77777777" w:rsidTr="00E72EF9">
        <w:trPr>
          <w:trHeight w:val="582"/>
        </w:trPr>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0F65A22B" w14:textId="77777777" w:rsidR="0067338B" w:rsidRPr="00C64727" w:rsidRDefault="00250CD2">
            <w:pPr>
              <w:jc w:val="center"/>
              <w:rPr>
                <w:rFonts w:ascii="Times New Roman" w:hAnsi="Times New Roman"/>
                <w:b/>
                <w:bCs/>
                <w:color w:val="000000"/>
                <w:sz w:val="20"/>
                <w:szCs w:val="20"/>
              </w:rPr>
            </w:pPr>
            <w:r w:rsidRPr="00C64727">
              <w:rPr>
                <w:rFonts w:ascii="Times New Roman" w:hAnsi="Times New Roman"/>
                <w:b/>
                <w:bCs/>
                <w:sz w:val="20"/>
                <w:szCs w:val="20"/>
              </w:rPr>
              <w:t>Ipari létesítményekből származó hitelesített kibocsátás</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90AF5E1" w14:textId="77777777" w:rsidR="0067338B" w:rsidRPr="00C64727" w:rsidRDefault="00117A8A">
            <w:pPr>
              <w:jc w:val="center"/>
              <w:rPr>
                <w:rFonts w:ascii="Times New Roman" w:hAnsi="Times New Roman"/>
                <w:color w:val="000000"/>
                <w:sz w:val="20"/>
                <w:szCs w:val="20"/>
              </w:rPr>
            </w:pPr>
            <w:r w:rsidRPr="00C64727">
              <w:rPr>
                <w:rFonts w:ascii="Times New Roman" w:hAnsi="Times New Roman"/>
                <w:sz w:val="20"/>
                <w:szCs w:val="20"/>
              </w:rPr>
              <w:t>715</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487A3A9" w14:textId="77777777" w:rsidR="0067338B" w:rsidRPr="00C64727" w:rsidRDefault="00117A8A">
            <w:pPr>
              <w:jc w:val="center"/>
              <w:rPr>
                <w:rFonts w:ascii="Times New Roman" w:hAnsi="Times New Roman"/>
                <w:color w:val="000000" w:themeColor="text1"/>
                <w:sz w:val="20"/>
                <w:szCs w:val="20"/>
              </w:rPr>
            </w:pPr>
            <w:r w:rsidRPr="00C64727">
              <w:rPr>
                <w:rFonts w:ascii="Times New Roman" w:hAnsi="Times New Roman"/>
                <w:sz w:val="20"/>
                <w:szCs w:val="20"/>
              </w:rPr>
              <w:t>683</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29E6BF4" w14:textId="77777777" w:rsidR="0067338B" w:rsidRPr="00C64727" w:rsidRDefault="00117A8A">
            <w:pPr>
              <w:jc w:val="center"/>
              <w:rPr>
                <w:rFonts w:ascii="Times New Roman" w:hAnsi="Times New Roman"/>
                <w:color w:val="000000" w:themeColor="text1"/>
                <w:sz w:val="20"/>
                <w:szCs w:val="20"/>
              </w:rPr>
            </w:pPr>
            <w:r w:rsidRPr="00C64727">
              <w:rPr>
                <w:rFonts w:ascii="Times New Roman" w:hAnsi="Times New Roman"/>
                <w:sz w:val="20"/>
                <w:szCs w:val="20"/>
              </w:rPr>
              <w:t>783</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2A03626" w14:textId="77777777" w:rsidR="0067338B" w:rsidRPr="00C64727" w:rsidRDefault="00117A8A">
            <w:pPr>
              <w:jc w:val="center"/>
              <w:rPr>
                <w:rFonts w:ascii="Times New Roman" w:hAnsi="Times New Roman"/>
                <w:color w:val="000000" w:themeColor="text1"/>
                <w:sz w:val="20"/>
                <w:szCs w:val="20"/>
              </w:rPr>
            </w:pPr>
            <w:r w:rsidRPr="00C64727">
              <w:rPr>
                <w:rFonts w:ascii="Times New Roman" w:hAnsi="Times New Roman"/>
                <w:sz w:val="20"/>
                <w:szCs w:val="20"/>
              </w:rPr>
              <w:t>777</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74A26B9" w14:textId="77777777" w:rsidR="0067338B" w:rsidRPr="00C64727" w:rsidRDefault="00117A8A">
            <w:pPr>
              <w:jc w:val="center"/>
              <w:rPr>
                <w:rFonts w:ascii="Times New Roman" w:hAnsi="Times New Roman"/>
                <w:color w:val="000000" w:themeColor="text1"/>
                <w:sz w:val="20"/>
                <w:szCs w:val="20"/>
              </w:rPr>
            </w:pPr>
            <w:r w:rsidRPr="00C64727">
              <w:rPr>
                <w:rFonts w:ascii="Times New Roman" w:hAnsi="Times New Roman"/>
                <w:sz w:val="20"/>
                <w:szCs w:val="20"/>
              </w:rPr>
              <w:t>771</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2BC55A9" w14:textId="77777777" w:rsidR="0067338B" w:rsidRPr="00C64727" w:rsidRDefault="00117A8A">
            <w:pPr>
              <w:jc w:val="center"/>
              <w:rPr>
                <w:rFonts w:ascii="Times New Roman" w:hAnsi="Times New Roman"/>
                <w:color w:val="000000" w:themeColor="text1"/>
                <w:sz w:val="20"/>
                <w:szCs w:val="20"/>
              </w:rPr>
            </w:pPr>
            <w:r w:rsidRPr="00C64727">
              <w:rPr>
                <w:rFonts w:ascii="Times New Roman" w:hAnsi="Times New Roman"/>
                <w:sz w:val="20"/>
                <w:szCs w:val="20"/>
              </w:rPr>
              <w:t>758</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E2EEEB1" w14:textId="77777777" w:rsidR="0067338B" w:rsidRPr="00C64727" w:rsidRDefault="00117A8A">
            <w:pPr>
              <w:jc w:val="center"/>
              <w:rPr>
                <w:rFonts w:ascii="Times New Roman" w:hAnsi="Times New Roman"/>
                <w:color w:val="000000" w:themeColor="text1"/>
                <w:sz w:val="20"/>
                <w:szCs w:val="20"/>
              </w:rPr>
            </w:pPr>
            <w:r w:rsidRPr="00C64727">
              <w:rPr>
                <w:rFonts w:ascii="Times New Roman" w:hAnsi="Times New Roman"/>
                <w:sz w:val="20"/>
                <w:szCs w:val="20"/>
              </w:rPr>
              <w:t>769</w:t>
            </w:r>
          </w:p>
        </w:tc>
        <w:tc>
          <w:tcPr>
            <w:tcW w:w="479" w:type="pct"/>
            <w:tcBorders>
              <w:top w:val="nil"/>
              <w:left w:val="nil"/>
              <w:bottom w:val="double" w:sz="4" w:space="0" w:color="auto"/>
              <w:right w:val="double" w:sz="4" w:space="0" w:color="auto"/>
            </w:tcBorders>
            <w:vAlign w:val="center"/>
          </w:tcPr>
          <w:p w14:paraId="3987BBEB" w14:textId="77777777" w:rsidR="0067338B" w:rsidRPr="00C64727" w:rsidRDefault="00117A8A">
            <w:pPr>
              <w:jc w:val="center"/>
              <w:rPr>
                <w:rFonts w:ascii="Times New Roman" w:hAnsi="Times New Roman"/>
                <w:color w:val="000000" w:themeColor="text1"/>
                <w:sz w:val="20"/>
                <w:szCs w:val="20"/>
              </w:rPr>
            </w:pPr>
            <w:r w:rsidRPr="00C64727">
              <w:rPr>
                <w:rFonts w:ascii="Times New Roman" w:hAnsi="Times New Roman"/>
                <w:sz w:val="20"/>
                <w:szCs w:val="20"/>
              </w:rPr>
              <w:t>769</w:t>
            </w:r>
          </w:p>
        </w:tc>
      </w:tr>
      <w:tr w:rsidR="0067338B" w:rsidRPr="00C64727" w14:paraId="5FCE3C93" w14:textId="77777777" w:rsidTr="00E72EF9">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029DF5B5" w14:textId="77777777" w:rsidR="0067338B" w:rsidRPr="00C64727" w:rsidRDefault="00250CD2">
            <w:pPr>
              <w:jc w:val="center"/>
              <w:rPr>
                <w:rFonts w:ascii="Times New Roman" w:hAnsi="Times New Roman"/>
                <w:b/>
                <w:bCs/>
                <w:color w:val="000000"/>
                <w:sz w:val="20"/>
                <w:szCs w:val="20"/>
              </w:rPr>
            </w:pPr>
            <w:r w:rsidRPr="00C64727">
              <w:rPr>
                <w:rFonts w:ascii="Times New Roman" w:hAnsi="Times New Roman"/>
                <w:b/>
                <w:bCs/>
                <w:sz w:val="20"/>
                <w:szCs w:val="20"/>
              </w:rPr>
              <w:t>Változás az x–1. évhez képest</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tcPr>
          <w:p w14:paraId="00E7DFC6" w14:textId="77777777" w:rsidR="0067338B" w:rsidRPr="00C64727" w:rsidRDefault="0067338B">
            <w:pPr>
              <w:jc w:val="center"/>
              <w:rPr>
                <w:rFonts w:ascii="Times New Roman" w:hAnsi="Times New Roman"/>
                <w:color w:val="000000"/>
                <w:sz w:val="20"/>
                <w:szCs w:val="20"/>
              </w:rPr>
            </w:pP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5A805931" w14:textId="77777777" w:rsidR="0067338B" w:rsidRPr="00C64727" w:rsidRDefault="0045466C">
            <w:pPr>
              <w:jc w:val="center"/>
              <w:rPr>
                <w:rFonts w:ascii="Times New Roman" w:hAnsi="Times New Roman"/>
                <w:color w:val="000000" w:themeColor="text1"/>
                <w:sz w:val="20"/>
                <w:szCs w:val="20"/>
              </w:rPr>
            </w:pPr>
            <w:r w:rsidRPr="00C64727">
              <w:rPr>
                <w:rFonts w:ascii="Times New Roman" w:hAnsi="Times New Roman"/>
                <w:sz w:val="20"/>
                <w:szCs w:val="20"/>
              </w:rPr>
              <w:t>-4,5 %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8EA885C" w14:textId="77777777" w:rsidR="0067338B" w:rsidRPr="00C64727" w:rsidRDefault="00117A8A">
            <w:pPr>
              <w:jc w:val="center"/>
              <w:rPr>
                <w:rFonts w:ascii="Times New Roman" w:hAnsi="Times New Roman"/>
                <w:color w:val="000000" w:themeColor="text1"/>
                <w:sz w:val="20"/>
                <w:szCs w:val="20"/>
              </w:rPr>
            </w:pPr>
            <w:r w:rsidRPr="00C64727">
              <w:rPr>
                <w:rFonts w:ascii="Times New Roman" w:hAnsi="Times New Roman"/>
                <w:sz w:val="20"/>
                <w:szCs w:val="20"/>
              </w:rPr>
              <w:t>14,7 %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87DF6CF" w14:textId="77777777" w:rsidR="0067338B" w:rsidRPr="00C64727" w:rsidRDefault="0045466C">
            <w:pPr>
              <w:jc w:val="center"/>
              <w:rPr>
                <w:rFonts w:ascii="Times New Roman" w:hAnsi="Times New Roman"/>
                <w:color w:val="000000" w:themeColor="text1"/>
                <w:sz w:val="20"/>
                <w:szCs w:val="20"/>
              </w:rPr>
            </w:pPr>
            <w:r w:rsidRPr="00C64727">
              <w:rPr>
                <w:rFonts w:ascii="Times New Roman" w:hAnsi="Times New Roman"/>
                <w:sz w:val="20"/>
                <w:szCs w:val="20"/>
              </w:rPr>
              <w:t>-0,9 %</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3721E52" w14:textId="77777777" w:rsidR="0067338B" w:rsidRPr="00C64727" w:rsidRDefault="0045466C">
            <w:pPr>
              <w:jc w:val="center"/>
              <w:rPr>
                <w:rFonts w:ascii="Times New Roman" w:hAnsi="Times New Roman"/>
                <w:color w:val="000000" w:themeColor="text1"/>
                <w:sz w:val="20"/>
                <w:szCs w:val="20"/>
              </w:rPr>
            </w:pPr>
            <w:r w:rsidRPr="00C64727">
              <w:rPr>
                <w:rFonts w:ascii="Times New Roman" w:hAnsi="Times New Roman"/>
                <w:sz w:val="20"/>
                <w:szCs w:val="20"/>
              </w:rPr>
              <w:t>-0,7 %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C01EF54" w14:textId="77777777" w:rsidR="0067338B" w:rsidRPr="00C64727" w:rsidRDefault="0045466C">
            <w:pPr>
              <w:jc w:val="center"/>
              <w:rPr>
                <w:rFonts w:ascii="Times New Roman" w:hAnsi="Times New Roman"/>
                <w:color w:val="000000" w:themeColor="text1"/>
                <w:sz w:val="20"/>
                <w:szCs w:val="20"/>
              </w:rPr>
            </w:pPr>
            <w:r w:rsidRPr="00C64727">
              <w:rPr>
                <w:rFonts w:ascii="Times New Roman" w:hAnsi="Times New Roman"/>
                <w:sz w:val="20"/>
                <w:szCs w:val="20"/>
              </w:rPr>
              <w:t>-1,7 %</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147448F" w14:textId="77777777" w:rsidR="0067338B" w:rsidRPr="00C64727" w:rsidRDefault="00117A8A">
            <w:pPr>
              <w:jc w:val="center"/>
              <w:rPr>
                <w:rFonts w:ascii="Times New Roman" w:hAnsi="Times New Roman"/>
                <w:color w:val="000000" w:themeColor="text1"/>
                <w:sz w:val="20"/>
                <w:szCs w:val="20"/>
              </w:rPr>
            </w:pPr>
            <w:r w:rsidRPr="00C64727">
              <w:rPr>
                <w:rFonts w:ascii="Times New Roman" w:hAnsi="Times New Roman"/>
                <w:sz w:val="20"/>
                <w:szCs w:val="20"/>
              </w:rPr>
              <w:t>1,4 %</w:t>
            </w:r>
          </w:p>
        </w:tc>
        <w:tc>
          <w:tcPr>
            <w:tcW w:w="479" w:type="pct"/>
            <w:tcBorders>
              <w:top w:val="nil"/>
              <w:left w:val="nil"/>
              <w:bottom w:val="double" w:sz="4" w:space="0" w:color="auto"/>
              <w:right w:val="double" w:sz="4" w:space="0" w:color="auto"/>
            </w:tcBorders>
            <w:vAlign w:val="center"/>
          </w:tcPr>
          <w:p w14:paraId="261DC9AA" w14:textId="77777777" w:rsidR="0067338B" w:rsidRPr="00C64727" w:rsidRDefault="00117A8A">
            <w:pPr>
              <w:jc w:val="center"/>
              <w:rPr>
                <w:rFonts w:ascii="Times New Roman" w:hAnsi="Times New Roman"/>
                <w:color w:val="000000" w:themeColor="text1"/>
                <w:sz w:val="20"/>
                <w:szCs w:val="20"/>
              </w:rPr>
            </w:pPr>
            <w:r w:rsidRPr="00C64727">
              <w:rPr>
                <w:rFonts w:ascii="Times New Roman" w:hAnsi="Times New Roman"/>
                <w:sz w:val="20"/>
                <w:szCs w:val="20"/>
              </w:rPr>
              <w:t>-0,1 %</w:t>
            </w:r>
          </w:p>
        </w:tc>
      </w:tr>
      <w:tr w:rsidR="0067338B" w:rsidRPr="00C64727" w14:paraId="6F4F7C5E" w14:textId="77777777" w:rsidTr="00E72EF9">
        <w:trPr>
          <w:trHeight w:val="774"/>
        </w:trPr>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05F6B321" w14:textId="77777777" w:rsidR="0067338B" w:rsidRPr="00C64727" w:rsidRDefault="00250CD2">
            <w:pPr>
              <w:jc w:val="center"/>
              <w:rPr>
                <w:rFonts w:ascii="Times New Roman" w:hAnsi="Times New Roman"/>
                <w:b/>
                <w:bCs/>
                <w:color w:val="000000"/>
                <w:sz w:val="20"/>
                <w:szCs w:val="20"/>
              </w:rPr>
            </w:pPr>
            <w:r w:rsidRPr="00C64727">
              <w:rPr>
                <w:rFonts w:ascii="Times New Roman" w:hAnsi="Times New Roman"/>
                <w:b/>
                <w:bCs/>
                <w:sz w:val="20"/>
                <w:szCs w:val="20"/>
              </w:rPr>
              <w:br/>
              <w:t>Reál-GDP növekedés EU28</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tcPr>
          <w:p w14:paraId="64429B01" w14:textId="77777777" w:rsidR="0067338B" w:rsidRPr="00C64727" w:rsidRDefault="00250CD2">
            <w:pPr>
              <w:jc w:val="center"/>
              <w:rPr>
                <w:rFonts w:ascii="Times New Roman" w:hAnsi="Times New Roman"/>
                <w:color w:val="FF0000"/>
                <w:sz w:val="20"/>
                <w:szCs w:val="20"/>
              </w:rPr>
            </w:pPr>
            <w:r w:rsidRPr="00C64727">
              <w:rPr>
                <w:rFonts w:ascii="Times New Roman" w:hAnsi="Times New Roman"/>
                <w:sz w:val="20"/>
                <w:szCs w:val="20"/>
              </w:rPr>
              <w:t>1,8 %</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tcPr>
          <w:p w14:paraId="6A416108" w14:textId="77777777" w:rsidR="0067338B" w:rsidRPr="00C64727" w:rsidRDefault="00250CD2">
            <w:pPr>
              <w:jc w:val="center"/>
              <w:rPr>
                <w:rFonts w:ascii="Times New Roman" w:hAnsi="Times New Roman"/>
                <w:color w:val="FF0000"/>
                <w:sz w:val="20"/>
                <w:szCs w:val="20"/>
              </w:rPr>
            </w:pPr>
            <w:r w:rsidRPr="00C64727">
              <w:rPr>
                <w:rFonts w:ascii="Times New Roman" w:hAnsi="Times New Roman"/>
                <w:sz w:val="20"/>
                <w:szCs w:val="20"/>
              </w:rPr>
              <w:t>-0,4 %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tcPr>
          <w:p w14:paraId="693470C8" w14:textId="77777777" w:rsidR="0067338B" w:rsidRPr="00C64727" w:rsidRDefault="00250CD2">
            <w:pPr>
              <w:jc w:val="center"/>
              <w:rPr>
                <w:rFonts w:ascii="Times New Roman" w:hAnsi="Times New Roman"/>
                <w:color w:val="FF0000"/>
                <w:sz w:val="20"/>
                <w:szCs w:val="20"/>
              </w:rPr>
            </w:pPr>
            <w:r w:rsidRPr="00C64727">
              <w:rPr>
                <w:rFonts w:ascii="Times New Roman" w:hAnsi="Times New Roman"/>
                <w:sz w:val="20"/>
                <w:szCs w:val="20"/>
              </w:rPr>
              <w:t>0,3 %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tcPr>
          <w:p w14:paraId="1BD792AF" w14:textId="77777777" w:rsidR="0067338B" w:rsidRPr="00C64727" w:rsidRDefault="00250CD2">
            <w:pPr>
              <w:jc w:val="center"/>
              <w:rPr>
                <w:rFonts w:ascii="Times New Roman" w:hAnsi="Times New Roman"/>
                <w:color w:val="000000"/>
                <w:sz w:val="20"/>
                <w:szCs w:val="20"/>
              </w:rPr>
            </w:pPr>
            <w:r w:rsidRPr="00C64727">
              <w:rPr>
                <w:rFonts w:ascii="Times New Roman" w:hAnsi="Times New Roman"/>
                <w:sz w:val="20"/>
                <w:szCs w:val="20"/>
              </w:rPr>
              <w:t>1,8 %</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tcPr>
          <w:p w14:paraId="3822F7E0" w14:textId="77777777" w:rsidR="0067338B" w:rsidRPr="00C64727" w:rsidRDefault="00250CD2">
            <w:pPr>
              <w:jc w:val="center"/>
              <w:rPr>
                <w:rFonts w:ascii="Times New Roman" w:hAnsi="Times New Roman"/>
                <w:color w:val="000000"/>
                <w:sz w:val="20"/>
                <w:szCs w:val="20"/>
              </w:rPr>
            </w:pPr>
            <w:r w:rsidRPr="00C64727">
              <w:rPr>
                <w:rFonts w:ascii="Times New Roman" w:hAnsi="Times New Roman"/>
                <w:sz w:val="20"/>
                <w:szCs w:val="20"/>
              </w:rPr>
              <w:t>2,3 %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tcPr>
          <w:p w14:paraId="308C1DF9" w14:textId="77777777" w:rsidR="0067338B" w:rsidRPr="00C64727" w:rsidRDefault="00DD0ECB">
            <w:pPr>
              <w:jc w:val="center"/>
              <w:rPr>
                <w:rFonts w:ascii="Times New Roman" w:hAnsi="Times New Roman"/>
                <w:color w:val="000000"/>
                <w:sz w:val="20"/>
                <w:szCs w:val="20"/>
              </w:rPr>
            </w:pPr>
            <w:r w:rsidRPr="00C64727">
              <w:rPr>
                <w:rFonts w:ascii="Times New Roman" w:hAnsi="Times New Roman"/>
                <w:sz w:val="20"/>
                <w:szCs w:val="20"/>
              </w:rPr>
              <w:t>2,0 %</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tcPr>
          <w:p w14:paraId="0A66ABE2" w14:textId="77777777" w:rsidR="0067338B" w:rsidRPr="00C64727" w:rsidRDefault="00250CD2">
            <w:pPr>
              <w:jc w:val="center"/>
              <w:rPr>
                <w:rFonts w:ascii="Times New Roman" w:hAnsi="Times New Roman"/>
                <w:color w:val="000000"/>
                <w:sz w:val="20"/>
                <w:szCs w:val="20"/>
              </w:rPr>
            </w:pPr>
            <w:r w:rsidRPr="00C64727">
              <w:rPr>
                <w:rFonts w:ascii="Times New Roman" w:hAnsi="Times New Roman"/>
                <w:sz w:val="20"/>
                <w:szCs w:val="20"/>
              </w:rPr>
              <w:t>2,5 %</w:t>
            </w:r>
          </w:p>
        </w:tc>
        <w:tc>
          <w:tcPr>
            <w:tcW w:w="479" w:type="pct"/>
            <w:tcBorders>
              <w:top w:val="nil"/>
              <w:left w:val="nil"/>
              <w:bottom w:val="double" w:sz="4" w:space="0" w:color="auto"/>
              <w:right w:val="double" w:sz="4" w:space="0" w:color="auto"/>
            </w:tcBorders>
            <w:vAlign w:val="center"/>
          </w:tcPr>
          <w:p w14:paraId="1FDCA916" w14:textId="77777777" w:rsidR="0067338B" w:rsidRPr="00C64727" w:rsidRDefault="00DD0ECB">
            <w:pPr>
              <w:jc w:val="center"/>
              <w:rPr>
                <w:rFonts w:ascii="Times New Roman" w:hAnsi="Times New Roman"/>
                <w:color w:val="000000"/>
                <w:sz w:val="20"/>
                <w:szCs w:val="20"/>
              </w:rPr>
            </w:pPr>
            <w:r w:rsidRPr="00C64727">
              <w:rPr>
                <w:rFonts w:ascii="Times New Roman" w:hAnsi="Times New Roman"/>
                <w:sz w:val="20"/>
                <w:szCs w:val="20"/>
              </w:rPr>
              <w:t>2,0 %</w:t>
            </w:r>
          </w:p>
        </w:tc>
      </w:tr>
    </w:tbl>
    <w:p w14:paraId="57631802" w14:textId="77777777" w:rsidR="0067338B" w:rsidRPr="00C64727" w:rsidRDefault="00A92C10">
      <w:pPr>
        <w:autoSpaceDE w:val="0"/>
        <w:autoSpaceDN w:val="0"/>
        <w:adjustRightInd w:val="0"/>
        <w:spacing w:after="0"/>
        <w:rPr>
          <w:rStyle w:val="Hyperlink"/>
          <w:rFonts w:ascii="Times New Roman" w:hAnsi="Times New Roman"/>
          <w:bCs/>
          <w:color w:val="auto"/>
          <w:sz w:val="18"/>
          <w:szCs w:val="18"/>
        </w:rPr>
      </w:pPr>
      <w:r w:rsidRPr="00C64727">
        <w:rPr>
          <w:rFonts w:ascii="Times New Roman" w:hAnsi="Times New Roman"/>
          <w:sz w:val="18"/>
          <w:szCs w:val="18"/>
        </w:rPr>
        <w:t xml:space="preserve">Forrás: EUTL, a GDP-adatok innen származnak: </w:t>
      </w:r>
      <w:hyperlink r:id="rId18" w:history="1">
        <w:r w:rsidRPr="00C64727">
          <w:rPr>
            <w:rStyle w:val="Hyperlink"/>
            <w:rFonts w:ascii="Times New Roman" w:hAnsi="Times New Roman"/>
            <w:bCs/>
            <w:color w:val="auto"/>
            <w:sz w:val="18"/>
            <w:szCs w:val="18"/>
          </w:rPr>
          <w:t>http://epp.eurostat.ec.europa.eu/tgm/table.do?tab=table&amp;init=1&amp;plugin=1&amp;language=en&amp;pcode=tec00115</w:t>
        </w:r>
      </w:hyperlink>
      <w:r w:rsidRPr="00C64727">
        <w:rPr>
          <w:rStyle w:val="Hyperlink"/>
          <w:rFonts w:ascii="Times New Roman" w:hAnsi="Times New Roman"/>
          <w:bCs/>
          <w:color w:val="auto"/>
          <w:sz w:val="18"/>
          <w:szCs w:val="18"/>
        </w:rPr>
        <w:t xml:space="preserve"> </w:t>
      </w:r>
    </w:p>
    <w:p w14:paraId="0F9CFA4B" w14:textId="77777777" w:rsidR="0067338B" w:rsidRPr="00C64727" w:rsidRDefault="003A348D">
      <w:pPr>
        <w:autoSpaceDE w:val="0"/>
        <w:autoSpaceDN w:val="0"/>
        <w:adjustRightInd w:val="0"/>
        <w:spacing w:after="0"/>
        <w:rPr>
          <w:rStyle w:val="Hyperlink"/>
          <w:rFonts w:ascii="Times New Roman" w:hAnsi="Times New Roman"/>
          <w:bCs/>
          <w:color w:val="auto"/>
          <w:sz w:val="18"/>
          <w:szCs w:val="18"/>
        </w:rPr>
      </w:pPr>
      <w:r w:rsidRPr="00C64727">
        <w:rPr>
          <w:rStyle w:val="Hyperlink"/>
          <w:rFonts w:ascii="Times New Roman" w:hAnsi="Times New Roman"/>
          <w:bCs/>
          <w:color w:val="auto"/>
          <w:sz w:val="18"/>
          <w:szCs w:val="18"/>
        </w:rPr>
        <w:t xml:space="preserve">(letöltve: 2019. július). </w:t>
      </w:r>
      <w:r w:rsidRPr="00C64727">
        <w:rPr>
          <w:rStyle w:val="Hyperlink"/>
          <w:rFonts w:ascii="Times New Roman" w:hAnsi="Times New Roman"/>
          <w:bCs/>
          <w:color w:val="auto"/>
          <w:sz w:val="18"/>
          <w:szCs w:val="18"/>
          <w:u w:val="none"/>
        </w:rPr>
        <w:t>A légi közlekedésből származó hitelesített kibocsátásokat külön tüntetjük fel a 4. fejezetben.</w:t>
      </w:r>
    </w:p>
    <w:p w14:paraId="143AC280" w14:textId="77777777" w:rsidR="0067338B" w:rsidRPr="00C64727" w:rsidRDefault="0067338B">
      <w:pPr>
        <w:autoSpaceDE w:val="0"/>
        <w:autoSpaceDN w:val="0"/>
        <w:adjustRightInd w:val="0"/>
        <w:spacing w:after="0"/>
        <w:rPr>
          <w:rFonts w:ascii="Times New Roman" w:hAnsi="Times New Roman"/>
          <w:sz w:val="24"/>
          <w:szCs w:val="24"/>
          <w:highlight w:val="yellow"/>
        </w:rPr>
      </w:pPr>
    </w:p>
    <w:p w14:paraId="2D446545" w14:textId="77777777" w:rsidR="0067338B" w:rsidRPr="00C64727" w:rsidRDefault="002C2541">
      <w:pPr>
        <w:jc w:val="both"/>
        <w:rPr>
          <w:rFonts w:ascii="Times New Roman" w:hAnsi="Times New Roman"/>
          <w:sz w:val="24"/>
          <w:szCs w:val="24"/>
        </w:rPr>
      </w:pPr>
      <w:r w:rsidRPr="00C64727">
        <w:rPr>
          <w:rFonts w:ascii="Times New Roman" w:hAnsi="Times New Roman"/>
          <w:sz w:val="24"/>
          <w:szCs w:val="24"/>
        </w:rPr>
        <w:t>A létesítményekből származó ETS hitelesített kibocsátások üvegházhatású gázok (</w:t>
      </w:r>
      <w:r w:rsidRPr="00C64727">
        <w:rPr>
          <w:rFonts w:ascii="Times New Roman" w:hAnsi="Times New Roman"/>
          <w:bCs/>
          <w:color w:val="262626"/>
          <w:sz w:val="24"/>
          <w:szCs w:val="24"/>
        </w:rPr>
        <w:t>CO</w:t>
      </w:r>
      <w:r w:rsidRPr="00C64727">
        <w:rPr>
          <w:rFonts w:ascii="Times New Roman" w:hAnsi="Times New Roman"/>
          <w:bCs/>
          <w:color w:val="262626"/>
          <w:sz w:val="24"/>
          <w:szCs w:val="24"/>
          <w:bdr w:val="none" w:sz="0" w:space="0" w:color="auto" w:frame="1"/>
          <w:vertAlign w:val="subscript"/>
        </w:rPr>
        <w:t>2</w:t>
      </w:r>
      <w:r w:rsidRPr="00C64727">
        <w:rPr>
          <w:rFonts w:ascii="Times New Roman" w:hAnsi="Times New Roman"/>
          <w:sz w:val="24"/>
          <w:szCs w:val="24"/>
        </w:rPr>
        <w:t xml:space="preserve">, </w:t>
      </w:r>
      <w:r w:rsidRPr="00C64727">
        <w:rPr>
          <w:rFonts w:ascii="Times New Roman" w:hAnsi="Times New Roman"/>
          <w:bCs/>
          <w:color w:val="262626"/>
          <w:sz w:val="24"/>
          <w:szCs w:val="24"/>
        </w:rPr>
        <w:t>N</w:t>
      </w:r>
      <w:r w:rsidRPr="00C64727">
        <w:rPr>
          <w:rFonts w:ascii="Times New Roman" w:hAnsi="Times New Roman"/>
          <w:bCs/>
          <w:color w:val="262626"/>
          <w:sz w:val="24"/>
          <w:szCs w:val="24"/>
          <w:bdr w:val="none" w:sz="0" w:space="0" w:color="auto" w:frame="1"/>
          <w:vertAlign w:val="subscript"/>
        </w:rPr>
        <w:t>2</w:t>
      </w:r>
      <w:r w:rsidRPr="00C64727">
        <w:rPr>
          <w:rFonts w:ascii="Times New Roman" w:hAnsi="Times New Roman"/>
          <w:bCs/>
          <w:color w:val="262626"/>
          <w:sz w:val="24"/>
          <w:szCs w:val="24"/>
        </w:rPr>
        <w:t>O</w:t>
      </w:r>
      <w:r w:rsidRPr="00C64727">
        <w:rPr>
          <w:rFonts w:ascii="Times New Roman" w:hAnsi="Times New Roman"/>
          <w:sz w:val="24"/>
          <w:szCs w:val="24"/>
        </w:rPr>
        <w:t xml:space="preserve"> és perfluor-szénhidrogének) szerinti bontását a melléklet 5. függelékében található 5.1. táblázat tartalmazza.</w:t>
      </w:r>
    </w:p>
    <w:p w14:paraId="33EDC775" w14:textId="77777777" w:rsidR="0067338B" w:rsidRPr="00C64727" w:rsidRDefault="003A348D">
      <w:pPr>
        <w:jc w:val="both"/>
        <w:rPr>
          <w:rFonts w:ascii="Times New Roman" w:hAnsi="Times New Roman"/>
          <w:sz w:val="24"/>
          <w:szCs w:val="24"/>
        </w:rPr>
      </w:pPr>
      <w:r w:rsidRPr="00C64727">
        <w:rPr>
          <w:rFonts w:ascii="Times New Roman" w:hAnsi="Times New Roman"/>
          <w:sz w:val="24"/>
          <w:szCs w:val="24"/>
        </w:rPr>
        <w:t>Az önként törölt kibocsátási egységek száma 2018-ban 36 559 volt. Összességében 2019. június végéig 345 893 kibocsátási egység önkéntes törlését vették nyilvántartásba.</w:t>
      </w:r>
    </w:p>
    <w:p w14:paraId="384D4D8E" w14:textId="77777777" w:rsidR="0067338B" w:rsidRPr="00C64727" w:rsidRDefault="00A52F4C">
      <w:pPr>
        <w:pStyle w:val="Heading2"/>
        <w:rPr>
          <w:i w:val="0"/>
          <w:szCs w:val="24"/>
        </w:rPr>
      </w:pPr>
      <w:bookmarkStart w:id="18" w:name="_Toc24093095"/>
      <w:r w:rsidRPr="00C64727">
        <w:rPr>
          <w:i w:val="0"/>
          <w:szCs w:val="24"/>
        </w:rPr>
        <w:t>3.3. A kereslet és a kínálat egyensúlyba hozása</w:t>
      </w:r>
      <w:bookmarkEnd w:id="18"/>
      <w:r w:rsidRPr="00C64727">
        <w:rPr>
          <w:i w:val="0"/>
          <w:szCs w:val="24"/>
        </w:rPr>
        <w:t xml:space="preserve"> </w:t>
      </w:r>
    </w:p>
    <w:p w14:paraId="08A51BDA" w14:textId="77777777" w:rsidR="0067338B" w:rsidRPr="00C64727" w:rsidRDefault="00DA667D">
      <w:pPr>
        <w:jc w:val="both"/>
        <w:rPr>
          <w:rFonts w:ascii="Times New Roman" w:hAnsi="Times New Roman"/>
          <w:sz w:val="24"/>
          <w:szCs w:val="24"/>
        </w:rPr>
      </w:pPr>
      <w:r w:rsidRPr="00C64727">
        <w:rPr>
          <w:rFonts w:ascii="Times New Roman" w:hAnsi="Times New Roman"/>
          <w:sz w:val="24"/>
          <w:szCs w:val="24"/>
        </w:rPr>
        <w:t xml:space="preserve">2013-ban, a 3. szakasz kezdetén az EU ETS-t a kibocsátási egységek kereslete és kínálata között kialakult nagymértékű strukturális egyensúlyhiány jellemezte, ami 2,1 milliárd kibocsátási egységet tett ki. A többlet a jelenlegi kereskedési időszak alatt folyamatosan csökkent: 2014-ben nem változott, majd 2015-ben 1,78 milliárd kibocsátási egységre, 2016-ban 1,69 milliárd egységre, 2017-ben pedig 1,65 milliárd kibocsátási egységre zsugorodott, ami jelentős csökkenés. 2018-ban a többlet 1,65 milliárd kibocsátási egység maradt. </w:t>
      </w:r>
    </w:p>
    <w:p w14:paraId="412A36D0" w14:textId="77777777" w:rsidR="0067338B" w:rsidRPr="00C64727" w:rsidRDefault="00DA667D">
      <w:pPr>
        <w:jc w:val="both"/>
        <w:rPr>
          <w:rFonts w:ascii="Times New Roman" w:hAnsi="Times New Roman"/>
          <w:b/>
          <w:sz w:val="24"/>
          <w:szCs w:val="24"/>
        </w:rPr>
      </w:pPr>
      <w:r w:rsidRPr="00C64727">
        <w:rPr>
          <w:rFonts w:ascii="Times New Roman" w:hAnsi="Times New Roman"/>
          <w:sz w:val="24"/>
          <w:szCs w:val="24"/>
        </w:rPr>
        <w:t xml:space="preserve">A 4. ábra az európai szén-dioxid-piac többletének alakulását mutatja be 2018 végéig. </w:t>
      </w:r>
    </w:p>
    <w:p w14:paraId="0B85A162" w14:textId="77777777" w:rsidR="0067338B" w:rsidRPr="00C64727" w:rsidRDefault="00DA667D">
      <w:pPr>
        <w:jc w:val="both"/>
        <w:rPr>
          <w:rFonts w:ascii="Times New Roman" w:hAnsi="Times New Roman"/>
          <w:b/>
        </w:rPr>
      </w:pPr>
      <w:r w:rsidRPr="00C64727">
        <w:rPr>
          <w:rFonts w:ascii="Times New Roman" w:hAnsi="Times New Roman"/>
          <w:b/>
        </w:rPr>
        <w:t>4. ábra: Az európai szén-dioxid-piac többletének alakulása 2013 és 2018 között</w:t>
      </w:r>
    </w:p>
    <w:p w14:paraId="208CDB95" w14:textId="77777777" w:rsidR="0067338B" w:rsidRPr="00C64727" w:rsidRDefault="00076795">
      <w:pPr>
        <w:spacing w:after="0"/>
        <w:jc w:val="both"/>
        <w:rPr>
          <w:rFonts w:ascii="Times New Roman" w:hAnsi="Times New Roman"/>
          <w:sz w:val="24"/>
          <w:szCs w:val="24"/>
        </w:rPr>
      </w:pPr>
      <w:r w:rsidRPr="00C64727">
        <w:rPr>
          <w:rFonts w:ascii="Times New Roman" w:hAnsi="Times New Roman"/>
          <w:b/>
          <w:noProof/>
          <w:sz w:val="24"/>
          <w:szCs w:val="24"/>
          <w:lang w:val="en-GB" w:eastAsia="en-GB"/>
        </w:rPr>
        <w:drawing>
          <wp:inline distT="0" distB="0" distL="0" distR="0" wp14:anchorId="11C7606E" wp14:editId="28CB2864">
            <wp:extent cx="5562600" cy="3102101"/>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5604" cy="3103776"/>
                    </a:xfrm>
                    <a:prstGeom prst="rect">
                      <a:avLst/>
                    </a:prstGeom>
                    <a:noFill/>
                  </pic:spPr>
                </pic:pic>
              </a:graphicData>
            </a:graphic>
          </wp:inline>
        </w:drawing>
      </w:r>
    </w:p>
    <w:p w14:paraId="56D0B8B2" w14:textId="254D8E6F" w:rsidR="0067338B" w:rsidRPr="00C64727" w:rsidRDefault="00246919">
      <w:pPr>
        <w:jc w:val="both"/>
        <w:rPr>
          <w:rFonts w:ascii="Times New Roman" w:hAnsi="Times New Roman"/>
          <w:sz w:val="18"/>
          <w:szCs w:val="18"/>
        </w:rPr>
      </w:pPr>
      <w:r w:rsidRPr="00C64727">
        <w:rPr>
          <w:rFonts w:ascii="Times New Roman" w:hAnsi="Times New Roman"/>
          <w:sz w:val="18"/>
          <w:szCs w:val="18"/>
        </w:rPr>
        <w:t>Forrás: Éghajlatpolitikai Főigazgatóság</w:t>
      </w:r>
    </w:p>
    <w:p w14:paraId="204A6F24" w14:textId="77777777" w:rsidR="0067338B" w:rsidRPr="00C64727" w:rsidRDefault="000E5BB1">
      <w:pPr>
        <w:jc w:val="both"/>
        <w:rPr>
          <w:rFonts w:ascii="Times New Roman" w:hAnsi="Times New Roman"/>
          <w:sz w:val="24"/>
          <w:szCs w:val="24"/>
        </w:rPr>
      </w:pPr>
      <w:r w:rsidRPr="00C64727">
        <w:rPr>
          <w:rFonts w:ascii="Times New Roman" w:hAnsi="Times New Roman"/>
          <w:sz w:val="24"/>
          <w:szCs w:val="24"/>
        </w:rPr>
        <w:t>A kibocsátási egységek kínálata és kereslete közti strukturális egyensúlytalanság kezelése érdekében 2015-ben létrehoztak egy piaci stabilizációs tartalékot</w:t>
      </w:r>
      <w:r w:rsidRPr="00C64727">
        <w:rPr>
          <w:rStyle w:val="FootnoteReference"/>
          <w:rFonts w:ascii="Times New Roman" w:hAnsi="Times New Roman"/>
          <w:sz w:val="24"/>
          <w:szCs w:val="24"/>
        </w:rPr>
        <w:footnoteReference w:id="44"/>
      </w:r>
      <w:r w:rsidRPr="00C64727">
        <w:rPr>
          <w:rFonts w:ascii="Times New Roman" w:hAnsi="Times New Roman"/>
          <w:sz w:val="24"/>
          <w:szCs w:val="24"/>
        </w:rPr>
        <w:t xml:space="preserve">, amely a kibocsátási egységek árverési kínálatát hivatott rugalmasabbá tenni. </w:t>
      </w:r>
      <w:r w:rsidRPr="00C64727">
        <w:rPr>
          <w:rFonts w:ascii="Times New Roman" w:hAnsi="Times New Roman"/>
          <w:bCs/>
          <w:iCs/>
          <w:sz w:val="24"/>
          <w:szCs w:val="24"/>
        </w:rPr>
        <w:t>Az EU ETS felülvizsgálatának keretében</w:t>
      </w:r>
      <w:r w:rsidRPr="00C64727">
        <w:rPr>
          <w:rFonts w:ascii="Times New Roman" w:eastAsia="Times New Roman" w:hAnsi="Times New Roman"/>
          <w:bCs/>
          <w:iCs/>
          <w:sz w:val="24"/>
          <w:szCs w:val="24"/>
          <w:vertAlign w:val="superscript"/>
        </w:rPr>
        <w:footnoteReference w:id="45"/>
      </w:r>
      <w:r w:rsidRPr="00C64727">
        <w:rPr>
          <w:rFonts w:ascii="Times New Roman" w:hAnsi="Times New Roman"/>
          <w:bCs/>
          <w:iCs/>
          <w:sz w:val="24"/>
          <w:szCs w:val="24"/>
        </w:rPr>
        <w:t xml:space="preserve"> fontos változtatásokat hajtottak végre a piaci stabilizációs tartalék tekintetében, ahogy az az alábbi szövegdobozból kiderül. </w:t>
      </w:r>
      <w:r w:rsidRPr="00C64727">
        <w:rPr>
          <w:rFonts w:ascii="Times New Roman" w:hAnsi="Times New Roman"/>
          <w:sz w:val="24"/>
          <w:szCs w:val="24"/>
        </w:rPr>
        <w:t>A piaci stabilizációs tartalék 2019 elején kezdte meg működését.</w:t>
      </w:r>
    </w:p>
    <w:p w14:paraId="62966FD3" w14:textId="77777777" w:rsidR="0067338B" w:rsidRPr="00C64727" w:rsidRDefault="0067338B">
      <w:pPr>
        <w:jc w:val="both"/>
        <w:rPr>
          <w:rFonts w:ascii="Times New Roman" w:hAnsi="Times New Roman"/>
          <w:sz w:val="24"/>
          <w:szCs w:val="24"/>
        </w:rPr>
      </w:pPr>
    </w:p>
    <w:p w14:paraId="404CD0E3" w14:textId="77777777" w:rsidR="0067338B" w:rsidRPr="00C64727" w:rsidRDefault="003A348D">
      <w:pPr>
        <w:rPr>
          <w:rFonts w:ascii="Times New Roman" w:hAnsi="Times New Roman"/>
          <w:sz w:val="24"/>
          <w:szCs w:val="24"/>
        </w:rPr>
      </w:pPr>
      <w:r w:rsidRPr="00C64727">
        <w:rPr>
          <w:rFonts w:ascii="Times New Roman" w:hAnsi="Times New Roman"/>
          <w:noProof/>
          <w:sz w:val="24"/>
          <w:szCs w:val="24"/>
          <w:lang w:val="en-GB" w:eastAsia="en-GB"/>
        </w:rPr>
        <mc:AlternateContent>
          <mc:Choice Requires="wps">
            <w:drawing>
              <wp:inline distT="0" distB="0" distL="0" distR="0" wp14:anchorId="14D9424C" wp14:editId="3843D0B2">
                <wp:extent cx="5731510" cy="7105650"/>
                <wp:effectExtent l="0" t="0" r="21590" b="19050"/>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7105650"/>
                        </a:xfrm>
                        <a:prstGeom prst="rect">
                          <a:avLst/>
                        </a:prstGeom>
                        <a:solidFill>
                          <a:sysClr val="window" lastClr="FFFFFF">
                            <a:lumMod val="85000"/>
                          </a:sysClr>
                        </a:solidFill>
                        <a:ln w="12700">
                          <a:solidFill>
                            <a:srgbClr val="000000"/>
                          </a:solidFill>
                          <a:miter lim="800000"/>
                          <a:headEnd/>
                          <a:tailEnd/>
                        </a:ln>
                      </wps:spPr>
                      <wps:txbx>
                        <w:txbxContent>
                          <w:p w14:paraId="46C0987F" w14:textId="77777777" w:rsidR="0067338B" w:rsidRPr="00C64727" w:rsidRDefault="00516F65">
                            <w:pPr>
                              <w:jc w:val="both"/>
                              <w:rPr>
                                <w:rFonts w:ascii="Times New Roman" w:hAnsi="Times New Roman"/>
                                <w:sz w:val="24"/>
                                <w:szCs w:val="24"/>
                              </w:rPr>
                            </w:pPr>
                            <w:r w:rsidRPr="00C64727">
                              <w:rPr>
                                <w:rFonts w:ascii="Times New Roman" w:hAnsi="Times New Roman"/>
                                <w:sz w:val="24"/>
                                <w:szCs w:val="24"/>
                              </w:rPr>
                              <w:t xml:space="preserve">A piaci stabilizációs tartalék szempontjából kulcsfogalom a forgalomban lévő kibocsátási egységek teljes száma (TNAC). A kibocsátási egységek a tartalékba kerülnek, ha a TNAC meghaladja az előre meghatározott felső határt (833 millió kibocsátási egység), illetve felszabadulnak a tartalékból, ha számuk az előre meghatározott alsó határ alá kerül (400 millió kibocsátási egység alá)*. Így a piaci stabilizációs tartalék felszívja, illetve felszabadítja a kibocsátási egységeket, ha a TNAC-mutató egy előre meghatározott tartományon kívül kerül. A 2014–2016 közötti időszakról későbbre ütemezett kibocsátási egységek**, valamint az úgynevezett ki nem osztott kibocsátási egységek*** szintén a tartalékba kerülnek. </w:t>
                            </w:r>
                          </w:p>
                          <w:p w14:paraId="65A710FB" w14:textId="77777777" w:rsidR="0067338B" w:rsidRPr="00C64727" w:rsidRDefault="00516F65">
                            <w:pPr>
                              <w:jc w:val="both"/>
                              <w:rPr>
                                <w:rFonts w:ascii="Times New Roman" w:hAnsi="Times New Roman"/>
                                <w:sz w:val="24"/>
                                <w:szCs w:val="24"/>
                              </w:rPr>
                            </w:pPr>
                            <w:r w:rsidRPr="00C64727">
                              <w:rPr>
                                <w:rFonts w:ascii="Times New Roman" w:hAnsi="Times New Roman"/>
                                <w:sz w:val="24"/>
                                <w:szCs w:val="24"/>
                              </w:rPr>
                              <w:t>A forgalomban lévő kibocsátási egységek számát – amely a piaci stabilizációs tartalék által felszívott, illetve az abból felszabadított kibocsátási egységek számának meghatározásához szükséges – a következő képlettel kell kiszámítani:</w:t>
                            </w:r>
                          </w:p>
                          <w:p w14:paraId="55436D03" w14:textId="77777777" w:rsidR="0067338B" w:rsidRPr="00C64727" w:rsidRDefault="00516F65">
                            <w:pPr>
                              <w:jc w:val="both"/>
                              <w:rPr>
                                <w:rFonts w:ascii="Times New Roman" w:hAnsi="Times New Roman"/>
                                <w:sz w:val="24"/>
                                <w:szCs w:val="24"/>
                              </w:rPr>
                            </w:pPr>
                            <w:r w:rsidRPr="00C64727">
                              <w:rPr>
                                <w:rFonts w:ascii="Times New Roman" w:hAnsi="Times New Roman"/>
                                <w:sz w:val="24"/>
                                <w:szCs w:val="24"/>
                              </w:rPr>
                              <w:t>FORGALOMBAN LÉVŐ KIBOCSÁTÁSI EGYSÉGEK TELJES SZÁMA (TNAC) = Kínálat – (Kereslet + a piaci stabilizációs tartalékba helyezett egységek)</w:t>
                            </w:r>
                          </w:p>
                          <w:p w14:paraId="16B9E149" w14:textId="77777777" w:rsidR="0067338B" w:rsidRPr="00C64727" w:rsidRDefault="00516F65">
                            <w:pPr>
                              <w:rPr>
                                <w:rFonts w:ascii="Times New Roman" w:hAnsi="Times New Roman"/>
                                <w:sz w:val="24"/>
                                <w:szCs w:val="24"/>
                              </w:rPr>
                            </w:pPr>
                            <w:r w:rsidRPr="00C64727">
                              <w:rPr>
                                <w:rFonts w:ascii="Times New Roman" w:hAnsi="Times New Roman"/>
                                <w:sz w:val="24"/>
                                <w:szCs w:val="24"/>
                              </w:rPr>
                              <w:t>A képletben használt kínálat és kereslet alkotóelemeit a melléklet 4. függelékében szereplő 4.1. táblázat írja le részletesen.</w:t>
                            </w:r>
                          </w:p>
                          <w:p w14:paraId="74047526" w14:textId="77777777" w:rsidR="0067338B" w:rsidRPr="00C64727" w:rsidRDefault="00516F65">
                            <w:pPr>
                              <w:jc w:val="both"/>
                              <w:rPr>
                                <w:rFonts w:ascii="Times New Roman" w:hAnsi="Times New Roman"/>
                                <w:sz w:val="24"/>
                                <w:szCs w:val="24"/>
                              </w:rPr>
                            </w:pPr>
                            <w:r w:rsidRPr="00C64727">
                              <w:rPr>
                                <w:rFonts w:ascii="Times New Roman" w:hAnsi="Times New Roman"/>
                                <w:sz w:val="24"/>
                                <w:szCs w:val="24"/>
                              </w:rPr>
                              <w:t xml:space="preserve">A felülvizsgált EU ETS irányelv két ponton változtat lényegesen a piaci stabilizációs tartalék működésén. Először is, 12 %-ról 24 %-ra nő, azaz megkétszereződik a forgalomban lévő kibocsátási egységek 2019-től 2023-ig tartalékba helyezendő része. Ez lényegesen felgyorsítja a többlet csökkentésének az ütemét. Másodszor, 2023-tól kezdődően a piaci stabilizációs tartalékban lévő, az előző évben aukcióra vitt mennyiségen felüli kibocsátási egységek már nem lesznek érvényesek. </w:t>
                            </w:r>
                          </w:p>
                          <w:p w14:paraId="6A0F2585" w14:textId="77777777" w:rsidR="0067338B" w:rsidRDefault="00516F65">
                            <w:pPr>
                              <w:jc w:val="both"/>
                              <w:rPr>
                                <w:rFonts w:ascii="Times New Roman" w:hAnsi="Times New Roman"/>
                                <w:sz w:val="18"/>
                                <w:szCs w:val="18"/>
                              </w:rPr>
                            </w:pPr>
                            <w:r>
                              <w:rPr>
                                <w:rFonts w:ascii="Times New Roman" w:hAnsi="Times New Roman"/>
                                <w:sz w:val="18"/>
                                <w:szCs w:val="18"/>
                              </w:rPr>
                              <w:t>*Vagy ha intézkedéseket fogadnak el az EU ETS irányelv 29a. cikke értelmében.</w:t>
                            </w:r>
                          </w:p>
                          <w:p w14:paraId="621F3CC0" w14:textId="77777777" w:rsidR="0067338B" w:rsidRDefault="00516F65">
                            <w:pPr>
                              <w:jc w:val="both"/>
                              <w:rPr>
                                <w:rFonts w:ascii="Times New Roman" w:hAnsi="Times New Roman"/>
                                <w:sz w:val="18"/>
                                <w:szCs w:val="18"/>
                              </w:rPr>
                            </w:pPr>
                            <w:r>
                              <w:rPr>
                                <w:rFonts w:ascii="Times New Roman" w:hAnsi="Times New Roman"/>
                                <w:sz w:val="18"/>
                                <w:szCs w:val="18"/>
                              </w:rPr>
                              <w:t>** Az Európai Parlament és a Tanács 1359/2013/EU határozata (2013. december 17.) a 2003/87/EK irányelvnek az üvegházhatást okozó gázok kibocsátási egységei árverés útján történő értékesítésének időbeli ütemezésére vonatkozó rendelkezések pontosítása érdekében történő módosításáról, HL L 343., 2013.12.19., 1. o.</w:t>
                            </w:r>
                          </w:p>
                          <w:p w14:paraId="636A7EFE" w14:textId="77777777" w:rsidR="0067338B" w:rsidRDefault="00516F65">
                            <w:pPr>
                              <w:jc w:val="both"/>
                              <w:rPr>
                                <w:rFonts w:ascii="Times New Roman" w:hAnsi="Times New Roman"/>
                                <w:sz w:val="18"/>
                                <w:szCs w:val="18"/>
                              </w:rPr>
                            </w:pPr>
                            <w:r>
                              <w:rPr>
                                <w:rFonts w:ascii="Times New Roman" w:hAnsi="Times New Roman"/>
                                <w:sz w:val="18"/>
                                <w:szCs w:val="18"/>
                              </w:rPr>
                              <w:t>***A ki nem osztott kibocsátási egységek olyan kibocsátási egységek, amelyeket az EU ETS irányelv 10a. cikkének (7) bekezdése alapján nem osztottak ki, azaz az új belépők tartalékában maradtak, vagy amelyeket a 10a. cikk (19) és (20) bekezdésének alkalmazása miatt nem osztottak ki, azaz a tervek szerint létesítményeknek osztották volna ki őket ingyenesen, de ez a működés (részleges) megszüntetése vagy a teljesítmény jelentős csökkentése miatt elmaradt. A ténylegesen „ki nem osztott” kibocsátási egységek, amelyek a kibocsátás-áthelyezési tényezőnek a jelenlegi időszakban a kibocsátás-áthelyezési jegyzékben nem szereplő ágazatokra való alkalmazásából erednek, illetve amelyek az EU ETS irányelv 10c. cikke alapján nem kerülnek kiosztásra, a tervek szerint nem kerülnek be a piaci stabilizációs tartalékba az (EU) 2015/1814 határozat 1. cikkének (3) bekezdése alapján. Az ilyen kibocsátási egységek így nem tartoznak a piaci stabilizációs tartalék körébe (lásd az EU ETS irányelv 4. szakaszra szóló felülvizsgálatára vonatkozó javaslatot kísérő hatásvizsgálat [SWD(2015)0135] 225. oldalát).</w:t>
                            </w:r>
                          </w:p>
                          <w:p w14:paraId="0796D009" w14:textId="77777777" w:rsidR="0067338B" w:rsidRDefault="0067338B">
                            <w:pPr>
                              <w:rPr>
                                <w:rFonts w:ascii="Times New Roman" w:hAnsi="Times New Roman"/>
                                <w:sz w:val="18"/>
                                <w:szCs w:val="18"/>
                              </w:rPr>
                            </w:pPr>
                          </w:p>
                        </w:txbxContent>
                      </wps:txbx>
                      <wps:bodyPr rot="0" vert="horz" wrap="square" lIns="91440" tIns="45720" rIns="91440" bIns="45720" anchor="t" anchorCtr="0">
                        <a:noAutofit/>
                      </wps:bodyPr>
                    </wps:wsp>
                  </a:graphicData>
                </a:graphic>
              </wp:inline>
            </w:drawing>
          </mc:Choice>
          <mc:Fallback>
            <w:pict>
              <v:shape w14:anchorId="14D9424C" id="_x0000_s1036" type="#_x0000_t202" style="width:451.3pt;height:5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" fillcolor="#d9d9d9" strokeweight="1pt">
                <v:textbox>
                  <w:txbxContent>
                    <w:p w14:paraId="46C0987F" w14:textId="77777777" w:rsidR="0067338B" w:rsidRPr="00C64727" w:rsidRDefault="00516F65">
                      <w:pPr>
                        <w:jc w:val="both"/>
                        <w:rPr>
                          <w:rFonts w:ascii="Times New Roman" w:hAnsi="Times New Roman"/>
                          <w:sz w:val="24"/>
                          <w:szCs w:val="24"/>
                        </w:rPr>
                      </w:pPr>
                      <w:r w:rsidRPr="00C64727">
                        <w:rPr>
                          <w:rFonts w:ascii="Times New Roman" w:hAnsi="Times New Roman"/>
                          <w:sz w:val="24"/>
                          <w:szCs w:val="24"/>
                        </w:rPr>
                        <w:t xml:space="preserve">A piaci stabilizációs tartalék szempontjából kulcsfogalom a forgalomban lévő kibocsátási egységek teljes száma (TNAC). A kibocsátási egységek a tartalékba kerülnek, ha a TNAC meghaladja az előre meghatározott felső határt (833 millió kibocsátási egység), illetve felszabadulnak a tartalékból, ha számuk az előre meghatározott alsó határ alá kerül (400 millió kibocsátási egység alá)*. Így a piaci stabilizációs tartalék felszívja, illetve felszabadítja a kibocsátási egységeket, ha a TNAC-mutató egy előre meghatározott tartományon kívül kerül. A 2014–2016 közötti időszakról későbbre ütemezett kibocsátási egységek**, valamint az úgynevezett ki nem osztott kibocsátási egységek*** szintén a tartalékba kerülnek. </w:t>
                      </w:r>
                    </w:p>
                    <w:p w14:paraId="65A710FB" w14:textId="77777777" w:rsidR="0067338B" w:rsidRPr="00C64727" w:rsidRDefault="00516F65">
                      <w:pPr>
                        <w:jc w:val="both"/>
                        <w:rPr>
                          <w:rFonts w:ascii="Times New Roman" w:hAnsi="Times New Roman"/>
                          <w:sz w:val="24"/>
                          <w:szCs w:val="24"/>
                        </w:rPr>
                      </w:pPr>
                      <w:r w:rsidRPr="00C64727">
                        <w:rPr>
                          <w:rFonts w:ascii="Times New Roman" w:hAnsi="Times New Roman"/>
                          <w:sz w:val="24"/>
                          <w:szCs w:val="24"/>
                        </w:rPr>
                        <w:t>A forgalomban lévő kibocsátási egységek számát – amely a piaci stabilizációs tartalék által felszívott, illetve az abból felszabadított kibocsátási egységek számának meghatározásához szükséges – a következő képlettel kell kiszámítani:</w:t>
                      </w:r>
                    </w:p>
                    <w:p w14:paraId="55436D03" w14:textId="77777777" w:rsidR="0067338B" w:rsidRPr="00C64727" w:rsidRDefault="00516F65">
                      <w:pPr>
                        <w:jc w:val="both"/>
                        <w:rPr>
                          <w:rFonts w:ascii="Times New Roman" w:hAnsi="Times New Roman"/>
                          <w:sz w:val="24"/>
                          <w:szCs w:val="24"/>
                        </w:rPr>
                      </w:pPr>
                      <w:r w:rsidRPr="00C64727">
                        <w:rPr>
                          <w:rFonts w:ascii="Times New Roman" w:hAnsi="Times New Roman"/>
                          <w:sz w:val="24"/>
                          <w:szCs w:val="24"/>
                        </w:rPr>
                        <w:t>FORGALOMBAN LÉVŐ KIBOCSÁTÁSI EGYSÉGEK TELJES SZÁMA (TNAC) = Kínálat – (Kereslet + a piaci stabilizációs tartalékba helyezett egységek)</w:t>
                      </w:r>
                    </w:p>
                    <w:p w14:paraId="16B9E149" w14:textId="77777777" w:rsidR="0067338B" w:rsidRPr="00C64727" w:rsidRDefault="00516F65">
                      <w:pPr>
                        <w:rPr>
                          <w:rFonts w:ascii="Times New Roman" w:hAnsi="Times New Roman"/>
                          <w:sz w:val="24"/>
                          <w:szCs w:val="24"/>
                        </w:rPr>
                      </w:pPr>
                      <w:r w:rsidRPr="00C64727">
                        <w:rPr>
                          <w:rFonts w:ascii="Times New Roman" w:hAnsi="Times New Roman"/>
                          <w:sz w:val="24"/>
                          <w:szCs w:val="24"/>
                        </w:rPr>
                        <w:t>A képletben használt kínálat és kereslet alkotóelemeit a melléklet 4. függelékében szereplő 4.1. táblázat írja le részletesen.</w:t>
                      </w:r>
                    </w:p>
                    <w:p w14:paraId="74047526" w14:textId="77777777" w:rsidR="0067338B" w:rsidRPr="00C64727" w:rsidRDefault="00516F65">
                      <w:pPr>
                        <w:jc w:val="both"/>
                        <w:rPr>
                          <w:rFonts w:ascii="Times New Roman" w:hAnsi="Times New Roman"/>
                          <w:sz w:val="24"/>
                          <w:szCs w:val="24"/>
                        </w:rPr>
                      </w:pPr>
                      <w:r w:rsidRPr="00C64727">
                        <w:rPr>
                          <w:rFonts w:ascii="Times New Roman" w:hAnsi="Times New Roman"/>
                          <w:sz w:val="24"/>
                          <w:szCs w:val="24"/>
                        </w:rPr>
                        <w:t xml:space="preserve">A felülvizsgált EU ETS irányelv két ponton változtat lényegesen a piaci stabilizációs tartalék működésén. Először is, 12 %-ról 24 %-ra nő, azaz megkétszereződik a forgalomban lévő kibocsátási egységek 2019-től 2023-ig tartalékba helyezendő része. Ez lényegesen felgyorsítja a többlet csökkentésének az ütemét. Másodszor, 2023-tól kezdődően a piaci stabilizációs tartalékban lévő, az előző évben aukcióra vitt mennyiségen felüli kibocsátási egységek már nem lesznek érvényesek. </w:t>
                      </w:r>
                    </w:p>
                    <w:p w14:paraId="6A0F2585" w14:textId="77777777" w:rsidR="0067338B" w:rsidRDefault="00516F65">
                      <w:pPr>
                        <w:jc w:val="both"/>
                        <w:rPr>
                          <w:rFonts w:ascii="Times New Roman" w:hAnsi="Times New Roman"/>
                          <w:sz w:val="18"/>
                          <w:szCs w:val="18"/>
                        </w:rPr>
                      </w:pPr>
                      <w:r>
                        <w:rPr>
                          <w:rFonts w:ascii="Times New Roman" w:hAnsi="Times New Roman"/>
                          <w:sz w:val="18"/>
                          <w:szCs w:val="18"/>
                        </w:rPr>
                        <w:t>*Vagy ha intézkedéseket fogadnak el az EU ETS irányelv 29a. cikke értelmében.</w:t>
                      </w:r>
                    </w:p>
                    <w:p w14:paraId="621F3CC0" w14:textId="77777777" w:rsidR="0067338B" w:rsidRDefault="00516F65">
                      <w:pPr>
                        <w:jc w:val="both"/>
                        <w:rPr>
                          <w:rFonts w:ascii="Times New Roman" w:hAnsi="Times New Roman"/>
                          <w:sz w:val="18"/>
                          <w:szCs w:val="18"/>
                        </w:rPr>
                      </w:pPr>
                      <w:r>
                        <w:rPr>
                          <w:rFonts w:ascii="Times New Roman" w:hAnsi="Times New Roman"/>
                          <w:sz w:val="18"/>
                          <w:szCs w:val="18"/>
                        </w:rPr>
                        <w:t>** Az Európai Parlament és a Tanács 1359/2013/EU határozata (2013. december 17.) a 2003/87/EK irányelvnek az üvegházhatást okozó gázok kibocsátási egységei árverés útján történő értékesítésének időbeli ütemezésére vonatkozó rendelkezések pontosítása érdekében történő módosításáról, HL L 343., 2013.12.19., 1. o.</w:t>
                      </w:r>
                    </w:p>
                    <w:p w14:paraId="636A7EFE" w14:textId="77777777" w:rsidR="0067338B" w:rsidRDefault="00516F65">
                      <w:pPr>
                        <w:jc w:val="both"/>
                        <w:rPr>
                          <w:rFonts w:ascii="Times New Roman" w:hAnsi="Times New Roman"/>
                          <w:sz w:val="18"/>
                          <w:szCs w:val="18"/>
                        </w:rPr>
                      </w:pPr>
                      <w:r>
                        <w:rPr>
                          <w:rFonts w:ascii="Times New Roman" w:hAnsi="Times New Roman"/>
                          <w:sz w:val="18"/>
                          <w:szCs w:val="18"/>
                        </w:rPr>
                        <w:t>***A ki nem osztott kibocsátási egységek olyan kibocsátási egységek, amelyeket az EU ETS irányelv 10a. cikkének (7) bekezdése alapján nem osztottak ki, azaz az új belépők tartalékában maradtak, vagy amelyeket a 10a. cikk (19) és (20) bekezdésének alkalmazása miatt nem osztottak ki, azaz a tervek szerint létesítményeknek osztották volna ki őket ingyenesen, de ez a működés (részleges) megszüntetése vagy a teljesítmény jelentős csökkentése miatt elmaradt. A ténylegesen „ki nem osztott” kibocsátási egységek, amelyek a kibocsátás-áthelyezési tényezőnek a jelenlegi időszakban a kibocsátás-áthelyezési jegyzékben nem szereplő ágazatokra való alkalmazásából erednek, illetve amelyek az EU ETS irányelv 10c. cikke alapján nem kerülnek kiosztásra, a tervek szerint nem kerülnek be a piaci stabilizációs tartalékba az (EU) 2015/1814 határozat 1. cikkének (3) bekezdése alapján. Az ilyen kibocsátási egységek így nem tartoznak a piaci stabilizációs tartalék körébe (lásd az EU ETS irányelv 4. szakaszra szóló felülvizsgálatára vonatkozó javaslatot kísérő hatásvizsgálat [SWD(2015)0135] 225. oldalát).</w:t>
                      </w:r>
                    </w:p>
                    <w:p w14:paraId="0796D009" w14:textId="77777777" w:rsidR="0067338B" w:rsidRDefault="0067338B">
                      <w:pPr>
                        <w:rPr>
                          <w:rFonts w:ascii="Times New Roman" w:hAnsi="Times New Roman"/>
                          <w:sz w:val="18"/>
                          <w:szCs w:val="18"/>
                        </w:rPr>
                      </w:pPr>
                    </w:p>
                  </w:txbxContent>
                </v:textbox>
                <w10:anchorlock/>
              </v:shape>
            </w:pict>
          </mc:Fallback>
        </mc:AlternateContent>
      </w:r>
    </w:p>
    <w:p w14:paraId="5DF66922" w14:textId="77777777" w:rsidR="0067338B" w:rsidRPr="00C64727" w:rsidRDefault="00EB4AF8">
      <w:pPr>
        <w:jc w:val="both"/>
        <w:rPr>
          <w:rFonts w:ascii="Times New Roman" w:hAnsi="Times New Roman"/>
          <w:sz w:val="24"/>
          <w:szCs w:val="24"/>
        </w:rPr>
      </w:pPr>
      <w:r w:rsidRPr="00C64727">
        <w:rPr>
          <w:rFonts w:ascii="Times New Roman" w:hAnsi="Times New Roman"/>
          <w:sz w:val="24"/>
          <w:szCs w:val="24"/>
        </w:rPr>
        <w:t xml:space="preserve">A szén-dioxid-piacról szóló jelentés lehetővé teszi a keresleti és a kínálati adatok összevonását, amelyeket az EU ETS irányelvből és végrehajtási rendelkezéseiből eredő beszámolási kötelezettségek ütemezése szerint kell közzétenni. </w:t>
      </w:r>
    </w:p>
    <w:p w14:paraId="512C20EE" w14:textId="77777777" w:rsidR="0067338B" w:rsidRPr="00C64727" w:rsidRDefault="00EB4AF8">
      <w:pPr>
        <w:jc w:val="both"/>
        <w:rPr>
          <w:rFonts w:ascii="Times New Roman" w:hAnsi="Times New Roman"/>
          <w:sz w:val="24"/>
          <w:szCs w:val="24"/>
        </w:rPr>
      </w:pPr>
      <w:r w:rsidRPr="00C64727">
        <w:rPr>
          <w:rFonts w:ascii="Times New Roman" w:hAnsi="Times New Roman"/>
          <w:sz w:val="24"/>
          <w:szCs w:val="24"/>
        </w:rPr>
        <w:t>A kínálat és a kereslet 2018. évi összetételét az 5. ábra mutatja be. A vonatkozó adatokat a piaci stabilizációs tartalék célját szolgáló, forgalomban lévő kibocsátási egységek teljes számáról szóló harmadik közlemény részeként is közzétették</w:t>
      </w:r>
      <w:r w:rsidRPr="00C64727">
        <w:rPr>
          <w:rFonts w:ascii="Times New Roman" w:hAnsi="Times New Roman"/>
          <w:sz w:val="24"/>
          <w:szCs w:val="24"/>
          <w:vertAlign w:val="superscript"/>
        </w:rPr>
        <w:footnoteReference w:id="46"/>
      </w:r>
      <w:r w:rsidRPr="00C64727">
        <w:rPr>
          <w:rFonts w:ascii="Times New Roman" w:hAnsi="Times New Roman"/>
          <w:sz w:val="24"/>
          <w:szCs w:val="24"/>
        </w:rPr>
        <w:t>.</w:t>
      </w:r>
    </w:p>
    <w:p w14:paraId="24F833AA" w14:textId="77777777" w:rsidR="0067338B" w:rsidRPr="00C64727" w:rsidRDefault="0067338B">
      <w:pPr>
        <w:jc w:val="both"/>
        <w:rPr>
          <w:rFonts w:ascii="Times New Roman" w:hAnsi="Times New Roman"/>
          <w:sz w:val="24"/>
          <w:szCs w:val="24"/>
        </w:rPr>
      </w:pPr>
    </w:p>
    <w:p w14:paraId="60E2B522" w14:textId="77777777" w:rsidR="0067338B" w:rsidRPr="00C64727" w:rsidRDefault="003A348D">
      <w:pPr>
        <w:jc w:val="both"/>
        <w:rPr>
          <w:rFonts w:ascii="Times New Roman" w:hAnsi="Times New Roman"/>
        </w:rPr>
      </w:pPr>
      <w:r w:rsidRPr="00C64727">
        <w:rPr>
          <w:rFonts w:ascii="Times New Roman" w:hAnsi="Times New Roman"/>
          <w:b/>
        </w:rPr>
        <w:t>5. ábra: Az összesített kereslet és kínálat összetétele 2018 végéig</w:t>
      </w:r>
    </w:p>
    <w:p w14:paraId="744BB1EA" w14:textId="77777777" w:rsidR="0067338B" w:rsidRPr="00C64727" w:rsidRDefault="003A348D">
      <w:pPr>
        <w:rPr>
          <w:rFonts w:ascii="Times New Roman" w:hAnsi="Times New Roman"/>
          <w:sz w:val="20"/>
          <w:szCs w:val="20"/>
        </w:rPr>
      </w:pPr>
      <w:r w:rsidRPr="00C64727">
        <w:rPr>
          <w:rFonts w:ascii="Times New Roman" w:hAnsi="Times New Roman"/>
          <w:b/>
          <w:bCs/>
          <w:sz w:val="20"/>
          <w:szCs w:val="20"/>
        </w:rPr>
        <w:t>Kínálat</w:t>
      </w:r>
      <w:r w:rsidRPr="00C64727">
        <w:rPr>
          <w:rFonts w:ascii="Times New Roman" w:hAnsi="Times New Roman"/>
          <w:sz w:val="20"/>
          <w:szCs w:val="20"/>
        </w:rPr>
        <w:t xml:space="preserve"> (összesített adat, millió)</w:t>
      </w:r>
      <w:r w:rsidRPr="00C64727">
        <w:rPr>
          <w:rFonts w:ascii="Times New Roman" w:hAnsi="Times New Roman"/>
          <w:sz w:val="20"/>
          <w:szCs w:val="20"/>
        </w:rPr>
        <w:tab/>
        <w:t xml:space="preserve">                   </w:t>
      </w:r>
      <w:r w:rsidRPr="00C64727">
        <w:rPr>
          <w:rFonts w:ascii="Times New Roman" w:hAnsi="Times New Roman"/>
          <w:b/>
          <w:bCs/>
          <w:sz w:val="20"/>
          <w:szCs w:val="20"/>
        </w:rPr>
        <w:t>Kereslet</w:t>
      </w:r>
      <w:r w:rsidRPr="00C64727">
        <w:rPr>
          <w:rFonts w:ascii="Times New Roman" w:hAnsi="Times New Roman"/>
          <w:sz w:val="20"/>
          <w:szCs w:val="20"/>
        </w:rPr>
        <w:t xml:space="preserve"> (összesített adat, millió)</w:t>
      </w:r>
    </w:p>
    <w:p w14:paraId="16F552AD" w14:textId="77777777" w:rsidR="0067338B" w:rsidRPr="00C64727" w:rsidRDefault="008E69DA">
      <w:pPr>
        <w:spacing w:after="0"/>
        <w:rPr>
          <w:rFonts w:ascii="Times New Roman" w:hAnsi="Times New Roman"/>
          <w:sz w:val="24"/>
          <w:szCs w:val="24"/>
        </w:rPr>
      </w:pPr>
      <w:r w:rsidRPr="00C64727">
        <w:rPr>
          <w:rFonts w:ascii="Times New Roman" w:hAnsi="Times New Roman"/>
          <w:noProof/>
          <w:sz w:val="24"/>
          <w:szCs w:val="24"/>
          <w:lang w:val="en-GB" w:eastAsia="en-GB"/>
        </w:rPr>
        <w:drawing>
          <wp:inline distT="0" distB="0" distL="0" distR="0" wp14:anchorId="09C85C50" wp14:editId="668A1F15">
            <wp:extent cx="2260315" cy="3174715"/>
            <wp:effectExtent l="0" t="0" r="6985" b="698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C64727">
        <w:rPr>
          <w:rFonts w:ascii="Times New Roman" w:hAnsi="Times New Roman"/>
          <w:noProof/>
          <w:sz w:val="24"/>
          <w:szCs w:val="24"/>
          <w:lang w:val="en-GB" w:eastAsia="en-GB"/>
        </w:rPr>
        <w:drawing>
          <wp:inline distT="0" distB="0" distL="0" distR="0" wp14:anchorId="5BD76768" wp14:editId="71A6E781">
            <wp:extent cx="2167255" cy="3170381"/>
            <wp:effectExtent l="0" t="0" r="4445" b="1143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C716347" w14:textId="1428DE66" w:rsidR="0067338B" w:rsidRPr="00C64727" w:rsidRDefault="00526348">
      <w:pPr>
        <w:rPr>
          <w:rFonts w:ascii="Times New Roman" w:hAnsi="Times New Roman"/>
          <w:sz w:val="18"/>
          <w:szCs w:val="18"/>
        </w:rPr>
      </w:pPr>
      <w:r w:rsidRPr="00C64727">
        <w:rPr>
          <w:rFonts w:ascii="Times New Roman" w:hAnsi="Times New Roman"/>
          <w:sz w:val="18"/>
          <w:szCs w:val="18"/>
        </w:rPr>
        <w:t>Forrás: Éghajlatpolitikai Főigazgatóság</w:t>
      </w:r>
    </w:p>
    <w:tbl>
      <w:tblPr>
        <w:tblW w:w="4051" w:type="dxa"/>
        <w:jc w:val="center"/>
        <w:tblLook w:val="04A0" w:firstRow="1" w:lastRow="0" w:firstColumn="1" w:lastColumn="0" w:noHBand="0" w:noVBand="1"/>
      </w:tblPr>
      <w:tblGrid>
        <w:gridCol w:w="551"/>
        <w:gridCol w:w="3500"/>
      </w:tblGrid>
      <w:tr w:rsidR="0067338B" w:rsidRPr="00C64727" w14:paraId="0FD8B42A" w14:textId="77777777" w:rsidTr="008E69DA">
        <w:trPr>
          <w:trHeight w:val="310"/>
          <w:jc w:val="center"/>
        </w:trPr>
        <w:tc>
          <w:tcPr>
            <w:tcW w:w="551" w:type="dxa"/>
            <w:tcBorders>
              <w:top w:val="nil"/>
              <w:left w:val="nil"/>
              <w:bottom w:val="nil"/>
              <w:right w:val="nil"/>
            </w:tcBorders>
            <w:shd w:val="clear" w:color="auto" w:fill="4BACC6" w:themeFill="accent5"/>
            <w:noWrap/>
            <w:vAlign w:val="center"/>
          </w:tcPr>
          <w:p w14:paraId="04FA8FFC" w14:textId="77777777" w:rsidR="0067338B" w:rsidRPr="00C64727" w:rsidRDefault="005C54C3">
            <w:pPr>
              <w:spacing w:line="240" w:lineRule="auto"/>
              <w:rPr>
                <w:rFonts w:ascii="Times New Roman" w:eastAsia="Times New Roman" w:hAnsi="Times New Roman"/>
                <w:color w:val="000000"/>
                <w:sz w:val="18"/>
                <w:szCs w:val="18"/>
              </w:rPr>
            </w:pPr>
            <w:r w:rsidRPr="00C64727">
              <w:rPr>
                <w:rFonts w:ascii="Times New Roman" w:hAnsi="Times New Roman"/>
                <w:sz w:val="18"/>
                <w:szCs w:val="18"/>
              </w:rPr>
              <w:t> </w:t>
            </w:r>
          </w:p>
        </w:tc>
        <w:tc>
          <w:tcPr>
            <w:tcW w:w="3500" w:type="dxa"/>
            <w:tcBorders>
              <w:top w:val="nil"/>
              <w:left w:val="nil"/>
              <w:bottom w:val="nil"/>
              <w:right w:val="nil"/>
            </w:tcBorders>
            <w:shd w:val="clear" w:color="000000" w:fill="FFFFFF"/>
            <w:noWrap/>
            <w:vAlign w:val="center"/>
          </w:tcPr>
          <w:p w14:paraId="1B726D52" w14:textId="77777777" w:rsidR="0067338B" w:rsidRPr="00C64727" w:rsidRDefault="005C54C3">
            <w:pPr>
              <w:spacing w:line="240" w:lineRule="auto"/>
              <w:rPr>
                <w:rFonts w:ascii="Times New Roman" w:eastAsia="Times New Roman" w:hAnsi="Times New Roman"/>
                <w:color w:val="000000"/>
                <w:sz w:val="18"/>
                <w:szCs w:val="18"/>
              </w:rPr>
            </w:pPr>
            <w:r w:rsidRPr="00C64727">
              <w:rPr>
                <w:rFonts w:ascii="Times New Roman" w:hAnsi="Times New Roman"/>
                <w:sz w:val="18"/>
                <w:szCs w:val="18"/>
              </w:rPr>
              <w:t>Árverés</w:t>
            </w:r>
          </w:p>
        </w:tc>
      </w:tr>
      <w:tr w:rsidR="0067338B" w:rsidRPr="00C64727" w14:paraId="08CA4BD6" w14:textId="77777777" w:rsidTr="008E69DA">
        <w:trPr>
          <w:trHeight w:val="310"/>
          <w:jc w:val="center"/>
        </w:trPr>
        <w:tc>
          <w:tcPr>
            <w:tcW w:w="551" w:type="dxa"/>
            <w:tcBorders>
              <w:top w:val="nil"/>
              <w:left w:val="nil"/>
              <w:bottom w:val="nil"/>
              <w:right w:val="nil"/>
            </w:tcBorders>
            <w:shd w:val="clear" w:color="auto" w:fill="C0504D" w:themeFill="accent2"/>
            <w:noWrap/>
            <w:vAlign w:val="center"/>
          </w:tcPr>
          <w:p w14:paraId="07846CC7" w14:textId="77777777" w:rsidR="0067338B" w:rsidRPr="00C64727" w:rsidRDefault="005C54C3">
            <w:pPr>
              <w:spacing w:after="0" w:line="240" w:lineRule="auto"/>
              <w:rPr>
                <w:rFonts w:ascii="Times New Roman" w:eastAsia="Times New Roman" w:hAnsi="Times New Roman"/>
                <w:color w:val="000000"/>
                <w:sz w:val="18"/>
                <w:szCs w:val="18"/>
              </w:rPr>
            </w:pPr>
            <w:r w:rsidRPr="00C64727">
              <w:rPr>
                <w:rFonts w:ascii="Times New Roman" w:hAnsi="Times New Roman"/>
                <w:sz w:val="18"/>
                <w:szCs w:val="18"/>
              </w:rPr>
              <w:t> </w:t>
            </w:r>
          </w:p>
        </w:tc>
        <w:tc>
          <w:tcPr>
            <w:tcW w:w="3500" w:type="dxa"/>
            <w:tcBorders>
              <w:top w:val="nil"/>
              <w:left w:val="nil"/>
              <w:bottom w:val="nil"/>
              <w:right w:val="nil"/>
            </w:tcBorders>
            <w:shd w:val="clear" w:color="000000" w:fill="FFFFFF"/>
            <w:noWrap/>
            <w:vAlign w:val="center"/>
          </w:tcPr>
          <w:p w14:paraId="7E4DC6A3" w14:textId="77777777" w:rsidR="0067338B" w:rsidRPr="00C64727" w:rsidRDefault="005C54C3">
            <w:pPr>
              <w:spacing w:after="0" w:line="240" w:lineRule="auto"/>
              <w:rPr>
                <w:rFonts w:ascii="Times New Roman" w:eastAsia="Times New Roman" w:hAnsi="Times New Roman"/>
                <w:color w:val="000000"/>
                <w:sz w:val="18"/>
                <w:szCs w:val="18"/>
              </w:rPr>
            </w:pPr>
            <w:r w:rsidRPr="00C64727">
              <w:rPr>
                <w:rFonts w:ascii="Times New Roman" w:hAnsi="Times New Roman"/>
                <w:sz w:val="18"/>
                <w:szCs w:val="18"/>
              </w:rPr>
              <w:t>Ingyenes kiosztás</w:t>
            </w:r>
          </w:p>
        </w:tc>
      </w:tr>
      <w:tr w:rsidR="0067338B" w:rsidRPr="00C64727" w14:paraId="3702DC68" w14:textId="77777777" w:rsidTr="008E69DA">
        <w:trPr>
          <w:trHeight w:val="310"/>
          <w:jc w:val="center"/>
        </w:trPr>
        <w:tc>
          <w:tcPr>
            <w:tcW w:w="551" w:type="dxa"/>
            <w:tcBorders>
              <w:top w:val="nil"/>
              <w:left w:val="nil"/>
              <w:bottom w:val="nil"/>
              <w:right w:val="nil"/>
            </w:tcBorders>
            <w:shd w:val="clear" w:color="auto" w:fill="9BBB59" w:themeFill="accent3"/>
            <w:noWrap/>
            <w:vAlign w:val="center"/>
          </w:tcPr>
          <w:p w14:paraId="53CC0484" w14:textId="77777777" w:rsidR="0067338B" w:rsidRPr="00C64727" w:rsidRDefault="005C54C3">
            <w:pPr>
              <w:spacing w:after="0" w:line="240" w:lineRule="auto"/>
              <w:rPr>
                <w:rFonts w:ascii="Times New Roman" w:eastAsia="Times New Roman" w:hAnsi="Times New Roman"/>
                <w:color w:val="000000"/>
                <w:sz w:val="18"/>
                <w:szCs w:val="18"/>
              </w:rPr>
            </w:pPr>
            <w:r w:rsidRPr="00C64727">
              <w:rPr>
                <w:rFonts w:ascii="Times New Roman" w:hAnsi="Times New Roman"/>
                <w:sz w:val="18"/>
                <w:szCs w:val="18"/>
              </w:rPr>
              <w:t> </w:t>
            </w:r>
          </w:p>
        </w:tc>
        <w:tc>
          <w:tcPr>
            <w:tcW w:w="3500" w:type="dxa"/>
            <w:tcBorders>
              <w:top w:val="nil"/>
              <w:left w:val="nil"/>
              <w:bottom w:val="nil"/>
              <w:right w:val="nil"/>
            </w:tcBorders>
            <w:shd w:val="clear" w:color="000000" w:fill="FFFFFF"/>
            <w:noWrap/>
            <w:vAlign w:val="center"/>
          </w:tcPr>
          <w:p w14:paraId="54D6297F" w14:textId="77777777" w:rsidR="0067338B" w:rsidRPr="00C64727" w:rsidRDefault="005C54C3">
            <w:pPr>
              <w:spacing w:after="0" w:line="240" w:lineRule="auto"/>
              <w:rPr>
                <w:rFonts w:ascii="Times New Roman" w:eastAsia="Times New Roman" w:hAnsi="Times New Roman"/>
                <w:color w:val="000000"/>
                <w:sz w:val="18"/>
                <w:szCs w:val="18"/>
              </w:rPr>
            </w:pPr>
            <w:r w:rsidRPr="00C64727">
              <w:rPr>
                <w:rFonts w:ascii="Times New Roman" w:hAnsi="Times New Roman"/>
                <w:sz w:val="18"/>
                <w:szCs w:val="18"/>
              </w:rPr>
              <w:t>Ingyenes kiosztás (NER)</w:t>
            </w:r>
          </w:p>
        </w:tc>
      </w:tr>
      <w:tr w:rsidR="0067338B" w:rsidRPr="00C64727" w14:paraId="7BFE0879" w14:textId="77777777" w:rsidTr="008E69DA">
        <w:trPr>
          <w:trHeight w:val="310"/>
          <w:jc w:val="center"/>
        </w:trPr>
        <w:tc>
          <w:tcPr>
            <w:tcW w:w="551" w:type="dxa"/>
            <w:tcBorders>
              <w:top w:val="nil"/>
              <w:left w:val="nil"/>
              <w:bottom w:val="nil"/>
              <w:right w:val="nil"/>
            </w:tcBorders>
            <w:shd w:val="clear" w:color="auto" w:fill="8064A2" w:themeFill="accent4"/>
            <w:noWrap/>
            <w:vAlign w:val="center"/>
          </w:tcPr>
          <w:p w14:paraId="03CE5182" w14:textId="77777777" w:rsidR="0067338B" w:rsidRPr="00C64727" w:rsidRDefault="005C54C3">
            <w:pPr>
              <w:spacing w:after="0" w:line="240" w:lineRule="auto"/>
              <w:rPr>
                <w:rFonts w:ascii="Times New Roman" w:eastAsia="Times New Roman" w:hAnsi="Times New Roman"/>
                <w:color w:val="000000"/>
                <w:sz w:val="18"/>
                <w:szCs w:val="18"/>
              </w:rPr>
            </w:pPr>
            <w:r w:rsidRPr="00C64727">
              <w:rPr>
                <w:rFonts w:ascii="Times New Roman" w:hAnsi="Times New Roman"/>
                <w:sz w:val="18"/>
                <w:szCs w:val="18"/>
              </w:rPr>
              <w:t> </w:t>
            </w:r>
          </w:p>
        </w:tc>
        <w:tc>
          <w:tcPr>
            <w:tcW w:w="3500" w:type="dxa"/>
            <w:tcBorders>
              <w:top w:val="nil"/>
              <w:left w:val="nil"/>
              <w:bottom w:val="nil"/>
              <w:right w:val="nil"/>
            </w:tcBorders>
            <w:shd w:val="clear" w:color="000000" w:fill="FFFFFF"/>
            <w:noWrap/>
            <w:vAlign w:val="center"/>
          </w:tcPr>
          <w:p w14:paraId="1D19A5E5" w14:textId="77777777" w:rsidR="0067338B" w:rsidRPr="00C64727" w:rsidRDefault="005C54C3">
            <w:pPr>
              <w:spacing w:after="0" w:line="240" w:lineRule="auto"/>
              <w:rPr>
                <w:rFonts w:ascii="Times New Roman" w:eastAsia="Times New Roman" w:hAnsi="Times New Roman"/>
                <w:color w:val="000000"/>
                <w:sz w:val="18"/>
                <w:szCs w:val="18"/>
              </w:rPr>
            </w:pPr>
            <w:r w:rsidRPr="00C64727">
              <w:rPr>
                <w:rFonts w:ascii="Times New Roman" w:hAnsi="Times New Roman"/>
                <w:sz w:val="18"/>
                <w:szCs w:val="18"/>
              </w:rPr>
              <w:t>Ingyenes kiosztás (10c. cikk alapján)</w:t>
            </w:r>
          </w:p>
        </w:tc>
      </w:tr>
      <w:tr w:rsidR="0067338B" w:rsidRPr="00C64727" w14:paraId="65D722B4" w14:textId="77777777" w:rsidTr="008E69DA">
        <w:trPr>
          <w:trHeight w:val="310"/>
          <w:jc w:val="center"/>
        </w:trPr>
        <w:tc>
          <w:tcPr>
            <w:tcW w:w="551" w:type="dxa"/>
            <w:tcBorders>
              <w:top w:val="nil"/>
              <w:left w:val="nil"/>
              <w:bottom w:val="nil"/>
              <w:right w:val="nil"/>
            </w:tcBorders>
            <w:shd w:val="clear" w:color="auto" w:fill="1F497D" w:themeFill="text2"/>
            <w:noWrap/>
            <w:vAlign w:val="center"/>
          </w:tcPr>
          <w:p w14:paraId="5B97F255" w14:textId="77777777" w:rsidR="0067338B" w:rsidRPr="00C64727" w:rsidRDefault="005C54C3">
            <w:pPr>
              <w:spacing w:after="0" w:line="240" w:lineRule="auto"/>
              <w:rPr>
                <w:rFonts w:ascii="Times New Roman" w:eastAsia="Times New Roman" w:hAnsi="Times New Roman"/>
                <w:color w:val="000000"/>
                <w:sz w:val="18"/>
                <w:szCs w:val="18"/>
              </w:rPr>
            </w:pPr>
            <w:r w:rsidRPr="00C64727">
              <w:rPr>
                <w:rFonts w:ascii="Times New Roman" w:hAnsi="Times New Roman"/>
                <w:sz w:val="18"/>
                <w:szCs w:val="18"/>
              </w:rPr>
              <w:t> </w:t>
            </w:r>
          </w:p>
        </w:tc>
        <w:tc>
          <w:tcPr>
            <w:tcW w:w="3500" w:type="dxa"/>
            <w:tcBorders>
              <w:top w:val="nil"/>
              <w:left w:val="nil"/>
              <w:bottom w:val="nil"/>
              <w:right w:val="nil"/>
            </w:tcBorders>
            <w:shd w:val="clear" w:color="000000" w:fill="FFFFFF"/>
            <w:noWrap/>
            <w:vAlign w:val="center"/>
          </w:tcPr>
          <w:p w14:paraId="6F3881C4" w14:textId="77777777" w:rsidR="0067338B" w:rsidRPr="00C64727" w:rsidRDefault="005C54C3">
            <w:pPr>
              <w:spacing w:after="0" w:line="240" w:lineRule="auto"/>
              <w:rPr>
                <w:rFonts w:ascii="Times New Roman" w:eastAsia="Times New Roman" w:hAnsi="Times New Roman"/>
                <w:color w:val="000000"/>
                <w:sz w:val="18"/>
                <w:szCs w:val="18"/>
              </w:rPr>
            </w:pPr>
            <w:r w:rsidRPr="00C64727">
              <w:rPr>
                <w:rFonts w:ascii="Times New Roman" w:hAnsi="Times New Roman"/>
                <w:sz w:val="18"/>
                <w:szCs w:val="18"/>
              </w:rPr>
              <w:t>Beváltott nemzetközi jóváírások</w:t>
            </w:r>
          </w:p>
        </w:tc>
      </w:tr>
      <w:tr w:rsidR="0067338B" w:rsidRPr="00C64727" w14:paraId="390B3415" w14:textId="77777777" w:rsidTr="008E69DA">
        <w:trPr>
          <w:trHeight w:val="310"/>
          <w:jc w:val="center"/>
        </w:trPr>
        <w:tc>
          <w:tcPr>
            <w:tcW w:w="551" w:type="dxa"/>
            <w:tcBorders>
              <w:top w:val="nil"/>
              <w:left w:val="nil"/>
              <w:bottom w:val="nil"/>
              <w:right w:val="nil"/>
            </w:tcBorders>
            <w:shd w:val="clear" w:color="auto" w:fill="F79646" w:themeFill="accent6"/>
            <w:noWrap/>
            <w:vAlign w:val="center"/>
          </w:tcPr>
          <w:p w14:paraId="095B3FD1" w14:textId="77777777" w:rsidR="0067338B" w:rsidRPr="00C64727" w:rsidRDefault="005C54C3">
            <w:pPr>
              <w:spacing w:after="0" w:line="240" w:lineRule="auto"/>
              <w:rPr>
                <w:rFonts w:ascii="Times New Roman" w:eastAsia="Times New Roman" w:hAnsi="Times New Roman"/>
                <w:color w:val="000000"/>
                <w:sz w:val="18"/>
                <w:szCs w:val="18"/>
              </w:rPr>
            </w:pPr>
            <w:r w:rsidRPr="00C64727">
              <w:rPr>
                <w:rFonts w:ascii="Times New Roman" w:hAnsi="Times New Roman"/>
                <w:sz w:val="18"/>
                <w:szCs w:val="18"/>
              </w:rPr>
              <w:t> </w:t>
            </w:r>
          </w:p>
        </w:tc>
        <w:tc>
          <w:tcPr>
            <w:tcW w:w="3500" w:type="dxa"/>
            <w:tcBorders>
              <w:top w:val="nil"/>
              <w:left w:val="nil"/>
              <w:bottom w:val="nil"/>
              <w:right w:val="nil"/>
            </w:tcBorders>
            <w:shd w:val="clear" w:color="000000" w:fill="FFFFFF"/>
            <w:noWrap/>
            <w:vAlign w:val="center"/>
          </w:tcPr>
          <w:p w14:paraId="0CABE209" w14:textId="77777777" w:rsidR="0067338B" w:rsidRPr="00C64727" w:rsidRDefault="005C54C3">
            <w:pPr>
              <w:spacing w:after="0" w:line="240" w:lineRule="auto"/>
              <w:rPr>
                <w:rFonts w:ascii="Times New Roman" w:eastAsia="Times New Roman" w:hAnsi="Times New Roman"/>
                <w:color w:val="000000"/>
                <w:sz w:val="18"/>
                <w:szCs w:val="18"/>
              </w:rPr>
            </w:pPr>
            <w:r w:rsidRPr="00C64727">
              <w:rPr>
                <w:rFonts w:ascii="Times New Roman" w:hAnsi="Times New Roman"/>
                <w:sz w:val="18"/>
                <w:szCs w:val="18"/>
              </w:rPr>
              <w:t>Az EBB által értékesített NER 300 program</w:t>
            </w:r>
          </w:p>
        </w:tc>
      </w:tr>
      <w:tr w:rsidR="0067338B" w:rsidRPr="00C64727" w14:paraId="5826F97F" w14:textId="77777777" w:rsidTr="008E69DA">
        <w:trPr>
          <w:trHeight w:val="310"/>
          <w:jc w:val="center"/>
        </w:trPr>
        <w:tc>
          <w:tcPr>
            <w:tcW w:w="551" w:type="dxa"/>
            <w:tcBorders>
              <w:top w:val="nil"/>
              <w:left w:val="nil"/>
              <w:bottom w:val="nil"/>
              <w:right w:val="nil"/>
            </w:tcBorders>
            <w:shd w:val="clear" w:color="auto" w:fill="632423" w:themeFill="accent2" w:themeFillShade="80"/>
            <w:noWrap/>
            <w:vAlign w:val="center"/>
          </w:tcPr>
          <w:p w14:paraId="7DD9E809" w14:textId="77777777" w:rsidR="0067338B" w:rsidRPr="00C64727" w:rsidRDefault="0067338B">
            <w:pPr>
              <w:spacing w:after="0" w:line="240" w:lineRule="auto"/>
              <w:rPr>
                <w:rFonts w:ascii="Times New Roman" w:eastAsia="Times New Roman" w:hAnsi="Times New Roman"/>
                <w:color w:val="000000"/>
                <w:sz w:val="18"/>
                <w:szCs w:val="18"/>
              </w:rPr>
            </w:pPr>
          </w:p>
        </w:tc>
        <w:tc>
          <w:tcPr>
            <w:tcW w:w="3500" w:type="dxa"/>
            <w:tcBorders>
              <w:top w:val="nil"/>
              <w:left w:val="nil"/>
              <w:bottom w:val="nil"/>
              <w:right w:val="nil"/>
            </w:tcBorders>
            <w:shd w:val="clear" w:color="000000" w:fill="FFFFFF"/>
            <w:noWrap/>
            <w:vAlign w:val="center"/>
          </w:tcPr>
          <w:p w14:paraId="2BA79C61" w14:textId="77777777" w:rsidR="0067338B" w:rsidRPr="00C64727" w:rsidRDefault="005C54C3">
            <w:pPr>
              <w:spacing w:after="0" w:line="240" w:lineRule="auto"/>
              <w:rPr>
                <w:rFonts w:ascii="Times New Roman" w:eastAsia="Times New Roman" w:hAnsi="Times New Roman"/>
                <w:color w:val="000000"/>
                <w:sz w:val="18"/>
                <w:szCs w:val="18"/>
              </w:rPr>
            </w:pPr>
            <w:r w:rsidRPr="00C64727">
              <w:rPr>
                <w:rFonts w:ascii="Times New Roman" w:hAnsi="Times New Roman"/>
                <w:sz w:val="18"/>
                <w:szCs w:val="18"/>
              </w:rPr>
              <w:t>Korai árverések</w:t>
            </w:r>
          </w:p>
        </w:tc>
      </w:tr>
      <w:tr w:rsidR="0067338B" w:rsidRPr="00C64727" w14:paraId="3A59EC98" w14:textId="77777777" w:rsidTr="008E69DA">
        <w:trPr>
          <w:trHeight w:val="310"/>
          <w:jc w:val="center"/>
        </w:trPr>
        <w:tc>
          <w:tcPr>
            <w:tcW w:w="551" w:type="dxa"/>
            <w:tcBorders>
              <w:top w:val="nil"/>
              <w:left w:val="nil"/>
              <w:bottom w:val="nil"/>
              <w:right w:val="nil"/>
            </w:tcBorders>
            <w:shd w:val="clear" w:color="auto" w:fill="4F81BD" w:themeFill="accent1"/>
            <w:noWrap/>
            <w:vAlign w:val="center"/>
          </w:tcPr>
          <w:p w14:paraId="6A3E692E" w14:textId="77777777" w:rsidR="0067338B" w:rsidRPr="00C64727" w:rsidRDefault="005C54C3">
            <w:pPr>
              <w:spacing w:after="0" w:line="240" w:lineRule="auto"/>
              <w:rPr>
                <w:rFonts w:ascii="Times New Roman" w:eastAsia="Times New Roman" w:hAnsi="Times New Roman"/>
                <w:color w:val="000000"/>
                <w:sz w:val="18"/>
                <w:szCs w:val="18"/>
              </w:rPr>
            </w:pPr>
            <w:r w:rsidRPr="00C64727">
              <w:rPr>
                <w:rFonts w:ascii="Times New Roman" w:hAnsi="Times New Roman"/>
                <w:sz w:val="18"/>
                <w:szCs w:val="18"/>
              </w:rPr>
              <w:t> </w:t>
            </w:r>
          </w:p>
        </w:tc>
        <w:tc>
          <w:tcPr>
            <w:tcW w:w="3500" w:type="dxa"/>
            <w:tcBorders>
              <w:top w:val="nil"/>
              <w:left w:val="nil"/>
              <w:bottom w:val="nil"/>
              <w:right w:val="nil"/>
            </w:tcBorders>
            <w:shd w:val="clear" w:color="000000" w:fill="FFFFFF"/>
            <w:noWrap/>
            <w:vAlign w:val="center"/>
          </w:tcPr>
          <w:p w14:paraId="77560710" w14:textId="77777777" w:rsidR="0067338B" w:rsidRPr="00C64727" w:rsidRDefault="005C54C3">
            <w:pPr>
              <w:spacing w:after="0" w:line="240" w:lineRule="auto"/>
              <w:rPr>
                <w:rFonts w:ascii="Times New Roman" w:eastAsia="Times New Roman" w:hAnsi="Times New Roman"/>
                <w:color w:val="000000"/>
                <w:sz w:val="18"/>
                <w:szCs w:val="18"/>
              </w:rPr>
            </w:pPr>
            <w:r w:rsidRPr="00C64727">
              <w:rPr>
                <w:rFonts w:ascii="Times New Roman" w:hAnsi="Times New Roman"/>
                <w:sz w:val="18"/>
                <w:szCs w:val="18"/>
              </w:rPr>
              <w:t>Tartalékolás</w:t>
            </w:r>
          </w:p>
        </w:tc>
      </w:tr>
    </w:tbl>
    <w:tbl>
      <w:tblPr>
        <w:tblpPr w:leftFromText="180" w:rightFromText="180" w:vertAnchor="text" w:horzAnchor="page" w:tblpX="6517" w:tblpY="-2342"/>
        <w:tblW w:w="3380" w:type="dxa"/>
        <w:tblLook w:val="04A0" w:firstRow="1" w:lastRow="0" w:firstColumn="1" w:lastColumn="0" w:noHBand="0" w:noVBand="1"/>
      </w:tblPr>
      <w:tblGrid>
        <w:gridCol w:w="460"/>
        <w:gridCol w:w="2920"/>
      </w:tblGrid>
      <w:tr w:rsidR="0067338B" w:rsidRPr="00C64727" w14:paraId="51EF94B7" w14:textId="77777777" w:rsidTr="00650F07">
        <w:trPr>
          <w:trHeight w:val="342"/>
        </w:trPr>
        <w:tc>
          <w:tcPr>
            <w:tcW w:w="460" w:type="dxa"/>
            <w:tcBorders>
              <w:top w:val="nil"/>
              <w:left w:val="nil"/>
              <w:bottom w:val="nil"/>
              <w:right w:val="nil"/>
            </w:tcBorders>
            <w:shd w:val="clear" w:color="auto" w:fill="3374C3"/>
            <w:noWrap/>
            <w:vAlign w:val="center"/>
            <w:hideMark/>
          </w:tcPr>
          <w:p w14:paraId="26D65FC2" w14:textId="77777777" w:rsidR="0067338B" w:rsidRPr="00C64727" w:rsidRDefault="005C54C3">
            <w:pPr>
              <w:spacing w:after="0" w:line="240" w:lineRule="auto"/>
              <w:rPr>
                <w:rFonts w:ascii="Times New Roman" w:eastAsia="Times New Roman" w:hAnsi="Times New Roman"/>
                <w:color w:val="000000"/>
                <w:sz w:val="24"/>
                <w:szCs w:val="24"/>
              </w:rPr>
            </w:pPr>
            <w:r w:rsidRPr="00C64727">
              <w:rPr>
                <w:rFonts w:ascii="Times New Roman" w:hAnsi="Times New Roman"/>
                <w:sz w:val="24"/>
                <w:szCs w:val="24"/>
              </w:rPr>
              <w:t> </w:t>
            </w:r>
          </w:p>
        </w:tc>
        <w:tc>
          <w:tcPr>
            <w:tcW w:w="2920" w:type="dxa"/>
            <w:tcBorders>
              <w:top w:val="nil"/>
              <w:left w:val="nil"/>
              <w:bottom w:val="nil"/>
              <w:right w:val="nil"/>
            </w:tcBorders>
            <w:shd w:val="clear" w:color="000000" w:fill="FFFFFF"/>
            <w:noWrap/>
            <w:vAlign w:val="center"/>
            <w:hideMark/>
          </w:tcPr>
          <w:p w14:paraId="09245578" w14:textId="77777777" w:rsidR="0067338B" w:rsidRPr="00C64727" w:rsidRDefault="005C54C3">
            <w:pPr>
              <w:spacing w:after="0" w:line="240" w:lineRule="auto"/>
              <w:rPr>
                <w:rFonts w:ascii="Times New Roman" w:eastAsia="Times New Roman" w:hAnsi="Times New Roman"/>
                <w:color w:val="000000"/>
                <w:sz w:val="18"/>
                <w:szCs w:val="18"/>
              </w:rPr>
            </w:pPr>
            <w:r w:rsidRPr="00C64727">
              <w:rPr>
                <w:rFonts w:ascii="Times New Roman" w:hAnsi="Times New Roman"/>
                <w:sz w:val="18"/>
                <w:szCs w:val="18"/>
              </w:rPr>
              <w:t>Hitelesített kibocsátások</w:t>
            </w:r>
          </w:p>
        </w:tc>
      </w:tr>
      <w:tr w:rsidR="0067338B" w:rsidRPr="00C64727" w14:paraId="7BBA8898" w14:textId="77777777" w:rsidTr="005C54C3">
        <w:trPr>
          <w:trHeight w:val="342"/>
        </w:trPr>
        <w:tc>
          <w:tcPr>
            <w:tcW w:w="460" w:type="dxa"/>
            <w:tcBorders>
              <w:top w:val="nil"/>
              <w:left w:val="nil"/>
              <w:bottom w:val="nil"/>
              <w:right w:val="nil"/>
            </w:tcBorders>
            <w:shd w:val="clear" w:color="auto" w:fill="C2D69B"/>
            <w:noWrap/>
            <w:vAlign w:val="center"/>
            <w:hideMark/>
          </w:tcPr>
          <w:p w14:paraId="6F290C31" w14:textId="77777777" w:rsidR="0067338B" w:rsidRPr="00C64727" w:rsidRDefault="005C54C3">
            <w:pPr>
              <w:spacing w:after="0" w:line="240" w:lineRule="auto"/>
              <w:rPr>
                <w:rFonts w:ascii="Times New Roman" w:eastAsia="Times New Roman" w:hAnsi="Times New Roman"/>
                <w:color w:val="000000"/>
                <w:sz w:val="24"/>
                <w:szCs w:val="24"/>
              </w:rPr>
            </w:pPr>
            <w:r w:rsidRPr="00C64727">
              <w:rPr>
                <w:rFonts w:ascii="Times New Roman" w:hAnsi="Times New Roman"/>
                <w:sz w:val="24"/>
                <w:szCs w:val="24"/>
              </w:rPr>
              <w:t> </w:t>
            </w:r>
          </w:p>
        </w:tc>
        <w:tc>
          <w:tcPr>
            <w:tcW w:w="2920" w:type="dxa"/>
            <w:tcBorders>
              <w:top w:val="nil"/>
              <w:left w:val="nil"/>
              <w:bottom w:val="nil"/>
              <w:right w:val="nil"/>
            </w:tcBorders>
            <w:shd w:val="clear" w:color="000000" w:fill="FFFFFF"/>
            <w:noWrap/>
            <w:vAlign w:val="center"/>
            <w:hideMark/>
          </w:tcPr>
          <w:p w14:paraId="14C59A3B" w14:textId="77777777" w:rsidR="0067338B" w:rsidRPr="00C64727" w:rsidRDefault="005C54C3">
            <w:pPr>
              <w:spacing w:after="0" w:line="240" w:lineRule="auto"/>
              <w:rPr>
                <w:rFonts w:ascii="Times New Roman" w:eastAsia="Times New Roman" w:hAnsi="Times New Roman"/>
                <w:color w:val="000000"/>
                <w:sz w:val="18"/>
                <w:szCs w:val="18"/>
              </w:rPr>
            </w:pPr>
            <w:r w:rsidRPr="00C64727">
              <w:rPr>
                <w:rFonts w:ascii="Times New Roman" w:hAnsi="Times New Roman"/>
                <w:sz w:val="18"/>
                <w:szCs w:val="18"/>
              </w:rPr>
              <w:t>Törlések</w:t>
            </w:r>
          </w:p>
        </w:tc>
      </w:tr>
    </w:tbl>
    <w:p w14:paraId="3E173424" w14:textId="77777777" w:rsidR="0067338B" w:rsidRPr="00C64727" w:rsidRDefault="0067338B">
      <w:pPr>
        <w:jc w:val="both"/>
        <w:rPr>
          <w:rFonts w:ascii="Times New Roman" w:hAnsi="Times New Roman"/>
          <w:sz w:val="24"/>
          <w:szCs w:val="24"/>
        </w:rPr>
      </w:pPr>
    </w:p>
    <w:p w14:paraId="1B382BE9" w14:textId="77777777" w:rsidR="0067338B" w:rsidRPr="00C64727" w:rsidRDefault="00926127">
      <w:pPr>
        <w:jc w:val="both"/>
        <w:rPr>
          <w:rFonts w:ascii="Times New Roman" w:hAnsi="Times New Roman"/>
          <w:sz w:val="24"/>
          <w:szCs w:val="24"/>
        </w:rPr>
      </w:pPr>
      <w:r w:rsidRPr="00C64727">
        <w:rPr>
          <w:rFonts w:ascii="Times New Roman" w:hAnsi="Times New Roman"/>
          <w:sz w:val="24"/>
          <w:szCs w:val="24"/>
        </w:rPr>
        <w:t>A Bizottság – előkészítve a piaci stabilizációs tartalék 2019-es működésbe lépését – 2017. május közepétől kezdődően rendszeresen közzé teszi</w:t>
      </w:r>
      <w:r w:rsidRPr="00C64727">
        <w:rPr>
          <w:rFonts w:ascii="Times New Roman" w:hAnsi="Times New Roman"/>
          <w:sz w:val="24"/>
          <w:szCs w:val="24"/>
          <w:vertAlign w:val="superscript"/>
        </w:rPr>
        <w:footnoteReference w:id="47"/>
      </w:r>
      <w:r w:rsidRPr="00C64727">
        <w:rPr>
          <w:rFonts w:ascii="Times New Roman" w:hAnsi="Times New Roman"/>
          <w:sz w:val="24"/>
          <w:szCs w:val="24"/>
        </w:rPr>
        <w:t xml:space="preserve"> az előző évben forgalomban lévő kibocsátási egységek teljes számát. Harmadik alkalommal 2019 májusában tették közzé a forgalomban levő kibocsátási egységek teljes számát, ami 1 654 909 824 kibocsátási egységnek felelt meg</w:t>
      </w:r>
      <w:r w:rsidRPr="00C64727">
        <w:rPr>
          <w:rFonts w:ascii="Times New Roman" w:hAnsi="Times New Roman"/>
          <w:sz w:val="24"/>
          <w:szCs w:val="24"/>
          <w:vertAlign w:val="superscript"/>
        </w:rPr>
        <w:footnoteReference w:id="48"/>
      </w:r>
      <w:r w:rsidRPr="00C64727">
        <w:rPr>
          <w:rFonts w:ascii="Times New Roman" w:hAnsi="Times New Roman"/>
          <w:sz w:val="24"/>
          <w:szCs w:val="24"/>
        </w:rPr>
        <w:t>. A 2019-es közzététel eredményeképpen továbbra is kibocsátási egységek kerülnek majd a piaci stabilizációs tartalékba, aminek hatására 2019-ben és 2020-ban csökken az árverési mennyiség.</w:t>
      </w:r>
    </w:p>
    <w:p w14:paraId="54F95386" w14:textId="77777777" w:rsidR="0067338B" w:rsidRPr="00C64727" w:rsidRDefault="00926127">
      <w:pPr>
        <w:jc w:val="both"/>
        <w:rPr>
          <w:rFonts w:ascii="Times New Roman" w:hAnsi="Times New Roman"/>
          <w:sz w:val="24"/>
          <w:szCs w:val="24"/>
        </w:rPr>
      </w:pPr>
      <w:r w:rsidRPr="00C64727">
        <w:rPr>
          <w:rFonts w:ascii="Times New Roman" w:hAnsi="Times New Roman"/>
          <w:sz w:val="24"/>
          <w:szCs w:val="24"/>
        </w:rPr>
        <w:t>Így a forgalomban lévő kibocsátási egységek 2017-es és 2018-as teljes száma és a felülvizsgált jogszabály alapján a 2019-es árverési mennyiségek majdnem 40 %-kal, azaz közel 397 millió kibocsátási egységgel csökkentek. Az árverési mennyiségek ennek megfelelően 2020-ban is csökkenni fognak.</w:t>
      </w:r>
      <w:r w:rsidRPr="00C64727">
        <w:rPr>
          <w:rFonts w:ascii="Times New Roman" w:hAnsi="Times New Roman"/>
          <w:sz w:val="24"/>
          <w:szCs w:val="24"/>
          <w:vertAlign w:val="superscript"/>
        </w:rPr>
        <w:footnoteReference w:id="49"/>
      </w:r>
      <w:r w:rsidRPr="00C64727">
        <w:rPr>
          <w:rFonts w:ascii="Times New Roman" w:hAnsi="Times New Roman"/>
          <w:sz w:val="24"/>
          <w:szCs w:val="24"/>
        </w:rPr>
        <w:t xml:space="preserve"> Ennek következtében 2018-hoz képest 2019-ben 30 %-kal</w:t>
      </w:r>
      <w:r w:rsidRPr="00C64727">
        <w:rPr>
          <w:rFonts w:ascii="Times New Roman" w:hAnsi="Times New Roman"/>
          <w:sz w:val="24"/>
          <w:szCs w:val="24"/>
          <w:vertAlign w:val="superscript"/>
        </w:rPr>
        <w:footnoteReference w:id="50"/>
      </w:r>
      <w:r w:rsidRPr="00C64727">
        <w:rPr>
          <w:rFonts w:ascii="Times New Roman" w:hAnsi="Times New Roman"/>
          <w:sz w:val="24"/>
          <w:szCs w:val="24"/>
        </w:rPr>
        <w:t xml:space="preserve"> kevesebb kibocsátási egység</w:t>
      </w:r>
      <w:r w:rsidRPr="00C64727">
        <w:rPr>
          <w:rFonts w:ascii="Times New Roman" w:hAnsi="Times New Roman"/>
          <w:sz w:val="24"/>
          <w:szCs w:val="24"/>
          <w:vertAlign w:val="superscript"/>
        </w:rPr>
        <w:footnoteReference w:id="51"/>
      </w:r>
      <w:r w:rsidRPr="00C64727">
        <w:rPr>
          <w:rFonts w:ascii="Times New Roman" w:hAnsi="Times New Roman"/>
          <w:sz w:val="24"/>
          <w:szCs w:val="24"/>
        </w:rPr>
        <w:t xml:space="preserve"> kerül elárverezésre. A 8. függelék információt nyújt a tagállamok piaci stabilizációs tartalékhoz történő hozzájárulásáról a teljes 2019. évre, valamint a 2020 januárjától augusztusáig tartó időszakra.</w:t>
      </w:r>
    </w:p>
    <w:p w14:paraId="7C061943" w14:textId="77777777" w:rsidR="0067338B" w:rsidRPr="00C64727" w:rsidRDefault="00A52F4C">
      <w:pPr>
        <w:pStyle w:val="Heading1"/>
        <w:spacing w:before="0" w:after="200"/>
        <w:rPr>
          <w:szCs w:val="24"/>
        </w:rPr>
      </w:pPr>
      <w:bookmarkStart w:id="19" w:name="_Toc24093096"/>
      <w:r w:rsidRPr="00C64727">
        <w:rPr>
          <w:szCs w:val="24"/>
        </w:rPr>
        <w:t>4. LÉGI KÖZLEKEDÉS</w:t>
      </w:r>
      <w:bookmarkEnd w:id="19"/>
    </w:p>
    <w:p w14:paraId="11041A86" w14:textId="77777777" w:rsidR="0067338B" w:rsidRPr="00C64727" w:rsidRDefault="003A348D">
      <w:pPr>
        <w:jc w:val="both"/>
        <w:rPr>
          <w:rFonts w:ascii="Times New Roman" w:hAnsi="Times New Roman"/>
          <w:sz w:val="24"/>
          <w:szCs w:val="24"/>
        </w:rPr>
      </w:pPr>
      <w:r w:rsidRPr="00C64727">
        <w:rPr>
          <w:rFonts w:ascii="Times New Roman" w:hAnsi="Times New Roman"/>
          <w:noProof/>
          <w:sz w:val="24"/>
          <w:szCs w:val="24"/>
          <w:lang w:val="en-GB" w:eastAsia="en-GB"/>
        </w:rPr>
        <mc:AlternateContent>
          <mc:Choice Requires="wps">
            <w:drawing>
              <wp:inline distT="0" distB="0" distL="0" distR="0" wp14:anchorId="2B0C4131" wp14:editId="7637AC17">
                <wp:extent cx="5727802" cy="3860800"/>
                <wp:effectExtent l="0" t="0" r="25400" b="2540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802" cy="3860800"/>
                        </a:xfrm>
                        <a:prstGeom prst="rect">
                          <a:avLst/>
                        </a:prstGeom>
                        <a:solidFill>
                          <a:sysClr val="window" lastClr="FFFFFF">
                            <a:lumMod val="85000"/>
                          </a:sysClr>
                        </a:solidFill>
                        <a:ln w="12700">
                          <a:solidFill>
                            <a:srgbClr val="000000"/>
                          </a:solidFill>
                          <a:miter lim="800000"/>
                          <a:headEnd/>
                          <a:tailEnd/>
                        </a:ln>
                      </wps:spPr>
                      <wps:txbx>
                        <w:txbxContent>
                          <w:p w14:paraId="02F97212" w14:textId="77777777" w:rsidR="0067338B" w:rsidRPr="00C64727" w:rsidRDefault="00516F65">
                            <w:pPr>
                              <w:jc w:val="both"/>
                              <w:rPr>
                                <w:rFonts w:ascii="Times New Roman" w:hAnsi="Times New Roman"/>
                                <w:sz w:val="24"/>
                                <w:szCs w:val="24"/>
                              </w:rPr>
                            </w:pPr>
                            <w:r w:rsidRPr="00C64727">
                              <w:rPr>
                                <w:rFonts w:ascii="Times New Roman" w:hAnsi="Times New Roman"/>
                                <w:sz w:val="24"/>
                                <w:szCs w:val="24"/>
                              </w:rPr>
                              <w:t xml:space="preserve">A légiközlekedési ágazat 2012 óta képezi az EU ETS részét. Az eredeti jogszabály az Európai Gazdasági Térségbe (EGT) érkező és onnan felszálló valamennyi járatra vonatkozott. Az EU azonban úgy határozott, hogy 2012 és 2016 között a kötelezettségeket az EGT területén belüli járatokra korlátozza, hogy támogassa a Nemzetközi Polgári Repülési Szervezetet (ICAO) a légi közlekedésből származó kibocsátások csökkentését célzó globális intézkedés kidolgozásában. </w:t>
                            </w:r>
                          </w:p>
                          <w:p w14:paraId="3699CA8C" w14:textId="4B7AEBF3" w:rsidR="0067338B" w:rsidRPr="00C64727" w:rsidRDefault="00516F65">
                            <w:pPr>
                              <w:jc w:val="both"/>
                              <w:rPr>
                                <w:rFonts w:ascii="Times New Roman" w:hAnsi="Times New Roman"/>
                                <w:sz w:val="24"/>
                                <w:szCs w:val="24"/>
                              </w:rPr>
                            </w:pPr>
                            <w:r w:rsidRPr="00C64727">
                              <w:rPr>
                                <w:rFonts w:ascii="Times New Roman" w:hAnsi="Times New Roman"/>
                                <w:sz w:val="24"/>
                                <w:szCs w:val="24"/>
                              </w:rPr>
                              <w:t>2016 októberében az ICAO Közgyűlése állásfoglalást fogadott el a nemzetközi légi közlekedés kibocsátáskompenzációs és -csökkentési rendszeréről (CORSIA). A CORSIA kibocsátáskompenzációs programként szolgál, amelynek célja, hogy a 2020. évi szinten stabilizálja a nemzetközi légi közlekedésből származó kibocsátásokat. Erre tekintettel 2017-ben módosították az EU ETS irányelvet, hogy annak hatálya 2023. december 31-ig továbbra is csak az EGT-n belüli járatokra korlátozódjon.</w:t>
                            </w:r>
                            <w:r w:rsidRPr="00C64727">
                              <w:rPr>
                                <w:sz w:val="24"/>
                                <w:szCs w:val="24"/>
                              </w:rPr>
                              <w:t xml:space="preserve"> </w:t>
                            </w:r>
                            <w:r w:rsidRPr="00C64727">
                              <w:rPr>
                                <w:rFonts w:ascii="Times New Roman" w:hAnsi="Times New Roman"/>
                                <w:sz w:val="24"/>
                                <w:szCs w:val="24"/>
                              </w:rPr>
                              <w:t xml:space="preserve">Ezt követően ha nem kerül sor felülvizsgálatra, újra az eredeti teljes hatály lesz alkalmazandó.  </w:t>
                            </w:r>
                          </w:p>
                          <w:p w14:paraId="44FC2491" w14:textId="77777777" w:rsidR="0067338B" w:rsidRPr="00C64727" w:rsidRDefault="00516F65">
                            <w:pPr>
                              <w:jc w:val="both"/>
                              <w:rPr>
                                <w:rFonts w:ascii="Times New Roman" w:hAnsi="Times New Roman"/>
                                <w:sz w:val="24"/>
                                <w:szCs w:val="24"/>
                              </w:rPr>
                            </w:pPr>
                            <w:r w:rsidRPr="00C64727">
                              <w:rPr>
                                <w:rFonts w:ascii="Times New Roman" w:hAnsi="Times New Roman"/>
                                <w:sz w:val="24"/>
                                <w:szCs w:val="24"/>
                              </w:rPr>
                              <w:t xml:space="preserve">A felülvizsgált EU ETS irányelv előirányozza, hogy az Európai Bizottságnak jelentést kell tennie az Európai Parlamentnek és a Tanácsnak arról, hogy hogyan hajtható végre a CORSIA az uniós jogban az irányelv felülvizsgálata révén. Azt is meghatározza, hogy a légi közlekedésre 2021-től kezdődően lineáris csökkentési tényezőt kell alkalmazni.  </w:t>
                            </w:r>
                          </w:p>
                          <w:p w14:paraId="1813B900" w14:textId="77777777" w:rsidR="0067338B" w:rsidRDefault="0067338B">
                            <w:pPr>
                              <w:jc w:val="both"/>
                              <w:rPr>
                                <w:rFonts w:ascii="Times New Roman" w:hAnsi="Times New Roman"/>
                                <w:sz w:val="24"/>
                                <w:szCs w:val="24"/>
                              </w:rPr>
                            </w:pPr>
                          </w:p>
                          <w:p w14:paraId="47AD052C" w14:textId="77777777" w:rsidR="0067338B" w:rsidRDefault="0067338B">
                            <w:pPr>
                              <w:jc w:val="both"/>
                            </w:pPr>
                          </w:p>
                        </w:txbxContent>
                      </wps:txbx>
                      <wps:bodyPr rot="0" vert="horz" wrap="square" lIns="91440" tIns="45720" rIns="91440" bIns="45720" anchor="t" anchorCtr="0">
                        <a:noAutofit/>
                      </wps:bodyPr>
                    </wps:wsp>
                  </a:graphicData>
                </a:graphic>
              </wp:inline>
            </w:drawing>
          </mc:Choice>
          <mc:Fallback>
            <w:pict>
              <v:shape w14:anchorId="2B0C4131" id="_x0000_s1037" type="#_x0000_t202" style="width:451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" fillcolor="#d9d9d9" strokeweight="1pt">
                <v:textbox>
                  <w:txbxContent>
                    <w:p w14:paraId="02F97212" w14:textId="77777777" w:rsidR="0067338B" w:rsidRPr="00C64727" w:rsidRDefault="00516F65">
                      <w:pPr>
                        <w:jc w:val="both"/>
                        <w:rPr>
                          <w:rFonts w:ascii="Times New Roman" w:hAnsi="Times New Roman"/>
                          <w:sz w:val="24"/>
                          <w:szCs w:val="24"/>
                        </w:rPr>
                      </w:pPr>
                      <w:r w:rsidRPr="00C64727">
                        <w:rPr>
                          <w:rFonts w:ascii="Times New Roman" w:hAnsi="Times New Roman"/>
                          <w:sz w:val="24"/>
                          <w:szCs w:val="24"/>
                        </w:rPr>
                        <w:t xml:space="preserve">A légiközlekedési ágazat 2012 óta képezi az EU ETS részét. Az eredeti jogszabály az Európai Gazdasági Térségbe (EGT) érkező és onnan felszálló valamennyi járatra vonatkozott. Az EU azonban úgy határozott, hogy 2012 és 2016 között a kötelezettségeket az EGT területén belüli járatokra korlátozza, hogy támogassa a Nemzetközi Polgári Repülési Szervezetet (ICAO) a légi közlekedésből származó kibocsátások csökkentését célzó globális intézkedés kidolgozásában. </w:t>
                      </w:r>
                    </w:p>
                    <w:p w14:paraId="3699CA8C" w14:textId="4B7AEBF3" w:rsidR="0067338B" w:rsidRPr="00C64727" w:rsidRDefault="00516F65">
                      <w:pPr>
                        <w:jc w:val="both"/>
                        <w:rPr>
                          <w:rFonts w:ascii="Times New Roman" w:hAnsi="Times New Roman"/>
                          <w:sz w:val="24"/>
                          <w:szCs w:val="24"/>
                        </w:rPr>
                      </w:pPr>
                      <w:r w:rsidRPr="00C64727">
                        <w:rPr>
                          <w:rFonts w:ascii="Times New Roman" w:hAnsi="Times New Roman"/>
                          <w:sz w:val="24"/>
                          <w:szCs w:val="24"/>
                        </w:rPr>
                        <w:t>2016 októberében az ICAO Közgyűlése állásfoglalást fogadott el a nemzetközi légi közlekedés kibocsátáskompenzációs és -csökkentési rendszeréről (CORSIA). A CORSIA kibocsátáskompenzációs programként szolgál, amelynek célja, hogy a 2020. évi szinten stabilizálja a nemzetközi légi közlekedésből származó kibocsátásokat. Erre tekintettel 2017-ben módosították az EU ETS irányelvet, hogy annak hatálya 2023. december 31-ig továbbra is csak az EGT-n belüli járatokra korlátozódjon.</w:t>
                      </w:r>
                      <w:r w:rsidRPr="00C64727">
                        <w:rPr>
                          <w:sz w:val="24"/>
                          <w:szCs w:val="24"/>
                        </w:rPr>
                        <w:t xml:space="preserve"> </w:t>
                      </w:r>
                      <w:r w:rsidRPr="00C64727">
                        <w:rPr>
                          <w:rFonts w:ascii="Times New Roman" w:hAnsi="Times New Roman"/>
                          <w:sz w:val="24"/>
                          <w:szCs w:val="24"/>
                        </w:rPr>
                        <w:t xml:space="preserve">Ezt követően ha nem kerül sor felülvizsgálatra, újra az eredeti teljes hatály lesz alkalmazandó.  </w:t>
                      </w:r>
                    </w:p>
                    <w:p w14:paraId="44FC2491" w14:textId="77777777" w:rsidR="0067338B" w:rsidRPr="00C64727" w:rsidRDefault="00516F65">
                      <w:pPr>
                        <w:jc w:val="both"/>
                        <w:rPr>
                          <w:rFonts w:ascii="Times New Roman" w:hAnsi="Times New Roman"/>
                          <w:sz w:val="24"/>
                          <w:szCs w:val="24"/>
                        </w:rPr>
                      </w:pPr>
                      <w:r w:rsidRPr="00C64727">
                        <w:rPr>
                          <w:rFonts w:ascii="Times New Roman" w:hAnsi="Times New Roman"/>
                          <w:sz w:val="24"/>
                          <w:szCs w:val="24"/>
                        </w:rPr>
                        <w:t xml:space="preserve">A felülvizsgált EU ETS irányelv előirányozza, hogy az Európai Bizottságnak jelentést kell tennie az Európai Parlamentnek és a Tanácsnak arról, hogy hogyan hajtható végre a CORSIA az uniós jogban az irányelv felülvizsgálata révén. Azt is meghatározza, hogy a légi közlekedésre 2021-től kezdődően lineáris csökkentési tényezőt kell alkalmazni.  </w:t>
                      </w:r>
                    </w:p>
                    <w:p w14:paraId="1813B900" w14:textId="77777777" w:rsidR="0067338B" w:rsidRDefault="0067338B">
                      <w:pPr>
                        <w:jc w:val="both"/>
                        <w:rPr>
                          <w:rFonts w:ascii="Times New Roman" w:hAnsi="Times New Roman"/>
                          <w:sz w:val="24"/>
                          <w:szCs w:val="24"/>
                        </w:rPr>
                      </w:pPr>
                    </w:p>
                    <w:p w14:paraId="47AD052C" w14:textId="77777777" w:rsidR="0067338B" w:rsidRDefault="0067338B">
                      <w:pPr>
                        <w:jc w:val="both"/>
                      </w:pPr>
                    </w:p>
                  </w:txbxContent>
                </v:textbox>
                <w10:anchorlock/>
              </v:shape>
            </w:pict>
          </mc:Fallback>
        </mc:AlternateContent>
      </w:r>
    </w:p>
    <w:p w14:paraId="657A51D5" w14:textId="77777777" w:rsidR="0067338B" w:rsidRPr="00C64727" w:rsidRDefault="00491E4C">
      <w:pPr>
        <w:jc w:val="both"/>
        <w:rPr>
          <w:rFonts w:ascii="Times New Roman" w:hAnsi="Times New Roman"/>
          <w:sz w:val="24"/>
          <w:szCs w:val="24"/>
        </w:rPr>
      </w:pPr>
      <w:r w:rsidRPr="00C64727">
        <w:rPr>
          <w:rFonts w:ascii="Times New Roman" w:hAnsi="Times New Roman"/>
          <w:sz w:val="24"/>
          <w:szCs w:val="24"/>
        </w:rPr>
        <w:t xml:space="preserve">2018-ban az EGT-n belüli hatállyal összhangban adtak ki kibocsátási egységeket. Az ingyenes kiosztás valamivel meghaladta a 32,3 millió kibocsátási egységet. Ez a szám a már meglévő piaci szereplőknek történő ingyenes kiosztásból (valamivel több mint 31,2 millió kibocsátási egység), valamint az új belépők és gyorsan növekvő üzemeltetők számára létrehozott különleges tartalékból kiosztott közel 1,1 millió kibocsátási egységből tevődik össze. Az e tartalékból származó kiosztások 2017–2020-ban megkettőződnek, mivel a teljes 2013–2020-as időszakra vonatkoznak. A 2018-ban árverésre bocsátott kibocsátási egységek mennyisége körülbelül 5,6 millió volt. </w:t>
      </w:r>
    </w:p>
    <w:p w14:paraId="20A23957" w14:textId="77777777" w:rsidR="0067338B" w:rsidRPr="00C64727" w:rsidRDefault="00B84FD2">
      <w:pPr>
        <w:jc w:val="both"/>
        <w:rPr>
          <w:rFonts w:ascii="Times New Roman" w:hAnsi="Times New Roman"/>
          <w:sz w:val="24"/>
          <w:szCs w:val="24"/>
        </w:rPr>
      </w:pPr>
      <w:r w:rsidRPr="00C64727">
        <w:rPr>
          <w:rFonts w:ascii="Times New Roman" w:hAnsi="Times New Roman"/>
          <w:sz w:val="24"/>
          <w:szCs w:val="24"/>
        </w:rPr>
        <w:t xml:space="preserve">A hitelesített légiközlekedési kibocsátások 2018-ban tovább emelkedtek és elérték a 67 millió tonna CO2-t, ami 2017-hez képest 4 %-os növekedést jelent.   </w:t>
      </w:r>
    </w:p>
    <w:p w14:paraId="0A7E73BC" w14:textId="77777777" w:rsidR="0067338B" w:rsidRPr="00C64727" w:rsidRDefault="00F442D1">
      <w:pPr>
        <w:jc w:val="both"/>
        <w:rPr>
          <w:rFonts w:ascii="Times New Roman" w:hAnsi="Times New Roman"/>
          <w:b/>
          <w:sz w:val="24"/>
          <w:szCs w:val="24"/>
        </w:rPr>
      </w:pPr>
      <w:r w:rsidRPr="00C64727">
        <w:rPr>
          <w:rFonts w:ascii="Times New Roman" w:hAnsi="Times New Roman"/>
          <w:sz w:val="24"/>
          <w:szCs w:val="24"/>
        </w:rPr>
        <w:t>A 8. táblázat a hitelesített kibocsátásokat, az ingyenes kiosztást és a légi közlekedési ágazat árverésre bocsátott volumenét foglalja össze a 3. szakasz kezdetétől fogva.</w:t>
      </w:r>
      <w:r w:rsidRPr="00C64727">
        <w:rPr>
          <w:rFonts w:ascii="Times New Roman" w:hAnsi="Times New Roman"/>
          <w:b/>
          <w:sz w:val="24"/>
          <w:szCs w:val="24"/>
        </w:rPr>
        <w:t xml:space="preserve"> </w:t>
      </w:r>
    </w:p>
    <w:p w14:paraId="6868671C" w14:textId="77777777" w:rsidR="0067338B" w:rsidRPr="00C64727" w:rsidRDefault="00F442D1">
      <w:pPr>
        <w:jc w:val="both"/>
        <w:rPr>
          <w:rFonts w:ascii="Times New Roman" w:hAnsi="Times New Roman"/>
          <w:b/>
        </w:rPr>
      </w:pPr>
      <w:r w:rsidRPr="00C64727">
        <w:rPr>
          <w:rFonts w:ascii="Times New Roman" w:hAnsi="Times New Roman"/>
          <w:b/>
        </w:rPr>
        <w:t>8. táblázat: Hitelesített kibocsátások és a légiközlekedési ágazatnak való kiosztás</w:t>
      </w:r>
    </w:p>
    <w:tbl>
      <w:tblPr>
        <w:tblW w:w="4889" w:type="pct"/>
        <w:tblInd w:w="108" w:type="dxa"/>
        <w:tblCellMar>
          <w:left w:w="0" w:type="dxa"/>
          <w:right w:w="0" w:type="dxa"/>
        </w:tblCellMar>
        <w:tblLook w:val="04A0" w:firstRow="1" w:lastRow="0" w:firstColumn="1" w:lastColumn="0" w:noHBand="0" w:noVBand="1"/>
      </w:tblPr>
      <w:tblGrid>
        <w:gridCol w:w="2268"/>
        <w:gridCol w:w="878"/>
        <w:gridCol w:w="973"/>
        <w:gridCol w:w="972"/>
        <w:gridCol w:w="968"/>
        <w:gridCol w:w="964"/>
        <w:gridCol w:w="964"/>
        <w:gridCol w:w="959"/>
      </w:tblGrid>
      <w:tr w:rsidR="0067338B" w:rsidRPr="00C64727" w14:paraId="0F8C6C1C" w14:textId="77777777" w:rsidTr="00E72EF9">
        <w:trPr>
          <w:trHeight w:val="532"/>
        </w:trPr>
        <w:tc>
          <w:tcPr>
            <w:tcW w:w="1267"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08487E22" w14:textId="77777777" w:rsidR="0067338B" w:rsidRPr="00C64727" w:rsidRDefault="00E2275C">
            <w:pPr>
              <w:jc w:val="center"/>
              <w:rPr>
                <w:rFonts w:ascii="Times New Roman" w:hAnsi="Times New Roman"/>
                <w:b/>
                <w:bCs/>
                <w:sz w:val="20"/>
                <w:szCs w:val="20"/>
              </w:rPr>
            </w:pPr>
            <w:r w:rsidRPr="00C64727">
              <w:rPr>
                <w:rFonts w:ascii="Times New Roman" w:hAnsi="Times New Roman"/>
                <w:b/>
                <w:bCs/>
                <w:sz w:val="20"/>
                <w:szCs w:val="20"/>
              </w:rPr>
              <w:br/>
              <w:t>Év</w:t>
            </w:r>
          </w:p>
        </w:tc>
        <w:tc>
          <w:tcPr>
            <w:tcW w:w="491"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14:paraId="601B9379" w14:textId="77777777" w:rsidR="0067338B" w:rsidRPr="00C64727" w:rsidRDefault="00E2275C">
            <w:pPr>
              <w:jc w:val="center"/>
              <w:rPr>
                <w:rFonts w:ascii="Times New Roman" w:hAnsi="Times New Roman"/>
                <w:b/>
                <w:bCs/>
                <w:sz w:val="20"/>
                <w:szCs w:val="20"/>
              </w:rPr>
            </w:pPr>
            <w:r w:rsidRPr="00C64727">
              <w:rPr>
                <w:rFonts w:ascii="Times New Roman" w:hAnsi="Times New Roman"/>
                <w:b/>
                <w:bCs/>
                <w:sz w:val="20"/>
                <w:szCs w:val="20"/>
              </w:rPr>
              <w:t>2013</w:t>
            </w:r>
          </w:p>
        </w:tc>
        <w:tc>
          <w:tcPr>
            <w:tcW w:w="544"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14:paraId="1CF580D8" w14:textId="77777777" w:rsidR="0067338B" w:rsidRPr="00C64727" w:rsidRDefault="00E2275C">
            <w:pPr>
              <w:jc w:val="center"/>
              <w:rPr>
                <w:rFonts w:ascii="Times New Roman" w:hAnsi="Times New Roman"/>
                <w:b/>
                <w:bCs/>
                <w:sz w:val="20"/>
                <w:szCs w:val="20"/>
              </w:rPr>
            </w:pPr>
            <w:r w:rsidRPr="00C64727">
              <w:rPr>
                <w:rFonts w:ascii="Times New Roman" w:hAnsi="Times New Roman"/>
                <w:b/>
                <w:bCs/>
                <w:sz w:val="20"/>
                <w:szCs w:val="20"/>
              </w:rPr>
              <w:t>2014</w:t>
            </w:r>
          </w:p>
        </w:tc>
        <w:tc>
          <w:tcPr>
            <w:tcW w:w="543"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14:paraId="115CA9ED" w14:textId="77777777" w:rsidR="0067338B" w:rsidRPr="00C64727" w:rsidRDefault="00E2275C">
            <w:pPr>
              <w:jc w:val="center"/>
              <w:rPr>
                <w:rFonts w:ascii="Times New Roman" w:hAnsi="Times New Roman"/>
                <w:b/>
                <w:bCs/>
                <w:sz w:val="20"/>
                <w:szCs w:val="20"/>
              </w:rPr>
            </w:pPr>
            <w:r w:rsidRPr="00C64727">
              <w:rPr>
                <w:rFonts w:ascii="Times New Roman" w:hAnsi="Times New Roman"/>
                <w:b/>
                <w:bCs/>
                <w:sz w:val="20"/>
                <w:szCs w:val="20"/>
              </w:rPr>
              <w:t>2015</w:t>
            </w:r>
          </w:p>
        </w:tc>
        <w:tc>
          <w:tcPr>
            <w:tcW w:w="541"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14:paraId="2AEF9934" w14:textId="77777777" w:rsidR="0067338B" w:rsidRPr="00C64727" w:rsidRDefault="00E2275C">
            <w:pPr>
              <w:jc w:val="center"/>
              <w:rPr>
                <w:rFonts w:ascii="Times New Roman" w:hAnsi="Times New Roman"/>
                <w:b/>
                <w:bCs/>
                <w:sz w:val="20"/>
                <w:szCs w:val="20"/>
              </w:rPr>
            </w:pPr>
            <w:r w:rsidRPr="00C64727">
              <w:rPr>
                <w:rFonts w:ascii="Times New Roman" w:hAnsi="Times New Roman"/>
                <w:b/>
                <w:bCs/>
                <w:sz w:val="20"/>
                <w:szCs w:val="20"/>
              </w:rPr>
              <w:t>2016</w:t>
            </w:r>
          </w:p>
        </w:tc>
        <w:tc>
          <w:tcPr>
            <w:tcW w:w="539" w:type="pct"/>
            <w:tcBorders>
              <w:top w:val="double" w:sz="4" w:space="0" w:color="auto"/>
              <w:left w:val="nil"/>
              <w:bottom w:val="double" w:sz="4" w:space="0" w:color="auto"/>
              <w:right w:val="double" w:sz="4" w:space="0" w:color="auto"/>
            </w:tcBorders>
            <w:vAlign w:val="center"/>
          </w:tcPr>
          <w:p w14:paraId="44D52AE5" w14:textId="77777777" w:rsidR="0067338B" w:rsidRPr="00C64727" w:rsidRDefault="00E2275C">
            <w:pPr>
              <w:jc w:val="center"/>
              <w:rPr>
                <w:rFonts w:ascii="Times New Roman" w:hAnsi="Times New Roman"/>
                <w:b/>
                <w:bCs/>
                <w:sz w:val="20"/>
                <w:szCs w:val="20"/>
              </w:rPr>
            </w:pPr>
            <w:r w:rsidRPr="00C64727">
              <w:rPr>
                <w:rFonts w:ascii="Times New Roman" w:hAnsi="Times New Roman"/>
                <w:b/>
                <w:bCs/>
                <w:sz w:val="20"/>
                <w:szCs w:val="20"/>
              </w:rPr>
              <w:t>2017</w:t>
            </w:r>
          </w:p>
        </w:tc>
        <w:tc>
          <w:tcPr>
            <w:tcW w:w="539" w:type="pct"/>
            <w:tcBorders>
              <w:top w:val="double" w:sz="4" w:space="0" w:color="auto"/>
              <w:left w:val="nil"/>
              <w:bottom w:val="double" w:sz="4" w:space="0" w:color="auto"/>
              <w:right w:val="double" w:sz="4" w:space="0" w:color="auto"/>
            </w:tcBorders>
            <w:vAlign w:val="center"/>
          </w:tcPr>
          <w:p w14:paraId="40DB6636" w14:textId="77777777" w:rsidR="0067338B" w:rsidRPr="00C64727" w:rsidRDefault="00E2275C">
            <w:pPr>
              <w:jc w:val="center"/>
              <w:rPr>
                <w:rFonts w:ascii="Times New Roman" w:hAnsi="Times New Roman"/>
                <w:b/>
                <w:bCs/>
                <w:sz w:val="20"/>
                <w:szCs w:val="20"/>
              </w:rPr>
            </w:pPr>
            <w:r w:rsidRPr="00C64727">
              <w:rPr>
                <w:rFonts w:ascii="Times New Roman" w:hAnsi="Times New Roman"/>
                <w:b/>
                <w:bCs/>
                <w:sz w:val="20"/>
                <w:szCs w:val="20"/>
              </w:rPr>
              <w:t>2018</w:t>
            </w:r>
          </w:p>
        </w:tc>
        <w:tc>
          <w:tcPr>
            <w:tcW w:w="537" w:type="pct"/>
            <w:tcBorders>
              <w:top w:val="double" w:sz="4" w:space="0" w:color="auto"/>
              <w:left w:val="nil"/>
              <w:bottom w:val="double" w:sz="4" w:space="0" w:color="auto"/>
              <w:right w:val="double" w:sz="4" w:space="0" w:color="auto"/>
            </w:tcBorders>
            <w:vAlign w:val="center"/>
          </w:tcPr>
          <w:p w14:paraId="3BED0959" w14:textId="77777777" w:rsidR="0067338B" w:rsidRPr="00C64727" w:rsidRDefault="00E2275C">
            <w:pPr>
              <w:jc w:val="center"/>
              <w:rPr>
                <w:rFonts w:ascii="Times New Roman" w:hAnsi="Times New Roman"/>
                <w:b/>
                <w:bCs/>
                <w:sz w:val="20"/>
                <w:szCs w:val="20"/>
              </w:rPr>
            </w:pPr>
            <w:r w:rsidRPr="00C64727">
              <w:rPr>
                <w:rFonts w:ascii="Times New Roman" w:hAnsi="Times New Roman"/>
                <w:b/>
                <w:bCs/>
                <w:sz w:val="20"/>
                <w:szCs w:val="20"/>
              </w:rPr>
              <w:t>2019</w:t>
            </w:r>
          </w:p>
        </w:tc>
      </w:tr>
      <w:tr w:rsidR="0067338B" w:rsidRPr="00C64727" w14:paraId="19E33297" w14:textId="77777777" w:rsidTr="00294A8C">
        <w:trPr>
          <w:trHeight w:val="1017"/>
        </w:trPr>
        <w:tc>
          <w:tcPr>
            <w:tcW w:w="126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191C1A4F" w14:textId="77777777" w:rsidR="0067338B" w:rsidRPr="00C64727" w:rsidRDefault="00E2275C">
            <w:pPr>
              <w:jc w:val="center"/>
              <w:rPr>
                <w:rFonts w:ascii="Times New Roman" w:hAnsi="Times New Roman"/>
                <w:color w:val="FF0000"/>
                <w:sz w:val="20"/>
                <w:szCs w:val="20"/>
              </w:rPr>
            </w:pPr>
            <w:r w:rsidRPr="00C64727">
              <w:rPr>
                <w:rFonts w:ascii="Times New Roman" w:hAnsi="Times New Roman"/>
                <w:b/>
                <w:bCs/>
                <w:sz w:val="20"/>
                <w:szCs w:val="20"/>
              </w:rPr>
              <w:br/>
              <w:t>Hitelesített kibocsátások (millió tonna CO</w:t>
            </w:r>
            <w:r w:rsidRPr="00C64727">
              <w:rPr>
                <w:rFonts w:ascii="Times New Roman" w:hAnsi="Times New Roman"/>
                <w:b/>
                <w:bCs/>
                <w:sz w:val="20"/>
                <w:szCs w:val="20"/>
                <w:vertAlign w:val="subscript"/>
              </w:rPr>
              <w:t>2</w:t>
            </w:r>
            <w:r w:rsidRPr="00C64727">
              <w:rPr>
                <w:rFonts w:ascii="Times New Roman" w:hAnsi="Times New Roman"/>
                <w:b/>
                <w:bCs/>
                <w:sz w:val="20"/>
                <w:szCs w:val="20"/>
              </w:rPr>
              <w:t>-egyenértékben)</w:t>
            </w:r>
          </w:p>
        </w:tc>
        <w:tc>
          <w:tcPr>
            <w:tcW w:w="49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6629FBA6" w14:textId="77777777" w:rsidR="0067338B" w:rsidRPr="00C64727" w:rsidRDefault="00E2275C">
            <w:pPr>
              <w:jc w:val="center"/>
              <w:rPr>
                <w:rFonts w:ascii="Times New Roman" w:hAnsi="Times New Roman"/>
                <w:color w:val="000000"/>
                <w:sz w:val="20"/>
                <w:szCs w:val="20"/>
              </w:rPr>
            </w:pPr>
            <w:r w:rsidRPr="00C64727">
              <w:rPr>
                <w:rFonts w:ascii="Times New Roman" w:hAnsi="Times New Roman"/>
                <w:sz w:val="20"/>
                <w:szCs w:val="20"/>
              </w:rPr>
              <w:t>53,5</w:t>
            </w:r>
          </w:p>
        </w:tc>
        <w:tc>
          <w:tcPr>
            <w:tcW w:w="544"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3A7FCEC" w14:textId="77777777" w:rsidR="0067338B" w:rsidRPr="00C64727" w:rsidRDefault="00E2275C">
            <w:pPr>
              <w:jc w:val="center"/>
              <w:rPr>
                <w:rFonts w:ascii="Times New Roman" w:hAnsi="Times New Roman"/>
                <w:color w:val="000000"/>
                <w:sz w:val="20"/>
                <w:szCs w:val="20"/>
              </w:rPr>
            </w:pPr>
            <w:r w:rsidRPr="00C64727">
              <w:rPr>
                <w:rFonts w:ascii="Times New Roman" w:hAnsi="Times New Roman"/>
                <w:sz w:val="20"/>
                <w:szCs w:val="20"/>
              </w:rPr>
              <w:t>54,8</w:t>
            </w:r>
          </w:p>
        </w:tc>
        <w:tc>
          <w:tcPr>
            <w:tcW w:w="54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E9EDFF9" w14:textId="77777777" w:rsidR="0067338B" w:rsidRPr="00C64727" w:rsidRDefault="00E2275C">
            <w:pPr>
              <w:jc w:val="center"/>
              <w:rPr>
                <w:rFonts w:ascii="Times New Roman" w:hAnsi="Times New Roman"/>
                <w:color w:val="000000"/>
                <w:sz w:val="20"/>
                <w:szCs w:val="20"/>
              </w:rPr>
            </w:pPr>
            <w:r w:rsidRPr="00C64727">
              <w:rPr>
                <w:rFonts w:ascii="Times New Roman" w:hAnsi="Times New Roman"/>
                <w:sz w:val="20"/>
                <w:szCs w:val="20"/>
              </w:rPr>
              <w:t>57,1</w:t>
            </w:r>
          </w:p>
        </w:tc>
        <w:tc>
          <w:tcPr>
            <w:tcW w:w="54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0031F37" w14:textId="77777777" w:rsidR="0067338B" w:rsidRPr="00C64727" w:rsidRDefault="00E2275C">
            <w:pPr>
              <w:jc w:val="center"/>
              <w:rPr>
                <w:rFonts w:ascii="Times New Roman" w:hAnsi="Times New Roman"/>
                <w:color w:val="000000"/>
                <w:sz w:val="20"/>
                <w:szCs w:val="20"/>
              </w:rPr>
            </w:pPr>
            <w:r w:rsidRPr="00C64727">
              <w:rPr>
                <w:rFonts w:ascii="Times New Roman" w:hAnsi="Times New Roman"/>
                <w:sz w:val="20"/>
                <w:szCs w:val="20"/>
              </w:rPr>
              <w:t>61,5</w:t>
            </w:r>
          </w:p>
        </w:tc>
        <w:tc>
          <w:tcPr>
            <w:tcW w:w="539" w:type="pct"/>
            <w:tcBorders>
              <w:top w:val="nil"/>
              <w:left w:val="nil"/>
              <w:bottom w:val="double" w:sz="4" w:space="0" w:color="auto"/>
              <w:right w:val="double" w:sz="4" w:space="0" w:color="auto"/>
            </w:tcBorders>
            <w:vAlign w:val="center"/>
          </w:tcPr>
          <w:p w14:paraId="12D12699" w14:textId="77777777" w:rsidR="0067338B" w:rsidRPr="00C64727" w:rsidRDefault="00E2275C">
            <w:pPr>
              <w:jc w:val="center"/>
              <w:rPr>
                <w:rFonts w:ascii="Times New Roman" w:hAnsi="Times New Roman"/>
                <w:color w:val="000000"/>
                <w:sz w:val="20"/>
                <w:szCs w:val="20"/>
              </w:rPr>
            </w:pPr>
            <w:r w:rsidRPr="00C64727">
              <w:rPr>
                <w:rFonts w:ascii="Times New Roman" w:hAnsi="Times New Roman"/>
                <w:sz w:val="20"/>
                <w:szCs w:val="20"/>
              </w:rPr>
              <w:t>64,4</w:t>
            </w:r>
          </w:p>
        </w:tc>
        <w:tc>
          <w:tcPr>
            <w:tcW w:w="539" w:type="pct"/>
            <w:tcBorders>
              <w:top w:val="nil"/>
              <w:left w:val="nil"/>
              <w:bottom w:val="double" w:sz="4" w:space="0" w:color="auto"/>
              <w:right w:val="double" w:sz="4" w:space="0" w:color="auto"/>
            </w:tcBorders>
          </w:tcPr>
          <w:p w14:paraId="7CC27619" w14:textId="77777777" w:rsidR="0067338B" w:rsidRPr="00C64727" w:rsidRDefault="0067338B">
            <w:pPr>
              <w:jc w:val="center"/>
              <w:rPr>
                <w:rFonts w:ascii="Times New Roman" w:hAnsi="Times New Roman"/>
                <w:color w:val="000000"/>
                <w:sz w:val="20"/>
                <w:szCs w:val="20"/>
              </w:rPr>
            </w:pPr>
          </w:p>
          <w:p w14:paraId="4B39A5CA" w14:textId="77777777" w:rsidR="0067338B" w:rsidRPr="00C64727" w:rsidRDefault="00E2275C">
            <w:pPr>
              <w:jc w:val="center"/>
              <w:rPr>
                <w:rFonts w:ascii="Times New Roman" w:hAnsi="Times New Roman"/>
                <w:color w:val="000000"/>
                <w:sz w:val="20"/>
                <w:szCs w:val="20"/>
              </w:rPr>
            </w:pPr>
            <w:r w:rsidRPr="00C64727">
              <w:rPr>
                <w:rFonts w:ascii="Times New Roman" w:hAnsi="Times New Roman"/>
                <w:sz w:val="20"/>
                <w:szCs w:val="20"/>
              </w:rPr>
              <w:t>67,0</w:t>
            </w:r>
          </w:p>
        </w:tc>
        <w:tc>
          <w:tcPr>
            <w:tcW w:w="537" w:type="pct"/>
            <w:tcBorders>
              <w:top w:val="nil"/>
              <w:left w:val="nil"/>
              <w:bottom w:val="double" w:sz="4" w:space="0" w:color="auto"/>
              <w:right w:val="double" w:sz="4" w:space="0" w:color="auto"/>
            </w:tcBorders>
          </w:tcPr>
          <w:p w14:paraId="7D9A0C9F" w14:textId="77777777" w:rsidR="0067338B" w:rsidRPr="00C64727" w:rsidRDefault="0067338B">
            <w:pPr>
              <w:jc w:val="center"/>
              <w:rPr>
                <w:rFonts w:ascii="Times New Roman" w:hAnsi="Times New Roman"/>
                <w:color w:val="000000"/>
                <w:sz w:val="20"/>
                <w:szCs w:val="20"/>
              </w:rPr>
            </w:pPr>
          </w:p>
        </w:tc>
      </w:tr>
      <w:tr w:rsidR="0067338B" w:rsidRPr="00C64727" w14:paraId="32BADC2B" w14:textId="77777777" w:rsidTr="00294A8C">
        <w:trPr>
          <w:trHeight w:val="680"/>
        </w:trPr>
        <w:tc>
          <w:tcPr>
            <w:tcW w:w="126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3C188407" w14:textId="77777777" w:rsidR="0067338B" w:rsidRPr="00C64727" w:rsidRDefault="00E2275C">
            <w:pPr>
              <w:jc w:val="center"/>
              <w:rPr>
                <w:rFonts w:ascii="Times New Roman" w:hAnsi="Times New Roman"/>
                <w:b/>
                <w:bCs/>
                <w:color w:val="000000"/>
                <w:sz w:val="20"/>
                <w:szCs w:val="20"/>
              </w:rPr>
            </w:pPr>
            <w:r w:rsidRPr="00C64727">
              <w:rPr>
                <w:rFonts w:ascii="Times New Roman" w:hAnsi="Times New Roman"/>
                <w:b/>
                <w:bCs/>
                <w:sz w:val="20"/>
                <w:szCs w:val="20"/>
              </w:rPr>
              <w:br/>
              <w:t>A hitelesített kibocsátások változása az x–1. évhez képest</w:t>
            </w:r>
          </w:p>
        </w:tc>
        <w:tc>
          <w:tcPr>
            <w:tcW w:w="49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138DCABA" w14:textId="77777777" w:rsidR="0067338B" w:rsidRPr="00C64727" w:rsidRDefault="0067338B">
            <w:pPr>
              <w:jc w:val="center"/>
              <w:rPr>
                <w:rFonts w:ascii="Times New Roman" w:hAnsi="Times New Roman"/>
                <w:color w:val="000000"/>
                <w:sz w:val="20"/>
                <w:szCs w:val="20"/>
              </w:rPr>
            </w:pPr>
          </w:p>
        </w:tc>
        <w:tc>
          <w:tcPr>
            <w:tcW w:w="544"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1A6EE4D" w14:textId="77777777" w:rsidR="0067338B" w:rsidRPr="00C64727" w:rsidRDefault="00B84FD2">
            <w:pPr>
              <w:jc w:val="center"/>
              <w:rPr>
                <w:rFonts w:ascii="Times New Roman" w:hAnsi="Times New Roman"/>
                <w:color w:val="000000"/>
                <w:sz w:val="20"/>
                <w:szCs w:val="20"/>
              </w:rPr>
            </w:pPr>
            <w:r w:rsidRPr="00C64727">
              <w:rPr>
                <w:rFonts w:ascii="Times New Roman" w:hAnsi="Times New Roman"/>
                <w:sz w:val="20"/>
                <w:szCs w:val="20"/>
              </w:rPr>
              <w:t>+2,5 %</w:t>
            </w:r>
          </w:p>
        </w:tc>
        <w:tc>
          <w:tcPr>
            <w:tcW w:w="54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C10EAAC" w14:textId="77777777" w:rsidR="0067338B" w:rsidRPr="00C64727" w:rsidRDefault="00B84FD2">
            <w:pPr>
              <w:jc w:val="center"/>
              <w:rPr>
                <w:rFonts w:ascii="Times New Roman" w:hAnsi="Times New Roman"/>
                <w:color w:val="000000"/>
                <w:sz w:val="20"/>
                <w:szCs w:val="20"/>
              </w:rPr>
            </w:pPr>
            <w:r w:rsidRPr="00C64727">
              <w:rPr>
                <w:rFonts w:ascii="Times New Roman" w:hAnsi="Times New Roman"/>
                <w:sz w:val="20"/>
                <w:szCs w:val="20"/>
              </w:rPr>
              <w:t>+4,1 %</w:t>
            </w:r>
          </w:p>
        </w:tc>
        <w:tc>
          <w:tcPr>
            <w:tcW w:w="54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0079522" w14:textId="77777777" w:rsidR="0067338B" w:rsidRPr="00C64727" w:rsidRDefault="00B84FD2">
            <w:pPr>
              <w:jc w:val="center"/>
              <w:rPr>
                <w:rFonts w:ascii="Times New Roman" w:hAnsi="Times New Roman"/>
                <w:color w:val="000000"/>
                <w:sz w:val="20"/>
                <w:szCs w:val="20"/>
              </w:rPr>
            </w:pPr>
            <w:r w:rsidRPr="00C64727">
              <w:rPr>
                <w:rFonts w:ascii="Times New Roman" w:hAnsi="Times New Roman"/>
                <w:sz w:val="20"/>
                <w:szCs w:val="20"/>
              </w:rPr>
              <w:t>+7,6 %</w:t>
            </w:r>
          </w:p>
        </w:tc>
        <w:tc>
          <w:tcPr>
            <w:tcW w:w="539" w:type="pct"/>
            <w:tcBorders>
              <w:top w:val="nil"/>
              <w:left w:val="nil"/>
              <w:bottom w:val="double" w:sz="4" w:space="0" w:color="auto"/>
              <w:right w:val="double" w:sz="4" w:space="0" w:color="auto"/>
            </w:tcBorders>
            <w:vAlign w:val="center"/>
          </w:tcPr>
          <w:p w14:paraId="6DF13295" w14:textId="77777777" w:rsidR="0067338B" w:rsidRPr="00C64727" w:rsidRDefault="00B84FD2">
            <w:pPr>
              <w:jc w:val="center"/>
              <w:rPr>
                <w:rFonts w:ascii="Times New Roman" w:hAnsi="Times New Roman"/>
                <w:color w:val="000000"/>
                <w:sz w:val="20"/>
                <w:szCs w:val="20"/>
              </w:rPr>
            </w:pPr>
            <w:r w:rsidRPr="00C64727">
              <w:rPr>
                <w:rFonts w:ascii="Times New Roman" w:hAnsi="Times New Roman"/>
                <w:sz w:val="20"/>
                <w:szCs w:val="20"/>
              </w:rPr>
              <w:t>+4,7 %</w:t>
            </w:r>
          </w:p>
        </w:tc>
        <w:tc>
          <w:tcPr>
            <w:tcW w:w="539" w:type="pct"/>
            <w:tcBorders>
              <w:top w:val="nil"/>
              <w:left w:val="nil"/>
              <w:bottom w:val="double" w:sz="4" w:space="0" w:color="auto"/>
              <w:right w:val="double" w:sz="4" w:space="0" w:color="auto"/>
            </w:tcBorders>
            <w:vAlign w:val="center"/>
          </w:tcPr>
          <w:p w14:paraId="592E7A6F" w14:textId="77777777" w:rsidR="0067338B" w:rsidRPr="00C64727" w:rsidRDefault="00B84FD2">
            <w:pPr>
              <w:jc w:val="center"/>
              <w:rPr>
                <w:rFonts w:ascii="Times New Roman" w:hAnsi="Times New Roman"/>
                <w:color w:val="000000"/>
                <w:sz w:val="20"/>
                <w:szCs w:val="20"/>
              </w:rPr>
            </w:pPr>
            <w:r w:rsidRPr="00C64727">
              <w:rPr>
                <w:rFonts w:ascii="Times New Roman" w:hAnsi="Times New Roman"/>
                <w:sz w:val="20"/>
                <w:szCs w:val="20"/>
              </w:rPr>
              <w:t>+4 %</w:t>
            </w:r>
          </w:p>
        </w:tc>
        <w:tc>
          <w:tcPr>
            <w:tcW w:w="537" w:type="pct"/>
            <w:tcBorders>
              <w:top w:val="nil"/>
              <w:left w:val="nil"/>
              <w:bottom w:val="double" w:sz="4" w:space="0" w:color="auto"/>
              <w:right w:val="double" w:sz="4" w:space="0" w:color="auto"/>
            </w:tcBorders>
          </w:tcPr>
          <w:p w14:paraId="671BDB59" w14:textId="77777777" w:rsidR="0067338B" w:rsidRPr="00C64727" w:rsidRDefault="0067338B">
            <w:pPr>
              <w:jc w:val="center"/>
              <w:rPr>
                <w:rFonts w:ascii="Times New Roman" w:hAnsi="Times New Roman"/>
                <w:color w:val="000000"/>
                <w:sz w:val="20"/>
                <w:szCs w:val="20"/>
              </w:rPr>
            </w:pPr>
          </w:p>
        </w:tc>
      </w:tr>
      <w:tr w:rsidR="0067338B" w:rsidRPr="00C64727" w14:paraId="6DF9E924" w14:textId="77777777" w:rsidTr="00294A8C">
        <w:trPr>
          <w:trHeight w:val="680"/>
        </w:trPr>
        <w:tc>
          <w:tcPr>
            <w:tcW w:w="126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459D3A9B" w14:textId="77777777" w:rsidR="0067338B" w:rsidRPr="00C64727" w:rsidRDefault="00E2275C">
            <w:pPr>
              <w:jc w:val="center"/>
              <w:rPr>
                <w:rFonts w:ascii="Times New Roman" w:hAnsi="Times New Roman"/>
                <w:b/>
                <w:bCs/>
                <w:color w:val="000000"/>
                <w:sz w:val="20"/>
                <w:szCs w:val="20"/>
              </w:rPr>
            </w:pPr>
            <w:r w:rsidRPr="00C64727">
              <w:rPr>
                <w:rFonts w:ascii="Times New Roman" w:hAnsi="Times New Roman"/>
                <w:b/>
                <w:bCs/>
                <w:sz w:val="20"/>
                <w:szCs w:val="20"/>
              </w:rPr>
              <w:br/>
              <w:t>Térítésmentes kiosztás (EU28 + EGT és EFTA tagállamok)</w:t>
            </w:r>
            <w:r w:rsidRPr="00C64727">
              <w:rPr>
                <w:rStyle w:val="FootnoteReference"/>
                <w:rFonts w:ascii="Times New Roman" w:hAnsi="Times New Roman"/>
                <w:sz w:val="20"/>
                <w:szCs w:val="20"/>
              </w:rPr>
              <w:footnoteReference w:id="52"/>
            </w:r>
          </w:p>
        </w:tc>
        <w:tc>
          <w:tcPr>
            <w:tcW w:w="49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BDE361C" w14:textId="77777777" w:rsidR="0067338B" w:rsidRPr="00C64727" w:rsidRDefault="00E2275C">
            <w:pPr>
              <w:jc w:val="center"/>
              <w:rPr>
                <w:rFonts w:ascii="Times New Roman" w:hAnsi="Times New Roman"/>
                <w:color w:val="000000"/>
                <w:sz w:val="20"/>
                <w:szCs w:val="20"/>
              </w:rPr>
            </w:pPr>
            <w:r w:rsidRPr="00C64727">
              <w:rPr>
                <w:rFonts w:ascii="Times New Roman" w:hAnsi="Times New Roman"/>
                <w:sz w:val="20"/>
                <w:szCs w:val="20"/>
              </w:rPr>
              <w:t>32,4</w:t>
            </w:r>
          </w:p>
        </w:tc>
        <w:tc>
          <w:tcPr>
            <w:tcW w:w="544"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56CE95EE" w14:textId="77777777" w:rsidR="0067338B" w:rsidRPr="00C64727" w:rsidRDefault="00E2275C">
            <w:pPr>
              <w:jc w:val="center"/>
              <w:rPr>
                <w:rFonts w:ascii="Times New Roman" w:hAnsi="Times New Roman"/>
                <w:color w:val="000000"/>
                <w:sz w:val="20"/>
                <w:szCs w:val="20"/>
              </w:rPr>
            </w:pPr>
            <w:r w:rsidRPr="00C64727">
              <w:rPr>
                <w:rFonts w:ascii="Times New Roman" w:hAnsi="Times New Roman"/>
                <w:sz w:val="20"/>
                <w:szCs w:val="20"/>
              </w:rPr>
              <w:t>32,4</w:t>
            </w:r>
          </w:p>
        </w:tc>
        <w:tc>
          <w:tcPr>
            <w:tcW w:w="54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E5AA96C" w14:textId="77777777" w:rsidR="0067338B" w:rsidRPr="00C64727" w:rsidRDefault="00E2275C">
            <w:pPr>
              <w:jc w:val="center"/>
              <w:rPr>
                <w:rFonts w:ascii="Times New Roman" w:hAnsi="Times New Roman"/>
                <w:color w:val="000000"/>
                <w:sz w:val="20"/>
                <w:szCs w:val="20"/>
              </w:rPr>
            </w:pPr>
            <w:r w:rsidRPr="00C64727">
              <w:rPr>
                <w:rFonts w:ascii="Times New Roman" w:hAnsi="Times New Roman"/>
                <w:sz w:val="20"/>
                <w:szCs w:val="20"/>
              </w:rPr>
              <w:t>32,1</w:t>
            </w:r>
          </w:p>
        </w:tc>
        <w:tc>
          <w:tcPr>
            <w:tcW w:w="54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7226589" w14:textId="77777777" w:rsidR="0067338B" w:rsidRPr="00C64727" w:rsidRDefault="00E2275C">
            <w:pPr>
              <w:jc w:val="center"/>
              <w:rPr>
                <w:rFonts w:ascii="Times New Roman" w:hAnsi="Times New Roman"/>
                <w:color w:val="000000"/>
                <w:sz w:val="20"/>
                <w:szCs w:val="20"/>
              </w:rPr>
            </w:pPr>
            <w:r w:rsidRPr="00C64727">
              <w:rPr>
                <w:rFonts w:ascii="Times New Roman" w:hAnsi="Times New Roman"/>
                <w:sz w:val="20"/>
                <w:szCs w:val="20"/>
              </w:rPr>
              <w:t>32,0</w:t>
            </w:r>
          </w:p>
        </w:tc>
        <w:tc>
          <w:tcPr>
            <w:tcW w:w="539" w:type="pct"/>
            <w:tcBorders>
              <w:top w:val="nil"/>
              <w:left w:val="nil"/>
              <w:bottom w:val="double" w:sz="4" w:space="0" w:color="auto"/>
              <w:right w:val="double" w:sz="4" w:space="0" w:color="auto"/>
            </w:tcBorders>
            <w:vAlign w:val="center"/>
          </w:tcPr>
          <w:p w14:paraId="4D9DEF51" w14:textId="77777777" w:rsidR="0067338B" w:rsidRPr="00C64727" w:rsidRDefault="00E2275C">
            <w:pPr>
              <w:jc w:val="center"/>
              <w:rPr>
                <w:rFonts w:ascii="Times New Roman" w:hAnsi="Times New Roman"/>
                <w:color w:val="000000"/>
                <w:sz w:val="20"/>
                <w:szCs w:val="20"/>
              </w:rPr>
            </w:pPr>
            <w:r w:rsidRPr="00C64727">
              <w:rPr>
                <w:rFonts w:ascii="Times New Roman" w:hAnsi="Times New Roman"/>
                <w:sz w:val="20"/>
                <w:szCs w:val="20"/>
              </w:rPr>
              <w:t>33,1</w:t>
            </w:r>
          </w:p>
        </w:tc>
        <w:tc>
          <w:tcPr>
            <w:tcW w:w="539" w:type="pct"/>
            <w:tcBorders>
              <w:top w:val="nil"/>
              <w:left w:val="nil"/>
              <w:bottom w:val="double" w:sz="4" w:space="0" w:color="auto"/>
              <w:right w:val="double" w:sz="4" w:space="0" w:color="auto"/>
            </w:tcBorders>
            <w:vAlign w:val="center"/>
          </w:tcPr>
          <w:p w14:paraId="3EF2D942" w14:textId="77777777" w:rsidR="0067338B" w:rsidRPr="00C64727" w:rsidRDefault="00E2275C">
            <w:pPr>
              <w:jc w:val="center"/>
              <w:rPr>
                <w:rFonts w:ascii="Times New Roman" w:hAnsi="Times New Roman"/>
                <w:color w:val="000000"/>
                <w:sz w:val="20"/>
                <w:szCs w:val="20"/>
              </w:rPr>
            </w:pPr>
            <w:r w:rsidRPr="00C64727">
              <w:rPr>
                <w:rFonts w:ascii="Times New Roman" w:hAnsi="Times New Roman"/>
                <w:sz w:val="20"/>
                <w:szCs w:val="20"/>
              </w:rPr>
              <w:t>31,2</w:t>
            </w:r>
          </w:p>
        </w:tc>
        <w:tc>
          <w:tcPr>
            <w:tcW w:w="537" w:type="pct"/>
            <w:tcBorders>
              <w:top w:val="nil"/>
              <w:left w:val="nil"/>
              <w:bottom w:val="double" w:sz="4" w:space="0" w:color="auto"/>
              <w:right w:val="double" w:sz="4" w:space="0" w:color="auto"/>
            </w:tcBorders>
            <w:vAlign w:val="center"/>
          </w:tcPr>
          <w:p w14:paraId="058582DC" w14:textId="77777777" w:rsidR="0067338B" w:rsidRPr="00C64727" w:rsidRDefault="00E2275C">
            <w:pPr>
              <w:jc w:val="center"/>
              <w:rPr>
                <w:rFonts w:ascii="Times New Roman" w:hAnsi="Times New Roman"/>
                <w:color w:val="000000"/>
                <w:sz w:val="20"/>
                <w:szCs w:val="20"/>
                <w:highlight w:val="yellow"/>
              </w:rPr>
            </w:pPr>
            <w:r w:rsidRPr="00C64727">
              <w:rPr>
                <w:rFonts w:ascii="Times New Roman" w:hAnsi="Times New Roman"/>
                <w:sz w:val="20"/>
                <w:szCs w:val="20"/>
              </w:rPr>
              <w:t>31,2</w:t>
            </w:r>
            <w:r w:rsidRPr="00C64727">
              <w:rPr>
                <w:rStyle w:val="FootnoteReference"/>
                <w:rFonts w:ascii="Times New Roman" w:hAnsi="Times New Roman"/>
                <w:sz w:val="20"/>
                <w:szCs w:val="20"/>
              </w:rPr>
              <w:footnoteReference w:id="53"/>
            </w:r>
          </w:p>
        </w:tc>
      </w:tr>
      <w:tr w:rsidR="0067338B" w:rsidRPr="00C64727" w14:paraId="602D96FE" w14:textId="77777777" w:rsidTr="00294A8C">
        <w:trPr>
          <w:trHeight w:val="790"/>
        </w:trPr>
        <w:tc>
          <w:tcPr>
            <w:tcW w:w="126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27720543" w14:textId="77777777" w:rsidR="0067338B" w:rsidRPr="00C64727" w:rsidRDefault="00E2275C">
            <w:pPr>
              <w:jc w:val="center"/>
              <w:rPr>
                <w:rFonts w:ascii="Times New Roman" w:hAnsi="Times New Roman"/>
                <w:b/>
                <w:bCs/>
                <w:color w:val="000000"/>
                <w:sz w:val="20"/>
                <w:szCs w:val="20"/>
              </w:rPr>
            </w:pPr>
            <w:r w:rsidRPr="00C64727">
              <w:rPr>
                <w:rFonts w:ascii="Times New Roman" w:hAnsi="Times New Roman"/>
                <w:b/>
                <w:bCs/>
                <w:sz w:val="20"/>
                <w:szCs w:val="20"/>
              </w:rPr>
              <w:t>Az új belépők és gyorsan növekvő üzemeltetők számára létrehozott különleges tartalékból való térítésmentes kiosztás</w:t>
            </w:r>
          </w:p>
        </w:tc>
        <w:tc>
          <w:tcPr>
            <w:tcW w:w="491" w:type="pct"/>
            <w:tcBorders>
              <w:top w:val="nil"/>
              <w:left w:val="nil"/>
              <w:bottom w:val="double" w:sz="4" w:space="0" w:color="auto"/>
              <w:right w:val="double" w:sz="4" w:space="0" w:color="auto"/>
            </w:tcBorders>
            <w:tcMar>
              <w:top w:w="0" w:type="dxa"/>
              <w:left w:w="108" w:type="dxa"/>
              <w:bottom w:w="0" w:type="dxa"/>
              <w:right w:w="108" w:type="dxa"/>
            </w:tcMar>
            <w:vAlign w:val="center"/>
          </w:tcPr>
          <w:p w14:paraId="5C40A67E" w14:textId="77777777" w:rsidR="0067338B" w:rsidRPr="00C64727" w:rsidRDefault="00E2275C">
            <w:pPr>
              <w:jc w:val="center"/>
              <w:rPr>
                <w:rFonts w:ascii="Times New Roman" w:hAnsi="Times New Roman"/>
                <w:color w:val="000000"/>
                <w:sz w:val="20"/>
                <w:szCs w:val="20"/>
              </w:rPr>
            </w:pPr>
            <w:r w:rsidRPr="00C64727">
              <w:rPr>
                <w:rFonts w:ascii="Times New Roman" w:hAnsi="Times New Roman"/>
                <w:sz w:val="20"/>
                <w:szCs w:val="20"/>
              </w:rPr>
              <w:t>0</w:t>
            </w:r>
          </w:p>
        </w:tc>
        <w:tc>
          <w:tcPr>
            <w:tcW w:w="544" w:type="pct"/>
            <w:tcBorders>
              <w:top w:val="nil"/>
              <w:left w:val="nil"/>
              <w:bottom w:val="double" w:sz="4" w:space="0" w:color="auto"/>
              <w:right w:val="double" w:sz="4" w:space="0" w:color="auto"/>
            </w:tcBorders>
            <w:tcMar>
              <w:top w:w="0" w:type="dxa"/>
              <w:left w:w="108" w:type="dxa"/>
              <w:bottom w:w="0" w:type="dxa"/>
              <w:right w:w="108" w:type="dxa"/>
            </w:tcMar>
            <w:vAlign w:val="center"/>
          </w:tcPr>
          <w:p w14:paraId="374010BB" w14:textId="77777777" w:rsidR="0067338B" w:rsidRPr="00C64727" w:rsidRDefault="00E2275C">
            <w:pPr>
              <w:jc w:val="center"/>
              <w:rPr>
                <w:rFonts w:ascii="Times New Roman" w:hAnsi="Times New Roman"/>
                <w:color w:val="000000"/>
                <w:sz w:val="20"/>
                <w:szCs w:val="20"/>
              </w:rPr>
            </w:pPr>
            <w:r w:rsidRPr="00C64727">
              <w:rPr>
                <w:rFonts w:ascii="Times New Roman" w:hAnsi="Times New Roman"/>
                <w:sz w:val="20"/>
                <w:szCs w:val="20"/>
              </w:rPr>
              <w:t>0</w:t>
            </w:r>
          </w:p>
        </w:tc>
        <w:tc>
          <w:tcPr>
            <w:tcW w:w="543" w:type="pct"/>
            <w:tcBorders>
              <w:top w:val="nil"/>
              <w:left w:val="nil"/>
              <w:bottom w:val="double" w:sz="4" w:space="0" w:color="auto"/>
              <w:right w:val="double" w:sz="4" w:space="0" w:color="auto"/>
            </w:tcBorders>
            <w:tcMar>
              <w:top w:w="0" w:type="dxa"/>
              <w:left w:w="108" w:type="dxa"/>
              <w:bottom w:w="0" w:type="dxa"/>
              <w:right w:w="108" w:type="dxa"/>
            </w:tcMar>
            <w:vAlign w:val="center"/>
          </w:tcPr>
          <w:p w14:paraId="2FCEB16C" w14:textId="77777777" w:rsidR="0067338B" w:rsidRPr="00C64727" w:rsidRDefault="00E2275C">
            <w:pPr>
              <w:jc w:val="center"/>
              <w:rPr>
                <w:rFonts w:ascii="Times New Roman" w:hAnsi="Times New Roman"/>
                <w:color w:val="000000"/>
                <w:sz w:val="20"/>
                <w:szCs w:val="20"/>
              </w:rPr>
            </w:pPr>
            <w:r w:rsidRPr="00C64727">
              <w:rPr>
                <w:rFonts w:ascii="Times New Roman" w:hAnsi="Times New Roman"/>
                <w:sz w:val="20"/>
                <w:szCs w:val="20"/>
              </w:rPr>
              <w:t>0</w:t>
            </w:r>
          </w:p>
        </w:tc>
        <w:tc>
          <w:tcPr>
            <w:tcW w:w="541" w:type="pct"/>
            <w:tcBorders>
              <w:top w:val="nil"/>
              <w:left w:val="nil"/>
              <w:bottom w:val="double" w:sz="4" w:space="0" w:color="auto"/>
              <w:right w:val="double" w:sz="4" w:space="0" w:color="auto"/>
            </w:tcBorders>
            <w:tcMar>
              <w:top w:w="0" w:type="dxa"/>
              <w:left w:w="108" w:type="dxa"/>
              <w:bottom w:w="0" w:type="dxa"/>
              <w:right w:w="108" w:type="dxa"/>
            </w:tcMar>
            <w:vAlign w:val="center"/>
          </w:tcPr>
          <w:p w14:paraId="27794DC2" w14:textId="77777777" w:rsidR="0067338B" w:rsidRPr="00C64727" w:rsidRDefault="00E2275C">
            <w:pPr>
              <w:jc w:val="center"/>
              <w:rPr>
                <w:rFonts w:ascii="Times New Roman" w:hAnsi="Times New Roman"/>
                <w:color w:val="000000"/>
                <w:sz w:val="20"/>
                <w:szCs w:val="20"/>
              </w:rPr>
            </w:pPr>
            <w:r w:rsidRPr="00C64727">
              <w:rPr>
                <w:rFonts w:ascii="Times New Roman" w:hAnsi="Times New Roman"/>
                <w:sz w:val="20"/>
                <w:szCs w:val="20"/>
              </w:rPr>
              <w:t>0</w:t>
            </w:r>
          </w:p>
        </w:tc>
        <w:tc>
          <w:tcPr>
            <w:tcW w:w="539" w:type="pct"/>
            <w:tcBorders>
              <w:top w:val="nil"/>
              <w:left w:val="nil"/>
              <w:bottom w:val="double" w:sz="4" w:space="0" w:color="auto"/>
              <w:right w:val="double" w:sz="4" w:space="0" w:color="auto"/>
            </w:tcBorders>
            <w:vAlign w:val="center"/>
          </w:tcPr>
          <w:p w14:paraId="73A8D6ED" w14:textId="77777777" w:rsidR="0067338B" w:rsidRPr="00C64727" w:rsidRDefault="00E2275C">
            <w:pPr>
              <w:jc w:val="center"/>
              <w:rPr>
                <w:rFonts w:ascii="Times New Roman" w:hAnsi="Times New Roman"/>
                <w:color w:val="000000"/>
                <w:sz w:val="20"/>
                <w:szCs w:val="20"/>
              </w:rPr>
            </w:pPr>
            <w:r w:rsidRPr="00C64727">
              <w:rPr>
                <w:rFonts w:ascii="Times New Roman" w:hAnsi="Times New Roman"/>
                <w:sz w:val="20"/>
                <w:szCs w:val="20"/>
              </w:rPr>
              <w:t>1,1</w:t>
            </w:r>
          </w:p>
        </w:tc>
        <w:tc>
          <w:tcPr>
            <w:tcW w:w="539" w:type="pct"/>
            <w:tcBorders>
              <w:top w:val="nil"/>
              <w:left w:val="nil"/>
              <w:bottom w:val="double" w:sz="4" w:space="0" w:color="auto"/>
              <w:right w:val="double" w:sz="4" w:space="0" w:color="auto"/>
            </w:tcBorders>
            <w:vAlign w:val="center"/>
          </w:tcPr>
          <w:p w14:paraId="2F4A3EEE" w14:textId="77777777" w:rsidR="0067338B" w:rsidRPr="00C64727" w:rsidRDefault="00E2275C">
            <w:pPr>
              <w:jc w:val="center"/>
              <w:rPr>
                <w:rFonts w:ascii="Times New Roman" w:hAnsi="Times New Roman"/>
                <w:color w:val="000000"/>
                <w:sz w:val="20"/>
                <w:szCs w:val="20"/>
              </w:rPr>
            </w:pPr>
            <w:r w:rsidRPr="00C64727">
              <w:rPr>
                <w:rFonts w:ascii="Times New Roman" w:hAnsi="Times New Roman"/>
                <w:sz w:val="20"/>
                <w:szCs w:val="20"/>
              </w:rPr>
              <w:t>1,1</w:t>
            </w:r>
          </w:p>
        </w:tc>
        <w:tc>
          <w:tcPr>
            <w:tcW w:w="537" w:type="pct"/>
            <w:tcBorders>
              <w:top w:val="nil"/>
              <w:left w:val="nil"/>
              <w:bottom w:val="double" w:sz="4" w:space="0" w:color="auto"/>
              <w:right w:val="double" w:sz="4" w:space="0" w:color="auto"/>
            </w:tcBorders>
            <w:vAlign w:val="center"/>
          </w:tcPr>
          <w:p w14:paraId="4E5CFB9D" w14:textId="77777777" w:rsidR="0067338B" w:rsidRPr="00C64727" w:rsidRDefault="00E2275C">
            <w:pPr>
              <w:jc w:val="center"/>
              <w:rPr>
                <w:rFonts w:ascii="Times New Roman" w:hAnsi="Times New Roman"/>
                <w:color w:val="000000"/>
                <w:sz w:val="20"/>
                <w:szCs w:val="20"/>
              </w:rPr>
            </w:pPr>
            <w:r w:rsidRPr="00C64727">
              <w:rPr>
                <w:rFonts w:ascii="Times New Roman" w:hAnsi="Times New Roman"/>
                <w:sz w:val="20"/>
                <w:szCs w:val="20"/>
              </w:rPr>
              <w:t>1,1</w:t>
            </w:r>
          </w:p>
        </w:tc>
      </w:tr>
      <w:tr w:rsidR="0067338B" w:rsidRPr="00C64727" w14:paraId="76FB81C0" w14:textId="77777777" w:rsidTr="002802C4">
        <w:trPr>
          <w:trHeight w:val="34"/>
        </w:trPr>
        <w:tc>
          <w:tcPr>
            <w:tcW w:w="126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500669C3" w14:textId="77777777" w:rsidR="0067338B" w:rsidRPr="00C64727" w:rsidRDefault="00E2275C">
            <w:pPr>
              <w:jc w:val="center"/>
              <w:rPr>
                <w:rFonts w:ascii="Times New Roman" w:hAnsi="Times New Roman"/>
                <w:b/>
                <w:bCs/>
                <w:color w:val="000000"/>
                <w:sz w:val="20"/>
                <w:szCs w:val="20"/>
              </w:rPr>
            </w:pPr>
            <w:r w:rsidRPr="00C64727">
              <w:rPr>
                <w:rFonts w:ascii="Times New Roman" w:hAnsi="Times New Roman"/>
                <w:b/>
                <w:bCs/>
                <w:sz w:val="20"/>
                <w:szCs w:val="20"/>
              </w:rPr>
              <w:t>Az árverésre bocsátott kibocsátási egységek mennyisége</w:t>
            </w:r>
          </w:p>
        </w:tc>
        <w:tc>
          <w:tcPr>
            <w:tcW w:w="49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1142F5D" w14:textId="77777777" w:rsidR="0067338B" w:rsidRPr="00C64727" w:rsidRDefault="00E2275C">
            <w:pPr>
              <w:jc w:val="center"/>
              <w:rPr>
                <w:rFonts w:ascii="Times New Roman" w:hAnsi="Times New Roman"/>
                <w:color w:val="000000"/>
                <w:sz w:val="20"/>
                <w:szCs w:val="20"/>
              </w:rPr>
            </w:pPr>
            <w:r w:rsidRPr="00C64727">
              <w:rPr>
                <w:rFonts w:ascii="Times New Roman" w:hAnsi="Times New Roman"/>
                <w:sz w:val="20"/>
                <w:szCs w:val="20"/>
              </w:rPr>
              <w:t>0</w:t>
            </w:r>
          </w:p>
        </w:tc>
        <w:tc>
          <w:tcPr>
            <w:tcW w:w="544"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1E69CE3E" w14:textId="77777777" w:rsidR="0067338B" w:rsidRPr="00C64727" w:rsidRDefault="00E2275C">
            <w:pPr>
              <w:jc w:val="center"/>
              <w:rPr>
                <w:rFonts w:ascii="Times New Roman" w:hAnsi="Times New Roman"/>
                <w:color w:val="000000"/>
                <w:sz w:val="20"/>
                <w:szCs w:val="20"/>
              </w:rPr>
            </w:pPr>
            <w:r w:rsidRPr="00C64727">
              <w:rPr>
                <w:rFonts w:ascii="Times New Roman" w:hAnsi="Times New Roman"/>
                <w:sz w:val="20"/>
                <w:szCs w:val="20"/>
              </w:rPr>
              <w:t>9,3</w:t>
            </w:r>
          </w:p>
        </w:tc>
        <w:tc>
          <w:tcPr>
            <w:tcW w:w="54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5C19D0A0" w14:textId="77777777" w:rsidR="0067338B" w:rsidRPr="00C64727" w:rsidRDefault="00E2275C">
            <w:pPr>
              <w:jc w:val="center"/>
              <w:rPr>
                <w:rFonts w:ascii="Times New Roman" w:hAnsi="Times New Roman"/>
                <w:color w:val="000000"/>
                <w:sz w:val="20"/>
                <w:szCs w:val="20"/>
              </w:rPr>
            </w:pPr>
            <w:r w:rsidRPr="00C64727">
              <w:rPr>
                <w:rFonts w:ascii="Times New Roman" w:hAnsi="Times New Roman"/>
                <w:sz w:val="20"/>
                <w:szCs w:val="20"/>
              </w:rPr>
              <w:t>16,4</w:t>
            </w:r>
          </w:p>
        </w:tc>
        <w:tc>
          <w:tcPr>
            <w:tcW w:w="54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65657B7D" w14:textId="77777777" w:rsidR="0067338B" w:rsidRPr="00C64727" w:rsidRDefault="00E2275C">
            <w:pPr>
              <w:jc w:val="center"/>
              <w:rPr>
                <w:rFonts w:ascii="Times New Roman" w:hAnsi="Times New Roman"/>
                <w:color w:val="000000"/>
                <w:sz w:val="20"/>
                <w:szCs w:val="20"/>
              </w:rPr>
            </w:pPr>
            <w:r w:rsidRPr="00C64727">
              <w:rPr>
                <w:rFonts w:ascii="Times New Roman" w:hAnsi="Times New Roman"/>
                <w:sz w:val="20"/>
                <w:szCs w:val="20"/>
              </w:rPr>
              <w:t>5,9</w:t>
            </w:r>
          </w:p>
        </w:tc>
        <w:tc>
          <w:tcPr>
            <w:tcW w:w="539" w:type="pct"/>
            <w:tcBorders>
              <w:top w:val="nil"/>
              <w:left w:val="nil"/>
              <w:bottom w:val="double" w:sz="4" w:space="0" w:color="auto"/>
              <w:right w:val="double" w:sz="4" w:space="0" w:color="auto"/>
            </w:tcBorders>
            <w:vAlign w:val="center"/>
          </w:tcPr>
          <w:p w14:paraId="013F63CC" w14:textId="77777777" w:rsidR="0067338B" w:rsidRPr="00C64727" w:rsidRDefault="00E2275C">
            <w:pPr>
              <w:jc w:val="center"/>
              <w:rPr>
                <w:rFonts w:ascii="Times New Roman" w:hAnsi="Times New Roman"/>
                <w:color w:val="000000"/>
                <w:sz w:val="20"/>
                <w:szCs w:val="20"/>
              </w:rPr>
            </w:pPr>
            <w:r w:rsidRPr="00C64727">
              <w:rPr>
                <w:rFonts w:ascii="Times New Roman" w:hAnsi="Times New Roman"/>
                <w:sz w:val="20"/>
                <w:szCs w:val="20"/>
              </w:rPr>
              <w:t>4,7</w:t>
            </w:r>
          </w:p>
        </w:tc>
        <w:tc>
          <w:tcPr>
            <w:tcW w:w="539" w:type="pct"/>
            <w:tcBorders>
              <w:top w:val="nil"/>
              <w:left w:val="nil"/>
              <w:bottom w:val="double" w:sz="4" w:space="0" w:color="auto"/>
              <w:right w:val="double" w:sz="4" w:space="0" w:color="auto"/>
            </w:tcBorders>
            <w:vAlign w:val="center"/>
          </w:tcPr>
          <w:p w14:paraId="77E44679" w14:textId="77777777" w:rsidR="0067338B" w:rsidRPr="00C64727" w:rsidRDefault="00E2275C">
            <w:pPr>
              <w:jc w:val="center"/>
              <w:rPr>
                <w:rFonts w:ascii="Times New Roman" w:hAnsi="Times New Roman"/>
                <w:color w:val="000000"/>
                <w:sz w:val="20"/>
                <w:szCs w:val="20"/>
              </w:rPr>
            </w:pPr>
            <w:r w:rsidRPr="00C64727">
              <w:rPr>
                <w:rFonts w:ascii="Times New Roman" w:hAnsi="Times New Roman"/>
                <w:sz w:val="20"/>
                <w:szCs w:val="20"/>
              </w:rPr>
              <w:t>5,6</w:t>
            </w:r>
          </w:p>
        </w:tc>
        <w:tc>
          <w:tcPr>
            <w:tcW w:w="537" w:type="pct"/>
            <w:tcBorders>
              <w:top w:val="nil"/>
              <w:left w:val="nil"/>
              <w:bottom w:val="double" w:sz="4" w:space="0" w:color="auto"/>
              <w:right w:val="double" w:sz="4" w:space="0" w:color="auto"/>
            </w:tcBorders>
            <w:vAlign w:val="center"/>
          </w:tcPr>
          <w:p w14:paraId="0B708719" w14:textId="77777777" w:rsidR="0067338B" w:rsidRPr="00C64727" w:rsidRDefault="00E2275C">
            <w:pPr>
              <w:jc w:val="center"/>
              <w:rPr>
                <w:rFonts w:ascii="Times New Roman" w:hAnsi="Times New Roman"/>
                <w:color w:val="000000"/>
                <w:sz w:val="20"/>
                <w:szCs w:val="20"/>
              </w:rPr>
            </w:pPr>
            <w:r w:rsidRPr="00C64727">
              <w:rPr>
                <w:rFonts w:ascii="Times New Roman" w:hAnsi="Times New Roman"/>
                <w:sz w:val="20"/>
                <w:szCs w:val="20"/>
              </w:rPr>
              <w:t>2,0</w:t>
            </w:r>
            <w:r w:rsidRPr="00C64727">
              <w:rPr>
                <w:rStyle w:val="FootnoteReference"/>
                <w:rFonts w:ascii="Times New Roman" w:hAnsi="Times New Roman"/>
                <w:sz w:val="20"/>
                <w:szCs w:val="20"/>
              </w:rPr>
              <w:footnoteReference w:id="54"/>
            </w:r>
          </w:p>
        </w:tc>
      </w:tr>
    </w:tbl>
    <w:p w14:paraId="29ADA161" w14:textId="3483F937" w:rsidR="0067338B" w:rsidRPr="00C64727" w:rsidRDefault="00526348">
      <w:pPr>
        <w:jc w:val="both"/>
        <w:rPr>
          <w:rFonts w:ascii="Times New Roman" w:hAnsi="Times New Roman"/>
          <w:sz w:val="18"/>
          <w:szCs w:val="18"/>
        </w:rPr>
      </w:pPr>
      <w:r w:rsidRPr="00C64727">
        <w:rPr>
          <w:rFonts w:ascii="Times New Roman" w:hAnsi="Times New Roman"/>
          <w:sz w:val="18"/>
          <w:szCs w:val="18"/>
        </w:rPr>
        <w:t xml:space="preserve">Forrás: EUTL, </w:t>
      </w:r>
      <w:r w:rsidR="0086407F">
        <w:rPr>
          <w:rFonts w:ascii="Times New Roman" w:hAnsi="Times New Roman"/>
          <w:sz w:val="18"/>
          <w:szCs w:val="18"/>
        </w:rPr>
        <w:t>Éghajlatpolitikai Főigazgatóság</w:t>
      </w:r>
      <w:r w:rsidRPr="00C64727">
        <w:rPr>
          <w:rFonts w:ascii="Times New Roman" w:hAnsi="Times New Roman"/>
          <w:sz w:val="18"/>
          <w:szCs w:val="18"/>
        </w:rPr>
        <w:t>, EEX</w:t>
      </w:r>
    </w:p>
    <w:p w14:paraId="0514DF2F" w14:textId="77777777" w:rsidR="0067338B" w:rsidRPr="00C64727" w:rsidRDefault="00C95B98">
      <w:pPr>
        <w:jc w:val="both"/>
        <w:rPr>
          <w:rFonts w:ascii="Times New Roman" w:hAnsi="Times New Roman"/>
          <w:sz w:val="24"/>
          <w:szCs w:val="24"/>
        </w:rPr>
      </w:pPr>
      <w:r w:rsidRPr="00C64727">
        <w:rPr>
          <w:rFonts w:ascii="Times New Roman" w:hAnsi="Times New Roman"/>
          <w:sz w:val="24"/>
          <w:szCs w:val="24"/>
        </w:rPr>
        <w:t>2013-ban határozatot</w:t>
      </w:r>
      <w:r w:rsidRPr="00C64727">
        <w:rPr>
          <w:rFonts w:ascii="Times New Roman" w:hAnsi="Times New Roman"/>
          <w:sz w:val="24"/>
          <w:szCs w:val="24"/>
          <w:vertAlign w:val="superscript"/>
        </w:rPr>
        <w:footnoteReference w:id="55"/>
      </w:r>
      <w:r w:rsidRPr="00C64727">
        <w:rPr>
          <w:rFonts w:ascii="Times New Roman" w:hAnsi="Times New Roman"/>
          <w:sz w:val="24"/>
          <w:szCs w:val="24"/>
        </w:rPr>
        <w:t xml:space="preserve"> fogadtak el az éghajlattal kapcsolatos kötelezettségek EGT területén belüli járatokra való korlátozásáról. A légiközlekedési ágazat esetében a megfelelést 2012-re és 2013-ra halasztották. A kibocsátási egységek elhalasztott 2012-es mennyiségét ezért 2014-ben bocsátották árverésre, míg a légi közlekedésből származó 2013. és 2014. évi kibocsátások esetében 2015. január és április között került sor a megfelelésre.</w:t>
      </w:r>
    </w:p>
    <w:p w14:paraId="0CC2B27E" w14:textId="77777777" w:rsidR="0067338B" w:rsidRPr="00C64727" w:rsidRDefault="00AE6522">
      <w:pPr>
        <w:jc w:val="both"/>
        <w:rPr>
          <w:rFonts w:ascii="Times New Roman" w:hAnsi="Times New Roman"/>
          <w:sz w:val="24"/>
          <w:szCs w:val="24"/>
        </w:rPr>
      </w:pPr>
      <w:r w:rsidRPr="00C64727">
        <w:rPr>
          <w:rFonts w:ascii="Times New Roman" w:hAnsi="Times New Roman"/>
          <w:sz w:val="24"/>
          <w:szCs w:val="24"/>
        </w:rPr>
        <w:t>2018 júniusában az ICAO elfogadta a CORSIA szabványokat és ajánlott gyakorlatokat (SARP-ok)</w:t>
      </w:r>
      <w:r w:rsidRPr="00C64727">
        <w:rPr>
          <w:rStyle w:val="FootnoteReference"/>
          <w:rFonts w:ascii="Times New Roman" w:hAnsi="Times New Roman"/>
          <w:sz w:val="24"/>
          <w:szCs w:val="24"/>
        </w:rPr>
        <w:footnoteReference w:id="56"/>
      </w:r>
      <w:r w:rsidRPr="00C64727">
        <w:rPr>
          <w:rFonts w:ascii="Times New Roman" w:hAnsi="Times New Roman"/>
          <w:sz w:val="24"/>
          <w:szCs w:val="24"/>
        </w:rPr>
        <w:t>. Ezek a végrehajtási elemekkel együtt részletesen leírják a CORSIA működését. A fontosabb végrehajtási elemeket, mint a jogosult egységeket és az alternatív tüzelőanyagokra vonatkozó keretet egyelőre nem fogadták el. Miközben elismerte és támogatta a CORSIA szabványok és ajánlott gyakorlatok ICAO által történt elfogadását, az Unió és tagállamai az ICAO eljárásokat követve bejelentették a vonatkozó uniós jogszabályok és a CORSIA szabályok közötti meglévő különbségeket</w:t>
      </w:r>
      <w:r w:rsidRPr="00C64727">
        <w:rPr>
          <w:rStyle w:val="FootnoteReference"/>
          <w:rFonts w:ascii="Times New Roman" w:hAnsi="Times New Roman"/>
          <w:sz w:val="24"/>
          <w:szCs w:val="24"/>
        </w:rPr>
        <w:footnoteReference w:id="57"/>
      </w:r>
      <w:r w:rsidRPr="00C64727">
        <w:rPr>
          <w:rFonts w:ascii="Times New Roman" w:hAnsi="Times New Roman"/>
          <w:sz w:val="24"/>
          <w:szCs w:val="24"/>
        </w:rPr>
        <w:t>. 2019. január 1-jétől a légijármű-üzemeltetőknek a CORSIA keretében is nyomon kell követniük és jelenteniük kell a kibocsátásaikat. Felülvizsgálták az EU ETS keretében létrehozott nyomonkövetési, jelentési és hitelesítési keretet egy erre vonatkozó, jogilag kötelező kötelezettség bevezetése érdekében (lásd a 6.1. fejezetet).  A mindkét eszközzel kapcsolatos integrált megközelítés biztosítja az adminisztratív terhek minimálisra csökkentését.</w:t>
      </w:r>
    </w:p>
    <w:p w14:paraId="244649E4" w14:textId="77777777" w:rsidR="0067338B" w:rsidRPr="00C64727" w:rsidRDefault="00A52F4C">
      <w:pPr>
        <w:pStyle w:val="Heading1"/>
        <w:spacing w:before="0" w:after="200"/>
        <w:rPr>
          <w:szCs w:val="24"/>
        </w:rPr>
      </w:pPr>
      <w:bookmarkStart w:id="20" w:name="_Toc24093097"/>
      <w:r w:rsidRPr="00C64727">
        <w:rPr>
          <w:szCs w:val="24"/>
        </w:rPr>
        <w:t>5. PIACFELÜGYELET</w:t>
      </w:r>
      <w:bookmarkEnd w:id="20"/>
    </w:p>
    <w:p w14:paraId="378D798F" w14:textId="77777777" w:rsidR="0067338B" w:rsidRPr="00C64727" w:rsidRDefault="00E71363">
      <w:pPr>
        <w:jc w:val="both"/>
        <w:rPr>
          <w:rFonts w:ascii="Times New Roman" w:hAnsi="Times New Roman"/>
          <w:sz w:val="24"/>
          <w:szCs w:val="24"/>
        </w:rPr>
      </w:pPr>
      <w:r w:rsidRPr="00C64727">
        <w:rPr>
          <w:rFonts w:ascii="Times New Roman" w:hAnsi="Times New Roman"/>
          <w:noProof/>
          <w:sz w:val="24"/>
          <w:szCs w:val="24"/>
          <w:lang w:val="en-GB" w:eastAsia="en-GB"/>
        </w:rPr>
        <mc:AlternateContent>
          <mc:Choice Requires="wps">
            <w:drawing>
              <wp:inline distT="0" distB="0" distL="0" distR="0" wp14:anchorId="45945B53" wp14:editId="67804AC1">
                <wp:extent cx="5731510" cy="5675282"/>
                <wp:effectExtent l="0" t="0" r="21590" b="20955"/>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5675282"/>
                        </a:xfrm>
                        <a:prstGeom prst="rect">
                          <a:avLst/>
                        </a:prstGeom>
                        <a:solidFill>
                          <a:sysClr val="window" lastClr="FFFFFF">
                            <a:lumMod val="85000"/>
                          </a:sysClr>
                        </a:solidFill>
                        <a:ln w="12700">
                          <a:solidFill>
                            <a:srgbClr val="000000"/>
                          </a:solidFill>
                          <a:miter lim="800000"/>
                          <a:headEnd/>
                          <a:tailEnd/>
                        </a:ln>
                      </wps:spPr>
                      <wps:txbx>
                        <w:txbxContent>
                          <w:p w14:paraId="149792CA" w14:textId="2F69B695" w:rsidR="0067338B" w:rsidRPr="00C64727" w:rsidRDefault="00516F65">
                            <w:pPr>
                              <w:jc w:val="both"/>
                              <w:rPr>
                                <w:rFonts w:ascii="Times New Roman" w:hAnsi="Times New Roman"/>
                                <w:sz w:val="24"/>
                                <w:szCs w:val="24"/>
                              </w:rPr>
                            </w:pPr>
                            <w:r w:rsidRPr="00C64727">
                              <w:rPr>
                                <w:rFonts w:ascii="Times New Roman" w:hAnsi="Times New Roman"/>
                                <w:sz w:val="24"/>
                                <w:szCs w:val="24"/>
                              </w:rPr>
                              <w:t>A pénzügyi eszközök piacairól szóló felülvizsgált irányelv* (MiFID II. irányelv) értelmében a kibocsátási egységek 2018. január 3-tól pénzügyi eszköznek minősülnek. Ez azt jelenti, hogy ugyanazok a szabályok vonatkoznak a másodlagos szén-dioxid-piac azonnali szegmensére (kibocsátási egységekkel a másodlagos piacon azonnali leszállítás céljából lebonyolított ügyletek) is, mint a hagyományos pénzügyi piacokra (köztük azokra, ahol a szén-dioxid-kibocsátásból származtatott termékekkel kereskednek a vezető platformokon vagy a tőzsdén kívül [OTC]). E szegmens így az átláthatóság, a befektetők védelme és az integritás tekintetében azonos alapra került a származékos ügyletek piacával. A piaci visszaélésekkel kapcsolatos kérdéseket leszámítva az elsődleges piac felügyeletét továbbra is az árverésekre vonatkozó rendelet szabályozza.</w:t>
                            </w:r>
                          </w:p>
                          <w:p w14:paraId="15E713A5" w14:textId="77777777" w:rsidR="0067338B" w:rsidRPr="00C64727" w:rsidRDefault="00516F65">
                            <w:pPr>
                              <w:jc w:val="both"/>
                              <w:rPr>
                                <w:rFonts w:ascii="Times New Roman" w:hAnsi="Times New Roman"/>
                                <w:sz w:val="24"/>
                                <w:szCs w:val="24"/>
                              </w:rPr>
                            </w:pPr>
                            <w:r w:rsidRPr="00C64727">
                              <w:rPr>
                                <w:rFonts w:ascii="Times New Roman" w:hAnsi="Times New Roman"/>
                                <w:sz w:val="24"/>
                                <w:szCs w:val="24"/>
                              </w:rPr>
                              <w:t>A pénzügyi eszközöknek a MiFID II. irányelvben adott meghatározására történő kereszthivatkozás alapján a pénzügyi piacra vonatkozó egyéb jogszabályokat is alkalmazni kell. Ez a helyzet különösen a piaci visszaélésekről szóló rendelet** esetében, amelyet az elsődleges és másodlagos piacokon is alkalmazni kell a kibocsátási egységeket érintő ügyletek és magatartás tekintetében. Ehhez hasonlóan, a pénzmosási irányelvben*** a MiFID II. irányelvre történő kereszthivatkozás alapján a MiFID-irányelv szerinti engedéllyel rendelkező kibocsátásiegység-kereskedőknek kötelezően ügyfél-átvilágítást kell végezniük a kibocsátási egységek másodlagos azonnali piacán. ****</w:t>
                            </w:r>
                          </w:p>
                          <w:p w14:paraId="5CE966A0" w14:textId="77777777" w:rsidR="0067338B" w:rsidRDefault="00516F65">
                            <w:pPr>
                              <w:jc w:val="both"/>
                              <w:rPr>
                                <w:rFonts w:ascii="Times New Roman" w:hAnsi="Times New Roman"/>
                                <w:sz w:val="18"/>
                                <w:szCs w:val="18"/>
                              </w:rPr>
                            </w:pPr>
                            <w:r>
                              <w:rPr>
                                <w:rFonts w:ascii="Times New Roman" w:hAnsi="Times New Roman"/>
                                <w:sz w:val="18"/>
                                <w:szCs w:val="18"/>
                              </w:rPr>
                              <w:t xml:space="preserve">* Az Európai Parlament és a Tanács 2014/65/EU irányelve (2014. május 15.) a pénzügyi eszközök piacairól, valamint a 2002/92/EK irányelv és a 2011/61/EU irányelv módosításáról </w:t>
                            </w:r>
                          </w:p>
                          <w:p w14:paraId="0112DF1F" w14:textId="77777777" w:rsidR="0067338B" w:rsidRDefault="00516F65">
                            <w:pPr>
                              <w:jc w:val="both"/>
                              <w:rPr>
                                <w:rFonts w:ascii="Times New Roman" w:hAnsi="Times New Roman"/>
                                <w:sz w:val="18"/>
                                <w:szCs w:val="18"/>
                              </w:rPr>
                            </w:pPr>
                            <w:r>
                              <w:rPr>
                                <w:rFonts w:ascii="Times New Roman" w:hAnsi="Times New Roman"/>
                                <w:sz w:val="18"/>
                                <w:szCs w:val="18"/>
                              </w:rPr>
                              <w:t>** Az Európai Parlament és a Tanács 596/2014/EU rendelete (2014. április 16) a piaci visszaélésekről (piaci visszaélésekről szóló rendelet), valamint a 2003/6/EK európai parlamenti és tanácsi irányelv és a 2003/124/EK, a 2003/125/EK és a 2004/72/EK bizottsági irányelv hatályon kívül helyezéséről</w:t>
                            </w:r>
                          </w:p>
                          <w:p w14:paraId="4C065751" w14:textId="77777777" w:rsidR="0067338B" w:rsidRDefault="00516F65">
                            <w:pPr>
                              <w:jc w:val="both"/>
                              <w:rPr>
                                <w:rFonts w:ascii="Times New Roman" w:hAnsi="Times New Roman"/>
                                <w:sz w:val="18"/>
                                <w:szCs w:val="18"/>
                              </w:rPr>
                            </w:pPr>
                            <w:r>
                              <w:rPr>
                                <w:rFonts w:ascii="Times New Roman" w:hAnsi="Times New Roman"/>
                                <w:sz w:val="18"/>
                                <w:szCs w:val="18"/>
                              </w:rPr>
                              <w:t xml:space="preserve">*** Az Európai Parlament és a Tanács (EU) 2015/849 irányelve (2015. május 20.) a pénzügyi rendszerek pénzmosás vagy terrorizmusfinanszírozás céljára való felhasználásának megelőzéséről, a 648/2012/EU európai parlamenti és tanácsi rendelet módosításáról, valamint a 2005/60/EK európai parlamenti és tanácsi irányelv és a 2006/70/EK bizottsági irányelv hatályon kívül helyezéséről </w:t>
                            </w:r>
                          </w:p>
                          <w:p w14:paraId="2A509AF7" w14:textId="77777777" w:rsidR="0067338B" w:rsidRDefault="00516F65">
                            <w:pPr>
                              <w:jc w:val="both"/>
                              <w:rPr>
                                <w:rFonts w:ascii="Times New Roman" w:hAnsi="Times New Roman"/>
                                <w:sz w:val="18"/>
                                <w:szCs w:val="18"/>
                              </w:rPr>
                            </w:pPr>
                            <w:r>
                              <w:rPr>
                                <w:rFonts w:ascii="Times New Roman" w:hAnsi="Times New Roman"/>
                                <w:sz w:val="18"/>
                                <w:szCs w:val="18"/>
                              </w:rPr>
                              <w:t>**** Az ügyfél-átvilágítás az elsődleges piacon és a kibocsátási egységekből származtatott pénzügyi eszközök másodlagos piacán már jelenleg is kötelező.</w:t>
                            </w:r>
                          </w:p>
                        </w:txbxContent>
                      </wps:txbx>
                      <wps:bodyPr rot="0" vert="horz" wrap="square" lIns="91440" tIns="45720" rIns="91440" bIns="45720" anchor="t" anchorCtr="0">
                        <a:noAutofit/>
                      </wps:bodyPr>
                    </wps:wsp>
                  </a:graphicData>
                </a:graphic>
              </wp:inline>
            </w:drawing>
          </mc:Choice>
          <mc:Fallback>
            <w:pict>
              <v:shape w14:anchorId="45945B53" id="_x0000_s1038" type="#_x0000_t202" style="width:451.3pt;height:44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" fillcolor="#d9d9d9" strokeweight="1pt">
                <v:textbox>
                  <w:txbxContent>
                    <w:p w14:paraId="149792CA" w14:textId="2F69B695" w:rsidR="0067338B" w:rsidRPr="00C64727" w:rsidRDefault="00516F65">
                      <w:pPr>
                        <w:jc w:val="both"/>
                        <w:rPr>
                          <w:rFonts w:ascii="Times New Roman" w:hAnsi="Times New Roman"/>
                          <w:sz w:val="24"/>
                          <w:szCs w:val="24"/>
                        </w:rPr>
                      </w:pPr>
                      <w:r w:rsidRPr="00C64727">
                        <w:rPr>
                          <w:rFonts w:ascii="Times New Roman" w:hAnsi="Times New Roman"/>
                          <w:sz w:val="24"/>
                          <w:szCs w:val="24"/>
                        </w:rPr>
                        <w:t>A pénzügyi eszközök piacairól szóló felülvizsgált irányelv* (MiFID II. irányelv) értelmében a kibocsátási egységek 2018. január 3-tól pénzügyi eszköznek minősülnek. Ez azt jelenti, hogy ugyanazok a szabályok vonatkoznak a másodlagos szén-dioxid-piac azonnali szegmensére (kibocsátási egységekkel a másodlagos piacon azonnali leszállítás céljából lebonyolított ügyletek) is, mint a hagyományos pénzügyi piacokra (köztük azokra, ahol a szén-dioxid-kibocsátásból származtatott termékekkel kereskednek a vezető platformokon vagy a tőzsdén kívül [OTC]). E szegmens így az átláthatóság, a befektetők védelme és az integritás tekintetében azonos alapra került a származékos ügyletek piacával. A piaci visszaélésekkel kapcsolatos kérdéseket leszámítva az elsődleges piac felügyeletét továbbra is az árverésekre vonatkozó rendelet szabályozza.</w:t>
                      </w:r>
                    </w:p>
                    <w:p w14:paraId="15E713A5" w14:textId="77777777" w:rsidR="0067338B" w:rsidRPr="00C64727" w:rsidRDefault="00516F65">
                      <w:pPr>
                        <w:jc w:val="both"/>
                        <w:rPr>
                          <w:rFonts w:ascii="Times New Roman" w:hAnsi="Times New Roman"/>
                          <w:sz w:val="24"/>
                          <w:szCs w:val="24"/>
                        </w:rPr>
                      </w:pPr>
                      <w:r w:rsidRPr="00C64727">
                        <w:rPr>
                          <w:rFonts w:ascii="Times New Roman" w:hAnsi="Times New Roman"/>
                          <w:sz w:val="24"/>
                          <w:szCs w:val="24"/>
                        </w:rPr>
                        <w:t>A pénzügyi eszközöknek a MiFID II. irányelvben adott meghatározására történő kereszthivatkozás alapján a pénzügyi piacra vonatkozó egyéb jogszabályokat is alkalmazni kell. Ez a helyzet különösen a piaci visszaélésekről szóló rendelet** esetében, amelyet az elsődleges és másodlagos piacokon is alkalmazni kell a kibocsátási egységeket érintő ügyletek és magatartás tekintetében. Ehhez hasonlóan, a pénzmosási irányelvben*** a MiFID II. irányelvre történő kereszthivatkozás alapján a MiFID-irányelv szerinti engedéllyel rendelkező kibocsátásiegység-kereskedőknek kötelezően ügyfél-átvilágítást kell végezniük a kibocsátási egységek másodlagos azonnali piacán. ****</w:t>
                      </w:r>
                    </w:p>
                    <w:p w14:paraId="5CE966A0" w14:textId="77777777" w:rsidR="0067338B" w:rsidRDefault="00516F65">
                      <w:pPr>
                        <w:jc w:val="both"/>
                        <w:rPr>
                          <w:rFonts w:ascii="Times New Roman" w:hAnsi="Times New Roman"/>
                          <w:sz w:val="18"/>
                          <w:szCs w:val="18"/>
                        </w:rPr>
                      </w:pPr>
                      <w:r>
                        <w:rPr>
                          <w:rFonts w:ascii="Times New Roman" w:hAnsi="Times New Roman"/>
                          <w:sz w:val="18"/>
                          <w:szCs w:val="18"/>
                        </w:rPr>
                        <w:t xml:space="preserve">* Az Európai Parlament és a Tanács 2014/65/EU irányelve (2014. május 15.) a pénzügyi eszközök piacairól, valamint a 2002/92/EK irányelv és a 2011/61/EU irányelv módosításáról </w:t>
                      </w:r>
                    </w:p>
                    <w:p w14:paraId="0112DF1F" w14:textId="77777777" w:rsidR="0067338B" w:rsidRDefault="00516F65">
                      <w:pPr>
                        <w:jc w:val="both"/>
                        <w:rPr>
                          <w:rFonts w:ascii="Times New Roman" w:hAnsi="Times New Roman"/>
                          <w:sz w:val="18"/>
                          <w:szCs w:val="18"/>
                        </w:rPr>
                      </w:pPr>
                      <w:r>
                        <w:rPr>
                          <w:rFonts w:ascii="Times New Roman" w:hAnsi="Times New Roman"/>
                          <w:sz w:val="18"/>
                          <w:szCs w:val="18"/>
                        </w:rPr>
                        <w:t>** Az Európai Parlament és a Tanács 596/2014/EU rendelete (2014. április 16) a piaci visszaélésekről (piaci visszaélésekről szóló rendelet), valamint a 2003/6/EK európai parlamenti és tanácsi irányelv és a 2003/124/EK, a 2003/125/EK és a 2004/72/EK bizottsági irányelv hatályon kívül helyezéséről</w:t>
                      </w:r>
                    </w:p>
                    <w:p w14:paraId="4C065751" w14:textId="77777777" w:rsidR="0067338B" w:rsidRDefault="00516F65">
                      <w:pPr>
                        <w:jc w:val="both"/>
                        <w:rPr>
                          <w:rFonts w:ascii="Times New Roman" w:hAnsi="Times New Roman"/>
                          <w:sz w:val="18"/>
                          <w:szCs w:val="18"/>
                        </w:rPr>
                      </w:pPr>
                      <w:r>
                        <w:rPr>
                          <w:rFonts w:ascii="Times New Roman" w:hAnsi="Times New Roman"/>
                          <w:sz w:val="18"/>
                          <w:szCs w:val="18"/>
                        </w:rPr>
                        <w:t xml:space="preserve">*** Az Európai Parlament és a Tanács (EU) 2015/849 irányelve (2015. május 20.) a pénzügyi rendszerek pénzmosás vagy terrorizmusfinanszírozás céljára való felhasználásának megelőzéséről, a 648/2012/EU európai parlamenti és tanácsi rendelet módosításáról, valamint a 2005/60/EK európai parlamenti és tanácsi irányelv és a 2006/70/EK bizottsági irányelv hatályon kívül helyezéséről </w:t>
                      </w:r>
                    </w:p>
                    <w:p w14:paraId="2A509AF7" w14:textId="77777777" w:rsidR="0067338B" w:rsidRDefault="00516F65">
                      <w:pPr>
                        <w:jc w:val="both"/>
                        <w:rPr>
                          <w:rFonts w:ascii="Times New Roman" w:hAnsi="Times New Roman"/>
                          <w:sz w:val="18"/>
                          <w:szCs w:val="18"/>
                        </w:rPr>
                      </w:pPr>
                      <w:r>
                        <w:rPr>
                          <w:rFonts w:ascii="Times New Roman" w:hAnsi="Times New Roman"/>
                          <w:sz w:val="18"/>
                          <w:szCs w:val="18"/>
                        </w:rPr>
                        <w:t>**** Az ügyfél-átvilágítás az elsődleges piacon és a kibocsátási egységekből származtatott pénzügyi eszközök másodlagos piacán már jelenleg is kötelező.</w:t>
                      </w:r>
                    </w:p>
                  </w:txbxContent>
                </v:textbox>
                <w10:anchorlock/>
              </v:shape>
            </w:pict>
          </mc:Fallback>
        </mc:AlternateContent>
      </w:r>
    </w:p>
    <w:p w14:paraId="497D3299" w14:textId="4A833F78" w:rsidR="0067338B" w:rsidRPr="00C64727" w:rsidRDefault="00D3027D">
      <w:pPr>
        <w:jc w:val="both"/>
        <w:rPr>
          <w:rFonts w:ascii="Times New Roman" w:hAnsi="Times New Roman"/>
          <w:sz w:val="24"/>
          <w:szCs w:val="24"/>
        </w:rPr>
      </w:pPr>
      <w:r w:rsidRPr="00C64727">
        <w:rPr>
          <w:rFonts w:ascii="Times New Roman" w:hAnsi="Times New Roman"/>
          <w:sz w:val="24"/>
          <w:szCs w:val="24"/>
        </w:rPr>
        <w:t>Az EU ETS 4. szakasz tekintetében végrehajtott reformját követően számos piaci szereplő, például fontos pénzügyi szereplők és üzletkötők ismét a piacra léptek. A közös aukciós platformon az árveréseken ajánlattételre jogosult szereplők száma 73-ról (2018. január) 79-re (2018. december) emelkedett. A résztvevők túlnyomó többsége üzemeltető volt (73 %), míg a fennmaradó részt befektetési vállalkozások és hitelintézetek (19 %), valamint a MiFID előírásai alól mentes személyek (8 %) tették ki</w:t>
      </w:r>
      <w:r w:rsidRPr="00C64727">
        <w:rPr>
          <w:rStyle w:val="FootnoteReference"/>
          <w:rFonts w:ascii="Times New Roman" w:hAnsi="Times New Roman"/>
          <w:sz w:val="24"/>
          <w:szCs w:val="24"/>
        </w:rPr>
        <w:footnoteReference w:id="58"/>
      </w:r>
      <w:r w:rsidRPr="00C64727">
        <w:rPr>
          <w:rFonts w:ascii="Times New Roman" w:hAnsi="Times New Roman"/>
          <w:sz w:val="24"/>
          <w:szCs w:val="24"/>
        </w:rPr>
        <w:t>. Összehasonlításképpen, amikor az árverések 2012-ben elkezdődtek, az árveréseken ajánlattételre jogosult résztvevők száma 42 volt, amelyek 67 %-a üzemeltető, 26 %-a befektetési vállalkozás és hitelintézet és 7 %-a nem pénzügyi közvetítő volt</w:t>
      </w:r>
      <w:r w:rsidRPr="00C64727">
        <w:rPr>
          <w:rFonts w:ascii="Times New Roman" w:hAnsi="Times New Roman"/>
          <w:sz w:val="24"/>
          <w:szCs w:val="24"/>
          <w:vertAlign w:val="superscript"/>
        </w:rPr>
        <w:footnoteReference w:id="59"/>
      </w:r>
      <w:r w:rsidRPr="00C64727">
        <w:rPr>
          <w:rFonts w:ascii="Times New Roman" w:hAnsi="Times New Roman"/>
          <w:sz w:val="24"/>
          <w:szCs w:val="24"/>
        </w:rPr>
        <w:t>.</w:t>
      </w:r>
    </w:p>
    <w:p w14:paraId="630AF4A4" w14:textId="77777777" w:rsidR="0067338B" w:rsidRPr="00C64727" w:rsidRDefault="00E71363">
      <w:pPr>
        <w:jc w:val="both"/>
        <w:rPr>
          <w:rFonts w:ascii="Times New Roman" w:hAnsi="Times New Roman"/>
          <w:sz w:val="24"/>
          <w:szCs w:val="24"/>
        </w:rPr>
      </w:pPr>
      <w:r w:rsidRPr="00C64727">
        <w:rPr>
          <w:rFonts w:ascii="Times New Roman" w:hAnsi="Times New Roman"/>
          <w:sz w:val="24"/>
          <w:szCs w:val="24"/>
        </w:rPr>
        <w:t>A piaci visszaélésekre vonatkozó jelenlegi szabályok alapján a piac nyomon követése a nemzeti illetékes hatóságok</w:t>
      </w:r>
      <w:r w:rsidRPr="00C64727">
        <w:rPr>
          <w:rFonts w:ascii="Times New Roman" w:hAnsi="Times New Roman"/>
          <w:sz w:val="24"/>
          <w:szCs w:val="24"/>
          <w:vertAlign w:val="superscript"/>
        </w:rPr>
        <w:footnoteReference w:id="60"/>
      </w:r>
      <w:r w:rsidRPr="00C64727">
        <w:rPr>
          <w:rFonts w:ascii="Times New Roman" w:hAnsi="Times New Roman"/>
          <w:sz w:val="24"/>
          <w:szCs w:val="24"/>
        </w:rPr>
        <w:t xml:space="preserve"> feladata mind az árverések, mind a másodlagos piac tekintetében. Európai szinten fellépéseiket az Európai Értékpapírpiaci Hatóság hangolja össze más pénzügyi eszközökhöz hasonlóan. </w:t>
      </w:r>
    </w:p>
    <w:p w14:paraId="36582859" w14:textId="45636C6F" w:rsidR="0067338B" w:rsidRPr="00C64727" w:rsidRDefault="00E71363">
      <w:pPr>
        <w:jc w:val="both"/>
        <w:rPr>
          <w:rFonts w:ascii="Times New Roman" w:hAnsi="Times New Roman"/>
          <w:sz w:val="24"/>
          <w:szCs w:val="24"/>
        </w:rPr>
      </w:pPr>
      <w:r w:rsidRPr="00C64727">
        <w:rPr>
          <w:rFonts w:ascii="Times New Roman" w:hAnsi="Times New Roman"/>
          <w:sz w:val="24"/>
          <w:szCs w:val="24"/>
        </w:rPr>
        <w:t>A nemzeti illetékes hatóságoknak jogukban áll helyreigazító intézkedéseket vagy szankciókat kiszabni, amennyiben úgy döntenek, hogy bizonyos magatartás piaci visszaélést eredményez. Annak érdekében, hogy teljesíthessék a piac nyomon követésével kapcsolatos feladatukat, a pénzügyi piacokról szóló szabályozás a kereskedési helyszínekre és a befektetési vállalkozásokra vonatkozó számos jelentéstételi és átláthatósági követelményt határoz meg. A jelentéstételi követelmények részeként a kereskedési helyszíneknek és a befektetési vállalkozásoknak részletes adatokat kell közölniük az illetékes hatósággal a kereskedési helyszíneken vagy a tőzsdén kívül a kibocsátási egységekkel végrehajtott ügyletekről vagy ezek származékairól</w:t>
      </w:r>
      <w:r w:rsidRPr="00C64727">
        <w:rPr>
          <w:rFonts w:ascii="Times New Roman" w:hAnsi="Times New Roman"/>
          <w:sz w:val="24"/>
          <w:szCs w:val="24"/>
          <w:vertAlign w:val="superscript"/>
        </w:rPr>
        <w:footnoteReference w:id="61"/>
      </w:r>
      <w:r w:rsidRPr="00C64727">
        <w:rPr>
          <w:rFonts w:ascii="Times New Roman" w:hAnsi="Times New Roman"/>
          <w:sz w:val="24"/>
          <w:szCs w:val="24"/>
        </w:rPr>
        <w:t>. A jelentéstételi kötelezettségek magukban foglalják a kereskedési helyszínekre és befektetési vállalkozásokra vonatkozó azon követelményt, hogy pozíciós adatokat szolgáltassanak az illetékes hatóságoknak a kibocsátási egységek tekintetében</w:t>
      </w:r>
      <w:r w:rsidRPr="00C64727">
        <w:rPr>
          <w:rFonts w:ascii="Times New Roman" w:hAnsi="Times New Roman"/>
          <w:sz w:val="24"/>
          <w:szCs w:val="24"/>
          <w:vertAlign w:val="superscript"/>
        </w:rPr>
        <w:footnoteReference w:id="62"/>
      </w:r>
      <w:r w:rsidRPr="00C64727">
        <w:rPr>
          <w:rFonts w:ascii="Times New Roman" w:hAnsi="Times New Roman"/>
          <w:sz w:val="24"/>
          <w:szCs w:val="24"/>
        </w:rPr>
        <w:t>. Az átláthatósági követelmények részeként a kereskedési helyszínek és a befektetési vállalkozások közzéteszik a kereskedési adatokat</w:t>
      </w:r>
      <w:r w:rsidRPr="00C64727">
        <w:rPr>
          <w:rStyle w:val="FootnoteReference"/>
          <w:rFonts w:ascii="Times New Roman" w:hAnsi="Times New Roman"/>
          <w:sz w:val="24"/>
          <w:szCs w:val="24"/>
        </w:rPr>
        <w:footnoteReference w:id="63"/>
      </w:r>
      <w:r w:rsidRPr="00C64727">
        <w:rPr>
          <w:rFonts w:ascii="Times New Roman" w:hAnsi="Times New Roman"/>
          <w:sz w:val="24"/>
          <w:szCs w:val="24"/>
        </w:rPr>
        <w:t xml:space="preserve"> és a heti összesített pozíciós adatokat</w:t>
      </w:r>
      <w:r w:rsidRPr="00C64727">
        <w:rPr>
          <w:rFonts w:ascii="Times New Roman" w:hAnsi="Times New Roman"/>
          <w:sz w:val="24"/>
          <w:szCs w:val="24"/>
          <w:vertAlign w:val="superscript"/>
        </w:rPr>
        <w:footnoteReference w:id="64"/>
      </w:r>
      <w:r w:rsidRPr="00C64727">
        <w:rPr>
          <w:rFonts w:ascii="Times New Roman" w:hAnsi="Times New Roman"/>
          <w:sz w:val="24"/>
          <w:szCs w:val="24"/>
        </w:rPr>
        <w:t>.</w:t>
      </w:r>
    </w:p>
    <w:p w14:paraId="53EDEC32" w14:textId="77777777" w:rsidR="0067338B" w:rsidRPr="00C64727" w:rsidRDefault="00A52F4C">
      <w:pPr>
        <w:pStyle w:val="Heading2"/>
        <w:spacing w:before="0" w:after="200"/>
        <w:rPr>
          <w:szCs w:val="24"/>
        </w:rPr>
      </w:pPr>
      <w:bookmarkStart w:id="21" w:name="_Toc24093098"/>
      <w:r w:rsidRPr="00C64727">
        <w:rPr>
          <w:i w:val="0"/>
          <w:szCs w:val="24"/>
        </w:rPr>
        <w:t>5.1. A kibocsátási egységek jogi természete és adóügyi elbírálása</w:t>
      </w:r>
      <w:bookmarkEnd w:id="21"/>
    </w:p>
    <w:p w14:paraId="698B150D" w14:textId="77777777" w:rsidR="0067338B" w:rsidRPr="00C64727" w:rsidRDefault="003A348D">
      <w:pPr>
        <w:jc w:val="both"/>
        <w:rPr>
          <w:rFonts w:ascii="Times New Roman" w:hAnsi="Times New Roman"/>
          <w:sz w:val="24"/>
          <w:szCs w:val="24"/>
        </w:rPr>
      </w:pPr>
      <w:r w:rsidRPr="00C64727">
        <w:rPr>
          <w:rFonts w:ascii="Times New Roman" w:hAnsi="Times New Roman"/>
          <w:noProof/>
          <w:sz w:val="24"/>
          <w:szCs w:val="24"/>
          <w:lang w:val="en-GB" w:eastAsia="en-GB"/>
        </w:rPr>
        <mc:AlternateContent>
          <mc:Choice Requires="wps">
            <w:drawing>
              <wp:inline distT="0" distB="0" distL="0" distR="0" wp14:anchorId="3FC0B284" wp14:editId="5E8D5B13">
                <wp:extent cx="5705856" cy="1590261"/>
                <wp:effectExtent l="0" t="0" r="28575" b="1016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856" cy="1590261"/>
                        </a:xfrm>
                        <a:prstGeom prst="rect">
                          <a:avLst/>
                        </a:prstGeom>
                        <a:solidFill>
                          <a:schemeClr val="bg1">
                            <a:lumMod val="85000"/>
                          </a:schemeClr>
                        </a:solidFill>
                        <a:ln w="12700">
                          <a:solidFill>
                            <a:srgbClr val="000000"/>
                          </a:solidFill>
                          <a:miter lim="800000"/>
                          <a:headEnd/>
                          <a:tailEnd/>
                        </a:ln>
                      </wps:spPr>
                      <wps:txbx>
                        <w:txbxContent>
                          <w:p w14:paraId="01E0FE8C" w14:textId="256E6143" w:rsidR="0067338B" w:rsidRPr="00C64727" w:rsidRDefault="00516F65">
                            <w:pPr>
                              <w:jc w:val="both"/>
                              <w:rPr>
                                <w:rFonts w:ascii="Times New Roman" w:hAnsi="Times New Roman"/>
                                <w:sz w:val="24"/>
                                <w:szCs w:val="24"/>
                              </w:rPr>
                            </w:pPr>
                            <w:r w:rsidRPr="00C64727">
                              <w:rPr>
                                <w:rFonts w:ascii="Times New Roman" w:hAnsi="Times New Roman"/>
                                <w:sz w:val="24"/>
                                <w:szCs w:val="24"/>
                              </w:rPr>
                              <w:t>A kibocsátási egységek jogi természete és adóügyi megítélése országonként változik, mivel az EU ETS irányelvben nem határozták meg e két szempontot. Az országok a 21. cikk értelmében benyújtott jelentéseikben kötelesek évente beszámolni a kibocsátási egységek jogi természetével és adóügyi megítélésével kapcsolatos nemzeti rendszereikről. Az erre vonatkozó harmonizáció hiánya ellenére a jelenlegi szabályozási keret biztosítja a szükséges jogi alapokat egy kiforrott, átlátható és likvid szén-dioxid-piachoz, miközben szavatolja a piac stabilitását és integritását.</w:t>
                            </w:r>
                          </w:p>
                        </w:txbxContent>
                      </wps:txbx>
                      <wps:bodyPr rot="0" vert="horz" wrap="square" lIns="91440" tIns="45720" rIns="91440" bIns="45720" anchor="t" anchorCtr="0">
                        <a:noAutofit/>
                      </wps:bodyPr>
                    </wps:wsp>
                  </a:graphicData>
                </a:graphic>
              </wp:inline>
            </w:drawing>
          </mc:Choice>
          <mc:Fallback>
            <w:pict>
              <v:shape w14:anchorId="3FC0B284" id="_x0000_s1039" type="#_x0000_t202" style="width:449.3pt;height:1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" fillcolor="#d8d8d8 [2732]" strokeweight="1pt">
                <v:textbox>
                  <w:txbxContent>
                    <w:p w14:paraId="01E0FE8C" w14:textId="256E6143" w:rsidR="0067338B" w:rsidRPr="00C64727" w:rsidRDefault="00516F65">
                      <w:pPr>
                        <w:jc w:val="both"/>
                        <w:rPr>
                          <w:rFonts w:ascii="Times New Roman" w:hAnsi="Times New Roman"/>
                          <w:sz w:val="24"/>
                          <w:szCs w:val="24"/>
                        </w:rPr>
                      </w:pPr>
                      <w:r w:rsidRPr="00C64727">
                        <w:rPr>
                          <w:rFonts w:ascii="Times New Roman" w:hAnsi="Times New Roman"/>
                          <w:sz w:val="24"/>
                          <w:szCs w:val="24"/>
                        </w:rPr>
                        <w:t>A kibocsátási egységek jogi természete és adóügyi megítélése országonként változik, mivel az EU ETS irányelvben nem határozták meg e két szempontot. Az országok a 21. cikk értelmében benyújtott jelentéseikben kötelesek évente beszámolni a kibocsátási egységek jogi természetével és adóügyi megítélésével kapcsolatos nemzeti rendszereikről. Az erre vonatkozó harmonizáció hiánya ellenére a jelenlegi szabályozási keret biztosítja a szükséges jogi alapokat egy kiforrott, átlátható és likvid szén-dioxid-piachoz, miközben szavatolja a piac stabilitását és integritását.</w:t>
                      </w:r>
                    </w:p>
                  </w:txbxContent>
                </v:textbox>
                <w10:anchorlock/>
              </v:shape>
            </w:pict>
          </mc:Fallback>
        </mc:AlternateContent>
      </w:r>
    </w:p>
    <w:p w14:paraId="17B37A3A" w14:textId="77777777" w:rsidR="0067338B" w:rsidRPr="00C64727" w:rsidRDefault="000836BF">
      <w:pPr>
        <w:jc w:val="both"/>
        <w:rPr>
          <w:rFonts w:ascii="Times New Roman" w:eastAsia="Times New Roman" w:hAnsi="Times New Roman"/>
          <w:bCs/>
          <w:sz w:val="24"/>
          <w:szCs w:val="24"/>
        </w:rPr>
      </w:pPr>
      <w:r w:rsidRPr="00C64727">
        <w:rPr>
          <w:rFonts w:ascii="Times New Roman" w:hAnsi="Times New Roman"/>
          <w:sz w:val="24"/>
          <w:szCs w:val="24"/>
        </w:rPr>
        <w:t>Az Európai Számvevőszék ajánlását követve 2019 júliusában a Bizottság tanulmányt</w:t>
      </w:r>
      <w:r w:rsidRPr="00C64727">
        <w:rPr>
          <w:rStyle w:val="FootnoteReference"/>
          <w:rFonts w:ascii="Times New Roman" w:hAnsi="Times New Roman"/>
          <w:sz w:val="24"/>
          <w:szCs w:val="24"/>
        </w:rPr>
        <w:footnoteReference w:id="65"/>
      </w:r>
      <w:r w:rsidRPr="00C64727">
        <w:rPr>
          <w:rFonts w:ascii="Times New Roman" w:hAnsi="Times New Roman"/>
          <w:sz w:val="24"/>
          <w:szCs w:val="24"/>
        </w:rPr>
        <w:t xml:space="preserve"> tett közzé a kibocsátási egységek jogi természetéről. A független tanácsadó által készített tanulmány </w:t>
      </w:r>
      <w:r w:rsidRPr="00C64727">
        <w:rPr>
          <w:rFonts w:ascii="Times New Roman" w:hAnsi="Times New Roman"/>
          <w:bCs/>
          <w:sz w:val="24"/>
          <w:szCs w:val="24"/>
        </w:rPr>
        <w:t>nem tárt fel a kibocsátási egységek jogi természetére vonatkozó meghatározás hiányával kapcsolatos gyakorlati problémákat. A tanulmány arra a következtetésre jutott, hogy a harmonizált fogalommeghatározás nem nyújtana nagyobb jogbiztonságot és nem feltétlenül lenne hatással a szén-dioxid-piac likviditására. Bár jogalkotási kezdeményezésre nem tett javaslatot, a tanulmány azt javasolta, hogy információt, tanácsadást, képzést és kapacitásépítést kellene biztosítani az üzemeltetők számára, miután a MiFID II. irányelv</w:t>
      </w:r>
      <w:r w:rsidRPr="00C64727">
        <w:rPr>
          <w:rFonts w:ascii="Times New Roman" w:eastAsia="Times New Roman" w:hAnsi="Times New Roman"/>
          <w:bCs/>
          <w:sz w:val="24"/>
          <w:szCs w:val="24"/>
          <w:vertAlign w:val="superscript"/>
        </w:rPr>
        <w:footnoteReference w:id="66"/>
      </w:r>
      <w:r w:rsidRPr="00C64727">
        <w:rPr>
          <w:rFonts w:ascii="Times New Roman" w:hAnsi="Times New Roman"/>
          <w:bCs/>
          <w:sz w:val="24"/>
          <w:szCs w:val="24"/>
        </w:rPr>
        <w:t xml:space="preserve"> pénzügyi eszköznek nyilvánított a kibocsátási egységeket. </w:t>
      </w:r>
    </w:p>
    <w:p w14:paraId="5B64C920" w14:textId="77777777" w:rsidR="0067338B" w:rsidRPr="00C64727" w:rsidRDefault="003A348D">
      <w:pPr>
        <w:jc w:val="both"/>
        <w:rPr>
          <w:rFonts w:ascii="Times New Roman" w:hAnsi="Times New Roman"/>
          <w:sz w:val="24"/>
          <w:szCs w:val="24"/>
        </w:rPr>
      </w:pPr>
      <w:r w:rsidRPr="00C64727">
        <w:rPr>
          <w:rFonts w:ascii="Times New Roman" w:hAnsi="Times New Roman"/>
          <w:sz w:val="24"/>
          <w:szCs w:val="24"/>
        </w:rPr>
        <w:t>A kibocsátási egységek adóügyi megítélése tekintetében három ország számolt be arról, hogy a kibocsátási egységek kibocsátása hozzáadottértékadó-köteles. Ezzel szemben 27 részt vevő országban héa fizetendő a kibocsátási egységek másodlagos piacon folyó tranzakciói után. Az országok többsége arról számol be, hogy a kibocsátási egységekkel kapcsolatos belföldi ügyletekre fordított adózás vonatkozik. A fordított adózásra vonatkozó eltérés az áru vagy szolgáltatás eladójáról a vevőjére hárítja át az ügylet után fizetendő héa megfizetésének kötelezettségét, ami hatékony védelmet jelent a héacsalások ellen. 2018 novemberében az eltérés tagállami alkalmazásának lehetőségét 2022. június 30-ig meghosszabbították</w:t>
      </w:r>
      <w:r w:rsidRPr="00C64727">
        <w:rPr>
          <w:rStyle w:val="FootnoteReference"/>
          <w:rFonts w:ascii="Times New Roman" w:hAnsi="Times New Roman"/>
          <w:sz w:val="24"/>
          <w:szCs w:val="24"/>
        </w:rPr>
        <w:footnoteReference w:id="67"/>
      </w:r>
      <w:r w:rsidRPr="00C64727">
        <w:rPr>
          <w:rFonts w:ascii="Times New Roman" w:hAnsi="Times New Roman"/>
          <w:sz w:val="24"/>
          <w:szCs w:val="24"/>
        </w:rPr>
        <w:t>. A tagállamokat arra biztatják, hogy folytassák a fordított adózás alkalmazását, hogy ezzel továbbra is megfelelő védelmet biztosítsanak a szén-dioxid-piac számára.</w:t>
      </w:r>
    </w:p>
    <w:p w14:paraId="4484CA75" w14:textId="77777777" w:rsidR="0067338B" w:rsidRPr="00C64727" w:rsidRDefault="00A52F4C">
      <w:pPr>
        <w:pStyle w:val="Heading1"/>
        <w:spacing w:before="0" w:after="200"/>
        <w:rPr>
          <w:szCs w:val="24"/>
        </w:rPr>
      </w:pPr>
      <w:bookmarkStart w:id="22" w:name="_Toc24093099"/>
      <w:r w:rsidRPr="00C64727">
        <w:rPr>
          <w:szCs w:val="24"/>
        </w:rPr>
        <w:t>6. A KIBOCSÁTÁSOK NYOMON KÖVETÉSE, JELENTÉSE ÉS HITELESÍTÉSE</w:t>
      </w:r>
      <w:bookmarkEnd w:id="22"/>
    </w:p>
    <w:p w14:paraId="3557D1AE" w14:textId="77777777" w:rsidR="0067338B" w:rsidRPr="00C64727" w:rsidRDefault="00123B11">
      <w:pPr>
        <w:jc w:val="both"/>
        <w:rPr>
          <w:rFonts w:ascii="Times New Roman" w:hAnsi="Times New Roman"/>
          <w:sz w:val="24"/>
          <w:szCs w:val="24"/>
        </w:rPr>
      </w:pPr>
      <w:r w:rsidRPr="00C64727">
        <w:rPr>
          <w:rFonts w:ascii="Times New Roman" w:hAnsi="Times New Roman"/>
          <w:noProof/>
          <w:sz w:val="24"/>
          <w:szCs w:val="24"/>
          <w:lang w:val="en-GB" w:eastAsia="en-GB"/>
        </w:rPr>
        <mc:AlternateContent>
          <mc:Choice Requires="wps">
            <w:drawing>
              <wp:inline distT="0" distB="0" distL="0" distR="0" wp14:anchorId="6FEBE208" wp14:editId="29C7C473">
                <wp:extent cx="5731510" cy="6649155"/>
                <wp:effectExtent l="0" t="0" r="21590" b="18415"/>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6649155"/>
                        </a:xfrm>
                        <a:prstGeom prst="rect">
                          <a:avLst/>
                        </a:prstGeom>
                        <a:solidFill>
                          <a:sysClr val="window" lastClr="FFFFFF">
                            <a:lumMod val="85000"/>
                          </a:sysClr>
                        </a:solidFill>
                        <a:ln w="12700">
                          <a:solidFill>
                            <a:srgbClr val="000000"/>
                          </a:solidFill>
                          <a:miter lim="800000"/>
                          <a:headEnd/>
                          <a:tailEnd/>
                        </a:ln>
                      </wps:spPr>
                      <wps:txbx>
                        <w:txbxContent>
                          <w:p w14:paraId="0B23F245" w14:textId="77777777" w:rsidR="0067338B" w:rsidRPr="00C64727" w:rsidRDefault="00516F65">
                            <w:pPr>
                              <w:jc w:val="both"/>
                              <w:rPr>
                                <w:rFonts w:ascii="Times New Roman" w:hAnsi="Times New Roman"/>
                                <w:sz w:val="24"/>
                                <w:szCs w:val="24"/>
                              </w:rPr>
                            </w:pPr>
                            <w:r w:rsidRPr="00C64727">
                              <w:rPr>
                                <w:rFonts w:ascii="Times New Roman" w:hAnsi="Times New Roman"/>
                                <w:sz w:val="24"/>
                                <w:szCs w:val="24"/>
                              </w:rPr>
                              <w:t>Az EU ETS-re vonatkozó nyomonkövetési, jelentéstételi, hitelesítési és akkreditációs előírásokat a nyomon követésről és jelentésről szóló rendelettel*, valamint az akkreditációról és hitelesítésről szóló rendelettel** harmonizálták.</w:t>
                            </w:r>
                          </w:p>
                          <w:p w14:paraId="7D11E6D4" w14:textId="77777777" w:rsidR="0067338B" w:rsidRPr="00C64727" w:rsidRDefault="00516F65">
                            <w:pPr>
                              <w:jc w:val="both"/>
                              <w:rPr>
                                <w:rFonts w:ascii="Times New Roman" w:hAnsi="Times New Roman"/>
                                <w:sz w:val="24"/>
                                <w:szCs w:val="24"/>
                              </w:rPr>
                            </w:pPr>
                            <w:r w:rsidRPr="00C64727">
                              <w:rPr>
                                <w:rFonts w:ascii="Times New Roman" w:hAnsi="Times New Roman"/>
                                <w:sz w:val="24"/>
                                <w:szCs w:val="24"/>
                              </w:rPr>
                              <w:t>Az uniós kibocsátáskereskedelmi rendszerben a nyomonkövetési rendszer „elemekből felépíthető” megközelítésként van kialakítva, amely a költséghatékonyság érdekében nagy fokú rugalmasságot biztosít az üzemeltetők számára, ugyanakkor rendkívül megbízhatóvá teszi a nyomon követett kibocsátási adatokat. E célból többféle nyomonkövetési módszer (számításon alapuló vagy mérésen alapuló módszer, valamint kivételes esetekben kivételes eljárás) is megengedett. A létesítmények egyes részei tekintetében a módszereket kombinálni is lehet. A légijármű-üzemeltetők esetében csak a számításon alapuló módszerek kivitelezhetők, és az üzemanyag-fogyasztás az a központi paraméter, amelyet az EU ETS hatálya alá tartozó légi járatok esetében meg kell határozni. A létesítményekre és a légijármű-üzemeltetőkre olyan követelmény vonatkozik, miszerint az illetékes hatóság által a nyomon követésről és jelentésről szóló rendelet alapján jóváhagyott nyomonkövetési tervvel kell rendelkezniük, aminek köszönhetően elkerülhető a nyomonkövetési módszerek önkényes kiválasztása és az adatok időbeli eltérése is.</w:t>
                            </w:r>
                          </w:p>
                          <w:p w14:paraId="32D141D6" w14:textId="77777777" w:rsidR="0067338B" w:rsidRPr="00C64727" w:rsidRDefault="00516F65">
                            <w:pPr>
                              <w:jc w:val="both"/>
                              <w:rPr>
                                <w:rFonts w:ascii="Times New Roman" w:hAnsi="Times New Roman"/>
                                <w:sz w:val="24"/>
                                <w:szCs w:val="24"/>
                              </w:rPr>
                            </w:pPr>
                            <w:r w:rsidRPr="00C64727">
                              <w:rPr>
                                <w:rFonts w:ascii="Times New Roman" w:hAnsi="Times New Roman"/>
                                <w:sz w:val="24"/>
                                <w:szCs w:val="24"/>
                              </w:rPr>
                              <w:t xml:space="preserve">Az akkreditációról és hitelesítésről szóló rendelet a 3. és a későbbi szakaszokra uniós szinten harmonizált módszert vezetett be a hitelesítők akkreditálására. A jogi személynek vagy más jogalanynak minősülő hitelesítőket egy nemzeti akkreditáló testületnek kell akkreditálnia ahhoz, hogy az akkreditációról és hitelesítésről szóló rendelet szerinti hitelesítést végezhessenek. Ez az egységes akkreditációs rendszer lehetővé teszi a kölcsönösen elismert hitelesítők számára, hogy valamennyi részt vevő országban működjenek, ezáltal teljes mértékben kiaknázza a belső piac adta lehetőségeket, és hozzájárul ahhoz, hogy összességében elegendő hitelesítő álljon rendelkezésre. </w:t>
                            </w:r>
                          </w:p>
                          <w:p w14:paraId="20D77B19" w14:textId="77777777" w:rsidR="0067338B" w:rsidRDefault="00516F65">
                            <w:pPr>
                              <w:rPr>
                                <w:rFonts w:ascii="Times New Roman" w:hAnsi="Times New Roman"/>
                                <w:sz w:val="20"/>
                                <w:szCs w:val="20"/>
                              </w:rPr>
                            </w:pPr>
                            <w:r>
                              <w:rPr>
                                <w:rFonts w:ascii="Times New Roman" w:hAnsi="Times New Roman"/>
                                <w:sz w:val="20"/>
                                <w:szCs w:val="20"/>
                              </w:rPr>
                              <w:t>* A Bizottság 601/2012/EU rendelete (2012. június 21.) az üvegházhatást okozó gázok kibocsátásának a 2003/87/EK európai parlamenti és tanácsi irányelvnek megfelelő nyomon követéséről és jelentéséről, HL L 181., 2012.7.12., 30. o.</w:t>
                            </w:r>
                          </w:p>
                          <w:p w14:paraId="059A2515" w14:textId="77777777" w:rsidR="0067338B" w:rsidRDefault="00516F65">
                            <w:pPr>
                              <w:rPr>
                                <w:rFonts w:ascii="Times New Roman" w:hAnsi="Times New Roman"/>
                                <w:sz w:val="20"/>
                                <w:szCs w:val="20"/>
                              </w:rPr>
                            </w:pPr>
                            <w:r>
                              <w:rPr>
                                <w:rFonts w:ascii="Times New Roman" w:hAnsi="Times New Roman"/>
                                <w:sz w:val="20"/>
                                <w:szCs w:val="20"/>
                              </w:rPr>
                              <w:t>** A Bizottság 600/2012/EU rendelete (2012. június 21.) a 2003/87/EK európai parlamenti és tanácsi irányelv értelmében az üvegházhatású gázok kibocsátására vonatkozó adatokat tartalmazó jelentések és a tonnakilométer-adatokat tartalmazó jelentések hitelesítéséről, valamint a hitelesítők akkreditációjáról, HL L 181., 2012.7.12., 1. o.</w:t>
                            </w:r>
                          </w:p>
                          <w:p w14:paraId="058D568C" w14:textId="77777777" w:rsidR="0067338B" w:rsidRDefault="0067338B">
                            <w:pPr>
                              <w:rPr>
                                <w:rFonts w:ascii="Times New Roman" w:hAnsi="Times New Roman"/>
                                <w:sz w:val="24"/>
                                <w:szCs w:val="24"/>
                              </w:rPr>
                            </w:pPr>
                          </w:p>
                        </w:txbxContent>
                      </wps:txbx>
                      <wps:bodyPr rot="0" vert="horz" wrap="square" lIns="91440" tIns="45720" rIns="91440" bIns="45720" anchor="t" anchorCtr="0">
                        <a:noAutofit/>
                      </wps:bodyPr>
                    </wps:wsp>
                  </a:graphicData>
                </a:graphic>
              </wp:inline>
            </w:drawing>
          </mc:Choice>
          <mc:Fallback>
            <w:pict>
              <v:shape w14:anchorId="6FEBE208" id="_x0000_s1040" type="#_x0000_t202" style="width:451.3pt;height:52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" fillcolor="#d9d9d9" strokeweight="1pt">
                <v:textbox>
                  <w:txbxContent>
                    <w:p w14:paraId="0B23F245" w14:textId="77777777" w:rsidR="0067338B" w:rsidRPr="00C64727" w:rsidRDefault="00516F65">
                      <w:pPr>
                        <w:jc w:val="both"/>
                        <w:rPr>
                          <w:rFonts w:ascii="Times New Roman" w:hAnsi="Times New Roman"/>
                          <w:sz w:val="24"/>
                          <w:szCs w:val="24"/>
                        </w:rPr>
                      </w:pPr>
                      <w:r w:rsidRPr="00C64727">
                        <w:rPr>
                          <w:rFonts w:ascii="Times New Roman" w:hAnsi="Times New Roman"/>
                          <w:sz w:val="24"/>
                          <w:szCs w:val="24"/>
                        </w:rPr>
                        <w:t>Az EU ETS-re vonatkozó nyomonkövetési, jelentéstételi, hitelesítési és akkreditációs előírásokat a nyomon követésről és jelentésről szóló rendelettel*, valamint az akkreditációról és hitelesítésről szóló rendelettel** harmonizálták.</w:t>
                      </w:r>
                    </w:p>
                    <w:p w14:paraId="7D11E6D4" w14:textId="77777777" w:rsidR="0067338B" w:rsidRPr="00C64727" w:rsidRDefault="00516F65">
                      <w:pPr>
                        <w:jc w:val="both"/>
                        <w:rPr>
                          <w:rFonts w:ascii="Times New Roman" w:hAnsi="Times New Roman"/>
                          <w:sz w:val="24"/>
                          <w:szCs w:val="24"/>
                        </w:rPr>
                      </w:pPr>
                      <w:r w:rsidRPr="00C64727">
                        <w:rPr>
                          <w:rFonts w:ascii="Times New Roman" w:hAnsi="Times New Roman"/>
                          <w:sz w:val="24"/>
                          <w:szCs w:val="24"/>
                        </w:rPr>
                        <w:t>Az uniós kibocsátáskereskedelmi rendszerben a nyomonkövetési rendszer „elemekből felépíthető” megközelítésként van kialakítva, amely a költséghatékonyság érdekében nagy fokú rugalmasságot biztosít az üzemeltetők számára, ugyanakkor rendkívül megbízhatóvá teszi a nyomon követett kibocsátási adatokat. E célból többféle nyomonkövetési módszer (számításon alapuló vagy mérésen alapuló módszer, valamint kivételes esetekben kivételes eljárás) is megengedett. A létesítmények egyes részei tekintetében a módszereket kombinálni is lehet. A légijármű-üzemeltetők esetében csak a számításon alapuló módszerek kivitelezhetők, és az üzemanyag-fogyasztás az a központi paraméter, amelyet az EU ETS hatálya alá tartozó légi járatok esetében meg kell határozni. A létesítményekre és a légijármű-üzemeltetőkre olyan követelmény vonatkozik, miszerint az illetékes hatóság által a nyomon követésről és jelentésről szóló rendelet alapján jóváhagyott nyomonkövetési tervvel kell rendelkezniük, aminek köszönhetően elkerülhető a nyomonkövetési módszerek önkényes kiválasztása és az adatok időbeli eltérése is.</w:t>
                      </w:r>
                    </w:p>
                    <w:p w14:paraId="32D141D6" w14:textId="77777777" w:rsidR="0067338B" w:rsidRPr="00C64727" w:rsidRDefault="00516F65">
                      <w:pPr>
                        <w:jc w:val="both"/>
                        <w:rPr>
                          <w:rFonts w:ascii="Times New Roman" w:hAnsi="Times New Roman"/>
                          <w:sz w:val="24"/>
                          <w:szCs w:val="24"/>
                        </w:rPr>
                      </w:pPr>
                      <w:r w:rsidRPr="00C64727">
                        <w:rPr>
                          <w:rFonts w:ascii="Times New Roman" w:hAnsi="Times New Roman"/>
                          <w:sz w:val="24"/>
                          <w:szCs w:val="24"/>
                        </w:rPr>
                        <w:t xml:space="preserve">Az akkreditációról és hitelesítésről szóló rendelet a 3. és a későbbi szakaszokra uniós szinten harmonizált módszert vezetett be a hitelesítők akkreditálására. A jogi személynek vagy más jogalanynak minősülő hitelesítőket egy nemzeti akkreditáló testületnek kell akkreditálnia ahhoz, hogy az akkreditációról és hitelesítésről szóló rendelet szerinti hitelesítést végezhessenek. Ez az egységes akkreditációs rendszer lehetővé teszi a kölcsönösen elismert hitelesítők számára, hogy valamennyi részt vevő országban működjenek, ezáltal teljes mértékben kiaknázza a belső piac adta lehetőségeket, és hozzájárul ahhoz, hogy összességében elegendő hitelesítő álljon rendelkezésre. </w:t>
                      </w:r>
                    </w:p>
                    <w:p w14:paraId="20D77B19" w14:textId="77777777" w:rsidR="0067338B" w:rsidRDefault="00516F65">
                      <w:pPr>
                        <w:rPr>
                          <w:rFonts w:ascii="Times New Roman" w:hAnsi="Times New Roman"/>
                          <w:sz w:val="20"/>
                          <w:szCs w:val="20"/>
                        </w:rPr>
                      </w:pPr>
                      <w:r>
                        <w:rPr>
                          <w:rFonts w:ascii="Times New Roman" w:hAnsi="Times New Roman"/>
                          <w:sz w:val="20"/>
                          <w:szCs w:val="20"/>
                        </w:rPr>
                        <w:t>* A Bizottság 601/2012/EU rendelete (2012. június 21.) az üvegházhatást okozó gázok kibocsátásának a 2003/87/EK európai parlamenti és tanácsi irányelvnek megfelelő nyomon követéséről és jelentéséről, HL L 181., 2012.7.12., 30. o.</w:t>
                      </w:r>
                    </w:p>
                    <w:p w14:paraId="059A2515" w14:textId="77777777" w:rsidR="0067338B" w:rsidRDefault="00516F65">
                      <w:pPr>
                        <w:rPr>
                          <w:rFonts w:ascii="Times New Roman" w:hAnsi="Times New Roman"/>
                          <w:sz w:val="20"/>
                          <w:szCs w:val="20"/>
                        </w:rPr>
                      </w:pPr>
                      <w:r>
                        <w:rPr>
                          <w:rFonts w:ascii="Times New Roman" w:hAnsi="Times New Roman"/>
                          <w:sz w:val="20"/>
                          <w:szCs w:val="20"/>
                        </w:rPr>
                        <w:t>** A Bizottság 600/2012/EU rendelete (2012. június 21.) a 2003/87/EK európai parlamenti és tanácsi irányelv értelmében az üvegházhatású gázok kibocsátására vonatkozó adatokat tartalmazó jelentések és a tonnakilométer-adatokat tartalmazó jelentések hitelesítéséről, valamint a hitelesítők akkreditációjáról, HL L 181., 2012.7.12., 1. o.</w:t>
                      </w:r>
                    </w:p>
                    <w:p w14:paraId="058D568C" w14:textId="77777777" w:rsidR="0067338B" w:rsidRDefault="0067338B">
                      <w:pPr>
                        <w:rPr>
                          <w:rFonts w:ascii="Times New Roman" w:hAnsi="Times New Roman"/>
                          <w:sz w:val="24"/>
                          <w:szCs w:val="24"/>
                        </w:rPr>
                      </w:pPr>
                    </w:p>
                  </w:txbxContent>
                </v:textbox>
                <w10:anchorlock/>
              </v:shape>
            </w:pict>
          </mc:Fallback>
        </mc:AlternateContent>
      </w:r>
    </w:p>
    <w:p w14:paraId="0513DEA0" w14:textId="77777777" w:rsidR="0067338B" w:rsidRPr="00C64727" w:rsidRDefault="00235970">
      <w:pPr>
        <w:rPr>
          <w:rFonts w:ascii="Times New Roman" w:hAnsi="Times New Roman"/>
          <w:b/>
          <w:bCs/>
          <w:iCs/>
          <w:sz w:val="24"/>
          <w:szCs w:val="24"/>
        </w:rPr>
      </w:pPr>
      <w:r w:rsidRPr="00C64727">
        <w:rPr>
          <w:rFonts w:ascii="Times New Roman" w:hAnsi="Times New Roman"/>
          <w:b/>
          <w:bCs/>
          <w:iCs/>
          <w:sz w:val="24"/>
          <w:szCs w:val="24"/>
        </w:rPr>
        <w:t>6.1.  Általános fejlemények</w:t>
      </w:r>
    </w:p>
    <w:p w14:paraId="66504E81" w14:textId="77777777" w:rsidR="0067338B" w:rsidRPr="00C64727" w:rsidRDefault="00123B11">
      <w:pPr>
        <w:jc w:val="both"/>
        <w:rPr>
          <w:rFonts w:ascii="Times New Roman" w:hAnsi="Times New Roman"/>
          <w:sz w:val="24"/>
          <w:szCs w:val="24"/>
        </w:rPr>
      </w:pPr>
      <w:r w:rsidRPr="00C64727">
        <w:rPr>
          <w:rFonts w:ascii="Times New Roman" w:hAnsi="Times New Roman"/>
          <w:sz w:val="24"/>
          <w:szCs w:val="24"/>
        </w:rPr>
        <w:t xml:space="preserve">A nyomon követésről és jelentésről szóló rendelet, valamint az akkreditációról és hitelesítésről szóló rendelet végrehajtásával kapcsolatban szerzett tapasztalatok azt mutatják, hogy a harmonizáció további növelése érdekében a szabályok tökéletesítésére, egyértelműbbé tételére és egyszerűsítésére van szükség, ezzel csökkentve az üzemeltetőkre és a részt vevő országokra nehezedő adminisztratív terhet és fokozva a rendszer hatékonyságát. </w:t>
      </w:r>
    </w:p>
    <w:p w14:paraId="31E0956A" w14:textId="77777777" w:rsidR="0067338B" w:rsidRPr="00C64727" w:rsidRDefault="00B13763">
      <w:pPr>
        <w:jc w:val="both"/>
        <w:rPr>
          <w:rFonts w:ascii="Times New Roman" w:hAnsi="Times New Roman"/>
          <w:sz w:val="24"/>
          <w:szCs w:val="24"/>
        </w:rPr>
      </w:pPr>
      <w:r w:rsidRPr="00C64727">
        <w:rPr>
          <w:rFonts w:ascii="Times New Roman" w:hAnsi="Times New Roman"/>
          <w:sz w:val="24"/>
          <w:szCs w:val="24"/>
        </w:rPr>
        <w:t>A részt vevő országokkal 2017 februárjától kezdődően konzultációt folytattak azzal a céllal, hogy az EU ETS 4. szakaszára való felkészülés érdekében naprakésszé tegyék e két rendeletet, illetve javítsák és egyszerűsítsék a nyomonkövetési, jelentéstételi, hitelesítési és akkreditációs folyamatokat. Az első ilyen naprakésszé tételre 2018-ban került sor. Az ingyenes kiosztással kapcsolatos adatgyűjtésre vonatkozó hitelesítési rendszer 2019-ben történő bevezetése, valamint a naprakész nyomonkövetési, jelentéstételi, hitelesítési és akkreditációs rendszernek a CORSIA számára történő adatgyűjtés kezdete előtti rendelkezésre állása érdekében (lásd a 4. fejezetet) 2019. január 1-jével megkezdődött a nyomon követésről és jelentésről szóló rendelet</w:t>
      </w:r>
      <w:r w:rsidRPr="00C64727">
        <w:rPr>
          <w:rFonts w:ascii="Times New Roman" w:hAnsi="Times New Roman"/>
          <w:sz w:val="24"/>
          <w:szCs w:val="24"/>
          <w:vertAlign w:val="superscript"/>
        </w:rPr>
        <w:footnoteReference w:id="68"/>
      </w:r>
      <w:r w:rsidRPr="00C64727">
        <w:rPr>
          <w:rFonts w:ascii="Times New Roman" w:hAnsi="Times New Roman"/>
          <w:sz w:val="24"/>
          <w:szCs w:val="24"/>
        </w:rPr>
        <w:t>, valamint az akkreditációról és hitelesítésről szóló rendelet</w:t>
      </w:r>
      <w:r w:rsidRPr="00C64727">
        <w:rPr>
          <w:rFonts w:ascii="Times New Roman" w:hAnsi="Times New Roman"/>
          <w:sz w:val="24"/>
          <w:szCs w:val="24"/>
          <w:vertAlign w:val="superscript"/>
        </w:rPr>
        <w:footnoteReference w:id="69"/>
      </w:r>
      <w:r w:rsidRPr="00C64727">
        <w:rPr>
          <w:rFonts w:ascii="Times New Roman" w:hAnsi="Times New Roman"/>
          <w:sz w:val="24"/>
          <w:szCs w:val="24"/>
        </w:rPr>
        <w:t xml:space="preserve"> felülvizsgált változatainak az alkalmazása. További munka és egyeztetések zajlanak annak érdekében, hogy a nyomon követés, jelentés, hitelesítés és akkreditáció felülvizsgálati folyamata a 4. szakasz kezdete előtt kellő időben lezáruljon.</w:t>
      </w:r>
    </w:p>
    <w:p w14:paraId="0FD0C23A" w14:textId="77777777" w:rsidR="0067338B" w:rsidRPr="00C64727" w:rsidRDefault="00A97B86">
      <w:pPr>
        <w:jc w:val="both"/>
        <w:rPr>
          <w:rFonts w:ascii="Times New Roman" w:hAnsi="Times New Roman"/>
          <w:sz w:val="24"/>
          <w:szCs w:val="24"/>
        </w:rPr>
      </w:pPr>
      <w:r w:rsidRPr="00C64727">
        <w:rPr>
          <w:rFonts w:ascii="Times New Roman" w:hAnsi="Times New Roman"/>
          <w:sz w:val="24"/>
          <w:szCs w:val="24"/>
        </w:rPr>
        <w:t>Amióta a nyomon követésről és jelentésről szóló rendelet lehetővé tette az országok számára az elektronikus jelentéstétel kötelezővé tételét, javult a megfelelési rendszer hatékonysága. 2019-ben 17 részt vevő ország számolt be arról, hogy a nyomonkövetési tervekhez, kibocsátási jelentésekhez, hitelesítési jelentésekhez és/vagy fejlesztési jelentésekhez a Bizottság által megszabott minimumkövetelményeknek megfelelő elektronikus mintákat vagy meghatározott fájlformátumokat használnak. Tizenhárom részt vevő ország számolt be arról, hogy az EU ETS rendszerrel kapcsolatos jelentéstételhez valamilyen automatizált informatikai rendszert használ.</w:t>
      </w:r>
    </w:p>
    <w:p w14:paraId="56B7DFD2" w14:textId="77777777" w:rsidR="0067338B" w:rsidRPr="00C64727" w:rsidRDefault="00235970">
      <w:pPr>
        <w:jc w:val="both"/>
        <w:rPr>
          <w:rFonts w:ascii="Times New Roman" w:hAnsi="Times New Roman"/>
          <w:b/>
          <w:bCs/>
          <w:iCs/>
          <w:sz w:val="24"/>
          <w:szCs w:val="24"/>
        </w:rPr>
      </w:pPr>
      <w:r w:rsidRPr="00C64727">
        <w:rPr>
          <w:rFonts w:ascii="Times New Roman" w:hAnsi="Times New Roman"/>
          <w:b/>
          <w:bCs/>
          <w:iCs/>
          <w:sz w:val="24"/>
          <w:szCs w:val="24"/>
        </w:rPr>
        <w:t>6.2. Nyomon követés a gyakorlatban</w:t>
      </w:r>
    </w:p>
    <w:p w14:paraId="67125055" w14:textId="77777777" w:rsidR="0067338B" w:rsidRPr="00C64727" w:rsidRDefault="00123B11">
      <w:pPr>
        <w:jc w:val="both"/>
        <w:rPr>
          <w:rFonts w:ascii="Times New Roman" w:hAnsi="Times New Roman"/>
          <w:sz w:val="24"/>
          <w:szCs w:val="24"/>
        </w:rPr>
      </w:pPr>
      <w:r w:rsidRPr="00C64727">
        <w:rPr>
          <w:rFonts w:ascii="Times New Roman" w:hAnsi="Times New Roman"/>
          <w:sz w:val="24"/>
          <w:szCs w:val="24"/>
        </w:rPr>
        <w:t>A részt vevő országok által a 21. cikk alapján 2019-ben benyújtott jelentések alapján a legtöbb létesítmény a számításon alapuló módszert alkalmazza</w:t>
      </w:r>
      <w:r w:rsidRPr="00C64727">
        <w:rPr>
          <w:rFonts w:ascii="Times New Roman" w:hAnsi="Times New Roman"/>
          <w:sz w:val="24"/>
          <w:szCs w:val="24"/>
          <w:vertAlign w:val="superscript"/>
        </w:rPr>
        <w:footnoteReference w:id="70"/>
      </w:r>
      <w:r w:rsidRPr="00C64727">
        <w:rPr>
          <w:rFonts w:ascii="Times New Roman" w:hAnsi="Times New Roman"/>
          <w:sz w:val="24"/>
          <w:szCs w:val="24"/>
        </w:rPr>
        <w:t>. Csak 23 ország 182 létesítményéről (1,7 %) jelentették, hogy a kibocsátást folyamatosan mérő rendszert használ, amelyek közül a legtöbb Németországban, Franciaországban és a Cseh Köztársaságban található. Jóllehet az országok száma megegyezik a tavalyival, összesen hárommal több létesítmény alkalmazza ezt a megközelítést.</w:t>
      </w:r>
    </w:p>
    <w:p w14:paraId="44A0ACF0" w14:textId="77777777" w:rsidR="0067338B" w:rsidRPr="00C64727" w:rsidRDefault="00123B11">
      <w:pPr>
        <w:jc w:val="both"/>
        <w:rPr>
          <w:rFonts w:ascii="Times New Roman" w:hAnsi="Times New Roman"/>
          <w:sz w:val="24"/>
          <w:szCs w:val="24"/>
        </w:rPr>
      </w:pPr>
      <w:r w:rsidRPr="00C64727">
        <w:rPr>
          <w:rFonts w:ascii="Times New Roman" w:hAnsi="Times New Roman"/>
          <w:sz w:val="24"/>
          <w:szCs w:val="24"/>
        </w:rPr>
        <w:t>Csupán 11 ország számolt be arról, hogy összesen 38 létesítményben alkalmaznak kivételes eljárást, amely mintegy 2,6 millió tonna CO</w:t>
      </w:r>
      <w:r w:rsidRPr="00C64727">
        <w:rPr>
          <w:rFonts w:ascii="Times New Roman" w:hAnsi="Times New Roman"/>
          <w:sz w:val="24"/>
          <w:szCs w:val="24"/>
          <w:vertAlign w:val="subscript"/>
        </w:rPr>
        <w:t>2</w:t>
      </w:r>
      <w:r w:rsidRPr="00C64727">
        <w:rPr>
          <w:rFonts w:ascii="Times New Roman" w:hAnsi="Times New Roman"/>
          <w:sz w:val="24"/>
          <w:szCs w:val="24"/>
        </w:rPr>
        <w:t>-egyenérték kibocsátását érinti (szemben az előző év 3,4 millió tonna CO</w:t>
      </w:r>
      <w:r w:rsidRPr="00C64727">
        <w:rPr>
          <w:rFonts w:ascii="Times New Roman" w:hAnsi="Times New Roman"/>
          <w:sz w:val="24"/>
          <w:szCs w:val="24"/>
          <w:vertAlign w:val="subscript"/>
        </w:rPr>
        <w:t>2</w:t>
      </w:r>
      <w:r w:rsidRPr="00C64727">
        <w:rPr>
          <w:rFonts w:ascii="Times New Roman" w:hAnsi="Times New Roman"/>
          <w:sz w:val="24"/>
          <w:szCs w:val="24"/>
        </w:rPr>
        <w:t>-egyenértékével). A kivételes módszertannal kapcsolatban jelentett teljes kibocsátás 31 %-ért egy hollandiai létesítmény felel.</w:t>
      </w:r>
    </w:p>
    <w:p w14:paraId="631747C8" w14:textId="77777777" w:rsidR="0067338B" w:rsidRPr="00C64727" w:rsidRDefault="00123B11">
      <w:pPr>
        <w:jc w:val="both"/>
        <w:rPr>
          <w:rFonts w:ascii="Times New Roman" w:hAnsi="Times New Roman"/>
          <w:sz w:val="24"/>
          <w:szCs w:val="24"/>
        </w:rPr>
      </w:pPr>
      <w:r w:rsidRPr="00C64727">
        <w:rPr>
          <w:rFonts w:ascii="Times New Roman" w:hAnsi="Times New Roman"/>
          <w:sz w:val="24"/>
          <w:szCs w:val="24"/>
        </w:rPr>
        <w:t>A nyomon követésről és jelentésről szóló rendelet legkisebb meghatározási szintjének alapértelmezett értékeinek</w:t>
      </w:r>
      <w:r w:rsidRPr="00C64727">
        <w:rPr>
          <w:rFonts w:ascii="Times New Roman" w:hAnsi="Times New Roman"/>
          <w:sz w:val="24"/>
          <w:szCs w:val="24"/>
          <w:vertAlign w:val="superscript"/>
        </w:rPr>
        <w:footnoteReference w:id="71"/>
      </w:r>
      <w:r w:rsidRPr="00C64727">
        <w:rPr>
          <w:rFonts w:ascii="Times New Roman" w:hAnsi="Times New Roman"/>
          <w:sz w:val="24"/>
          <w:szCs w:val="24"/>
        </w:rPr>
        <w:t xml:space="preserve"> a létesítmények túlnyomó többsége eleget tesz. A jelentések szerint a C. kategóriájú létesítmények közül csak 97 (a tavalyi 106-hoz képest), vagyis az összes létesítmény 13,4 %-a tér el legalább egy paraméter esetében attól a követelménytől, hogy a jelentős forrásanyagokra a legmagasabb meghatározási szinteket alkalmazzák. Ilyen eltérések csak akkor megengedettek, ha az üzemeltető bizonyítja, hogy a legmagasabb meghatározási szint műszakilag nem megvalósítható, vagy észszerűtlen költségekhez vezet. Amennyiben e feltételek már nem állnak fenn, az üzemeltetők kötelesek ennek megfelelően fejleszteni nyomonkövetési rendszerüket. 2013-ban a C. kategóriájú létesítmények 16 %-a nem teljesítette a legmagasabb meghatározási szintet valamilyen oknál fogva. Ezért megfigyelhető, hogy a 3. szakasz kezdete óta egyre több C. kategóriájú létesítmény felel meg a legmagasabb meghatározási szintnek.</w:t>
      </w:r>
    </w:p>
    <w:p w14:paraId="0F29A045" w14:textId="77777777" w:rsidR="0067338B" w:rsidRPr="00C64727" w:rsidRDefault="00123B11">
      <w:pPr>
        <w:jc w:val="both"/>
        <w:rPr>
          <w:rFonts w:ascii="Times New Roman" w:hAnsi="Times New Roman"/>
          <w:sz w:val="24"/>
          <w:szCs w:val="24"/>
        </w:rPr>
      </w:pPr>
      <w:r w:rsidRPr="00C64727">
        <w:rPr>
          <w:rFonts w:ascii="Times New Roman" w:hAnsi="Times New Roman"/>
          <w:sz w:val="24"/>
          <w:szCs w:val="24"/>
        </w:rPr>
        <w:t>Hasonlóképpen, 22 részt vevő ország jelentései azt mutatják, hogy összességében a B. kategóriájú létesítmények 19 %-ánál engedélyezett a nyomon követésről és jelentésről szóló rendelet alapértelmezett előírásaitól vett eltérés valamilyen formája, szemben az előző évi 21 %-kal és az azt megelőző évi 22 %-kal, ami a legmagasabb meghatározási szintnek való megfelelés folyamatos javulását jelzi.</w:t>
      </w:r>
    </w:p>
    <w:p w14:paraId="4AF63E06" w14:textId="77777777" w:rsidR="0067338B" w:rsidRPr="00C64727" w:rsidRDefault="00235970">
      <w:pPr>
        <w:jc w:val="both"/>
        <w:rPr>
          <w:rFonts w:ascii="Times New Roman" w:hAnsi="Times New Roman"/>
          <w:b/>
          <w:bCs/>
          <w:iCs/>
          <w:sz w:val="24"/>
          <w:szCs w:val="24"/>
        </w:rPr>
      </w:pPr>
      <w:r w:rsidRPr="00C64727">
        <w:rPr>
          <w:rFonts w:ascii="Times New Roman" w:hAnsi="Times New Roman"/>
          <w:b/>
          <w:bCs/>
          <w:iCs/>
          <w:sz w:val="24"/>
          <w:szCs w:val="24"/>
        </w:rPr>
        <w:t>6.3. Akkreditált hitelesítés</w:t>
      </w:r>
    </w:p>
    <w:p w14:paraId="63B6468B" w14:textId="77777777" w:rsidR="0067338B" w:rsidRPr="00C64727" w:rsidRDefault="00123B11">
      <w:pPr>
        <w:jc w:val="both"/>
        <w:rPr>
          <w:rFonts w:ascii="Times New Roman" w:hAnsi="Times New Roman"/>
          <w:sz w:val="24"/>
          <w:szCs w:val="24"/>
        </w:rPr>
      </w:pPr>
      <w:r w:rsidRPr="00C64727">
        <w:rPr>
          <w:rFonts w:ascii="Times New Roman" w:hAnsi="Times New Roman"/>
          <w:sz w:val="24"/>
          <w:szCs w:val="24"/>
        </w:rPr>
        <w:t>A hitelesítők teljes száma nem szerepel a 21. cikk értelmében benyújtott jelentésekben. Az Európai Akkreditálási Együttműködés (EA) azonban biztosítja a központi kapcsolódást az érintett nemzeti akkreditáló testületek és az EU ETS akkreditált hitelesítőit tartalmazó jegyzékeik közt</w:t>
      </w:r>
      <w:r w:rsidRPr="00C64727">
        <w:rPr>
          <w:rFonts w:ascii="Times New Roman" w:hAnsi="Times New Roman"/>
          <w:sz w:val="24"/>
          <w:szCs w:val="24"/>
          <w:vertAlign w:val="superscript"/>
        </w:rPr>
        <w:footnoteReference w:id="72"/>
      </w:r>
      <w:r w:rsidRPr="00C64727">
        <w:rPr>
          <w:rFonts w:ascii="Times New Roman" w:hAnsi="Times New Roman"/>
          <w:sz w:val="24"/>
          <w:szCs w:val="24"/>
        </w:rPr>
        <w:t xml:space="preserve">.       </w:t>
      </w:r>
    </w:p>
    <w:p w14:paraId="62BD1E95" w14:textId="77777777" w:rsidR="0067338B" w:rsidRPr="00C64727" w:rsidRDefault="00123B11">
      <w:pPr>
        <w:jc w:val="both"/>
        <w:rPr>
          <w:rFonts w:ascii="Times New Roman" w:hAnsi="Times New Roman"/>
          <w:sz w:val="24"/>
          <w:szCs w:val="24"/>
        </w:rPr>
      </w:pPr>
      <w:r w:rsidRPr="00C64727">
        <w:rPr>
          <w:rFonts w:ascii="Times New Roman" w:hAnsi="Times New Roman"/>
          <w:sz w:val="24"/>
          <w:szCs w:val="24"/>
        </w:rPr>
        <w:t>A hitelesítők részt vevő országok általi kölcsönös elismerése sikeresen működik: 24 ország számolt be arról, hogy a területén legalább egy külföldi hitelesítő tevékenykedik.</w:t>
      </w:r>
    </w:p>
    <w:p w14:paraId="0C4B1D0A" w14:textId="77777777" w:rsidR="0067338B" w:rsidRPr="00C64727" w:rsidRDefault="00123B11">
      <w:pPr>
        <w:jc w:val="both"/>
        <w:rPr>
          <w:rFonts w:ascii="Times New Roman" w:hAnsi="Times New Roman"/>
          <w:sz w:val="24"/>
          <w:szCs w:val="24"/>
        </w:rPr>
      </w:pPr>
      <w:r w:rsidRPr="00C64727">
        <w:rPr>
          <w:rFonts w:ascii="Times New Roman" w:hAnsi="Times New Roman"/>
          <w:sz w:val="24"/>
          <w:szCs w:val="24"/>
        </w:rPr>
        <w:t xml:space="preserve">Megállapítható, hogy a hitelesítők nagymértékben megfelelnek az akkreditációról és hitelesítésről szóló rendeletnek. Lengyelország egy hitelesítő felfüggesztéséről számolt be, míg egyetlen ország sem jelentette akkreditáció visszavonását 2018-ban. 2017-ben ehhez képest egy felfüggesztés és három visszavonás történt. Németország, Franciaország és Lengyelország számolt be arról, hogy kettő, egy, illetve három hitelesítő 2018-ra szóló akkreditációjának csökkentette a hatályát; ezzel szemben 2017-ben két hitelesítő hatályának csökkentésére került sor Lengyelország esetében. </w:t>
      </w:r>
    </w:p>
    <w:p w14:paraId="38A5B31E" w14:textId="77777777" w:rsidR="0067338B" w:rsidRPr="00C64727" w:rsidRDefault="00123B11">
      <w:pPr>
        <w:jc w:val="both"/>
        <w:rPr>
          <w:rFonts w:ascii="Times New Roman" w:hAnsi="Times New Roman"/>
          <w:sz w:val="24"/>
          <w:szCs w:val="24"/>
        </w:rPr>
      </w:pPr>
      <w:r w:rsidRPr="00C64727">
        <w:rPr>
          <w:rFonts w:ascii="Times New Roman" w:hAnsi="Times New Roman"/>
          <w:sz w:val="24"/>
          <w:szCs w:val="24"/>
        </w:rPr>
        <w:t>Idén tíz ország számolt be a hitelesítőkkel kapcsolatban beérkezett panaszról (ez eggyel több, mint tavaly). A panaszok teljes száma (71) azonban 14 %-kal alacsonyabb. A jelentések szerint a beérkezett panaszok 93 %-át megoldották (tavaly ez az arány 95 %-os volt). A hitelesítők azonosításával kapcsolatban a nemzeti akkreditáló testületek és az illetékes hatóságok közti információcsere részeként megjelenő nem-megfelelőségről tíz tagállam számolt be (szemben az előző évi tizenkét tagállammal).</w:t>
      </w:r>
    </w:p>
    <w:p w14:paraId="47D55F5D" w14:textId="77777777" w:rsidR="0067338B" w:rsidRPr="00C64727" w:rsidRDefault="00235970">
      <w:pPr>
        <w:pStyle w:val="Heading1"/>
        <w:spacing w:before="0" w:after="200"/>
        <w:rPr>
          <w:szCs w:val="24"/>
        </w:rPr>
      </w:pPr>
      <w:bookmarkStart w:id="23" w:name="_Toc24093100"/>
      <w:r w:rsidRPr="00C64727">
        <w:rPr>
          <w:szCs w:val="24"/>
        </w:rPr>
        <w:t>7. AZ IGAZGATÁSI RENDSZEREK ÁTTEKINTÉSE</w:t>
      </w:r>
      <w:bookmarkEnd w:id="23"/>
      <w:r w:rsidRPr="00C64727">
        <w:rPr>
          <w:szCs w:val="24"/>
        </w:rPr>
        <w:t xml:space="preserve"> </w:t>
      </w:r>
    </w:p>
    <w:p w14:paraId="5FB847FA" w14:textId="77777777" w:rsidR="0067338B" w:rsidRPr="00C64727" w:rsidRDefault="00310AEE">
      <w:pPr>
        <w:rPr>
          <w:rFonts w:ascii="Times New Roman" w:hAnsi="Times New Roman"/>
          <w:sz w:val="24"/>
          <w:szCs w:val="24"/>
        </w:rPr>
      </w:pPr>
      <w:r w:rsidRPr="00C64727">
        <w:rPr>
          <w:rFonts w:ascii="Times New Roman" w:hAnsi="Times New Roman"/>
          <w:noProof/>
          <w:sz w:val="24"/>
          <w:szCs w:val="24"/>
          <w:lang w:val="en-GB" w:eastAsia="en-GB"/>
        </w:rPr>
        <mc:AlternateContent>
          <mc:Choice Requires="wps">
            <w:drawing>
              <wp:inline distT="0" distB="0" distL="0" distR="0" wp14:anchorId="2F473801" wp14:editId="7B48386C">
                <wp:extent cx="5731510" cy="903111"/>
                <wp:effectExtent l="0" t="0" r="21590" b="11430"/>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903111"/>
                        </a:xfrm>
                        <a:prstGeom prst="rect">
                          <a:avLst/>
                        </a:prstGeom>
                        <a:solidFill>
                          <a:sysClr val="window" lastClr="FFFFFF">
                            <a:lumMod val="85000"/>
                          </a:sysClr>
                        </a:solidFill>
                        <a:ln w="12700">
                          <a:solidFill>
                            <a:srgbClr val="000000"/>
                          </a:solidFill>
                          <a:miter lim="800000"/>
                          <a:headEnd/>
                          <a:tailEnd/>
                        </a:ln>
                      </wps:spPr>
                      <wps:txbx>
                        <w:txbxContent>
                          <w:p w14:paraId="544754EC" w14:textId="77777777" w:rsidR="0067338B" w:rsidRPr="00C64727" w:rsidRDefault="00516F65">
                            <w:pPr>
                              <w:jc w:val="both"/>
                              <w:rPr>
                                <w:rFonts w:ascii="Times New Roman" w:hAnsi="Times New Roman"/>
                                <w:sz w:val="24"/>
                                <w:szCs w:val="24"/>
                              </w:rPr>
                            </w:pPr>
                            <w:r w:rsidRPr="00C64727">
                              <w:rPr>
                                <w:rFonts w:ascii="Times New Roman" w:hAnsi="Times New Roman"/>
                                <w:sz w:val="24"/>
                                <w:szCs w:val="24"/>
                              </w:rPr>
                              <w:t xml:space="preserve">Az EU ETS-ben részt vevő országok különböző megközelítéseket alkalmaznak a rendszer végrehajtásáért felelős illetékes hatóságok vonatkozásában. Néhány országban több helyi hatóság vesz részt a végrehajtásban, míg más országokban sokkal inkább központosított a megközelítés. </w:t>
                            </w:r>
                          </w:p>
                          <w:p w14:paraId="4F91C7C9" w14:textId="77777777" w:rsidR="0067338B" w:rsidRDefault="0067338B">
                            <w:pPr>
                              <w:jc w:val="both"/>
                              <w:rPr>
                                <w:rFonts w:ascii="Times New Roman" w:hAnsi="Times New Roman"/>
                                <w:sz w:val="24"/>
                                <w:szCs w:val="24"/>
                              </w:rPr>
                            </w:pPr>
                          </w:p>
                        </w:txbxContent>
                      </wps:txbx>
                      <wps:bodyPr rot="0" vert="horz" wrap="square" lIns="91440" tIns="45720" rIns="91440" bIns="45720" anchor="t" anchorCtr="0">
                        <a:noAutofit/>
                      </wps:bodyPr>
                    </wps:wsp>
                  </a:graphicData>
                </a:graphic>
              </wp:inline>
            </w:drawing>
          </mc:Choice>
          <mc:Fallback>
            <w:pict>
              <v:shape w14:anchorId="2F473801" id="_x0000_s1041" type="#_x0000_t202" style="width:451.3pt;height:7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" fillcolor="#d9d9d9" strokeweight="1pt">
                <v:textbox>
                  <w:txbxContent>
                    <w:p w14:paraId="544754EC" w14:textId="77777777" w:rsidR="0067338B" w:rsidRPr="00C64727" w:rsidRDefault="00516F65">
                      <w:pPr>
                        <w:jc w:val="both"/>
                        <w:rPr>
                          <w:rFonts w:ascii="Times New Roman" w:hAnsi="Times New Roman"/>
                          <w:sz w:val="24"/>
                          <w:szCs w:val="24"/>
                        </w:rPr>
                      </w:pPr>
                      <w:r w:rsidRPr="00C64727">
                        <w:rPr>
                          <w:rFonts w:ascii="Times New Roman" w:hAnsi="Times New Roman"/>
                          <w:sz w:val="24"/>
                          <w:szCs w:val="24"/>
                        </w:rPr>
                        <w:t xml:space="preserve">Az EU ETS-ben részt vevő országok különböző megközelítéseket alkalmaznak a rendszer végrehajtásáért felelős illetékes hatóságok vonatkozásában. Néhány országban több helyi hatóság vesz részt a végrehajtásban, míg más országokban sokkal inkább központosított a megközelítés. </w:t>
                      </w:r>
                    </w:p>
                    <w:p w14:paraId="4F91C7C9" w14:textId="77777777" w:rsidR="0067338B" w:rsidRDefault="0067338B">
                      <w:pPr>
                        <w:jc w:val="both"/>
                        <w:rPr>
                          <w:rFonts w:ascii="Times New Roman" w:hAnsi="Times New Roman"/>
                          <w:sz w:val="24"/>
                          <w:szCs w:val="24"/>
                        </w:rPr>
                      </w:pPr>
                    </w:p>
                  </w:txbxContent>
                </v:textbox>
                <w10:anchorlock/>
              </v:shape>
            </w:pict>
          </mc:Fallback>
        </mc:AlternateContent>
      </w:r>
    </w:p>
    <w:p w14:paraId="3BAE2FD1" w14:textId="77777777" w:rsidR="0067338B" w:rsidRPr="00C64727" w:rsidRDefault="00310AEE">
      <w:pPr>
        <w:jc w:val="both"/>
        <w:rPr>
          <w:rFonts w:ascii="Times New Roman" w:hAnsi="Times New Roman"/>
          <w:sz w:val="24"/>
          <w:szCs w:val="24"/>
        </w:rPr>
      </w:pPr>
      <w:r w:rsidRPr="00C64727">
        <w:rPr>
          <w:rFonts w:ascii="Times New Roman" w:hAnsi="Times New Roman"/>
          <w:sz w:val="24"/>
          <w:szCs w:val="24"/>
        </w:rPr>
        <w:t>A 2019. évi 21. cikk szerinti adatszolgáltatások alapján országonként átlagosan öt illetékes hatóság vett részt az EU ETS végrehajtásában</w:t>
      </w:r>
      <w:r w:rsidRPr="00C64727">
        <w:rPr>
          <w:rFonts w:ascii="Times New Roman" w:hAnsi="Times New Roman"/>
          <w:sz w:val="24"/>
          <w:szCs w:val="24"/>
          <w:vertAlign w:val="superscript"/>
        </w:rPr>
        <w:footnoteReference w:id="73"/>
      </w:r>
      <w:r w:rsidRPr="00C64727">
        <w:rPr>
          <w:rFonts w:ascii="Times New Roman" w:hAnsi="Times New Roman"/>
          <w:sz w:val="24"/>
          <w:szCs w:val="24"/>
        </w:rPr>
        <w:t xml:space="preserve">. A hatóságok közötti koordináció tekintetében különböző eszközöket jelentettek, többek között például (14 országban) a nyomonkövetési tervek központi kezelésével kapcsolatos jogalkotási eszközöket, (10 országban) a központi illetékes hatóság által a helyi hatóságoknak nyújtott kötelező erejű utasításokat és iránymutatásokat, valamint (15 országban) a hatóságok közötti rendszeres munkacsoportokat vagy találkozókat. Hét ország jelezte, hogy nem alkalmaz ilyen eszközöket. </w:t>
      </w:r>
    </w:p>
    <w:p w14:paraId="246D3148" w14:textId="77777777" w:rsidR="0067338B" w:rsidRPr="00C64727" w:rsidRDefault="00310AEE">
      <w:pPr>
        <w:jc w:val="both"/>
        <w:rPr>
          <w:rFonts w:ascii="Times New Roman" w:hAnsi="Times New Roman"/>
          <w:sz w:val="24"/>
          <w:szCs w:val="24"/>
        </w:rPr>
      </w:pPr>
      <w:r w:rsidRPr="00C64727">
        <w:rPr>
          <w:rFonts w:ascii="Times New Roman" w:hAnsi="Times New Roman"/>
          <w:sz w:val="24"/>
          <w:szCs w:val="24"/>
        </w:rPr>
        <w:t>Az engedélyezés és a jóváhagyott nyomonkövetési tervek után kiszabott közigazgatási díjak tekintetében 13 ország (eggyel több, mint tavaly) arról számolt be 2019-ben, hogy nem számítanak fel díjat a létesítmények üzemeltetőinek (Ciprus, Észtország, Görögország, Hollandia, Írország, Liechtenstein, Lettország, Luxemburg, Litvánia, Málta, Németország, Svédország, Szlovákia). A légijármű-üzemeltetők 15 országban (Belgium, Ciprus, Cseh Köztársaság, Észtország, Görögország, Hollandia, Lettország, Liechtenstein, Litvánia, Luxemburg, Málta, Németország, Spanyolország, Svédország, Szlovákia) nem fizetnek díjat, ami nem jelent változást a tavalyi évhez képest. A díjak országonként és szolgáltatástípusonként jelentősen eltérőek, a létesítmények engedélyével és a nyomonkövetési tervének jóváhagyásával kapcsolatos díj például 5 EUR és 6913,31 EUR között van, míg a légijármű-üzemeltetőknek ugyanazért a szolgáltatásrét felszámított díjak 5 EUR és 2400 EUR között változnak.</w:t>
      </w:r>
    </w:p>
    <w:p w14:paraId="0C084E28" w14:textId="49182CD6" w:rsidR="0067338B" w:rsidRPr="00C64727" w:rsidRDefault="00310AEE">
      <w:pPr>
        <w:jc w:val="both"/>
        <w:rPr>
          <w:rFonts w:ascii="Times New Roman" w:hAnsi="Times New Roman"/>
          <w:sz w:val="24"/>
          <w:szCs w:val="24"/>
        </w:rPr>
      </w:pPr>
      <w:r w:rsidRPr="00C64727">
        <w:rPr>
          <w:rFonts w:ascii="Times New Roman" w:hAnsi="Times New Roman"/>
          <w:sz w:val="24"/>
          <w:szCs w:val="24"/>
        </w:rPr>
        <w:t xml:space="preserve">Összességében a részt vevő országok ETS igazgatási rendszere alapvetően hatékony. Továbbra is erősíteni és ösztönözni kell a kommunikációt és a bevált gyakorlatok megosztását többek közt az EU ETS megfelelési fórumának tevékenységei és az éves EU ETS megfelelési konferencia révén. </w:t>
      </w:r>
    </w:p>
    <w:p w14:paraId="35AB1472" w14:textId="77777777" w:rsidR="0067338B" w:rsidRPr="00C64727" w:rsidRDefault="00235970">
      <w:pPr>
        <w:pStyle w:val="Heading1"/>
        <w:spacing w:before="0" w:after="200"/>
        <w:rPr>
          <w:szCs w:val="24"/>
        </w:rPr>
      </w:pPr>
      <w:bookmarkStart w:id="24" w:name="_Toc24093101"/>
      <w:r w:rsidRPr="00C64727">
        <w:rPr>
          <w:szCs w:val="24"/>
        </w:rPr>
        <w:t>8. MEGFELELÉS ÉS VÉGREHAJTÁS</w:t>
      </w:r>
      <w:bookmarkEnd w:id="24"/>
      <w:r w:rsidRPr="00C64727">
        <w:rPr>
          <w:szCs w:val="24"/>
        </w:rPr>
        <w:t xml:space="preserve"> </w:t>
      </w:r>
    </w:p>
    <w:p w14:paraId="7F3C30ED" w14:textId="77777777" w:rsidR="0067338B" w:rsidRPr="00C64727" w:rsidRDefault="00310AEE">
      <w:pPr>
        <w:rPr>
          <w:rFonts w:ascii="Times New Roman" w:hAnsi="Times New Roman"/>
          <w:sz w:val="24"/>
          <w:szCs w:val="24"/>
        </w:rPr>
      </w:pPr>
      <w:r w:rsidRPr="00C64727">
        <w:rPr>
          <w:rFonts w:ascii="Times New Roman" w:hAnsi="Times New Roman"/>
          <w:noProof/>
          <w:sz w:val="24"/>
          <w:szCs w:val="24"/>
          <w:lang w:val="en-GB" w:eastAsia="en-GB"/>
        </w:rPr>
        <mc:AlternateContent>
          <mc:Choice Requires="wps">
            <w:drawing>
              <wp:inline distT="0" distB="0" distL="0" distR="0" wp14:anchorId="5891EEBE" wp14:editId="7180CEC7">
                <wp:extent cx="5731510" cy="950976"/>
                <wp:effectExtent l="0" t="0" r="21590" b="20955"/>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950976"/>
                        </a:xfrm>
                        <a:prstGeom prst="rect">
                          <a:avLst/>
                        </a:prstGeom>
                        <a:solidFill>
                          <a:sysClr val="window" lastClr="FFFFFF">
                            <a:lumMod val="85000"/>
                          </a:sysClr>
                        </a:solidFill>
                        <a:ln w="12700">
                          <a:solidFill>
                            <a:srgbClr val="000000"/>
                          </a:solidFill>
                          <a:miter lim="800000"/>
                          <a:headEnd/>
                          <a:tailEnd/>
                        </a:ln>
                      </wps:spPr>
                      <wps:txbx>
                        <w:txbxContent>
                          <w:p w14:paraId="6F3EC678" w14:textId="77777777" w:rsidR="0067338B" w:rsidRPr="00C64727" w:rsidRDefault="00516F65">
                            <w:pPr>
                              <w:jc w:val="both"/>
                              <w:rPr>
                                <w:rFonts w:ascii="Times New Roman" w:hAnsi="Times New Roman"/>
                                <w:sz w:val="24"/>
                                <w:szCs w:val="24"/>
                              </w:rPr>
                            </w:pPr>
                            <w:r w:rsidRPr="00C64727">
                              <w:rPr>
                                <w:rFonts w:ascii="Times New Roman" w:hAnsi="Times New Roman"/>
                                <w:sz w:val="24"/>
                                <w:szCs w:val="24"/>
                              </w:rPr>
                              <w:t>Az EU ETS irányelv többletkibocsátási bírságot ír elő egy (indexált) 100 eurós összeg formájában, amelyet a kibocsátott CO</w:t>
                            </w:r>
                            <w:r w:rsidRPr="00C64727">
                              <w:rPr>
                                <w:rFonts w:ascii="Times New Roman" w:hAnsi="Times New Roman"/>
                                <w:sz w:val="24"/>
                                <w:szCs w:val="24"/>
                                <w:vertAlign w:val="subscript"/>
                              </w:rPr>
                              <w:t>2</w:t>
                            </w:r>
                            <w:r w:rsidRPr="00C64727">
                              <w:rPr>
                                <w:rFonts w:ascii="Times New Roman" w:hAnsi="Times New Roman"/>
                                <w:sz w:val="24"/>
                                <w:szCs w:val="24"/>
                              </w:rPr>
                              <w:t xml:space="preserve"> minden olyan tonnája után kell megfizetni, amelyre nem adtak le kellő időben kibocsátási egységet. Az EU ETS végrehajtásának szabálysértéseiért járó más bírságok az érintett ország által hozott nemzeti rendelkezések szerint alakulnak.</w:t>
                            </w:r>
                          </w:p>
                          <w:p w14:paraId="5650CE85" w14:textId="77777777" w:rsidR="0067338B" w:rsidRDefault="0067338B">
                            <w:pPr>
                              <w:jc w:val="both"/>
                              <w:rPr>
                                <w:rFonts w:ascii="Times New Roman" w:hAnsi="Times New Roman"/>
                                <w:sz w:val="24"/>
                                <w:szCs w:val="24"/>
                              </w:rPr>
                            </w:pPr>
                          </w:p>
                        </w:txbxContent>
                      </wps:txbx>
                      <wps:bodyPr rot="0" vert="horz" wrap="square" lIns="91440" tIns="45720" rIns="91440" bIns="45720" anchor="t" anchorCtr="0">
                        <a:noAutofit/>
                      </wps:bodyPr>
                    </wps:wsp>
                  </a:graphicData>
                </a:graphic>
              </wp:inline>
            </w:drawing>
          </mc:Choice>
          <mc:Fallback>
            <w:pict>
              <v:shape w14:anchorId="5891EEBE" id="_x0000_s1042" type="#_x0000_t202" style="width:451.3pt;height:7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" fillcolor="#d9d9d9" strokeweight="1pt">
                <v:textbox>
                  <w:txbxContent>
                    <w:p w14:paraId="6F3EC678" w14:textId="77777777" w:rsidR="0067338B" w:rsidRPr="00C64727" w:rsidRDefault="00516F65">
                      <w:pPr>
                        <w:jc w:val="both"/>
                        <w:rPr>
                          <w:rFonts w:ascii="Times New Roman" w:hAnsi="Times New Roman"/>
                          <w:sz w:val="24"/>
                          <w:szCs w:val="24"/>
                        </w:rPr>
                      </w:pPr>
                      <w:r w:rsidRPr="00C64727">
                        <w:rPr>
                          <w:rFonts w:ascii="Times New Roman" w:hAnsi="Times New Roman"/>
                          <w:sz w:val="24"/>
                          <w:szCs w:val="24"/>
                        </w:rPr>
                        <w:t>Az EU ETS irányelv többletkibocsátási bírságot ír elő egy (indexált) 100 eurós összeg formájában, amelyet a kibocsátott CO</w:t>
                      </w:r>
                      <w:r w:rsidRPr="00C64727">
                        <w:rPr>
                          <w:rFonts w:ascii="Times New Roman" w:hAnsi="Times New Roman"/>
                          <w:sz w:val="24"/>
                          <w:szCs w:val="24"/>
                          <w:vertAlign w:val="subscript"/>
                        </w:rPr>
                        <w:t>2</w:t>
                      </w:r>
                      <w:r w:rsidRPr="00C64727">
                        <w:rPr>
                          <w:rFonts w:ascii="Times New Roman" w:hAnsi="Times New Roman"/>
                          <w:sz w:val="24"/>
                          <w:szCs w:val="24"/>
                        </w:rPr>
                        <w:t xml:space="preserve"> minden olyan tonnája után kell megfizetni, amelyre nem adtak le kellő időben kibocsátási egységet. Az EU ETS végrehajtásának szabálysértéseiért járó más bírságok az érintett ország által hozott nemzeti rendelkezések szerint alakulnak.</w:t>
                      </w:r>
                    </w:p>
                    <w:p w14:paraId="5650CE85" w14:textId="77777777" w:rsidR="0067338B" w:rsidRDefault="0067338B">
                      <w:pPr>
                        <w:jc w:val="both"/>
                        <w:rPr>
                          <w:rFonts w:ascii="Times New Roman" w:hAnsi="Times New Roman"/>
                          <w:sz w:val="24"/>
                          <w:szCs w:val="24"/>
                        </w:rPr>
                      </w:pPr>
                    </w:p>
                  </w:txbxContent>
                </v:textbox>
                <w10:anchorlock/>
              </v:shape>
            </w:pict>
          </mc:Fallback>
        </mc:AlternateContent>
      </w:r>
    </w:p>
    <w:p w14:paraId="432DFA4B" w14:textId="77777777" w:rsidR="0067338B" w:rsidRPr="00C64727" w:rsidRDefault="00310AEE">
      <w:pPr>
        <w:spacing w:after="120"/>
        <w:jc w:val="both"/>
        <w:rPr>
          <w:rFonts w:ascii="Times New Roman" w:eastAsia="Times New Roman" w:hAnsi="Times New Roman"/>
          <w:sz w:val="24"/>
          <w:szCs w:val="24"/>
        </w:rPr>
      </w:pPr>
      <w:r w:rsidRPr="00C64727">
        <w:rPr>
          <w:rFonts w:ascii="Times New Roman" w:hAnsi="Times New Roman"/>
          <w:sz w:val="24"/>
          <w:szCs w:val="24"/>
        </w:rPr>
        <w:t>Az EU ETS-ben nagyon magas a megfelelési arány: a kibocsátások mintegy 99 %-ára minden évben időben benyújtják az előírt számú kibocsátási egységet. A 2018-ra kibocsátásokat bejelentő létesítményeknek kevesebb mint 0,5 %-a nem adta le a 2019. április 30-i határidőig az összes kibocsátását ellentételező kibocsátási egységeket. A légiközlekedési ágazatban az EU ETS hatálya alá tartozó, légi közlekedésből származó kibocsátások 99,1 %-áért felelős légijármű-üzemeltetők megfeleltek az előírásoknak. Az előírásoknak meg nem felelő üzemeltetők általában kisebb vállalkozások voltak, vagy 2018-ban beszüntették tevékenységüket.</w:t>
      </w:r>
    </w:p>
    <w:p w14:paraId="55E7F55F" w14:textId="77777777" w:rsidR="0067338B" w:rsidRPr="00C64727" w:rsidRDefault="00310AEE">
      <w:pPr>
        <w:jc w:val="both"/>
        <w:rPr>
          <w:rFonts w:ascii="Times New Roman" w:eastAsia="Times New Roman" w:hAnsi="Times New Roman"/>
          <w:sz w:val="24"/>
          <w:szCs w:val="24"/>
        </w:rPr>
      </w:pPr>
      <w:r w:rsidRPr="00C64727">
        <w:rPr>
          <w:rFonts w:ascii="Times New Roman" w:hAnsi="Times New Roman"/>
          <w:sz w:val="24"/>
          <w:szCs w:val="24"/>
        </w:rPr>
        <w:t xml:space="preserve">Az illetékes hatóságok továbbra is különféle megfelelési ellenőrzéseket végeznek az éves kibocsátási jelentések alapján. A 2019. évi 21. cikk szerinti adatszolgáltatások alapján valamennyi részt vevő ország ellenőrzi az éves kibocsátási jelentéseket teljesség szempontjából (a jelentések 100 %-a, kivéve Belgiumot [31 %], Spanyolországot [95 %], Franciaországot [99 %] és Svédországot [1 %]). A jelentések továbbá arra utalnak, hogy az országok átlagosan a jelentések közel 80 %-át ellenőrzik a nyomonkövetési tervekkel való összhang (valamennyi ország, kivéve Horvátországot), mintegy 75 %-át pedig a kiosztási adatok szempontjából (valamennyi ország, kivéve Finnországot, Horvátországot, Máltát, Norvégiát és Svédországot). Huszonnégy ország számolt be arról, hogy egyéb adatokkal is végez összehasonlító ellenőrzést. </w:t>
      </w:r>
    </w:p>
    <w:p w14:paraId="3EBD2D74" w14:textId="77777777" w:rsidR="0067338B" w:rsidRPr="00C64727" w:rsidRDefault="00310AEE">
      <w:pPr>
        <w:jc w:val="both"/>
        <w:rPr>
          <w:rFonts w:ascii="Times New Roman" w:eastAsia="Times New Roman" w:hAnsi="Times New Roman"/>
          <w:sz w:val="24"/>
          <w:szCs w:val="24"/>
        </w:rPr>
      </w:pPr>
      <w:r w:rsidRPr="00C64727">
        <w:rPr>
          <w:rFonts w:ascii="Times New Roman" w:hAnsi="Times New Roman"/>
          <w:sz w:val="24"/>
          <w:szCs w:val="24"/>
        </w:rPr>
        <w:t>Az illetékes hatóságok 12 országban végeztek a hiányzó adatokra vonatkozó óvatos becsléseket 57 létesítmény esetében (összességében a létesítmények mintegy 0,5 %-a), ami hasonló a 2017-es 52 létesítményhez (0,5 %) és a 2016-os 57 létesítményhez (0,5 %). A 2018. évi érintett kibocsátások bejelentett mennyisége 11,2 millió tonna CO</w:t>
      </w:r>
      <w:r w:rsidRPr="00C64727">
        <w:rPr>
          <w:rFonts w:ascii="Times New Roman" w:hAnsi="Times New Roman"/>
          <w:sz w:val="24"/>
          <w:szCs w:val="24"/>
          <w:vertAlign w:val="subscript"/>
        </w:rPr>
        <w:t>2</w:t>
      </w:r>
      <w:r w:rsidRPr="00C64727">
        <w:rPr>
          <w:rFonts w:ascii="Times New Roman" w:hAnsi="Times New Roman"/>
          <w:sz w:val="24"/>
          <w:szCs w:val="24"/>
        </w:rPr>
        <w:t xml:space="preserve"> volt (szemben a 2017-es 2,8 millió tonnával), ami körülbelül az összes kibocsátás 0,7 %-a (szemben a 2017-es 0,2 %-kal). Az óvatos becslések mögött álló leggyakoribb indok a kibocsátási jelentés hiánya március 31-i határidővel, vagy olyan kibocsátási jelentés, amely nem felelt meg tökéletesen a nyomon követésről és jelentésről szóló rendelet/akkreditációról és hitelesítésről szóló rendelet előírásainak.</w:t>
      </w:r>
    </w:p>
    <w:p w14:paraId="7A85A336" w14:textId="77777777" w:rsidR="0067338B" w:rsidRPr="00C64727" w:rsidRDefault="00310AEE">
      <w:pPr>
        <w:jc w:val="both"/>
        <w:rPr>
          <w:rFonts w:ascii="Times New Roman" w:eastAsia="Times New Roman" w:hAnsi="Times New Roman"/>
          <w:sz w:val="24"/>
          <w:szCs w:val="24"/>
        </w:rPr>
      </w:pPr>
      <w:r w:rsidRPr="00C64727">
        <w:rPr>
          <w:rFonts w:ascii="Times New Roman" w:hAnsi="Times New Roman"/>
          <w:sz w:val="24"/>
          <w:szCs w:val="24"/>
        </w:rPr>
        <w:t xml:space="preserve">A légi közlekedés hiányzó adataira vonatkozó óvatos becslésekről csak 7 ország számolt be 31 légijármű-üzemeltető esetében (az összes üzemeltető 4,7 %-a), a légi közlekedésből származó teljes kibocsátás 4,7 %-a tekintetében. </w:t>
      </w:r>
    </w:p>
    <w:p w14:paraId="73D35A48" w14:textId="77777777" w:rsidR="0067338B" w:rsidRPr="00C64727" w:rsidRDefault="00310AEE">
      <w:pPr>
        <w:jc w:val="both"/>
        <w:rPr>
          <w:rFonts w:ascii="Times New Roman" w:eastAsia="Times New Roman" w:hAnsi="Times New Roman"/>
          <w:sz w:val="24"/>
          <w:szCs w:val="24"/>
        </w:rPr>
      </w:pPr>
      <w:r w:rsidRPr="00C64727">
        <w:rPr>
          <w:rFonts w:ascii="Times New Roman" w:hAnsi="Times New Roman"/>
          <w:sz w:val="24"/>
          <w:szCs w:val="24"/>
        </w:rPr>
        <w:t>Az illetékes hatóságok ellenőrzései továbbra is fontosak a hitelesítők munkájának kiegészítése érdekében. 2018-ban valamennyi ország megerősítette, hogy a létesítmények esetében további ellenőrzéseket végeznek. A legtöbb ország hasonló megközelítésről számolt be a légijármű-üzemeltetők esetében is (kivéve Ciprust, Észtországot, Görögországot, Olaszországot és Liechtensteint). A legtöbb ország (Görögország, Olaszország, Luxemburg és Málta kivételével mind) arról számolt be, hogy 2018-ban helyszíni ellenőrzéseket hajtott végre a létesítményekben.</w:t>
      </w:r>
    </w:p>
    <w:p w14:paraId="0E3B6C2D" w14:textId="77777777" w:rsidR="0067338B" w:rsidRPr="00C64727" w:rsidRDefault="00310AEE">
      <w:pPr>
        <w:spacing w:after="120"/>
        <w:jc w:val="both"/>
        <w:rPr>
          <w:rFonts w:ascii="Times New Roman" w:eastAsia="Times New Roman" w:hAnsi="Times New Roman"/>
          <w:sz w:val="24"/>
          <w:szCs w:val="24"/>
        </w:rPr>
      </w:pPr>
      <w:r w:rsidRPr="00C64727">
        <w:rPr>
          <w:rFonts w:ascii="Times New Roman" w:hAnsi="Times New Roman"/>
          <w:sz w:val="24"/>
          <w:szCs w:val="24"/>
        </w:rPr>
        <w:t xml:space="preserve">2018-ra vonatkozóan tíz ország számolt be többletkibocsátási bírság alkalmazásáról 36 létesítmény esetében (Belgium 1, Cseh Köztársaság 2, Egyesült Királyság 11, Franciaország 1, Hollandia 1, Írország 2, Lengyelország 2, Olaszország 5, Portugália 7, Románia 4). A légi közlekedés tekintetében 26 légijármű-üzemeltető esetében jelentettek többletkibocsátási bírságot (Egyesült Királyság 3, Franciaország 1, Hollandia 1, Litvánia 1, Olaszország 9, Németország 2, Portugália 8 Szlovénia 1). </w:t>
      </w:r>
    </w:p>
    <w:p w14:paraId="18B1C31B" w14:textId="77777777" w:rsidR="0067338B" w:rsidRPr="00C64727" w:rsidRDefault="00310AEE">
      <w:pPr>
        <w:spacing w:after="120"/>
        <w:jc w:val="both"/>
        <w:rPr>
          <w:rFonts w:ascii="Times New Roman" w:eastAsia="Times New Roman" w:hAnsi="Times New Roman"/>
          <w:sz w:val="24"/>
          <w:szCs w:val="24"/>
        </w:rPr>
      </w:pPr>
      <w:r w:rsidRPr="00C64727">
        <w:rPr>
          <w:rFonts w:ascii="Times New Roman" w:hAnsi="Times New Roman"/>
          <w:sz w:val="24"/>
          <w:szCs w:val="24"/>
        </w:rPr>
        <w:t>Tizenkét ország erősítette meg, hogy 2018-ban bírságokat szabott ki (a többletkibocsátási bírságokon kívül). A jelentések szabadságvesztésről egyáltalán nem számoltak be, ugyanakkor összesen 5,4 millió EUR</w:t>
      </w:r>
      <w:r w:rsidRPr="00C64727">
        <w:rPr>
          <w:rStyle w:val="FootnoteReference"/>
          <w:rFonts w:ascii="Times New Roman" w:eastAsia="Times New Roman" w:hAnsi="Times New Roman"/>
          <w:sz w:val="24"/>
          <w:szCs w:val="24"/>
        </w:rPr>
        <w:footnoteReference w:id="74"/>
      </w:r>
      <w:r w:rsidRPr="00C64727">
        <w:rPr>
          <w:rFonts w:ascii="Times New Roman" w:hAnsi="Times New Roman"/>
          <w:sz w:val="24"/>
          <w:szCs w:val="24"/>
        </w:rPr>
        <w:t xml:space="preserve"> pénzügyi értékben rögzítettek bírságokat, hivatalos felszólításokat és utolsó figyelmeztető leveleket, amelyek 36 létesítményt és 26 légijármű-üzemeltetőt érintettek. </w:t>
      </w:r>
    </w:p>
    <w:p w14:paraId="7696A498" w14:textId="77777777" w:rsidR="0067338B" w:rsidRPr="00C64727" w:rsidRDefault="00310AEE">
      <w:pPr>
        <w:spacing w:after="120"/>
        <w:jc w:val="both"/>
        <w:rPr>
          <w:rFonts w:ascii="Times New Roman" w:eastAsia="Times New Roman" w:hAnsi="Times New Roman"/>
          <w:sz w:val="24"/>
          <w:szCs w:val="24"/>
        </w:rPr>
      </w:pPr>
      <w:r w:rsidRPr="00C64727">
        <w:rPr>
          <w:rFonts w:ascii="Times New Roman" w:hAnsi="Times New Roman"/>
          <w:sz w:val="24"/>
          <w:szCs w:val="24"/>
        </w:rPr>
        <w:t xml:space="preserve">A 2018-ban jelentett leggyakoribb kihágások közé az alábbiak tartoztak: a megfelelően jóváhagyott nyomonkövetési terv hiánya (9 eset), engedély nélküli működés (8 eset), az engedélyezési feltételeknek való megfelelés hiánya (6 eset), valamint a hitelesített éves kibocsátási jelentés benyújtásának elmulasztása a megfelelő határidőig (5 eset). </w:t>
      </w:r>
    </w:p>
    <w:p w14:paraId="0C35477E" w14:textId="77777777" w:rsidR="0067338B" w:rsidRPr="00C64727" w:rsidRDefault="00310AEE">
      <w:pPr>
        <w:spacing w:after="120"/>
        <w:jc w:val="both"/>
        <w:rPr>
          <w:rFonts w:ascii="Times New Roman" w:eastAsia="Times New Roman" w:hAnsi="Times New Roman"/>
          <w:sz w:val="24"/>
          <w:szCs w:val="24"/>
        </w:rPr>
      </w:pPr>
      <w:r w:rsidRPr="00C64727">
        <w:rPr>
          <w:rFonts w:ascii="Times New Roman" w:hAnsi="Times New Roman"/>
          <w:sz w:val="24"/>
          <w:szCs w:val="24"/>
        </w:rPr>
        <w:t>Ahogy a tavalyi jelentésben is szerepelt, 2018 elején elkezdődött az EU ETS megfelelésértékelésének ötödik ciklusa, amelynek célja az EU ETS-nek való megfeleléssel kapcsolatos problémák feltárása a részt vevő országok szintjén, valamint a részt vevő országok támogatása az EU ETS végrehajtásának javításában. Az értékelés 2019 végén fejeződik be.</w:t>
      </w:r>
    </w:p>
    <w:p w14:paraId="73047261" w14:textId="77777777" w:rsidR="0067338B" w:rsidRPr="00C64727" w:rsidRDefault="0067338B">
      <w:pPr>
        <w:spacing w:after="120"/>
        <w:jc w:val="both"/>
        <w:rPr>
          <w:rFonts w:ascii="Times New Roman" w:eastAsia="Times New Roman" w:hAnsi="Times New Roman"/>
          <w:sz w:val="24"/>
          <w:szCs w:val="24"/>
        </w:rPr>
      </w:pPr>
    </w:p>
    <w:p w14:paraId="0CA4E9A1" w14:textId="77777777" w:rsidR="0067338B" w:rsidRPr="00C64727" w:rsidRDefault="00A52F4C">
      <w:pPr>
        <w:pStyle w:val="Heading1"/>
        <w:spacing w:before="0" w:after="200"/>
        <w:rPr>
          <w:szCs w:val="24"/>
        </w:rPr>
      </w:pPr>
      <w:bookmarkStart w:id="25" w:name="_Toc24093102"/>
      <w:r w:rsidRPr="00C64727">
        <w:rPr>
          <w:szCs w:val="24"/>
        </w:rPr>
        <w:t>9. KÖVETKEZTETÉSEK ÉS KILÁTÁSOK</w:t>
      </w:r>
      <w:bookmarkEnd w:id="25"/>
      <w:r w:rsidRPr="00C64727">
        <w:rPr>
          <w:szCs w:val="24"/>
        </w:rPr>
        <w:t xml:space="preserve"> </w:t>
      </w:r>
    </w:p>
    <w:p w14:paraId="2DA378AA" w14:textId="77777777" w:rsidR="0067338B" w:rsidRPr="00C64727" w:rsidRDefault="00430B6B">
      <w:pPr>
        <w:spacing w:after="0"/>
        <w:jc w:val="both"/>
        <w:rPr>
          <w:rFonts w:ascii="Times New Roman" w:hAnsi="Times New Roman"/>
          <w:sz w:val="24"/>
          <w:szCs w:val="24"/>
        </w:rPr>
      </w:pPr>
      <w:r w:rsidRPr="00C64727">
        <w:rPr>
          <w:rFonts w:ascii="Times New Roman" w:hAnsi="Times New Roman"/>
          <w:sz w:val="24"/>
          <w:szCs w:val="24"/>
        </w:rPr>
        <w:t xml:space="preserve">2018-ban jelentős előrelépés történt az EU ETS 4. szakaszára vonatkozó végrehajtási rendelkezések elfogadása terén. Az elmúlt év során rendelkezéseket fogadtak el a kibocsátásáthelyezéssel, az ingyenes kiosztással, az árverésekkel, az innovációs alap létrehozásával, valamint a nyomon követéssel, jelentéssel és hitelesítéssel kapcsolatban. A fennmaradó végrehajtási szabályok véglegesítése gyors ütemben zajlik, és elfogadásukra előreláthatólag az új kereskedési időszak 2021. januári kezdete előtt sor kerül. </w:t>
      </w:r>
    </w:p>
    <w:p w14:paraId="7358EDEB" w14:textId="77777777" w:rsidR="0067338B" w:rsidRPr="00C64727" w:rsidRDefault="0067338B">
      <w:pPr>
        <w:spacing w:after="0"/>
        <w:jc w:val="both"/>
        <w:rPr>
          <w:rFonts w:ascii="Times New Roman" w:hAnsi="Times New Roman"/>
          <w:sz w:val="24"/>
          <w:szCs w:val="24"/>
        </w:rPr>
      </w:pPr>
    </w:p>
    <w:p w14:paraId="35AC3A3F" w14:textId="77777777" w:rsidR="0067338B" w:rsidRPr="00C64727" w:rsidRDefault="009D0411">
      <w:pPr>
        <w:spacing w:after="0"/>
        <w:jc w:val="both"/>
        <w:rPr>
          <w:rFonts w:ascii="Times New Roman" w:hAnsi="Times New Roman"/>
          <w:sz w:val="24"/>
          <w:szCs w:val="24"/>
        </w:rPr>
      </w:pPr>
      <w:r w:rsidRPr="00C64727">
        <w:rPr>
          <w:rFonts w:ascii="Times New Roman" w:hAnsi="Times New Roman"/>
          <w:sz w:val="24"/>
          <w:szCs w:val="24"/>
        </w:rPr>
        <w:t xml:space="preserve">Az évet továbbá az EU ETS hatálya alá tartozó létesítményekből származó kibocsátások jelentős mértékű csökkenése jellemezte. A 2017-hez képest bekövetkezett 4,1 %-os csökkenés elsősorban a villamosenergia- és hőtermelésnek tulajdonítható, míg az iparból származó kibocsátások csak csekély mértékben csökkentek. A légi közlekedésből származó hitelesített kibocsátások azonban 2018-ban tovább növekedtek, 2017-hez képest 3,9 %-kal.   </w:t>
      </w:r>
    </w:p>
    <w:p w14:paraId="2B434FB1" w14:textId="77777777" w:rsidR="0067338B" w:rsidRPr="00C64727" w:rsidRDefault="0067338B">
      <w:pPr>
        <w:spacing w:after="0"/>
        <w:jc w:val="both"/>
        <w:rPr>
          <w:rFonts w:ascii="Times New Roman" w:hAnsi="Times New Roman"/>
          <w:sz w:val="24"/>
          <w:szCs w:val="24"/>
        </w:rPr>
      </w:pPr>
    </w:p>
    <w:p w14:paraId="5054F3BF" w14:textId="77777777" w:rsidR="0067338B" w:rsidRPr="00C64727" w:rsidRDefault="00AA6C77">
      <w:pPr>
        <w:spacing w:after="0"/>
        <w:jc w:val="both"/>
        <w:rPr>
          <w:rFonts w:ascii="Times New Roman" w:hAnsi="Times New Roman"/>
          <w:sz w:val="24"/>
          <w:szCs w:val="24"/>
        </w:rPr>
      </w:pPr>
      <w:r w:rsidRPr="00C64727">
        <w:rPr>
          <w:rFonts w:ascii="Times New Roman" w:hAnsi="Times New Roman"/>
          <w:sz w:val="24"/>
          <w:szCs w:val="24"/>
        </w:rPr>
        <w:t xml:space="preserve">Az utóbbi években a kibocsátási egységek többletének kezelésére elfogadott jogszabályi változások továbbra is jelentős eredményeket mutatnak. 2019-ben harmadik alkalommal tették közzé a piaci stabilizációs tartalék többletmutatóját, és a 2017-es mutatóval együtt ennek hatására 2019-ben majdnem 40 %-kal, azaz közel 397 millióval csökkentek az árverési mennyiségek. Ennek következtében 2018-hoz képest 2019-ben 30 %-kal kevesebb kibocsátási egység kerül elárverezésre. </w:t>
      </w:r>
    </w:p>
    <w:p w14:paraId="6617B3EF" w14:textId="77777777" w:rsidR="0067338B" w:rsidRPr="00C64727" w:rsidRDefault="0067338B">
      <w:pPr>
        <w:spacing w:after="0"/>
        <w:jc w:val="both"/>
        <w:rPr>
          <w:rFonts w:ascii="Times New Roman" w:hAnsi="Times New Roman"/>
          <w:sz w:val="24"/>
          <w:szCs w:val="24"/>
        </w:rPr>
      </w:pPr>
    </w:p>
    <w:p w14:paraId="365ED7F4" w14:textId="77777777" w:rsidR="0067338B" w:rsidRPr="00C64727" w:rsidRDefault="00513F37">
      <w:pPr>
        <w:spacing w:after="0"/>
        <w:jc w:val="both"/>
        <w:rPr>
          <w:rFonts w:ascii="Times New Roman" w:hAnsi="Times New Roman"/>
          <w:sz w:val="24"/>
          <w:szCs w:val="24"/>
        </w:rPr>
      </w:pPr>
      <w:r w:rsidRPr="00C64727">
        <w:rPr>
          <w:rFonts w:ascii="Times New Roman" w:hAnsi="Times New Roman"/>
          <w:sz w:val="24"/>
          <w:szCs w:val="24"/>
        </w:rPr>
        <w:t xml:space="preserve">Az ezeken a területeken elért pozitív eredmények hatására fokozódott a piaci szereplők bizalma és tovább erősödött a szén-dioxidár-jelzés. A kibocsátási egységek magasabb árának következtében jelentős mértékben nőttek a tagállamok árverésekből származó összbevételei: 2018-ban az összbevétel több mint kétszerese volt a 2017-es bevételeknek. </w:t>
      </w:r>
    </w:p>
    <w:p w14:paraId="6F8F7657" w14:textId="77777777" w:rsidR="0067338B" w:rsidRPr="00C64727" w:rsidRDefault="0067338B">
      <w:pPr>
        <w:spacing w:after="0"/>
        <w:jc w:val="both"/>
        <w:rPr>
          <w:rFonts w:ascii="Times New Roman" w:hAnsi="Times New Roman"/>
          <w:sz w:val="24"/>
          <w:szCs w:val="24"/>
        </w:rPr>
      </w:pPr>
    </w:p>
    <w:p w14:paraId="6DBBEB7A" w14:textId="77777777" w:rsidR="0067338B" w:rsidRPr="00C64727" w:rsidRDefault="008A5D9B">
      <w:pPr>
        <w:spacing w:after="0"/>
        <w:jc w:val="both"/>
        <w:rPr>
          <w:rFonts w:ascii="Times New Roman" w:hAnsi="Times New Roman"/>
          <w:sz w:val="24"/>
          <w:szCs w:val="24"/>
        </w:rPr>
      </w:pPr>
      <w:r w:rsidRPr="00C64727">
        <w:rPr>
          <w:rFonts w:ascii="Times New Roman" w:hAnsi="Times New Roman"/>
          <w:sz w:val="24"/>
          <w:szCs w:val="24"/>
        </w:rPr>
        <w:t xml:space="preserve">2018-ban az EU ETS-nek való megfelelés továbbra is nagyon magas maradt: a megfelelési arány a helyhez kötött létesítmények és a légijármű-üzemeltetők esetében egyaránt meghaladta a 99 %-ot. Az EU ETS felépítménye szilárd maradt, és az igazgatás minden tagállamban eredményesnek bizonyult. </w:t>
      </w:r>
    </w:p>
    <w:p w14:paraId="5D459B88" w14:textId="77777777" w:rsidR="0067338B" w:rsidRPr="00C64727" w:rsidRDefault="0067338B">
      <w:pPr>
        <w:spacing w:after="0"/>
        <w:jc w:val="both"/>
        <w:rPr>
          <w:rFonts w:ascii="Times New Roman" w:hAnsi="Times New Roman"/>
          <w:sz w:val="24"/>
          <w:szCs w:val="24"/>
        </w:rPr>
      </w:pPr>
    </w:p>
    <w:p w14:paraId="526CA61E" w14:textId="77777777" w:rsidR="0067338B" w:rsidRPr="00C64727" w:rsidRDefault="00AA6C77">
      <w:pPr>
        <w:spacing w:after="0"/>
        <w:jc w:val="both"/>
        <w:rPr>
          <w:rFonts w:ascii="Times New Roman" w:hAnsi="Times New Roman"/>
          <w:sz w:val="24"/>
          <w:szCs w:val="24"/>
        </w:rPr>
      </w:pPr>
      <w:r w:rsidRPr="00C64727">
        <w:rPr>
          <w:rFonts w:ascii="Times New Roman" w:hAnsi="Times New Roman"/>
          <w:sz w:val="24"/>
          <w:szCs w:val="24"/>
        </w:rPr>
        <w:t>A Bizottság továbbra is nyomon követi az európai szén-dioxid-piacot, és az erről szóló következő jelentését 2020 végén teszi közzé.</w:t>
      </w:r>
    </w:p>
    <w:p w14:paraId="2D2DB473" w14:textId="77777777" w:rsidR="0067338B" w:rsidRPr="00C64727" w:rsidRDefault="0067338B">
      <w:pPr>
        <w:spacing w:after="0"/>
        <w:jc w:val="both"/>
        <w:rPr>
          <w:rFonts w:ascii="Times New Roman" w:hAnsi="Times New Roman"/>
          <w:sz w:val="24"/>
          <w:szCs w:val="24"/>
        </w:rPr>
      </w:pPr>
    </w:p>
    <w:p w14:paraId="4D707AAA" w14:textId="77777777" w:rsidR="0067338B" w:rsidRPr="00C64727" w:rsidRDefault="0067338B">
      <w:pPr>
        <w:spacing w:after="0"/>
        <w:jc w:val="both"/>
        <w:rPr>
          <w:rFonts w:ascii="Times New Roman" w:hAnsi="Times New Roman"/>
          <w:sz w:val="24"/>
          <w:szCs w:val="24"/>
        </w:rPr>
      </w:pPr>
    </w:p>
    <w:p w14:paraId="6F1EB242" w14:textId="77777777" w:rsidR="0067338B" w:rsidRPr="00C64727" w:rsidRDefault="0067338B">
      <w:pPr>
        <w:spacing w:after="0"/>
        <w:jc w:val="both"/>
        <w:rPr>
          <w:rFonts w:ascii="Times New Roman" w:hAnsi="Times New Roman"/>
          <w:sz w:val="24"/>
          <w:szCs w:val="24"/>
        </w:rPr>
      </w:pPr>
    </w:p>
    <w:p w14:paraId="07A97A67" w14:textId="77777777" w:rsidR="0067338B" w:rsidRPr="00C64727" w:rsidRDefault="0067338B">
      <w:pPr>
        <w:spacing w:after="0"/>
        <w:jc w:val="both"/>
        <w:rPr>
          <w:rFonts w:ascii="Times New Roman" w:hAnsi="Times New Roman"/>
          <w:sz w:val="24"/>
          <w:szCs w:val="24"/>
        </w:rPr>
      </w:pPr>
    </w:p>
    <w:p w14:paraId="0BC96E9A" w14:textId="77777777" w:rsidR="0067338B" w:rsidRPr="00C64727" w:rsidRDefault="0067338B">
      <w:pPr>
        <w:spacing w:after="0"/>
        <w:jc w:val="both"/>
        <w:rPr>
          <w:rFonts w:ascii="Times New Roman" w:hAnsi="Times New Roman"/>
          <w:sz w:val="24"/>
          <w:szCs w:val="24"/>
        </w:rPr>
      </w:pPr>
    </w:p>
    <w:p w14:paraId="49A4D1BA" w14:textId="77777777" w:rsidR="0067338B" w:rsidRPr="00C64727" w:rsidRDefault="0067338B">
      <w:pPr>
        <w:spacing w:after="0"/>
        <w:jc w:val="both"/>
        <w:rPr>
          <w:rFonts w:ascii="Times New Roman" w:hAnsi="Times New Roman"/>
          <w:sz w:val="24"/>
          <w:szCs w:val="24"/>
        </w:rPr>
      </w:pPr>
    </w:p>
    <w:p w14:paraId="530EA6DC" w14:textId="77777777" w:rsidR="0067338B" w:rsidRPr="00C64727" w:rsidRDefault="0067338B">
      <w:pPr>
        <w:spacing w:after="0"/>
        <w:jc w:val="both"/>
        <w:rPr>
          <w:rFonts w:ascii="Times New Roman" w:hAnsi="Times New Roman"/>
          <w:sz w:val="24"/>
          <w:szCs w:val="24"/>
        </w:rPr>
      </w:pPr>
    </w:p>
    <w:p w14:paraId="74241B0A" w14:textId="77777777" w:rsidR="0067338B" w:rsidRPr="00C64727" w:rsidRDefault="0067338B">
      <w:pPr>
        <w:spacing w:after="0"/>
        <w:jc w:val="both"/>
        <w:rPr>
          <w:rFonts w:ascii="Times New Roman" w:hAnsi="Times New Roman"/>
          <w:sz w:val="24"/>
          <w:szCs w:val="24"/>
        </w:rPr>
      </w:pPr>
    </w:p>
    <w:p w14:paraId="282E35A9" w14:textId="77777777" w:rsidR="0067338B" w:rsidRPr="00C64727" w:rsidRDefault="0067338B">
      <w:pPr>
        <w:spacing w:after="0"/>
        <w:jc w:val="both"/>
        <w:rPr>
          <w:rFonts w:ascii="Times New Roman" w:hAnsi="Times New Roman"/>
          <w:sz w:val="24"/>
          <w:szCs w:val="24"/>
        </w:rPr>
      </w:pPr>
    </w:p>
    <w:p w14:paraId="0FCD64F2" w14:textId="77777777" w:rsidR="0067338B" w:rsidRPr="00C64727" w:rsidRDefault="0067338B">
      <w:pPr>
        <w:spacing w:after="0"/>
        <w:jc w:val="both"/>
        <w:rPr>
          <w:rFonts w:ascii="Times New Roman" w:hAnsi="Times New Roman"/>
          <w:sz w:val="24"/>
          <w:szCs w:val="24"/>
        </w:rPr>
      </w:pPr>
    </w:p>
    <w:p w14:paraId="55A65581" w14:textId="77777777" w:rsidR="0067338B" w:rsidRPr="00C64727" w:rsidRDefault="0067338B">
      <w:pPr>
        <w:spacing w:after="0"/>
        <w:jc w:val="both"/>
        <w:rPr>
          <w:rFonts w:ascii="Times New Roman" w:hAnsi="Times New Roman"/>
          <w:sz w:val="24"/>
          <w:szCs w:val="24"/>
        </w:rPr>
      </w:pPr>
    </w:p>
    <w:p w14:paraId="692B1B8A" w14:textId="77777777" w:rsidR="0067338B" w:rsidRPr="00C64727" w:rsidRDefault="0067338B">
      <w:pPr>
        <w:spacing w:after="0"/>
        <w:jc w:val="both"/>
        <w:rPr>
          <w:rFonts w:ascii="Times New Roman" w:hAnsi="Times New Roman"/>
          <w:sz w:val="24"/>
          <w:szCs w:val="24"/>
        </w:rPr>
      </w:pPr>
    </w:p>
    <w:p w14:paraId="35CC69A1" w14:textId="77777777" w:rsidR="0067338B" w:rsidRPr="00C64727" w:rsidRDefault="0067338B">
      <w:pPr>
        <w:spacing w:after="0"/>
        <w:jc w:val="both"/>
        <w:rPr>
          <w:rFonts w:ascii="Times New Roman" w:hAnsi="Times New Roman"/>
          <w:sz w:val="24"/>
          <w:szCs w:val="24"/>
        </w:rPr>
      </w:pPr>
    </w:p>
    <w:p w14:paraId="7DFD1FEC" w14:textId="77777777" w:rsidR="0067338B" w:rsidRPr="00C64727" w:rsidRDefault="0067338B">
      <w:pPr>
        <w:spacing w:after="0"/>
        <w:jc w:val="both"/>
        <w:rPr>
          <w:rStyle w:val="Heading1Char"/>
          <w:rFonts w:eastAsia="Calibri"/>
          <w:szCs w:val="24"/>
        </w:rPr>
      </w:pPr>
    </w:p>
    <w:p w14:paraId="72BEAA26" w14:textId="77777777" w:rsidR="0067338B" w:rsidRPr="00C64727" w:rsidRDefault="0067338B">
      <w:pPr>
        <w:spacing w:after="0"/>
        <w:jc w:val="both"/>
        <w:rPr>
          <w:rFonts w:ascii="Times New Roman" w:hAnsi="Times New Roman"/>
          <w:sz w:val="24"/>
          <w:szCs w:val="24"/>
        </w:rPr>
      </w:pPr>
    </w:p>
    <w:p w14:paraId="1792791B" w14:textId="77777777" w:rsidR="0067338B" w:rsidRPr="00C64727" w:rsidRDefault="0067338B">
      <w:pPr>
        <w:jc w:val="both"/>
        <w:rPr>
          <w:rStyle w:val="Heading1Char"/>
          <w:rFonts w:eastAsia="Calibri"/>
          <w:szCs w:val="24"/>
        </w:rPr>
      </w:pPr>
    </w:p>
    <w:p w14:paraId="693CB9AD" w14:textId="77777777" w:rsidR="0067338B" w:rsidRPr="00C64727" w:rsidRDefault="0067338B">
      <w:pPr>
        <w:jc w:val="both"/>
        <w:rPr>
          <w:rStyle w:val="Heading1Char"/>
          <w:rFonts w:eastAsia="Calibri"/>
          <w:szCs w:val="24"/>
        </w:rPr>
      </w:pPr>
    </w:p>
    <w:p w14:paraId="59AC1CE1" w14:textId="77777777" w:rsidR="0067338B" w:rsidRPr="00C64727" w:rsidRDefault="0067338B">
      <w:pPr>
        <w:jc w:val="both"/>
        <w:rPr>
          <w:rStyle w:val="Heading1Char"/>
          <w:rFonts w:eastAsia="Calibri"/>
          <w:szCs w:val="24"/>
        </w:rPr>
      </w:pPr>
    </w:p>
    <w:p w14:paraId="3ADCC752" w14:textId="77777777" w:rsidR="0067338B" w:rsidRPr="00C64727" w:rsidRDefault="0067338B">
      <w:pPr>
        <w:jc w:val="both"/>
        <w:rPr>
          <w:rStyle w:val="Heading1Char"/>
          <w:rFonts w:eastAsia="Calibri"/>
          <w:szCs w:val="24"/>
        </w:rPr>
      </w:pPr>
    </w:p>
    <w:p w14:paraId="42D757A0" w14:textId="77777777" w:rsidR="0067338B" w:rsidRPr="00C64727" w:rsidRDefault="0067338B">
      <w:pPr>
        <w:jc w:val="both"/>
        <w:rPr>
          <w:rStyle w:val="Heading1Char"/>
          <w:rFonts w:eastAsia="Calibri"/>
          <w:szCs w:val="24"/>
        </w:rPr>
      </w:pPr>
    </w:p>
    <w:p w14:paraId="5A496FDD" w14:textId="77777777" w:rsidR="0067338B" w:rsidRPr="00C64727" w:rsidRDefault="0067338B">
      <w:pPr>
        <w:jc w:val="both"/>
        <w:rPr>
          <w:rStyle w:val="Heading1Char"/>
          <w:rFonts w:eastAsia="Calibri"/>
          <w:szCs w:val="24"/>
        </w:rPr>
      </w:pPr>
    </w:p>
    <w:p w14:paraId="4E5549DA" w14:textId="77777777" w:rsidR="0067338B" w:rsidRPr="00C64727" w:rsidRDefault="0067338B">
      <w:pPr>
        <w:jc w:val="both"/>
        <w:rPr>
          <w:rStyle w:val="Heading1Char"/>
          <w:rFonts w:eastAsia="Calibri"/>
          <w:szCs w:val="24"/>
        </w:rPr>
      </w:pPr>
    </w:p>
    <w:p w14:paraId="38FEFE7F" w14:textId="77777777" w:rsidR="0067338B" w:rsidRPr="00C64727" w:rsidRDefault="0067338B">
      <w:pPr>
        <w:jc w:val="both"/>
        <w:rPr>
          <w:rStyle w:val="Heading1Char"/>
          <w:rFonts w:eastAsia="Calibri"/>
          <w:szCs w:val="24"/>
        </w:rPr>
      </w:pPr>
    </w:p>
    <w:p w14:paraId="297620DC" w14:textId="77777777" w:rsidR="0067338B" w:rsidRPr="00C64727" w:rsidRDefault="0067338B">
      <w:pPr>
        <w:jc w:val="both"/>
        <w:rPr>
          <w:rStyle w:val="Heading1Char"/>
          <w:rFonts w:eastAsia="Calibri"/>
          <w:szCs w:val="24"/>
        </w:rPr>
      </w:pPr>
    </w:p>
    <w:p w14:paraId="33D75FC7" w14:textId="77777777" w:rsidR="0067338B" w:rsidRPr="00C64727" w:rsidRDefault="003A348D">
      <w:pPr>
        <w:jc w:val="both"/>
        <w:rPr>
          <w:rFonts w:ascii="Times New Roman" w:hAnsi="Times New Roman"/>
          <w:b/>
          <w:bCs/>
          <w:kern w:val="32"/>
          <w:sz w:val="24"/>
          <w:szCs w:val="24"/>
        </w:rPr>
      </w:pPr>
      <w:bookmarkStart w:id="26" w:name="_Toc24093103"/>
      <w:r w:rsidRPr="00C64727">
        <w:rPr>
          <w:rStyle w:val="Heading1Char"/>
          <w:rFonts w:eastAsia="Calibri"/>
          <w:szCs w:val="24"/>
        </w:rPr>
        <w:t>MELLÉKLET</w:t>
      </w:r>
      <w:bookmarkEnd w:id="26"/>
      <w:r w:rsidRPr="00C64727">
        <w:rPr>
          <w:rFonts w:ascii="Times New Roman" w:hAnsi="Times New Roman"/>
          <w:sz w:val="24"/>
          <w:szCs w:val="24"/>
        </w:rPr>
        <w:t xml:space="preserve"> </w:t>
      </w:r>
    </w:p>
    <w:p w14:paraId="6882368C" w14:textId="77777777" w:rsidR="0067338B" w:rsidRPr="00C64727" w:rsidRDefault="003A348D">
      <w:pPr>
        <w:rPr>
          <w:rFonts w:ascii="Times New Roman" w:hAnsi="Times New Roman"/>
          <w:b/>
        </w:rPr>
      </w:pPr>
      <w:r w:rsidRPr="00C64727">
        <w:rPr>
          <w:rFonts w:ascii="Times New Roman" w:hAnsi="Times New Roman"/>
          <w:b/>
        </w:rPr>
        <w:t>1. függelék</w:t>
      </w:r>
    </w:p>
    <w:p w14:paraId="66739038" w14:textId="77777777" w:rsidR="0067338B" w:rsidRPr="00C64727" w:rsidRDefault="003A348D">
      <w:pPr>
        <w:keepNext/>
        <w:rPr>
          <w:rFonts w:ascii="Times New Roman" w:hAnsi="Times New Roman"/>
          <w:b/>
          <w:bCs/>
          <w:sz w:val="20"/>
          <w:szCs w:val="20"/>
        </w:rPr>
      </w:pPr>
      <w:r w:rsidRPr="00C64727">
        <w:rPr>
          <w:rFonts w:ascii="Times New Roman" w:hAnsi="Times New Roman"/>
          <w:b/>
          <w:bCs/>
          <w:sz w:val="20"/>
          <w:szCs w:val="20"/>
        </w:rPr>
        <w:t xml:space="preserve">1.1. táblázat: A villamosenergia-ágazat korszerűsítésére fordított ingyenesen kiosztott kibocsátási egységek száma </w:t>
      </w:r>
    </w:p>
    <w:tbl>
      <w:tblPr>
        <w:tblW w:w="924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ayout w:type="fixed"/>
        <w:tblLook w:val="04A0" w:firstRow="1" w:lastRow="0" w:firstColumn="1" w:lastColumn="0" w:noHBand="0" w:noVBand="1"/>
      </w:tblPr>
      <w:tblGrid>
        <w:gridCol w:w="1101"/>
        <w:gridCol w:w="1195"/>
        <w:gridCol w:w="1458"/>
        <w:gridCol w:w="1458"/>
        <w:gridCol w:w="1339"/>
        <w:gridCol w:w="1342"/>
        <w:gridCol w:w="1348"/>
      </w:tblGrid>
      <w:tr w:rsidR="0067338B" w:rsidRPr="00C64727" w14:paraId="63294F16" w14:textId="77777777" w:rsidTr="00C64727">
        <w:trPr>
          <w:trHeight w:val="373"/>
          <w:jc w:val="center"/>
        </w:trPr>
        <w:tc>
          <w:tcPr>
            <w:tcW w:w="1101" w:type="dxa"/>
            <w:shd w:val="clear" w:color="auto" w:fill="FFFFFF" w:themeFill="background1"/>
            <w:noWrap/>
          </w:tcPr>
          <w:p w14:paraId="7A709BBE" w14:textId="77777777" w:rsidR="0067338B" w:rsidRPr="00C64727" w:rsidRDefault="0067338B">
            <w:pPr>
              <w:spacing w:after="0"/>
              <w:jc w:val="center"/>
              <w:rPr>
                <w:rFonts w:ascii="Times New Roman" w:hAnsi="Times New Roman"/>
                <w:b/>
                <w:sz w:val="20"/>
                <w:szCs w:val="20"/>
              </w:rPr>
            </w:pPr>
          </w:p>
        </w:tc>
        <w:tc>
          <w:tcPr>
            <w:tcW w:w="8140" w:type="dxa"/>
            <w:gridSpan w:val="6"/>
            <w:shd w:val="clear" w:color="auto" w:fill="FFFFFF" w:themeFill="background1"/>
            <w:noWrap/>
          </w:tcPr>
          <w:p w14:paraId="4D13BB56" w14:textId="77777777" w:rsidR="0067338B" w:rsidRPr="00C64727" w:rsidRDefault="0067338B">
            <w:pPr>
              <w:spacing w:after="0"/>
              <w:jc w:val="center"/>
              <w:rPr>
                <w:rFonts w:ascii="Times New Roman" w:hAnsi="Times New Roman"/>
                <w:b/>
                <w:sz w:val="20"/>
                <w:szCs w:val="20"/>
              </w:rPr>
            </w:pPr>
          </w:p>
          <w:p w14:paraId="0906C111" w14:textId="77777777" w:rsidR="0067338B" w:rsidRPr="00C64727" w:rsidRDefault="001D7CEB">
            <w:pPr>
              <w:spacing w:after="0"/>
              <w:jc w:val="center"/>
              <w:rPr>
                <w:rFonts w:ascii="Times New Roman" w:hAnsi="Times New Roman"/>
                <w:b/>
                <w:sz w:val="20"/>
                <w:szCs w:val="20"/>
              </w:rPr>
            </w:pPr>
            <w:r w:rsidRPr="00C64727">
              <w:rPr>
                <w:rFonts w:ascii="Times New Roman" w:hAnsi="Times New Roman"/>
                <w:b/>
                <w:sz w:val="20"/>
                <w:szCs w:val="20"/>
              </w:rPr>
              <w:t>A tagállam által a 10c. cikk szerint kérelmezett ingyenesen kiosztott kibocsátási egységek száma</w:t>
            </w:r>
          </w:p>
        </w:tc>
      </w:tr>
      <w:tr w:rsidR="0067338B" w:rsidRPr="00C64727" w14:paraId="6D341873" w14:textId="77777777" w:rsidTr="00C64727">
        <w:trPr>
          <w:trHeight w:val="273"/>
          <w:jc w:val="center"/>
        </w:trPr>
        <w:tc>
          <w:tcPr>
            <w:tcW w:w="1101" w:type="dxa"/>
            <w:shd w:val="clear" w:color="auto" w:fill="FFFFFF" w:themeFill="background1"/>
            <w:noWrap/>
            <w:hideMark/>
          </w:tcPr>
          <w:p w14:paraId="42CBFBBF" w14:textId="77777777" w:rsidR="0067338B" w:rsidRPr="00C64727" w:rsidRDefault="001D7CEB">
            <w:pPr>
              <w:spacing w:after="0"/>
              <w:jc w:val="center"/>
              <w:rPr>
                <w:rFonts w:ascii="Times New Roman" w:hAnsi="Times New Roman"/>
                <w:b/>
                <w:sz w:val="20"/>
                <w:szCs w:val="20"/>
              </w:rPr>
            </w:pPr>
            <w:r w:rsidRPr="00C64727">
              <w:rPr>
                <w:rFonts w:ascii="Times New Roman" w:hAnsi="Times New Roman"/>
                <w:b/>
                <w:sz w:val="20"/>
                <w:szCs w:val="20"/>
              </w:rPr>
              <w:t>Tagállam</w:t>
            </w:r>
          </w:p>
        </w:tc>
        <w:tc>
          <w:tcPr>
            <w:tcW w:w="1195" w:type="dxa"/>
            <w:shd w:val="clear" w:color="auto" w:fill="FFFFFF" w:themeFill="background1"/>
            <w:noWrap/>
            <w:hideMark/>
          </w:tcPr>
          <w:p w14:paraId="2685B8C9" w14:textId="77777777" w:rsidR="0067338B" w:rsidRPr="00C64727" w:rsidRDefault="001D7CEB">
            <w:pPr>
              <w:spacing w:after="0"/>
              <w:jc w:val="center"/>
              <w:rPr>
                <w:rFonts w:ascii="Times New Roman" w:hAnsi="Times New Roman"/>
                <w:b/>
                <w:sz w:val="20"/>
                <w:szCs w:val="20"/>
              </w:rPr>
            </w:pPr>
            <w:r w:rsidRPr="00C64727">
              <w:rPr>
                <w:rFonts w:ascii="Times New Roman" w:hAnsi="Times New Roman"/>
                <w:b/>
                <w:sz w:val="20"/>
                <w:szCs w:val="20"/>
              </w:rPr>
              <w:t>2013</w:t>
            </w:r>
          </w:p>
        </w:tc>
        <w:tc>
          <w:tcPr>
            <w:tcW w:w="1458" w:type="dxa"/>
            <w:shd w:val="clear" w:color="auto" w:fill="FFFFFF" w:themeFill="background1"/>
          </w:tcPr>
          <w:p w14:paraId="730ECE29" w14:textId="77777777" w:rsidR="0067338B" w:rsidRPr="00C64727" w:rsidRDefault="001D7CEB">
            <w:pPr>
              <w:spacing w:after="0"/>
              <w:jc w:val="center"/>
              <w:rPr>
                <w:rFonts w:ascii="Times New Roman" w:hAnsi="Times New Roman"/>
                <w:b/>
                <w:sz w:val="20"/>
                <w:szCs w:val="20"/>
              </w:rPr>
            </w:pPr>
            <w:r w:rsidRPr="00C64727">
              <w:rPr>
                <w:rFonts w:ascii="Times New Roman" w:hAnsi="Times New Roman"/>
                <w:b/>
                <w:sz w:val="20"/>
                <w:szCs w:val="20"/>
              </w:rPr>
              <w:t>2014</w:t>
            </w:r>
          </w:p>
        </w:tc>
        <w:tc>
          <w:tcPr>
            <w:tcW w:w="1458" w:type="dxa"/>
            <w:shd w:val="clear" w:color="auto" w:fill="FFFFFF" w:themeFill="background1"/>
          </w:tcPr>
          <w:p w14:paraId="1A07DE41" w14:textId="77777777" w:rsidR="0067338B" w:rsidRPr="00C64727" w:rsidRDefault="001D7CEB">
            <w:pPr>
              <w:spacing w:after="0"/>
              <w:jc w:val="center"/>
              <w:rPr>
                <w:rFonts w:ascii="Times New Roman" w:hAnsi="Times New Roman"/>
                <w:b/>
                <w:sz w:val="20"/>
                <w:szCs w:val="20"/>
              </w:rPr>
            </w:pPr>
            <w:r w:rsidRPr="00C64727">
              <w:rPr>
                <w:rFonts w:ascii="Times New Roman" w:hAnsi="Times New Roman"/>
                <w:b/>
                <w:sz w:val="20"/>
                <w:szCs w:val="20"/>
              </w:rPr>
              <w:t>2015</w:t>
            </w:r>
          </w:p>
        </w:tc>
        <w:tc>
          <w:tcPr>
            <w:tcW w:w="1339" w:type="dxa"/>
            <w:shd w:val="clear" w:color="auto" w:fill="FFFFFF" w:themeFill="background1"/>
          </w:tcPr>
          <w:p w14:paraId="3AE611B2" w14:textId="77777777" w:rsidR="0067338B" w:rsidRPr="00C64727" w:rsidRDefault="001D7CEB">
            <w:pPr>
              <w:spacing w:after="0"/>
              <w:jc w:val="center"/>
              <w:rPr>
                <w:rFonts w:ascii="Times New Roman" w:hAnsi="Times New Roman"/>
                <w:b/>
                <w:sz w:val="20"/>
                <w:szCs w:val="20"/>
              </w:rPr>
            </w:pPr>
            <w:r w:rsidRPr="00C64727">
              <w:rPr>
                <w:rFonts w:ascii="Times New Roman" w:hAnsi="Times New Roman"/>
                <w:b/>
                <w:sz w:val="20"/>
                <w:szCs w:val="20"/>
              </w:rPr>
              <w:t>2016</w:t>
            </w:r>
          </w:p>
        </w:tc>
        <w:tc>
          <w:tcPr>
            <w:tcW w:w="1342" w:type="dxa"/>
            <w:shd w:val="clear" w:color="auto" w:fill="FFFFFF" w:themeFill="background1"/>
          </w:tcPr>
          <w:p w14:paraId="2741A857" w14:textId="77777777" w:rsidR="0067338B" w:rsidRPr="00C64727" w:rsidRDefault="001D7CEB">
            <w:pPr>
              <w:spacing w:after="0"/>
              <w:jc w:val="center"/>
              <w:rPr>
                <w:rFonts w:ascii="Times New Roman" w:hAnsi="Times New Roman"/>
                <w:b/>
                <w:sz w:val="20"/>
                <w:szCs w:val="20"/>
              </w:rPr>
            </w:pPr>
            <w:r w:rsidRPr="00C64727">
              <w:rPr>
                <w:rFonts w:ascii="Times New Roman" w:hAnsi="Times New Roman"/>
                <w:b/>
                <w:sz w:val="20"/>
                <w:szCs w:val="20"/>
              </w:rPr>
              <w:t>2017</w:t>
            </w:r>
          </w:p>
        </w:tc>
        <w:tc>
          <w:tcPr>
            <w:tcW w:w="1348" w:type="dxa"/>
            <w:shd w:val="clear" w:color="auto" w:fill="FFFFFF" w:themeFill="background1"/>
          </w:tcPr>
          <w:p w14:paraId="1CE3E0CF" w14:textId="77777777" w:rsidR="0067338B" w:rsidRPr="00C64727" w:rsidRDefault="001D7CEB">
            <w:pPr>
              <w:spacing w:after="0"/>
              <w:jc w:val="center"/>
              <w:rPr>
                <w:rFonts w:ascii="Times New Roman" w:hAnsi="Times New Roman"/>
                <w:b/>
                <w:sz w:val="20"/>
                <w:szCs w:val="20"/>
              </w:rPr>
            </w:pPr>
            <w:r w:rsidRPr="00C64727">
              <w:rPr>
                <w:rFonts w:ascii="Times New Roman" w:hAnsi="Times New Roman"/>
                <w:b/>
                <w:sz w:val="20"/>
                <w:szCs w:val="20"/>
              </w:rPr>
              <w:t>2018</w:t>
            </w:r>
          </w:p>
        </w:tc>
      </w:tr>
      <w:tr w:rsidR="0067338B" w:rsidRPr="00C64727" w14:paraId="7517D06C" w14:textId="77777777" w:rsidTr="00C64727">
        <w:trPr>
          <w:trHeight w:val="241"/>
          <w:jc w:val="center"/>
        </w:trPr>
        <w:tc>
          <w:tcPr>
            <w:tcW w:w="1101" w:type="dxa"/>
            <w:shd w:val="clear" w:color="auto" w:fill="FFFFFF" w:themeFill="background1"/>
            <w:noWrap/>
            <w:hideMark/>
          </w:tcPr>
          <w:p w14:paraId="029AD6E9" w14:textId="77777777" w:rsidR="0067338B" w:rsidRPr="00C64727" w:rsidRDefault="001D7CEB">
            <w:pPr>
              <w:spacing w:after="0"/>
              <w:jc w:val="center"/>
              <w:rPr>
                <w:rFonts w:ascii="Times New Roman" w:hAnsi="Times New Roman"/>
                <w:b/>
                <w:sz w:val="20"/>
                <w:szCs w:val="20"/>
              </w:rPr>
            </w:pPr>
            <w:r w:rsidRPr="00C64727">
              <w:rPr>
                <w:rFonts w:ascii="Times New Roman" w:hAnsi="Times New Roman"/>
                <w:b/>
                <w:sz w:val="20"/>
                <w:szCs w:val="20"/>
              </w:rPr>
              <w:t>BG</w:t>
            </w:r>
          </w:p>
        </w:tc>
        <w:tc>
          <w:tcPr>
            <w:tcW w:w="1195" w:type="dxa"/>
            <w:shd w:val="clear" w:color="auto" w:fill="FFFFFF" w:themeFill="background1"/>
            <w:noWrap/>
            <w:hideMark/>
          </w:tcPr>
          <w:p w14:paraId="0933681D" w14:textId="77777777" w:rsidR="0067338B" w:rsidRPr="00AC48C8" w:rsidRDefault="001D7CEB">
            <w:pPr>
              <w:spacing w:after="0"/>
              <w:jc w:val="center"/>
              <w:rPr>
                <w:rFonts w:ascii="Times New Roman" w:hAnsi="Times New Roman"/>
                <w:sz w:val="16"/>
                <w:szCs w:val="16"/>
              </w:rPr>
            </w:pPr>
            <w:r w:rsidRPr="00AC48C8">
              <w:rPr>
                <w:rFonts w:ascii="Times New Roman" w:hAnsi="Times New Roman"/>
                <w:sz w:val="16"/>
                <w:szCs w:val="16"/>
              </w:rPr>
              <w:t>11 009 416</w:t>
            </w:r>
          </w:p>
        </w:tc>
        <w:tc>
          <w:tcPr>
            <w:tcW w:w="1458" w:type="dxa"/>
            <w:tcBorders>
              <w:bottom w:val="single" w:sz="4" w:space="0" w:color="auto"/>
            </w:tcBorders>
            <w:shd w:val="clear" w:color="auto" w:fill="FFFFFF" w:themeFill="background1"/>
          </w:tcPr>
          <w:p w14:paraId="142DCE3F" w14:textId="77777777" w:rsidR="0067338B" w:rsidRPr="00AC48C8" w:rsidRDefault="001D7CEB">
            <w:pPr>
              <w:spacing w:after="0"/>
              <w:jc w:val="center"/>
              <w:rPr>
                <w:rFonts w:ascii="Times New Roman" w:hAnsi="Times New Roman"/>
                <w:sz w:val="16"/>
                <w:szCs w:val="16"/>
              </w:rPr>
            </w:pPr>
            <w:r w:rsidRPr="00AC48C8">
              <w:rPr>
                <w:rFonts w:ascii="Times New Roman" w:hAnsi="Times New Roman"/>
                <w:sz w:val="16"/>
                <w:szCs w:val="16"/>
              </w:rPr>
              <w:t>9 779 243</w:t>
            </w:r>
          </w:p>
        </w:tc>
        <w:tc>
          <w:tcPr>
            <w:tcW w:w="1458" w:type="dxa"/>
            <w:shd w:val="clear" w:color="auto" w:fill="FFFFFF" w:themeFill="background1"/>
          </w:tcPr>
          <w:p w14:paraId="3C4E09B7" w14:textId="77777777" w:rsidR="0067338B" w:rsidRPr="00AC48C8" w:rsidRDefault="001D7CEB">
            <w:pPr>
              <w:jc w:val="center"/>
              <w:rPr>
                <w:rFonts w:ascii="Times New Roman" w:hAnsi="Times New Roman"/>
                <w:sz w:val="16"/>
                <w:szCs w:val="16"/>
              </w:rPr>
            </w:pPr>
            <w:r w:rsidRPr="00AC48C8">
              <w:rPr>
                <w:rFonts w:ascii="Times New Roman" w:hAnsi="Times New Roman"/>
                <w:sz w:val="16"/>
                <w:szCs w:val="16"/>
              </w:rPr>
              <w:t>8 259 680</w:t>
            </w:r>
          </w:p>
        </w:tc>
        <w:tc>
          <w:tcPr>
            <w:tcW w:w="1339" w:type="dxa"/>
            <w:shd w:val="clear" w:color="auto" w:fill="FFFFFF" w:themeFill="background1"/>
            <w:vAlign w:val="bottom"/>
          </w:tcPr>
          <w:p w14:paraId="18D77CF9" w14:textId="77777777" w:rsidR="0067338B" w:rsidRPr="00AC48C8" w:rsidRDefault="001D7CEB">
            <w:pPr>
              <w:jc w:val="center"/>
              <w:rPr>
                <w:rFonts w:ascii="Times New Roman" w:hAnsi="Times New Roman"/>
                <w:sz w:val="16"/>
                <w:szCs w:val="16"/>
              </w:rPr>
            </w:pPr>
            <w:r w:rsidRPr="00AC48C8">
              <w:rPr>
                <w:rFonts w:ascii="Times New Roman" w:hAnsi="Times New Roman"/>
                <w:sz w:val="16"/>
                <w:szCs w:val="16"/>
              </w:rPr>
              <w:t>6 593 238</w:t>
            </w:r>
          </w:p>
        </w:tc>
        <w:tc>
          <w:tcPr>
            <w:tcW w:w="1342" w:type="dxa"/>
            <w:shd w:val="clear" w:color="auto" w:fill="FFFFFF" w:themeFill="background1"/>
          </w:tcPr>
          <w:p w14:paraId="1DE22331" w14:textId="77777777" w:rsidR="0067338B" w:rsidRPr="00AC48C8" w:rsidRDefault="001D7CEB">
            <w:pPr>
              <w:jc w:val="center"/>
              <w:rPr>
                <w:rFonts w:ascii="Times New Roman" w:hAnsi="Times New Roman"/>
                <w:color w:val="000000"/>
                <w:sz w:val="16"/>
                <w:szCs w:val="16"/>
              </w:rPr>
            </w:pPr>
            <w:r w:rsidRPr="00AC48C8">
              <w:rPr>
                <w:rFonts w:ascii="Times New Roman" w:hAnsi="Times New Roman"/>
                <w:sz w:val="16"/>
                <w:szCs w:val="16"/>
              </w:rPr>
              <w:t>3 812 436</w:t>
            </w:r>
          </w:p>
        </w:tc>
        <w:tc>
          <w:tcPr>
            <w:tcW w:w="1348" w:type="dxa"/>
            <w:shd w:val="clear" w:color="auto" w:fill="FFFFFF" w:themeFill="background1"/>
          </w:tcPr>
          <w:p w14:paraId="076CD443" w14:textId="77777777" w:rsidR="0067338B" w:rsidRPr="00AC48C8" w:rsidRDefault="001D7CEB">
            <w:pPr>
              <w:jc w:val="center"/>
              <w:rPr>
                <w:rFonts w:ascii="Times New Roman" w:hAnsi="Times New Roman"/>
                <w:color w:val="000000"/>
                <w:sz w:val="16"/>
                <w:szCs w:val="16"/>
              </w:rPr>
            </w:pPr>
            <w:r w:rsidRPr="00AC48C8">
              <w:rPr>
                <w:rFonts w:ascii="Times New Roman" w:hAnsi="Times New Roman"/>
                <w:sz w:val="16"/>
                <w:szCs w:val="16"/>
              </w:rPr>
              <w:t>2 471 297</w:t>
            </w:r>
          </w:p>
        </w:tc>
      </w:tr>
      <w:tr w:rsidR="0067338B" w:rsidRPr="00C64727" w14:paraId="34919F87" w14:textId="77777777" w:rsidTr="00C64727">
        <w:trPr>
          <w:trHeight w:val="185"/>
          <w:jc w:val="center"/>
        </w:trPr>
        <w:tc>
          <w:tcPr>
            <w:tcW w:w="1101" w:type="dxa"/>
            <w:shd w:val="clear" w:color="auto" w:fill="FFFFFF" w:themeFill="background1"/>
            <w:noWrap/>
            <w:hideMark/>
          </w:tcPr>
          <w:p w14:paraId="2DA3C761" w14:textId="77777777" w:rsidR="0067338B" w:rsidRPr="00C64727" w:rsidRDefault="001D7CEB">
            <w:pPr>
              <w:spacing w:after="0"/>
              <w:jc w:val="center"/>
              <w:rPr>
                <w:rFonts w:ascii="Times New Roman" w:hAnsi="Times New Roman"/>
                <w:b/>
                <w:sz w:val="20"/>
                <w:szCs w:val="20"/>
              </w:rPr>
            </w:pPr>
            <w:r w:rsidRPr="00C64727">
              <w:rPr>
                <w:rFonts w:ascii="Times New Roman" w:hAnsi="Times New Roman"/>
                <w:b/>
                <w:sz w:val="20"/>
                <w:szCs w:val="20"/>
              </w:rPr>
              <w:t>CY</w:t>
            </w:r>
          </w:p>
        </w:tc>
        <w:tc>
          <w:tcPr>
            <w:tcW w:w="1195" w:type="dxa"/>
            <w:tcBorders>
              <w:right w:val="single" w:sz="4" w:space="0" w:color="auto"/>
            </w:tcBorders>
            <w:shd w:val="clear" w:color="auto" w:fill="FFFFFF" w:themeFill="background1"/>
            <w:noWrap/>
            <w:hideMark/>
          </w:tcPr>
          <w:p w14:paraId="7F24AFB9" w14:textId="77777777" w:rsidR="0067338B" w:rsidRPr="00AC48C8" w:rsidRDefault="001D7CEB">
            <w:pPr>
              <w:spacing w:after="0"/>
              <w:jc w:val="center"/>
              <w:rPr>
                <w:rFonts w:ascii="Times New Roman" w:hAnsi="Times New Roman"/>
                <w:sz w:val="16"/>
                <w:szCs w:val="16"/>
              </w:rPr>
            </w:pPr>
            <w:r w:rsidRPr="00AC48C8">
              <w:rPr>
                <w:rFonts w:ascii="Times New Roman" w:hAnsi="Times New Roman"/>
                <w:sz w:val="16"/>
                <w:szCs w:val="16"/>
              </w:rPr>
              <w:t>2 519 077</w:t>
            </w:r>
          </w:p>
        </w:tc>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tcPr>
          <w:p w14:paraId="3D764418" w14:textId="77777777" w:rsidR="0067338B" w:rsidRPr="00AC48C8" w:rsidRDefault="001D7CEB">
            <w:pPr>
              <w:spacing w:after="0"/>
              <w:jc w:val="center"/>
              <w:rPr>
                <w:rFonts w:ascii="Times New Roman" w:hAnsi="Times New Roman"/>
                <w:sz w:val="16"/>
                <w:szCs w:val="16"/>
              </w:rPr>
            </w:pPr>
            <w:r w:rsidRPr="00AC48C8">
              <w:rPr>
                <w:rFonts w:ascii="Times New Roman" w:hAnsi="Times New Roman"/>
                <w:sz w:val="16"/>
                <w:szCs w:val="16"/>
              </w:rPr>
              <w:t>2 195 195</w:t>
            </w:r>
          </w:p>
        </w:tc>
        <w:tc>
          <w:tcPr>
            <w:tcW w:w="1458" w:type="dxa"/>
            <w:tcBorders>
              <w:left w:val="single" w:sz="4" w:space="0" w:color="auto"/>
            </w:tcBorders>
            <w:shd w:val="clear" w:color="auto" w:fill="FFFFFF" w:themeFill="background1"/>
          </w:tcPr>
          <w:p w14:paraId="7D1F182B" w14:textId="77777777" w:rsidR="0067338B" w:rsidRPr="00AC48C8" w:rsidRDefault="001D7CEB">
            <w:pPr>
              <w:jc w:val="center"/>
              <w:rPr>
                <w:rFonts w:ascii="Times New Roman" w:hAnsi="Times New Roman"/>
                <w:sz w:val="16"/>
                <w:szCs w:val="16"/>
              </w:rPr>
            </w:pPr>
            <w:r w:rsidRPr="00AC48C8">
              <w:rPr>
                <w:rFonts w:ascii="Times New Roman" w:hAnsi="Times New Roman"/>
                <w:sz w:val="16"/>
                <w:szCs w:val="16"/>
              </w:rPr>
              <w:t>1 907 302</w:t>
            </w:r>
          </w:p>
        </w:tc>
        <w:tc>
          <w:tcPr>
            <w:tcW w:w="1339" w:type="dxa"/>
            <w:shd w:val="clear" w:color="auto" w:fill="FFFFFF" w:themeFill="background1"/>
            <w:vAlign w:val="bottom"/>
          </w:tcPr>
          <w:p w14:paraId="2CEF2674" w14:textId="77777777" w:rsidR="0067338B" w:rsidRPr="00AC48C8" w:rsidRDefault="001D7CEB">
            <w:pPr>
              <w:jc w:val="center"/>
              <w:rPr>
                <w:rFonts w:ascii="Times New Roman" w:hAnsi="Times New Roman"/>
                <w:sz w:val="16"/>
                <w:szCs w:val="16"/>
              </w:rPr>
            </w:pPr>
            <w:r w:rsidRPr="00AC48C8">
              <w:rPr>
                <w:rFonts w:ascii="Times New Roman" w:hAnsi="Times New Roman"/>
                <w:sz w:val="16"/>
                <w:szCs w:val="16"/>
              </w:rPr>
              <w:t>1 583 420</w:t>
            </w:r>
          </w:p>
        </w:tc>
        <w:tc>
          <w:tcPr>
            <w:tcW w:w="1342" w:type="dxa"/>
            <w:shd w:val="clear" w:color="auto" w:fill="FFFFFF" w:themeFill="background1"/>
          </w:tcPr>
          <w:p w14:paraId="6DA2FB4B" w14:textId="77777777" w:rsidR="0067338B" w:rsidRPr="00AC48C8" w:rsidRDefault="001D7CEB">
            <w:pPr>
              <w:jc w:val="center"/>
              <w:rPr>
                <w:rFonts w:ascii="Times New Roman" w:hAnsi="Times New Roman"/>
                <w:color w:val="000000"/>
                <w:sz w:val="16"/>
                <w:szCs w:val="16"/>
              </w:rPr>
            </w:pPr>
            <w:r w:rsidRPr="00AC48C8">
              <w:rPr>
                <w:rFonts w:ascii="Times New Roman" w:hAnsi="Times New Roman"/>
                <w:sz w:val="16"/>
                <w:szCs w:val="16"/>
              </w:rPr>
              <w:t>1 259 538</w:t>
            </w:r>
          </w:p>
        </w:tc>
        <w:tc>
          <w:tcPr>
            <w:tcW w:w="1348" w:type="dxa"/>
            <w:shd w:val="clear" w:color="auto" w:fill="FFFFFF" w:themeFill="background1"/>
          </w:tcPr>
          <w:p w14:paraId="208F4D35" w14:textId="77777777" w:rsidR="0067338B" w:rsidRPr="00AC48C8" w:rsidRDefault="001D7CEB">
            <w:pPr>
              <w:jc w:val="center"/>
              <w:rPr>
                <w:rFonts w:ascii="Times New Roman" w:hAnsi="Times New Roman"/>
                <w:color w:val="000000"/>
                <w:sz w:val="16"/>
                <w:szCs w:val="16"/>
              </w:rPr>
            </w:pPr>
            <w:r w:rsidRPr="00AC48C8">
              <w:rPr>
                <w:rFonts w:ascii="Times New Roman" w:hAnsi="Times New Roman"/>
                <w:sz w:val="16"/>
                <w:szCs w:val="16"/>
              </w:rPr>
              <w:t>935 657</w:t>
            </w:r>
          </w:p>
        </w:tc>
      </w:tr>
      <w:tr w:rsidR="0067338B" w:rsidRPr="00C64727" w14:paraId="1E702A0D" w14:textId="77777777" w:rsidTr="00C64727">
        <w:trPr>
          <w:trHeight w:val="185"/>
          <w:jc w:val="center"/>
        </w:trPr>
        <w:tc>
          <w:tcPr>
            <w:tcW w:w="1101" w:type="dxa"/>
            <w:shd w:val="clear" w:color="auto" w:fill="FFFFFF" w:themeFill="background1"/>
            <w:noWrap/>
            <w:hideMark/>
          </w:tcPr>
          <w:p w14:paraId="51A1DD80" w14:textId="77777777" w:rsidR="0067338B" w:rsidRPr="00C64727" w:rsidRDefault="001D7CEB">
            <w:pPr>
              <w:spacing w:after="0"/>
              <w:jc w:val="center"/>
              <w:rPr>
                <w:rFonts w:ascii="Times New Roman" w:hAnsi="Times New Roman"/>
                <w:b/>
                <w:sz w:val="20"/>
                <w:szCs w:val="20"/>
              </w:rPr>
            </w:pPr>
            <w:r w:rsidRPr="00C64727">
              <w:rPr>
                <w:rFonts w:ascii="Times New Roman" w:hAnsi="Times New Roman"/>
                <w:b/>
                <w:sz w:val="20"/>
                <w:szCs w:val="20"/>
              </w:rPr>
              <w:t>CZ</w:t>
            </w:r>
          </w:p>
        </w:tc>
        <w:tc>
          <w:tcPr>
            <w:tcW w:w="1195" w:type="dxa"/>
            <w:shd w:val="clear" w:color="auto" w:fill="FFFFFF" w:themeFill="background1"/>
            <w:noWrap/>
            <w:hideMark/>
          </w:tcPr>
          <w:p w14:paraId="49BB6113" w14:textId="77777777" w:rsidR="0067338B" w:rsidRPr="00AC48C8" w:rsidRDefault="001D7CEB">
            <w:pPr>
              <w:spacing w:after="0"/>
              <w:jc w:val="center"/>
              <w:rPr>
                <w:rFonts w:ascii="Times New Roman" w:hAnsi="Times New Roman"/>
                <w:sz w:val="16"/>
                <w:szCs w:val="16"/>
              </w:rPr>
            </w:pPr>
            <w:r w:rsidRPr="00AC48C8">
              <w:rPr>
                <w:rFonts w:ascii="Times New Roman" w:hAnsi="Times New Roman"/>
                <w:sz w:val="16"/>
                <w:szCs w:val="16"/>
              </w:rPr>
              <w:t>25 285 353</w:t>
            </w:r>
          </w:p>
        </w:tc>
        <w:tc>
          <w:tcPr>
            <w:tcW w:w="1458" w:type="dxa"/>
            <w:tcBorders>
              <w:top w:val="single" w:sz="4" w:space="0" w:color="auto"/>
            </w:tcBorders>
            <w:shd w:val="clear" w:color="auto" w:fill="FFFFFF" w:themeFill="background1"/>
          </w:tcPr>
          <w:p w14:paraId="3487ED1F" w14:textId="77777777" w:rsidR="0067338B" w:rsidRPr="00AC48C8" w:rsidRDefault="001D7CEB">
            <w:pPr>
              <w:spacing w:after="0"/>
              <w:jc w:val="center"/>
              <w:rPr>
                <w:rFonts w:ascii="Times New Roman" w:hAnsi="Times New Roman"/>
                <w:sz w:val="16"/>
                <w:szCs w:val="16"/>
              </w:rPr>
            </w:pPr>
            <w:r w:rsidRPr="00AC48C8">
              <w:rPr>
                <w:rFonts w:ascii="Times New Roman" w:hAnsi="Times New Roman"/>
                <w:sz w:val="16"/>
                <w:szCs w:val="16"/>
              </w:rPr>
              <w:t>22 383 398</w:t>
            </w:r>
          </w:p>
        </w:tc>
        <w:tc>
          <w:tcPr>
            <w:tcW w:w="1458" w:type="dxa"/>
            <w:shd w:val="clear" w:color="auto" w:fill="FFFFFF" w:themeFill="background1"/>
          </w:tcPr>
          <w:p w14:paraId="5DA08238" w14:textId="77777777" w:rsidR="0067338B" w:rsidRPr="00AC48C8" w:rsidRDefault="001D7CEB">
            <w:pPr>
              <w:jc w:val="center"/>
              <w:rPr>
                <w:rFonts w:ascii="Times New Roman" w:hAnsi="Times New Roman"/>
                <w:sz w:val="16"/>
                <w:szCs w:val="16"/>
              </w:rPr>
            </w:pPr>
            <w:r w:rsidRPr="00AC48C8">
              <w:rPr>
                <w:rFonts w:ascii="Times New Roman" w:hAnsi="Times New Roman"/>
                <w:sz w:val="16"/>
                <w:szCs w:val="16"/>
              </w:rPr>
              <w:t>20 623 005</w:t>
            </w:r>
          </w:p>
        </w:tc>
        <w:tc>
          <w:tcPr>
            <w:tcW w:w="1339" w:type="dxa"/>
            <w:shd w:val="clear" w:color="auto" w:fill="FFFFFF" w:themeFill="background1"/>
            <w:vAlign w:val="bottom"/>
          </w:tcPr>
          <w:p w14:paraId="71B094E1" w14:textId="77777777" w:rsidR="0067338B" w:rsidRPr="00AC48C8" w:rsidRDefault="001D7CEB">
            <w:pPr>
              <w:jc w:val="center"/>
              <w:rPr>
                <w:rFonts w:ascii="Times New Roman" w:hAnsi="Times New Roman"/>
                <w:sz w:val="16"/>
                <w:szCs w:val="16"/>
              </w:rPr>
            </w:pPr>
            <w:r w:rsidRPr="00AC48C8">
              <w:rPr>
                <w:rFonts w:ascii="Times New Roman" w:hAnsi="Times New Roman"/>
                <w:sz w:val="16"/>
                <w:szCs w:val="16"/>
              </w:rPr>
              <w:t>15 831 329</w:t>
            </w:r>
          </w:p>
        </w:tc>
        <w:tc>
          <w:tcPr>
            <w:tcW w:w="1342" w:type="dxa"/>
            <w:shd w:val="clear" w:color="auto" w:fill="FFFFFF" w:themeFill="background1"/>
          </w:tcPr>
          <w:p w14:paraId="1E4C6337" w14:textId="77777777" w:rsidR="0067338B" w:rsidRPr="00AC48C8" w:rsidRDefault="001D7CEB">
            <w:pPr>
              <w:jc w:val="center"/>
              <w:rPr>
                <w:rFonts w:ascii="Times New Roman" w:hAnsi="Times New Roman"/>
                <w:color w:val="000000"/>
                <w:sz w:val="16"/>
                <w:szCs w:val="16"/>
              </w:rPr>
            </w:pPr>
            <w:r w:rsidRPr="00AC48C8">
              <w:rPr>
                <w:rFonts w:ascii="Times New Roman" w:hAnsi="Times New Roman"/>
                <w:sz w:val="16"/>
                <w:szCs w:val="16"/>
              </w:rPr>
              <w:t>11 681 994</w:t>
            </w:r>
          </w:p>
        </w:tc>
        <w:tc>
          <w:tcPr>
            <w:tcW w:w="1348" w:type="dxa"/>
            <w:shd w:val="clear" w:color="auto" w:fill="FFFFFF" w:themeFill="background1"/>
          </w:tcPr>
          <w:p w14:paraId="738708F9" w14:textId="77777777" w:rsidR="0067338B" w:rsidRPr="00AC48C8" w:rsidRDefault="001D7CEB">
            <w:pPr>
              <w:jc w:val="center"/>
              <w:rPr>
                <w:rFonts w:ascii="Times New Roman" w:hAnsi="Times New Roman"/>
                <w:color w:val="000000"/>
                <w:sz w:val="16"/>
                <w:szCs w:val="16"/>
              </w:rPr>
            </w:pPr>
            <w:r w:rsidRPr="00AC48C8">
              <w:rPr>
                <w:rFonts w:ascii="Times New Roman" w:hAnsi="Times New Roman"/>
                <w:sz w:val="16"/>
                <w:szCs w:val="16"/>
              </w:rPr>
              <w:t>7 661 840</w:t>
            </w:r>
          </w:p>
        </w:tc>
      </w:tr>
      <w:tr w:rsidR="0067338B" w:rsidRPr="00C64727" w14:paraId="5D6AF422" w14:textId="77777777" w:rsidTr="00C64727">
        <w:trPr>
          <w:trHeight w:val="185"/>
          <w:jc w:val="center"/>
        </w:trPr>
        <w:tc>
          <w:tcPr>
            <w:tcW w:w="1101" w:type="dxa"/>
            <w:shd w:val="clear" w:color="auto" w:fill="FFFFFF" w:themeFill="background1"/>
            <w:noWrap/>
            <w:hideMark/>
          </w:tcPr>
          <w:p w14:paraId="5009F649" w14:textId="77777777" w:rsidR="0067338B" w:rsidRPr="00C64727" w:rsidRDefault="001D7CEB">
            <w:pPr>
              <w:spacing w:after="0"/>
              <w:jc w:val="center"/>
              <w:rPr>
                <w:rFonts w:ascii="Times New Roman" w:hAnsi="Times New Roman"/>
                <w:b/>
                <w:sz w:val="20"/>
                <w:szCs w:val="20"/>
              </w:rPr>
            </w:pPr>
            <w:r w:rsidRPr="00C64727">
              <w:rPr>
                <w:rFonts w:ascii="Times New Roman" w:hAnsi="Times New Roman"/>
                <w:b/>
                <w:sz w:val="20"/>
                <w:szCs w:val="20"/>
              </w:rPr>
              <w:t>EE</w:t>
            </w:r>
          </w:p>
        </w:tc>
        <w:tc>
          <w:tcPr>
            <w:tcW w:w="1195" w:type="dxa"/>
            <w:shd w:val="clear" w:color="auto" w:fill="FFFFFF" w:themeFill="background1"/>
            <w:noWrap/>
            <w:hideMark/>
          </w:tcPr>
          <w:p w14:paraId="293A25E3" w14:textId="77777777" w:rsidR="0067338B" w:rsidRPr="00AC48C8" w:rsidRDefault="001D7CEB">
            <w:pPr>
              <w:spacing w:after="0"/>
              <w:jc w:val="center"/>
              <w:rPr>
                <w:rFonts w:ascii="Times New Roman" w:hAnsi="Times New Roman"/>
                <w:sz w:val="16"/>
                <w:szCs w:val="16"/>
              </w:rPr>
            </w:pPr>
            <w:r w:rsidRPr="00AC48C8">
              <w:rPr>
                <w:rFonts w:ascii="Times New Roman" w:hAnsi="Times New Roman"/>
                <w:sz w:val="16"/>
                <w:szCs w:val="16"/>
              </w:rPr>
              <w:t>5 135 166</w:t>
            </w:r>
          </w:p>
        </w:tc>
        <w:tc>
          <w:tcPr>
            <w:tcW w:w="1458" w:type="dxa"/>
            <w:shd w:val="clear" w:color="auto" w:fill="FFFFFF" w:themeFill="background1"/>
          </w:tcPr>
          <w:p w14:paraId="36CC475D" w14:textId="77777777" w:rsidR="0067338B" w:rsidRPr="00AC48C8" w:rsidRDefault="001D7CEB">
            <w:pPr>
              <w:spacing w:after="0"/>
              <w:jc w:val="center"/>
              <w:rPr>
                <w:rFonts w:ascii="Times New Roman" w:hAnsi="Times New Roman"/>
                <w:sz w:val="16"/>
                <w:szCs w:val="16"/>
              </w:rPr>
            </w:pPr>
            <w:r w:rsidRPr="00AC48C8">
              <w:rPr>
                <w:rFonts w:ascii="Times New Roman" w:hAnsi="Times New Roman"/>
                <w:sz w:val="16"/>
                <w:szCs w:val="16"/>
              </w:rPr>
              <w:t>4 401 568</w:t>
            </w:r>
          </w:p>
        </w:tc>
        <w:tc>
          <w:tcPr>
            <w:tcW w:w="1458" w:type="dxa"/>
            <w:shd w:val="clear" w:color="auto" w:fill="FFFFFF" w:themeFill="background1"/>
          </w:tcPr>
          <w:p w14:paraId="55DA82B7" w14:textId="77777777" w:rsidR="0067338B" w:rsidRPr="00AC48C8" w:rsidRDefault="001D7CEB">
            <w:pPr>
              <w:jc w:val="center"/>
              <w:rPr>
                <w:rFonts w:ascii="Times New Roman" w:hAnsi="Times New Roman"/>
                <w:sz w:val="16"/>
                <w:szCs w:val="16"/>
              </w:rPr>
            </w:pPr>
            <w:r w:rsidRPr="00AC48C8">
              <w:rPr>
                <w:rFonts w:ascii="Times New Roman" w:hAnsi="Times New Roman"/>
                <w:sz w:val="16"/>
                <w:szCs w:val="16"/>
              </w:rPr>
              <w:t>3 667 975</w:t>
            </w:r>
          </w:p>
        </w:tc>
        <w:tc>
          <w:tcPr>
            <w:tcW w:w="1339" w:type="dxa"/>
            <w:shd w:val="clear" w:color="auto" w:fill="FFFFFF" w:themeFill="background1"/>
            <w:vAlign w:val="bottom"/>
          </w:tcPr>
          <w:p w14:paraId="3AD58EB5" w14:textId="77777777" w:rsidR="0067338B" w:rsidRPr="00AC48C8" w:rsidRDefault="001D7CEB">
            <w:pPr>
              <w:jc w:val="center"/>
              <w:rPr>
                <w:rFonts w:ascii="Times New Roman" w:hAnsi="Times New Roman"/>
                <w:sz w:val="16"/>
                <w:szCs w:val="16"/>
              </w:rPr>
            </w:pPr>
            <w:r w:rsidRPr="00AC48C8">
              <w:rPr>
                <w:rFonts w:ascii="Times New Roman" w:hAnsi="Times New Roman"/>
                <w:sz w:val="16"/>
                <w:szCs w:val="16"/>
              </w:rPr>
              <w:t>2 934 380</w:t>
            </w:r>
          </w:p>
        </w:tc>
        <w:tc>
          <w:tcPr>
            <w:tcW w:w="1342" w:type="dxa"/>
            <w:shd w:val="clear" w:color="auto" w:fill="FFFFFF" w:themeFill="background1"/>
          </w:tcPr>
          <w:p w14:paraId="2DD082A2" w14:textId="77777777" w:rsidR="0067338B" w:rsidRPr="00AC48C8" w:rsidRDefault="001D7CEB">
            <w:pPr>
              <w:jc w:val="center"/>
              <w:rPr>
                <w:rFonts w:ascii="Times New Roman" w:hAnsi="Times New Roman"/>
                <w:color w:val="000000"/>
                <w:sz w:val="16"/>
                <w:szCs w:val="16"/>
              </w:rPr>
            </w:pPr>
            <w:r w:rsidRPr="00AC48C8">
              <w:rPr>
                <w:rFonts w:ascii="Times New Roman" w:hAnsi="Times New Roman"/>
                <w:sz w:val="16"/>
                <w:szCs w:val="16"/>
              </w:rPr>
              <w:t>2 055 614</w:t>
            </w:r>
          </w:p>
        </w:tc>
        <w:tc>
          <w:tcPr>
            <w:tcW w:w="1348" w:type="dxa"/>
            <w:shd w:val="clear" w:color="auto" w:fill="FFFFFF" w:themeFill="background1"/>
          </w:tcPr>
          <w:p w14:paraId="33304244" w14:textId="77777777" w:rsidR="0067338B" w:rsidRPr="00AC48C8" w:rsidRDefault="001D7CEB">
            <w:pPr>
              <w:jc w:val="center"/>
              <w:rPr>
                <w:rFonts w:ascii="Times New Roman" w:hAnsi="Times New Roman"/>
                <w:color w:val="000000"/>
                <w:sz w:val="16"/>
                <w:szCs w:val="16"/>
              </w:rPr>
            </w:pPr>
            <w:r w:rsidRPr="00AC48C8">
              <w:rPr>
                <w:rFonts w:ascii="Times New Roman" w:hAnsi="Times New Roman"/>
                <w:sz w:val="16"/>
                <w:szCs w:val="16"/>
              </w:rPr>
              <w:t>38 939</w:t>
            </w:r>
          </w:p>
        </w:tc>
      </w:tr>
      <w:tr w:rsidR="0067338B" w:rsidRPr="00C64727" w14:paraId="2375AF4D" w14:textId="77777777" w:rsidTr="00C64727">
        <w:trPr>
          <w:trHeight w:val="223"/>
          <w:jc w:val="center"/>
        </w:trPr>
        <w:tc>
          <w:tcPr>
            <w:tcW w:w="1101" w:type="dxa"/>
            <w:shd w:val="clear" w:color="auto" w:fill="FFFFFF" w:themeFill="background1"/>
            <w:noWrap/>
            <w:hideMark/>
          </w:tcPr>
          <w:p w14:paraId="6B24967D" w14:textId="77777777" w:rsidR="0067338B" w:rsidRPr="00C64727" w:rsidRDefault="001D7CEB">
            <w:pPr>
              <w:spacing w:after="0"/>
              <w:jc w:val="center"/>
              <w:rPr>
                <w:rFonts w:ascii="Times New Roman" w:hAnsi="Times New Roman"/>
                <w:b/>
                <w:sz w:val="20"/>
                <w:szCs w:val="20"/>
              </w:rPr>
            </w:pPr>
            <w:r w:rsidRPr="00C64727">
              <w:rPr>
                <w:rFonts w:ascii="Times New Roman" w:hAnsi="Times New Roman"/>
                <w:b/>
                <w:sz w:val="20"/>
                <w:szCs w:val="20"/>
              </w:rPr>
              <w:t>HU</w:t>
            </w:r>
          </w:p>
        </w:tc>
        <w:tc>
          <w:tcPr>
            <w:tcW w:w="1195" w:type="dxa"/>
            <w:shd w:val="clear" w:color="auto" w:fill="FFFFFF" w:themeFill="background1"/>
            <w:noWrap/>
            <w:hideMark/>
          </w:tcPr>
          <w:p w14:paraId="75AE26F4" w14:textId="77777777" w:rsidR="0067338B" w:rsidRPr="00AC48C8" w:rsidRDefault="001D7CEB">
            <w:pPr>
              <w:spacing w:after="0"/>
              <w:jc w:val="center"/>
              <w:rPr>
                <w:rFonts w:ascii="Times New Roman" w:hAnsi="Times New Roman"/>
                <w:sz w:val="16"/>
                <w:szCs w:val="16"/>
              </w:rPr>
            </w:pPr>
            <w:r w:rsidRPr="00AC48C8">
              <w:rPr>
                <w:rFonts w:ascii="Times New Roman" w:hAnsi="Times New Roman"/>
                <w:sz w:val="16"/>
                <w:szCs w:val="16"/>
              </w:rPr>
              <w:t>7 047 255</w:t>
            </w:r>
            <w:r w:rsidRPr="00AC48C8">
              <w:rPr>
                <w:rFonts w:ascii="Times New Roman" w:hAnsi="Times New Roman"/>
                <w:sz w:val="16"/>
                <w:szCs w:val="16"/>
                <w:vertAlign w:val="superscript"/>
              </w:rPr>
              <w:footnoteReference w:id="75"/>
            </w:r>
          </w:p>
        </w:tc>
        <w:tc>
          <w:tcPr>
            <w:tcW w:w="1458" w:type="dxa"/>
            <w:shd w:val="clear" w:color="auto" w:fill="FFFFFF" w:themeFill="background1"/>
          </w:tcPr>
          <w:p w14:paraId="35194E0F" w14:textId="77777777" w:rsidR="0067338B" w:rsidRPr="00AC48C8" w:rsidRDefault="001D7CEB">
            <w:pPr>
              <w:spacing w:after="0"/>
              <w:jc w:val="center"/>
              <w:rPr>
                <w:rFonts w:ascii="Times New Roman" w:hAnsi="Times New Roman"/>
                <w:sz w:val="16"/>
                <w:szCs w:val="16"/>
              </w:rPr>
            </w:pPr>
            <w:r w:rsidRPr="00AC48C8">
              <w:rPr>
                <w:rFonts w:ascii="Times New Roman" w:hAnsi="Times New Roman"/>
                <w:sz w:val="16"/>
                <w:szCs w:val="16"/>
              </w:rPr>
              <w:t>n.a.</w:t>
            </w:r>
          </w:p>
        </w:tc>
        <w:tc>
          <w:tcPr>
            <w:tcW w:w="1458" w:type="dxa"/>
            <w:shd w:val="clear" w:color="auto" w:fill="FFFFFF" w:themeFill="background1"/>
          </w:tcPr>
          <w:p w14:paraId="26D47330" w14:textId="77777777" w:rsidR="0067338B" w:rsidRPr="00AC48C8" w:rsidRDefault="001D7CEB">
            <w:pPr>
              <w:jc w:val="center"/>
              <w:rPr>
                <w:rFonts w:ascii="Times New Roman" w:hAnsi="Times New Roman"/>
                <w:sz w:val="16"/>
                <w:szCs w:val="16"/>
              </w:rPr>
            </w:pPr>
            <w:r w:rsidRPr="00AC48C8">
              <w:rPr>
                <w:rFonts w:ascii="Times New Roman" w:hAnsi="Times New Roman"/>
                <w:sz w:val="16"/>
                <w:szCs w:val="16"/>
              </w:rPr>
              <w:t>n.a.</w:t>
            </w:r>
          </w:p>
        </w:tc>
        <w:tc>
          <w:tcPr>
            <w:tcW w:w="1339" w:type="dxa"/>
            <w:shd w:val="clear" w:color="auto" w:fill="FFFFFF" w:themeFill="background1"/>
            <w:vAlign w:val="bottom"/>
          </w:tcPr>
          <w:p w14:paraId="3F53B4D4" w14:textId="77777777" w:rsidR="0067338B" w:rsidRPr="00AC48C8" w:rsidRDefault="001D7CEB">
            <w:pPr>
              <w:jc w:val="center"/>
              <w:rPr>
                <w:rFonts w:ascii="Times New Roman" w:hAnsi="Times New Roman"/>
                <w:sz w:val="16"/>
                <w:szCs w:val="16"/>
              </w:rPr>
            </w:pPr>
            <w:r w:rsidRPr="00AC48C8">
              <w:rPr>
                <w:rFonts w:ascii="Times New Roman" w:hAnsi="Times New Roman"/>
                <w:sz w:val="16"/>
                <w:szCs w:val="16"/>
              </w:rPr>
              <w:t>n.a.</w:t>
            </w:r>
          </w:p>
        </w:tc>
        <w:tc>
          <w:tcPr>
            <w:tcW w:w="1342" w:type="dxa"/>
            <w:shd w:val="clear" w:color="auto" w:fill="FFFFFF" w:themeFill="background1"/>
          </w:tcPr>
          <w:p w14:paraId="094D124B" w14:textId="77777777" w:rsidR="0067338B" w:rsidRPr="00AC48C8" w:rsidRDefault="001D7CEB">
            <w:pPr>
              <w:jc w:val="center"/>
              <w:rPr>
                <w:rFonts w:ascii="Times New Roman" w:hAnsi="Times New Roman"/>
                <w:color w:val="000000"/>
                <w:sz w:val="16"/>
                <w:szCs w:val="16"/>
              </w:rPr>
            </w:pPr>
            <w:r w:rsidRPr="00AC48C8">
              <w:rPr>
                <w:rFonts w:ascii="Times New Roman" w:hAnsi="Times New Roman"/>
                <w:sz w:val="16"/>
                <w:szCs w:val="16"/>
              </w:rPr>
              <w:t>n.a.</w:t>
            </w:r>
          </w:p>
        </w:tc>
        <w:tc>
          <w:tcPr>
            <w:tcW w:w="1348" w:type="dxa"/>
            <w:shd w:val="clear" w:color="auto" w:fill="FFFFFF" w:themeFill="background1"/>
          </w:tcPr>
          <w:p w14:paraId="6CC38296" w14:textId="77777777" w:rsidR="0067338B" w:rsidRPr="00AC48C8" w:rsidRDefault="001D7CEB">
            <w:pPr>
              <w:jc w:val="center"/>
              <w:rPr>
                <w:rFonts w:ascii="Times New Roman" w:hAnsi="Times New Roman"/>
                <w:color w:val="000000"/>
                <w:sz w:val="16"/>
                <w:szCs w:val="16"/>
              </w:rPr>
            </w:pPr>
            <w:r w:rsidRPr="00AC48C8">
              <w:rPr>
                <w:rFonts w:ascii="Times New Roman" w:hAnsi="Times New Roman"/>
                <w:sz w:val="16"/>
                <w:szCs w:val="16"/>
              </w:rPr>
              <w:t>n.a.</w:t>
            </w:r>
          </w:p>
        </w:tc>
      </w:tr>
      <w:tr w:rsidR="0067338B" w:rsidRPr="00C64727" w14:paraId="6D2529A9" w14:textId="77777777" w:rsidTr="00C64727">
        <w:trPr>
          <w:trHeight w:val="185"/>
          <w:jc w:val="center"/>
        </w:trPr>
        <w:tc>
          <w:tcPr>
            <w:tcW w:w="1101" w:type="dxa"/>
            <w:shd w:val="clear" w:color="auto" w:fill="FFFFFF" w:themeFill="background1"/>
            <w:noWrap/>
            <w:hideMark/>
          </w:tcPr>
          <w:p w14:paraId="74D2EBB8" w14:textId="77777777" w:rsidR="0067338B" w:rsidRPr="00C64727" w:rsidRDefault="001D7CEB">
            <w:pPr>
              <w:spacing w:after="0"/>
              <w:jc w:val="center"/>
              <w:rPr>
                <w:rFonts w:ascii="Times New Roman" w:hAnsi="Times New Roman"/>
                <w:b/>
                <w:sz w:val="20"/>
                <w:szCs w:val="20"/>
              </w:rPr>
            </w:pPr>
            <w:r w:rsidRPr="00C64727">
              <w:rPr>
                <w:rFonts w:ascii="Times New Roman" w:hAnsi="Times New Roman"/>
                <w:b/>
                <w:sz w:val="20"/>
                <w:szCs w:val="20"/>
              </w:rPr>
              <w:t>LT</w:t>
            </w:r>
          </w:p>
        </w:tc>
        <w:tc>
          <w:tcPr>
            <w:tcW w:w="1195" w:type="dxa"/>
            <w:shd w:val="clear" w:color="auto" w:fill="FFFFFF" w:themeFill="background1"/>
            <w:noWrap/>
            <w:hideMark/>
          </w:tcPr>
          <w:p w14:paraId="5AA9EE60" w14:textId="77777777" w:rsidR="0067338B" w:rsidRPr="00AC48C8" w:rsidRDefault="001D7CEB">
            <w:pPr>
              <w:spacing w:after="0"/>
              <w:jc w:val="center"/>
              <w:rPr>
                <w:rFonts w:ascii="Times New Roman" w:hAnsi="Times New Roman"/>
                <w:sz w:val="16"/>
                <w:szCs w:val="16"/>
              </w:rPr>
            </w:pPr>
            <w:r w:rsidRPr="00AC48C8">
              <w:rPr>
                <w:rFonts w:ascii="Times New Roman" w:hAnsi="Times New Roman"/>
                <w:sz w:val="16"/>
                <w:szCs w:val="16"/>
              </w:rPr>
              <w:t>322 449</w:t>
            </w:r>
          </w:p>
        </w:tc>
        <w:tc>
          <w:tcPr>
            <w:tcW w:w="1458" w:type="dxa"/>
            <w:shd w:val="clear" w:color="auto" w:fill="FFFFFF" w:themeFill="background1"/>
          </w:tcPr>
          <w:p w14:paraId="442AAE85" w14:textId="77777777" w:rsidR="0067338B" w:rsidRPr="00AC48C8" w:rsidRDefault="001D7CEB">
            <w:pPr>
              <w:spacing w:after="0"/>
              <w:jc w:val="center"/>
              <w:rPr>
                <w:rFonts w:ascii="Times New Roman" w:hAnsi="Times New Roman"/>
                <w:sz w:val="16"/>
                <w:szCs w:val="16"/>
              </w:rPr>
            </w:pPr>
            <w:r w:rsidRPr="00AC48C8">
              <w:rPr>
                <w:rFonts w:ascii="Times New Roman" w:hAnsi="Times New Roman"/>
                <w:sz w:val="16"/>
                <w:szCs w:val="16"/>
              </w:rPr>
              <w:t>297 113</w:t>
            </w:r>
          </w:p>
        </w:tc>
        <w:tc>
          <w:tcPr>
            <w:tcW w:w="1458" w:type="dxa"/>
            <w:shd w:val="clear" w:color="auto" w:fill="FFFFFF" w:themeFill="background1"/>
          </w:tcPr>
          <w:p w14:paraId="3475EF65" w14:textId="77777777" w:rsidR="0067338B" w:rsidRPr="00AC48C8" w:rsidRDefault="001D7CEB">
            <w:pPr>
              <w:jc w:val="center"/>
              <w:rPr>
                <w:rFonts w:ascii="Times New Roman" w:hAnsi="Times New Roman"/>
                <w:sz w:val="16"/>
                <w:szCs w:val="16"/>
              </w:rPr>
            </w:pPr>
            <w:r w:rsidRPr="00AC48C8">
              <w:rPr>
                <w:rFonts w:ascii="Times New Roman" w:hAnsi="Times New Roman"/>
                <w:sz w:val="16"/>
                <w:szCs w:val="16"/>
              </w:rPr>
              <w:t>269 475</w:t>
            </w:r>
          </w:p>
        </w:tc>
        <w:tc>
          <w:tcPr>
            <w:tcW w:w="1339" w:type="dxa"/>
            <w:shd w:val="clear" w:color="auto" w:fill="FFFFFF" w:themeFill="background1"/>
            <w:vAlign w:val="bottom"/>
          </w:tcPr>
          <w:p w14:paraId="2B6DCFAF" w14:textId="77777777" w:rsidR="0067338B" w:rsidRPr="00AC48C8" w:rsidRDefault="001D7CEB">
            <w:pPr>
              <w:jc w:val="center"/>
              <w:rPr>
                <w:rFonts w:ascii="Times New Roman" w:hAnsi="Times New Roman"/>
                <w:sz w:val="16"/>
                <w:szCs w:val="16"/>
              </w:rPr>
            </w:pPr>
            <w:r w:rsidRPr="00AC48C8">
              <w:rPr>
                <w:rFonts w:ascii="Times New Roman" w:hAnsi="Times New Roman"/>
                <w:sz w:val="16"/>
                <w:szCs w:val="16"/>
              </w:rPr>
              <w:t>237 230</w:t>
            </w:r>
          </w:p>
        </w:tc>
        <w:tc>
          <w:tcPr>
            <w:tcW w:w="1342" w:type="dxa"/>
            <w:shd w:val="clear" w:color="auto" w:fill="FFFFFF" w:themeFill="background1"/>
          </w:tcPr>
          <w:p w14:paraId="2EC525D2" w14:textId="77777777" w:rsidR="0067338B" w:rsidRPr="00AC48C8" w:rsidRDefault="001D7CEB">
            <w:pPr>
              <w:jc w:val="center"/>
              <w:rPr>
                <w:rFonts w:ascii="Times New Roman" w:hAnsi="Times New Roman"/>
                <w:color w:val="000000"/>
                <w:sz w:val="16"/>
                <w:szCs w:val="16"/>
              </w:rPr>
            </w:pPr>
            <w:r w:rsidRPr="00AC48C8">
              <w:rPr>
                <w:rFonts w:ascii="Times New Roman" w:hAnsi="Times New Roman"/>
                <w:sz w:val="16"/>
                <w:szCs w:val="16"/>
              </w:rPr>
              <w:t>200 379</w:t>
            </w:r>
          </w:p>
        </w:tc>
        <w:tc>
          <w:tcPr>
            <w:tcW w:w="1348" w:type="dxa"/>
            <w:shd w:val="clear" w:color="auto" w:fill="FFFFFF" w:themeFill="background1"/>
          </w:tcPr>
          <w:p w14:paraId="5C48BA6F" w14:textId="77777777" w:rsidR="0067338B" w:rsidRPr="00AC48C8" w:rsidRDefault="001D7CEB">
            <w:pPr>
              <w:jc w:val="center"/>
              <w:rPr>
                <w:rFonts w:ascii="Times New Roman" w:hAnsi="Times New Roman"/>
                <w:color w:val="000000"/>
                <w:sz w:val="16"/>
                <w:szCs w:val="16"/>
              </w:rPr>
            </w:pPr>
            <w:r w:rsidRPr="00AC48C8">
              <w:rPr>
                <w:rFonts w:ascii="Times New Roman" w:hAnsi="Times New Roman"/>
                <w:sz w:val="16"/>
                <w:szCs w:val="16"/>
              </w:rPr>
              <w:t>158 922</w:t>
            </w:r>
          </w:p>
        </w:tc>
      </w:tr>
      <w:tr w:rsidR="0067338B" w:rsidRPr="00C64727" w14:paraId="41284CCC" w14:textId="77777777" w:rsidTr="00C64727">
        <w:trPr>
          <w:trHeight w:val="185"/>
          <w:jc w:val="center"/>
        </w:trPr>
        <w:tc>
          <w:tcPr>
            <w:tcW w:w="1101" w:type="dxa"/>
            <w:shd w:val="clear" w:color="auto" w:fill="FFFFFF" w:themeFill="background1"/>
            <w:noWrap/>
            <w:hideMark/>
          </w:tcPr>
          <w:p w14:paraId="45BC2378" w14:textId="77777777" w:rsidR="0067338B" w:rsidRPr="00C64727" w:rsidRDefault="001D7CEB">
            <w:pPr>
              <w:spacing w:after="0"/>
              <w:jc w:val="center"/>
              <w:rPr>
                <w:rFonts w:ascii="Times New Roman" w:hAnsi="Times New Roman"/>
                <w:b/>
                <w:sz w:val="20"/>
                <w:szCs w:val="20"/>
              </w:rPr>
            </w:pPr>
            <w:r w:rsidRPr="00C64727">
              <w:rPr>
                <w:rFonts w:ascii="Times New Roman" w:hAnsi="Times New Roman"/>
                <w:b/>
                <w:sz w:val="20"/>
                <w:szCs w:val="20"/>
              </w:rPr>
              <w:t>PL</w:t>
            </w:r>
          </w:p>
        </w:tc>
        <w:tc>
          <w:tcPr>
            <w:tcW w:w="1195" w:type="dxa"/>
            <w:shd w:val="clear" w:color="auto" w:fill="FFFFFF" w:themeFill="background1"/>
            <w:noWrap/>
            <w:hideMark/>
          </w:tcPr>
          <w:p w14:paraId="5DA97BCC" w14:textId="77777777" w:rsidR="0067338B" w:rsidRPr="00AC48C8" w:rsidRDefault="001D7CEB">
            <w:pPr>
              <w:spacing w:after="0"/>
              <w:jc w:val="center"/>
              <w:rPr>
                <w:rFonts w:ascii="Times New Roman" w:hAnsi="Times New Roman"/>
                <w:sz w:val="16"/>
                <w:szCs w:val="16"/>
              </w:rPr>
            </w:pPr>
            <w:r w:rsidRPr="00AC48C8">
              <w:rPr>
                <w:rFonts w:ascii="Times New Roman" w:hAnsi="Times New Roman"/>
                <w:sz w:val="16"/>
                <w:szCs w:val="16"/>
              </w:rPr>
              <w:t>65 992 703</w:t>
            </w:r>
          </w:p>
        </w:tc>
        <w:tc>
          <w:tcPr>
            <w:tcW w:w="1458" w:type="dxa"/>
            <w:shd w:val="clear" w:color="auto" w:fill="FFFFFF" w:themeFill="background1"/>
          </w:tcPr>
          <w:p w14:paraId="49FF2CB5" w14:textId="77777777" w:rsidR="0067338B" w:rsidRPr="00AC48C8" w:rsidRDefault="001D7CEB">
            <w:pPr>
              <w:spacing w:after="0"/>
              <w:jc w:val="center"/>
              <w:rPr>
                <w:rFonts w:ascii="Times New Roman" w:hAnsi="Times New Roman"/>
                <w:sz w:val="16"/>
                <w:szCs w:val="16"/>
              </w:rPr>
            </w:pPr>
            <w:r w:rsidRPr="00AC48C8">
              <w:rPr>
                <w:rFonts w:ascii="Times New Roman" w:hAnsi="Times New Roman"/>
                <w:sz w:val="16"/>
                <w:szCs w:val="16"/>
              </w:rPr>
              <w:t>52 920 889</w:t>
            </w:r>
          </w:p>
        </w:tc>
        <w:tc>
          <w:tcPr>
            <w:tcW w:w="1458" w:type="dxa"/>
            <w:shd w:val="clear" w:color="auto" w:fill="FFFFFF" w:themeFill="background1"/>
          </w:tcPr>
          <w:p w14:paraId="5D62EF4C" w14:textId="77777777" w:rsidR="0067338B" w:rsidRPr="00AC48C8" w:rsidRDefault="001D7CEB">
            <w:pPr>
              <w:jc w:val="center"/>
              <w:rPr>
                <w:rFonts w:ascii="Times New Roman" w:hAnsi="Times New Roman"/>
                <w:sz w:val="16"/>
                <w:szCs w:val="16"/>
              </w:rPr>
            </w:pPr>
            <w:r w:rsidRPr="00AC48C8">
              <w:rPr>
                <w:rFonts w:ascii="Times New Roman" w:hAnsi="Times New Roman"/>
                <w:sz w:val="16"/>
                <w:szCs w:val="16"/>
              </w:rPr>
              <w:t>43 594 320</w:t>
            </w:r>
          </w:p>
        </w:tc>
        <w:tc>
          <w:tcPr>
            <w:tcW w:w="1339" w:type="dxa"/>
            <w:shd w:val="clear" w:color="auto" w:fill="FFFFFF" w:themeFill="background1"/>
            <w:vAlign w:val="bottom"/>
          </w:tcPr>
          <w:p w14:paraId="378324C1" w14:textId="77777777" w:rsidR="0067338B" w:rsidRPr="00AC48C8" w:rsidRDefault="001D7CEB">
            <w:pPr>
              <w:jc w:val="center"/>
              <w:rPr>
                <w:rFonts w:ascii="Times New Roman" w:hAnsi="Times New Roman"/>
                <w:sz w:val="16"/>
                <w:szCs w:val="16"/>
              </w:rPr>
            </w:pPr>
            <w:r w:rsidRPr="00AC48C8">
              <w:rPr>
                <w:rFonts w:ascii="Times New Roman" w:hAnsi="Times New Roman"/>
                <w:sz w:val="16"/>
                <w:szCs w:val="16"/>
              </w:rPr>
              <w:t>31 621 148</w:t>
            </w:r>
          </w:p>
        </w:tc>
        <w:tc>
          <w:tcPr>
            <w:tcW w:w="1342" w:type="dxa"/>
            <w:shd w:val="clear" w:color="auto" w:fill="FFFFFF" w:themeFill="background1"/>
          </w:tcPr>
          <w:p w14:paraId="3D25DA67" w14:textId="77777777" w:rsidR="0067338B" w:rsidRPr="00AC48C8" w:rsidRDefault="001D7CEB">
            <w:pPr>
              <w:jc w:val="center"/>
              <w:rPr>
                <w:rFonts w:ascii="Times New Roman" w:hAnsi="Times New Roman"/>
                <w:color w:val="000000"/>
                <w:sz w:val="16"/>
                <w:szCs w:val="16"/>
              </w:rPr>
            </w:pPr>
            <w:r w:rsidRPr="00AC48C8">
              <w:rPr>
                <w:rFonts w:ascii="Times New Roman" w:hAnsi="Times New Roman"/>
                <w:sz w:val="16"/>
                <w:szCs w:val="16"/>
              </w:rPr>
              <w:t>21 752 908</w:t>
            </w:r>
          </w:p>
        </w:tc>
        <w:tc>
          <w:tcPr>
            <w:tcW w:w="1348" w:type="dxa"/>
            <w:shd w:val="clear" w:color="auto" w:fill="FFFFFF" w:themeFill="background1"/>
          </w:tcPr>
          <w:p w14:paraId="70387689" w14:textId="77777777" w:rsidR="0067338B" w:rsidRPr="00AC48C8" w:rsidRDefault="001D7CEB">
            <w:pPr>
              <w:jc w:val="center"/>
              <w:rPr>
                <w:rFonts w:ascii="Times New Roman" w:hAnsi="Times New Roman"/>
                <w:color w:val="000000"/>
                <w:sz w:val="16"/>
                <w:szCs w:val="16"/>
              </w:rPr>
            </w:pPr>
            <w:r w:rsidRPr="00AC48C8">
              <w:rPr>
                <w:rFonts w:ascii="Times New Roman" w:hAnsi="Times New Roman"/>
                <w:sz w:val="16"/>
                <w:szCs w:val="16"/>
              </w:rPr>
              <w:t>31 942 281</w:t>
            </w:r>
          </w:p>
        </w:tc>
      </w:tr>
      <w:tr w:rsidR="0067338B" w:rsidRPr="00C64727" w14:paraId="587678EA" w14:textId="77777777" w:rsidTr="00C64727">
        <w:trPr>
          <w:trHeight w:val="312"/>
          <w:jc w:val="center"/>
        </w:trPr>
        <w:tc>
          <w:tcPr>
            <w:tcW w:w="1101" w:type="dxa"/>
            <w:shd w:val="clear" w:color="auto" w:fill="FFFFFF" w:themeFill="background1"/>
            <w:noWrap/>
            <w:hideMark/>
          </w:tcPr>
          <w:p w14:paraId="4216FEA8" w14:textId="77777777" w:rsidR="0067338B" w:rsidRPr="00C64727" w:rsidRDefault="001D7CEB">
            <w:pPr>
              <w:spacing w:after="0"/>
              <w:jc w:val="center"/>
              <w:rPr>
                <w:rFonts w:ascii="Times New Roman" w:hAnsi="Times New Roman"/>
                <w:b/>
                <w:sz w:val="20"/>
                <w:szCs w:val="20"/>
              </w:rPr>
            </w:pPr>
            <w:r w:rsidRPr="00C64727">
              <w:rPr>
                <w:rFonts w:ascii="Times New Roman" w:hAnsi="Times New Roman"/>
                <w:b/>
                <w:sz w:val="20"/>
                <w:szCs w:val="20"/>
              </w:rPr>
              <w:t>RO</w:t>
            </w:r>
          </w:p>
        </w:tc>
        <w:tc>
          <w:tcPr>
            <w:tcW w:w="1195" w:type="dxa"/>
            <w:shd w:val="clear" w:color="auto" w:fill="FFFFFF" w:themeFill="background1"/>
            <w:noWrap/>
            <w:hideMark/>
          </w:tcPr>
          <w:p w14:paraId="073456FD" w14:textId="77777777" w:rsidR="0067338B" w:rsidRPr="00AC48C8" w:rsidRDefault="001D7CEB">
            <w:pPr>
              <w:spacing w:after="0"/>
              <w:jc w:val="center"/>
              <w:rPr>
                <w:rFonts w:ascii="Times New Roman" w:hAnsi="Times New Roman"/>
                <w:sz w:val="16"/>
                <w:szCs w:val="16"/>
              </w:rPr>
            </w:pPr>
            <w:r w:rsidRPr="00AC48C8">
              <w:rPr>
                <w:rFonts w:ascii="Times New Roman" w:hAnsi="Times New Roman"/>
                <w:sz w:val="16"/>
                <w:szCs w:val="16"/>
              </w:rPr>
              <w:t>15 748 011</w:t>
            </w:r>
          </w:p>
        </w:tc>
        <w:tc>
          <w:tcPr>
            <w:tcW w:w="1458" w:type="dxa"/>
            <w:shd w:val="clear" w:color="auto" w:fill="FFFFFF" w:themeFill="background1"/>
          </w:tcPr>
          <w:p w14:paraId="7DF9E739" w14:textId="77777777" w:rsidR="0067338B" w:rsidRPr="00AC48C8" w:rsidRDefault="001D7CEB">
            <w:pPr>
              <w:spacing w:after="0"/>
              <w:jc w:val="center"/>
              <w:rPr>
                <w:rFonts w:ascii="Times New Roman" w:hAnsi="Times New Roman"/>
                <w:sz w:val="16"/>
                <w:szCs w:val="16"/>
              </w:rPr>
            </w:pPr>
            <w:r w:rsidRPr="00AC48C8">
              <w:rPr>
                <w:rFonts w:ascii="Times New Roman" w:hAnsi="Times New Roman"/>
                <w:sz w:val="16"/>
                <w:szCs w:val="16"/>
              </w:rPr>
              <w:t>8 591 461</w:t>
            </w:r>
          </w:p>
        </w:tc>
        <w:tc>
          <w:tcPr>
            <w:tcW w:w="1458" w:type="dxa"/>
            <w:shd w:val="clear" w:color="auto" w:fill="FFFFFF" w:themeFill="background1"/>
          </w:tcPr>
          <w:p w14:paraId="77286233" w14:textId="77777777" w:rsidR="0067338B" w:rsidRPr="00AC48C8" w:rsidRDefault="001D7CEB">
            <w:pPr>
              <w:jc w:val="center"/>
              <w:rPr>
                <w:rFonts w:ascii="Times New Roman" w:hAnsi="Times New Roman"/>
                <w:sz w:val="16"/>
                <w:szCs w:val="16"/>
              </w:rPr>
            </w:pPr>
            <w:r w:rsidRPr="00AC48C8">
              <w:rPr>
                <w:rFonts w:ascii="Times New Roman" w:hAnsi="Times New Roman"/>
                <w:sz w:val="16"/>
                <w:szCs w:val="16"/>
              </w:rPr>
              <w:t>9 210 797</w:t>
            </w:r>
          </w:p>
        </w:tc>
        <w:tc>
          <w:tcPr>
            <w:tcW w:w="1339" w:type="dxa"/>
            <w:shd w:val="clear" w:color="auto" w:fill="FFFFFF" w:themeFill="background1"/>
            <w:vAlign w:val="bottom"/>
          </w:tcPr>
          <w:p w14:paraId="634C3F54" w14:textId="77777777" w:rsidR="0067338B" w:rsidRPr="00AC48C8" w:rsidRDefault="001D7CEB">
            <w:pPr>
              <w:jc w:val="center"/>
              <w:rPr>
                <w:rFonts w:ascii="Times New Roman" w:hAnsi="Times New Roman"/>
                <w:sz w:val="16"/>
                <w:szCs w:val="16"/>
              </w:rPr>
            </w:pPr>
            <w:r w:rsidRPr="00AC48C8">
              <w:rPr>
                <w:rFonts w:ascii="Times New Roman" w:hAnsi="Times New Roman"/>
                <w:sz w:val="16"/>
                <w:szCs w:val="16"/>
              </w:rPr>
              <w:t>7 189 961</w:t>
            </w:r>
          </w:p>
        </w:tc>
        <w:tc>
          <w:tcPr>
            <w:tcW w:w="1342" w:type="dxa"/>
            <w:shd w:val="clear" w:color="auto" w:fill="FFFFFF" w:themeFill="background1"/>
          </w:tcPr>
          <w:p w14:paraId="7F265CA4" w14:textId="77777777" w:rsidR="0067338B" w:rsidRPr="00AC48C8" w:rsidRDefault="001D7CEB">
            <w:pPr>
              <w:jc w:val="center"/>
              <w:rPr>
                <w:rFonts w:ascii="Times New Roman" w:hAnsi="Times New Roman"/>
                <w:color w:val="000000"/>
                <w:sz w:val="16"/>
                <w:szCs w:val="16"/>
              </w:rPr>
            </w:pPr>
            <w:r w:rsidRPr="00AC48C8">
              <w:rPr>
                <w:rFonts w:ascii="Times New Roman" w:hAnsi="Times New Roman"/>
                <w:sz w:val="16"/>
                <w:szCs w:val="16"/>
              </w:rPr>
              <w:t>6 222 255</w:t>
            </w:r>
          </w:p>
        </w:tc>
        <w:tc>
          <w:tcPr>
            <w:tcW w:w="1348" w:type="dxa"/>
            <w:shd w:val="clear" w:color="auto" w:fill="FFFFFF" w:themeFill="background1"/>
          </w:tcPr>
          <w:p w14:paraId="7DBD0BB1" w14:textId="77777777" w:rsidR="0067338B" w:rsidRPr="00AC48C8" w:rsidRDefault="001D7CEB">
            <w:pPr>
              <w:jc w:val="center"/>
              <w:rPr>
                <w:rFonts w:ascii="Times New Roman" w:hAnsi="Times New Roman"/>
                <w:color w:val="000000"/>
                <w:sz w:val="16"/>
                <w:szCs w:val="16"/>
              </w:rPr>
            </w:pPr>
            <w:r w:rsidRPr="00AC48C8">
              <w:rPr>
                <w:rFonts w:ascii="Times New Roman" w:hAnsi="Times New Roman"/>
                <w:sz w:val="16"/>
                <w:szCs w:val="16"/>
              </w:rPr>
              <w:t>3 778 439</w:t>
            </w:r>
          </w:p>
        </w:tc>
      </w:tr>
      <w:tr w:rsidR="0067338B" w:rsidRPr="00C64727" w14:paraId="5A3000D7" w14:textId="77777777" w:rsidTr="00C64727">
        <w:trPr>
          <w:trHeight w:val="257"/>
          <w:jc w:val="center"/>
        </w:trPr>
        <w:tc>
          <w:tcPr>
            <w:tcW w:w="1101" w:type="dxa"/>
            <w:shd w:val="clear" w:color="auto" w:fill="FFFFFF" w:themeFill="background1"/>
            <w:noWrap/>
          </w:tcPr>
          <w:p w14:paraId="54098D56" w14:textId="77777777" w:rsidR="0067338B" w:rsidRPr="00C64727" w:rsidRDefault="001D7CEB">
            <w:pPr>
              <w:spacing w:after="0"/>
              <w:jc w:val="center"/>
              <w:rPr>
                <w:rFonts w:ascii="Times New Roman" w:hAnsi="Times New Roman"/>
                <w:b/>
                <w:sz w:val="20"/>
                <w:szCs w:val="20"/>
              </w:rPr>
            </w:pPr>
            <w:r w:rsidRPr="00C64727">
              <w:rPr>
                <w:rFonts w:ascii="Times New Roman" w:hAnsi="Times New Roman"/>
                <w:b/>
                <w:sz w:val="20"/>
                <w:szCs w:val="20"/>
              </w:rPr>
              <w:t>Összesen</w:t>
            </w:r>
          </w:p>
        </w:tc>
        <w:tc>
          <w:tcPr>
            <w:tcW w:w="1195" w:type="dxa"/>
            <w:shd w:val="clear" w:color="auto" w:fill="FFFFFF" w:themeFill="background1"/>
            <w:noWrap/>
          </w:tcPr>
          <w:p w14:paraId="0D7FFE67" w14:textId="77777777" w:rsidR="0067338B" w:rsidRPr="00AC48C8" w:rsidRDefault="001D7CEB">
            <w:pPr>
              <w:spacing w:after="0"/>
              <w:jc w:val="center"/>
              <w:rPr>
                <w:rFonts w:ascii="Times New Roman" w:hAnsi="Times New Roman"/>
                <w:sz w:val="16"/>
                <w:szCs w:val="16"/>
              </w:rPr>
            </w:pPr>
            <w:r w:rsidRPr="00AC48C8">
              <w:rPr>
                <w:rFonts w:ascii="Times New Roman" w:hAnsi="Times New Roman"/>
                <w:sz w:val="16"/>
                <w:szCs w:val="16"/>
              </w:rPr>
              <w:t>133 059 430</w:t>
            </w:r>
          </w:p>
          <w:p w14:paraId="024F66F3" w14:textId="77777777" w:rsidR="0067338B" w:rsidRPr="00AC48C8" w:rsidRDefault="0067338B">
            <w:pPr>
              <w:spacing w:after="0"/>
              <w:jc w:val="center"/>
              <w:rPr>
                <w:rFonts w:ascii="Times New Roman" w:hAnsi="Times New Roman"/>
                <w:sz w:val="16"/>
                <w:szCs w:val="16"/>
              </w:rPr>
            </w:pPr>
          </w:p>
        </w:tc>
        <w:tc>
          <w:tcPr>
            <w:tcW w:w="1458" w:type="dxa"/>
            <w:shd w:val="clear" w:color="auto" w:fill="FFFFFF" w:themeFill="background1"/>
          </w:tcPr>
          <w:p w14:paraId="3B2D2E3A" w14:textId="77777777" w:rsidR="0067338B" w:rsidRPr="00AC48C8" w:rsidRDefault="001D7CEB">
            <w:pPr>
              <w:spacing w:after="0"/>
              <w:jc w:val="center"/>
              <w:rPr>
                <w:rFonts w:ascii="Times New Roman" w:hAnsi="Times New Roman"/>
                <w:sz w:val="16"/>
                <w:szCs w:val="16"/>
              </w:rPr>
            </w:pPr>
            <w:r w:rsidRPr="00AC48C8">
              <w:rPr>
                <w:rFonts w:ascii="Times New Roman" w:hAnsi="Times New Roman"/>
                <w:sz w:val="16"/>
                <w:szCs w:val="16"/>
              </w:rPr>
              <w:t>100 568 867</w:t>
            </w:r>
          </w:p>
        </w:tc>
        <w:tc>
          <w:tcPr>
            <w:tcW w:w="1458" w:type="dxa"/>
            <w:shd w:val="clear" w:color="auto" w:fill="FFFFFF" w:themeFill="background1"/>
          </w:tcPr>
          <w:p w14:paraId="4F533885" w14:textId="77777777" w:rsidR="0067338B" w:rsidRPr="00AC48C8" w:rsidRDefault="001D7CEB">
            <w:pPr>
              <w:spacing w:after="0"/>
              <w:jc w:val="center"/>
              <w:rPr>
                <w:rFonts w:ascii="Times New Roman" w:hAnsi="Times New Roman"/>
                <w:sz w:val="16"/>
                <w:szCs w:val="16"/>
              </w:rPr>
            </w:pPr>
            <w:r w:rsidRPr="00AC48C8">
              <w:rPr>
                <w:rFonts w:ascii="Times New Roman" w:hAnsi="Times New Roman"/>
                <w:sz w:val="16"/>
                <w:szCs w:val="16"/>
              </w:rPr>
              <w:t>87 532 554</w:t>
            </w:r>
          </w:p>
        </w:tc>
        <w:tc>
          <w:tcPr>
            <w:tcW w:w="1339" w:type="dxa"/>
            <w:shd w:val="clear" w:color="auto" w:fill="FFFFFF" w:themeFill="background1"/>
          </w:tcPr>
          <w:p w14:paraId="46AC21CE" w14:textId="77777777" w:rsidR="0067338B" w:rsidRPr="00AC48C8" w:rsidRDefault="001D7CEB">
            <w:pPr>
              <w:spacing w:after="0"/>
              <w:jc w:val="center"/>
              <w:rPr>
                <w:rFonts w:ascii="Times New Roman" w:hAnsi="Times New Roman"/>
                <w:sz w:val="16"/>
                <w:szCs w:val="16"/>
              </w:rPr>
            </w:pPr>
            <w:r w:rsidRPr="00AC48C8">
              <w:rPr>
                <w:rFonts w:ascii="Times New Roman" w:hAnsi="Times New Roman"/>
                <w:sz w:val="16"/>
                <w:szCs w:val="16"/>
              </w:rPr>
              <w:t>65 990 706</w:t>
            </w:r>
          </w:p>
        </w:tc>
        <w:tc>
          <w:tcPr>
            <w:tcW w:w="1342" w:type="dxa"/>
            <w:shd w:val="clear" w:color="auto" w:fill="FFFFFF" w:themeFill="background1"/>
          </w:tcPr>
          <w:p w14:paraId="5499AD5B" w14:textId="77777777" w:rsidR="0067338B" w:rsidRPr="00AC48C8" w:rsidRDefault="001D7CEB">
            <w:pPr>
              <w:spacing w:after="0"/>
              <w:jc w:val="center"/>
              <w:rPr>
                <w:rFonts w:ascii="Times New Roman" w:hAnsi="Times New Roman"/>
                <w:sz w:val="16"/>
                <w:szCs w:val="16"/>
              </w:rPr>
            </w:pPr>
            <w:r w:rsidRPr="00AC48C8">
              <w:rPr>
                <w:rFonts w:ascii="Times New Roman" w:hAnsi="Times New Roman"/>
                <w:sz w:val="16"/>
                <w:szCs w:val="16"/>
              </w:rPr>
              <w:t>46 985 124</w:t>
            </w:r>
          </w:p>
        </w:tc>
        <w:tc>
          <w:tcPr>
            <w:tcW w:w="1348" w:type="dxa"/>
            <w:shd w:val="clear" w:color="auto" w:fill="FFFFFF" w:themeFill="background1"/>
          </w:tcPr>
          <w:p w14:paraId="269C6DE0" w14:textId="77777777" w:rsidR="0067338B" w:rsidRPr="00AC48C8" w:rsidRDefault="00A67F00">
            <w:pPr>
              <w:spacing w:after="0"/>
              <w:jc w:val="center"/>
              <w:rPr>
                <w:rFonts w:ascii="Times New Roman" w:hAnsi="Times New Roman"/>
                <w:sz w:val="16"/>
                <w:szCs w:val="16"/>
              </w:rPr>
            </w:pPr>
            <w:r w:rsidRPr="00AC48C8">
              <w:rPr>
                <w:rFonts w:ascii="Times New Roman" w:hAnsi="Times New Roman"/>
                <w:sz w:val="16"/>
                <w:szCs w:val="16"/>
              </w:rPr>
              <w:t>46 987 375</w:t>
            </w:r>
          </w:p>
        </w:tc>
      </w:tr>
    </w:tbl>
    <w:p w14:paraId="7E9D2978" w14:textId="0E5E598B" w:rsidR="0067338B" w:rsidRPr="00C64727" w:rsidRDefault="00526348">
      <w:pPr>
        <w:spacing w:line="240" w:lineRule="auto"/>
        <w:contextualSpacing/>
        <w:jc w:val="both"/>
        <w:rPr>
          <w:rFonts w:ascii="Times New Roman" w:hAnsi="Times New Roman"/>
          <w:sz w:val="18"/>
          <w:szCs w:val="18"/>
        </w:rPr>
      </w:pPr>
      <w:r w:rsidRPr="00C64727">
        <w:rPr>
          <w:rFonts w:ascii="Times New Roman" w:hAnsi="Times New Roman"/>
          <w:sz w:val="18"/>
          <w:szCs w:val="18"/>
        </w:rPr>
        <w:t>Forrás: Éghajlatpolitikai Főigazgatóság</w:t>
      </w:r>
    </w:p>
    <w:p w14:paraId="6E4CD9FA" w14:textId="77777777" w:rsidR="0067338B" w:rsidRPr="00C64727" w:rsidRDefault="0067338B">
      <w:pPr>
        <w:spacing w:line="240" w:lineRule="auto"/>
        <w:contextualSpacing/>
        <w:jc w:val="both"/>
        <w:rPr>
          <w:rFonts w:ascii="Times New Roman" w:hAnsi="Times New Roman"/>
          <w:sz w:val="24"/>
          <w:szCs w:val="24"/>
        </w:rPr>
      </w:pPr>
    </w:p>
    <w:p w14:paraId="15532F8E" w14:textId="77777777" w:rsidR="0067338B" w:rsidRPr="00C64727" w:rsidRDefault="003A348D">
      <w:pPr>
        <w:spacing w:line="240" w:lineRule="auto"/>
        <w:jc w:val="both"/>
        <w:rPr>
          <w:rFonts w:ascii="Times New Roman" w:hAnsi="Times New Roman"/>
          <w:b/>
          <w:sz w:val="20"/>
          <w:szCs w:val="20"/>
        </w:rPr>
      </w:pPr>
      <w:r w:rsidRPr="00C64727">
        <w:rPr>
          <w:rFonts w:ascii="Times New Roman" w:hAnsi="Times New Roman"/>
          <w:b/>
          <w:sz w:val="20"/>
          <w:szCs w:val="20"/>
        </w:rPr>
        <w:t>1.2. táblázat: A teljes körű árverésre vonatkozó szabálytól való eltérés alapján ingyenesen kiosztott kibocsátási egységek évenkénti maximális száma a villamosenergia- és hőtermelés esetében</w:t>
      </w:r>
    </w:p>
    <w:tbl>
      <w:tblPr>
        <w:tblW w:w="931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86"/>
        <w:gridCol w:w="1123"/>
        <w:gridCol w:w="997"/>
        <w:gridCol w:w="997"/>
        <w:gridCol w:w="997"/>
        <w:gridCol w:w="997"/>
        <w:gridCol w:w="997"/>
        <w:gridCol w:w="997"/>
        <w:gridCol w:w="1111"/>
        <w:gridCol w:w="11"/>
      </w:tblGrid>
      <w:tr w:rsidR="0067338B" w:rsidRPr="00C64727" w14:paraId="4E23C48E" w14:textId="77777777" w:rsidTr="002802C4">
        <w:trPr>
          <w:trHeight w:val="610"/>
          <w:jc w:val="center"/>
        </w:trPr>
        <w:tc>
          <w:tcPr>
            <w:tcW w:w="1086" w:type="dxa"/>
            <w:vMerge w:val="restart"/>
          </w:tcPr>
          <w:p w14:paraId="33540512" w14:textId="77777777" w:rsidR="0067338B" w:rsidRPr="00C64727" w:rsidRDefault="003A348D">
            <w:pPr>
              <w:spacing w:after="0"/>
              <w:jc w:val="center"/>
              <w:rPr>
                <w:rFonts w:ascii="Times New Roman" w:hAnsi="Times New Roman"/>
                <w:b/>
                <w:sz w:val="20"/>
                <w:szCs w:val="20"/>
              </w:rPr>
            </w:pPr>
            <w:r w:rsidRPr="00C64727">
              <w:rPr>
                <w:rFonts w:ascii="Times New Roman" w:hAnsi="Times New Roman"/>
                <w:b/>
                <w:sz w:val="20"/>
                <w:szCs w:val="20"/>
              </w:rPr>
              <w:t>Tagállam</w:t>
            </w:r>
          </w:p>
        </w:tc>
        <w:tc>
          <w:tcPr>
            <w:tcW w:w="8227" w:type="dxa"/>
            <w:gridSpan w:val="9"/>
          </w:tcPr>
          <w:p w14:paraId="39535D01" w14:textId="77777777" w:rsidR="0067338B" w:rsidRPr="00C64727" w:rsidRDefault="003A348D">
            <w:pPr>
              <w:spacing w:after="0"/>
              <w:jc w:val="center"/>
              <w:rPr>
                <w:rFonts w:ascii="Times New Roman" w:hAnsi="Times New Roman"/>
                <w:b/>
                <w:sz w:val="20"/>
                <w:szCs w:val="20"/>
              </w:rPr>
            </w:pPr>
            <w:r w:rsidRPr="00C64727">
              <w:rPr>
                <w:rFonts w:ascii="Times New Roman" w:hAnsi="Times New Roman"/>
                <w:b/>
                <w:sz w:val="20"/>
                <w:szCs w:val="20"/>
              </w:rPr>
              <w:t>A kibocsátási egységek évenkénti maximális száma</w:t>
            </w:r>
          </w:p>
        </w:tc>
      </w:tr>
      <w:tr w:rsidR="0067338B" w:rsidRPr="00C64727" w14:paraId="05BD9ECA" w14:textId="77777777" w:rsidTr="002802C4">
        <w:trPr>
          <w:gridAfter w:val="1"/>
          <w:wAfter w:w="11" w:type="dxa"/>
          <w:trHeight w:val="446"/>
          <w:jc w:val="center"/>
        </w:trPr>
        <w:tc>
          <w:tcPr>
            <w:tcW w:w="1086" w:type="dxa"/>
            <w:vMerge/>
          </w:tcPr>
          <w:p w14:paraId="4D386995" w14:textId="77777777" w:rsidR="0067338B" w:rsidRPr="00C64727" w:rsidRDefault="0067338B">
            <w:pPr>
              <w:spacing w:after="0"/>
              <w:jc w:val="center"/>
              <w:rPr>
                <w:rFonts w:ascii="Times New Roman" w:hAnsi="Times New Roman"/>
                <w:b/>
                <w:sz w:val="20"/>
                <w:szCs w:val="20"/>
              </w:rPr>
            </w:pPr>
          </w:p>
        </w:tc>
        <w:tc>
          <w:tcPr>
            <w:tcW w:w="1123" w:type="dxa"/>
          </w:tcPr>
          <w:p w14:paraId="0837457C" w14:textId="77777777" w:rsidR="0067338B" w:rsidRPr="00C64727" w:rsidRDefault="003A348D">
            <w:pPr>
              <w:spacing w:after="0"/>
              <w:jc w:val="center"/>
              <w:rPr>
                <w:rFonts w:ascii="Times New Roman" w:hAnsi="Times New Roman"/>
                <w:b/>
                <w:sz w:val="20"/>
                <w:szCs w:val="20"/>
              </w:rPr>
            </w:pPr>
            <w:r w:rsidRPr="00C64727">
              <w:rPr>
                <w:rFonts w:ascii="Times New Roman" w:hAnsi="Times New Roman"/>
                <w:b/>
                <w:sz w:val="20"/>
                <w:szCs w:val="20"/>
              </w:rPr>
              <w:t>2013</w:t>
            </w:r>
          </w:p>
        </w:tc>
        <w:tc>
          <w:tcPr>
            <w:tcW w:w="997" w:type="dxa"/>
          </w:tcPr>
          <w:p w14:paraId="4B715D0B" w14:textId="77777777" w:rsidR="0067338B" w:rsidRPr="00C64727" w:rsidRDefault="003A348D">
            <w:pPr>
              <w:spacing w:after="0"/>
              <w:jc w:val="center"/>
              <w:rPr>
                <w:rFonts w:ascii="Times New Roman" w:hAnsi="Times New Roman"/>
                <w:b/>
                <w:sz w:val="20"/>
                <w:szCs w:val="20"/>
              </w:rPr>
            </w:pPr>
            <w:r w:rsidRPr="00C64727">
              <w:rPr>
                <w:rFonts w:ascii="Times New Roman" w:hAnsi="Times New Roman"/>
                <w:b/>
                <w:sz w:val="20"/>
                <w:szCs w:val="20"/>
              </w:rPr>
              <w:t>2014</w:t>
            </w:r>
          </w:p>
        </w:tc>
        <w:tc>
          <w:tcPr>
            <w:tcW w:w="997" w:type="dxa"/>
          </w:tcPr>
          <w:p w14:paraId="570B5546" w14:textId="77777777" w:rsidR="0067338B" w:rsidRPr="00C64727" w:rsidRDefault="003A348D">
            <w:pPr>
              <w:spacing w:after="0"/>
              <w:jc w:val="center"/>
              <w:rPr>
                <w:rFonts w:ascii="Times New Roman" w:hAnsi="Times New Roman"/>
                <w:b/>
                <w:sz w:val="20"/>
                <w:szCs w:val="20"/>
              </w:rPr>
            </w:pPr>
            <w:r w:rsidRPr="00C64727">
              <w:rPr>
                <w:rFonts w:ascii="Times New Roman" w:hAnsi="Times New Roman"/>
                <w:b/>
                <w:sz w:val="20"/>
                <w:szCs w:val="20"/>
              </w:rPr>
              <w:t>2015</w:t>
            </w:r>
          </w:p>
        </w:tc>
        <w:tc>
          <w:tcPr>
            <w:tcW w:w="997" w:type="dxa"/>
          </w:tcPr>
          <w:p w14:paraId="68D335F2" w14:textId="77777777" w:rsidR="0067338B" w:rsidRPr="00C64727" w:rsidRDefault="003A348D">
            <w:pPr>
              <w:spacing w:after="0"/>
              <w:jc w:val="center"/>
              <w:rPr>
                <w:rFonts w:ascii="Times New Roman" w:hAnsi="Times New Roman"/>
                <w:b/>
                <w:sz w:val="20"/>
                <w:szCs w:val="20"/>
              </w:rPr>
            </w:pPr>
            <w:r w:rsidRPr="00C64727">
              <w:rPr>
                <w:rFonts w:ascii="Times New Roman" w:hAnsi="Times New Roman"/>
                <w:b/>
                <w:sz w:val="20"/>
                <w:szCs w:val="20"/>
              </w:rPr>
              <w:t>2016</w:t>
            </w:r>
          </w:p>
        </w:tc>
        <w:tc>
          <w:tcPr>
            <w:tcW w:w="997" w:type="dxa"/>
          </w:tcPr>
          <w:p w14:paraId="09C964C0" w14:textId="77777777" w:rsidR="0067338B" w:rsidRPr="00C64727" w:rsidRDefault="003A348D">
            <w:pPr>
              <w:spacing w:after="0"/>
              <w:jc w:val="center"/>
              <w:rPr>
                <w:rFonts w:ascii="Times New Roman" w:hAnsi="Times New Roman"/>
                <w:b/>
                <w:sz w:val="20"/>
                <w:szCs w:val="20"/>
              </w:rPr>
            </w:pPr>
            <w:r w:rsidRPr="00C64727">
              <w:rPr>
                <w:rFonts w:ascii="Times New Roman" w:hAnsi="Times New Roman"/>
                <w:b/>
                <w:sz w:val="20"/>
                <w:szCs w:val="20"/>
              </w:rPr>
              <w:t>2017</w:t>
            </w:r>
          </w:p>
        </w:tc>
        <w:tc>
          <w:tcPr>
            <w:tcW w:w="997" w:type="dxa"/>
          </w:tcPr>
          <w:p w14:paraId="0E2AD971" w14:textId="77777777" w:rsidR="0067338B" w:rsidRPr="00C64727" w:rsidRDefault="003A348D">
            <w:pPr>
              <w:spacing w:after="0"/>
              <w:ind w:right="317"/>
              <w:jc w:val="center"/>
              <w:rPr>
                <w:rFonts w:ascii="Times New Roman" w:hAnsi="Times New Roman"/>
                <w:b/>
                <w:sz w:val="20"/>
                <w:szCs w:val="20"/>
              </w:rPr>
            </w:pPr>
            <w:r w:rsidRPr="00C64727">
              <w:rPr>
                <w:rFonts w:ascii="Times New Roman" w:hAnsi="Times New Roman"/>
                <w:b/>
                <w:sz w:val="20"/>
                <w:szCs w:val="20"/>
              </w:rPr>
              <w:t>2018</w:t>
            </w:r>
          </w:p>
        </w:tc>
        <w:tc>
          <w:tcPr>
            <w:tcW w:w="997" w:type="dxa"/>
          </w:tcPr>
          <w:p w14:paraId="1CE486AA" w14:textId="77777777" w:rsidR="0067338B" w:rsidRPr="00C64727" w:rsidRDefault="003A348D">
            <w:pPr>
              <w:spacing w:after="0"/>
              <w:jc w:val="center"/>
              <w:rPr>
                <w:rFonts w:ascii="Times New Roman" w:hAnsi="Times New Roman"/>
                <w:b/>
                <w:sz w:val="20"/>
                <w:szCs w:val="20"/>
              </w:rPr>
            </w:pPr>
            <w:r w:rsidRPr="00C64727">
              <w:rPr>
                <w:rFonts w:ascii="Times New Roman" w:hAnsi="Times New Roman"/>
                <w:b/>
                <w:sz w:val="20"/>
                <w:szCs w:val="20"/>
              </w:rPr>
              <w:t>2019</w:t>
            </w:r>
          </w:p>
        </w:tc>
        <w:tc>
          <w:tcPr>
            <w:tcW w:w="1111" w:type="dxa"/>
          </w:tcPr>
          <w:p w14:paraId="060EED98" w14:textId="77777777" w:rsidR="0067338B" w:rsidRPr="00C64727" w:rsidRDefault="003A348D">
            <w:pPr>
              <w:spacing w:after="0"/>
              <w:jc w:val="center"/>
              <w:rPr>
                <w:rFonts w:ascii="Times New Roman" w:hAnsi="Times New Roman"/>
                <w:b/>
                <w:sz w:val="20"/>
                <w:szCs w:val="20"/>
              </w:rPr>
            </w:pPr>
            <w:r w:rsidRPr="00C64727">
              <w:rPr>
                <w:rFonts w:ascii="Times New Roman" w:hAnsi="Times New Roman"/>
                <w:b/>
                <w:sz w:val="20"/>
                <w:szCs w:val="20"/>
              </w:rPr>
              <w:t>Összesen</w:t>
            </w:r>
          </w:p>
        </w:tc>
      </w:tr>
      <w:tr w:rsidR="0067338B" w:rsidRPr="00AC48C8" w14:paraId="43F649E7" w14:textId="77777777" w:rsidTr="002802C4">
        <w:trPr>
          <w:gridAfter w:val="1"/>
          <w:wAfter w:w="11" w:type="dxa"/>
          <w:trHeight w:val="304"/>
          <w:jc w:val="center"/>
        </w:trPr>
        <w:tc>
          <w:tcPr>
            <w:tcW w:w="1086" w:type="dxa"/>
          </w:tcPr>
          <w:p w14:paraId="56815232" w14:textId="77777777" w:rsidR="0067338B" w:rsidRPr="00C64727" w:rsidRDefault="003A348D">
            <w:pPr>
              <w:spacing w:after="0"/>
              <w:jc w:val="center"/>
              <w:rPr>
                <w:rFonts w:ascii="Times New Roman" w:hAnsi="Times New Roman"/>
                <w:sz w:val="20"/>
                <w:szCs w:val="20"/>
              </w:rPr>
            </w:pPr>
            <w:r w:rsidRPr="00C64727">
              <w:rPr>
                <w:rFonts w:ascii="Times New Roman" w:hAnsi="Times New Roman"/>
                <w:sz w:val="20"/>
                <w:szCs w:val="20"/>
              </w:rPr>
              <w:t>BG</w:t>
            </w:r>
          </w:p>
        </w:tc>
        <w:tc>
          <w:tcPr>
            <w:tcW w:w="1123" w:type="dxa"/>
          </w:tcPr>
          <w:p w14:paraId="3A3B2573"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13 542 000</w:t>
            </w:r>
          </w:p>
        </w:tc>
        <w:tc>
          <w:tcPr>
            <w:tcW w:w="997" w:type="dxa"/>
          </w:tcPr>
          <w:p w14:paraId="0A188C17"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11 607 428</w:t>
            </w:r>
          </w:p>
        </w:tc>
        <w:tc>
          <w:tcPr>
            <w:tcW w:w="997" w:type="dxa"/>
          </w:tcPr>
          <w:p w14:paraId="6AC303A1"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9 672 857</w:t>
            </w:r>
          </w:p>
        </w:tc>
        <w:tc>
          <w:tcPr>
            <w:tcW w:w="997" w:type="dxa"/>
          </w:tcPr>
          <w:p w14:paraId="566F16F2"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7 738 286</w:t>
            </w:r>
          </w:p>
        </w:tc>
        <w:tc>
          <w:tcPr>
            <w:tcW w:w="997" w:type="dxa"/>
          </w:tcPr>
          <w:p w14:paraId="7ED02B7C"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5 803 714</w:t>
            </w:r>
          </w:p>
        </w:tc>
        <w:tc>
          <w:tcPr>
            <w:tcW w:w="997" w:type="dxa"/>
          </w:tcPr>
          <w:p w14:paraId="132131A1"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3 869 143</w:t>
            </w:r>
          </w:p>
        </w:tc>
        <w:tc>
          <w:tcPr>
            <w:tcW w:w="997" w:type="dxa"/>
          </w:tcPr>
          <w:p w14:paraId="7B79B172"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1 934 571</w:t>
            </w:r>
          </w:p>
        </w:tc>
        <w:tc>
          <w:tcPr>
            <w:tcW w:w="1111" w:type="dxa"/>
          </w:tcPr>
          <w:p w14:paraId="069958F4"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54 167 999</w:t>
            </w:r>
          </w:p>
        </w:tc>
      </w:tr>
      <w:tr w:rsidR="0067338B" w:rsidRPr="00AC48C8" w14:paraId="486A666C" w14:textId="77777777" w:rsidTr="002802C4">
        <w:trPr>
          <w:gridAfter w:val="1"/>
          <w:wAfter w:w="11" w:type="dxa"/>
          <w:trHeight w:val="304"/>
          <w:jc w:val="center"/>
        </w:trPr>
        <w:tc>
          <w:tcPr>
            <w:tcW w:w="1086" w:type="dxa"/>
          </w:tcPr>
          <w:p w14:paraId="5A7E04C6" w14:textId="77777777" w:rsidR="0067338B" w:rsidRPr="00C64727" w:rsidRDefault="003A348D">
            <w:pPr>
              <w:spacing w:after="0"/>
              <w:jc w:val="center"/>
              <w:rPr>
                <w:rFonts w:ascii="Times New Roman" w:hAnsi="Times New Roman"/>
                <w:sz w:val="20"/>
                <w:szCs w:val="20"/>
              </w:rPr>
            </w:pPr>
            <w:r w:rsidRPr="00C64727">
              <w:rPr>
                <w:rFonts w:ascii="Times New Roman" w:hAnsi="Times New Roman"/>
                <w:sz w:val="20"/>
                <w:szCs w:val="20"/>
              </w:rPr>
              <w:t>CY</w:t>
            </w:r>
          </w:p>
        </w:tc>
        <w:tc>
          <w:tcPr>
            <w:tcW w:w="1123" w:type="dxa"/>
          </w:tcPr>
          <w:p w14:paraId="2F8A0250"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2 519 077</w:t>
            </w:r>
          </w:p>
        </w:tc>
        <w:tc>
          <w:tcPr>
            <w:tcW w:w="997" w:type="dxa"/>
          </w:tcPr>
          <w:p w14:paraId="5C877D7E"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2 195 195</w:t>
            </w:r>
          </w:p>
        </w:tc>
        <w:tc>
          <w:tcPr>
            <w:tcW w:w="997" w:type="dxa"/>
          </w:tcPr>
          <w:p w14:paraId="54E64116"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1 907 302</w:t>
            </w:r>
          </w:p>
        </w:tc>
        <w:tc>
          <w:tcPr>
            <w:tcW w:w="997" w:type="dxa"/>
          </w:tcPr>
          <w:p w14:paraId="205BBB91"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1 583 420</w:t>
            </w:r>
          </w:p>
        </w:tc>
        <w:tc>
          <w:tcPr>
            <w:tcW w:w="997" w:type="dxa"/>
          </w:tcPr>
          <w:p w14:paraId="7A376398"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1 259 538</w:t>
            </w:r>
          </w:p>
        </w:tc>
        <w:tc>
          <w:tcPr>
            <w:tcW w:w="997" w:type="dxa"/>
          </w:tcPr>
          <w:p w14:paraId="39F4A7B8"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935 657</w:t>
            </w:r>
          </w:p>
        </w:tc>
        <w:tc>
          <w:tcPr>
            <w:tcW w:w="997" w:type="dxa"/>
          </w:tcPr>
          <w:p w14:paraId="79D30E17"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575 789</w:t>
            </w:r>
          </w:p>
        </w:tc>
        <w:tc>
          <w:tcPr>
            <w:tcW w:w="1111" w:type="dxa"/>
          </w:tcPr>
          <w:p w14:paraId="30D076CD"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10 975 978</w:t>
            </w:r>
          </w:p>
        </w:tc>
      </w:tr>
      <w:tr w:rsidR="0067338B" w:rsidRPr="00AC48C8" w14:paraId="41ED66FD" w14:textId="77777777" w:rsidTr="002802C4">
        <w:trPr>
          <w:gridAfter w:val="1"/>
          <w:wAfter w:w="11" w:type="dxa"/>
          <w:trHeight w:val="304"/>
          <w:jc w:val="center"/>
        </w:trPr>
        <w:tc>
          <w:tcPr>
            <w:tcW w:w="1086" w:type="dxa"/>
          </w:tcPr>
          <w:p w14:paraId="34E80FCE" w14:textId="77777777" w:rsidR="0067338B" w:rsidRPr="00C64727" w:rsidRDefault="003A348D">
            <w:pPr>
              <w:spacing w:after="0"/>
              <w:jc w:val="center"/>
              <w:rPr>
                <w:rFonts w:ascii="Times New Roman" w:hAnsi="Times New Roman"/>
                <w:sz w:val="20"/>
                <w:szCs w:val="20"/>
              </w:rPr>
            </w:pPr>
            <w:r w:rsidRPr="00C64727">
              <w:rPr>
                <w:rFonts w:ascii="Times New Roman" w:hAnsi="Times New Roman"/>
                <w:sz w:val="20"/>
                <w:szCs w:val="20"/>
              </w:rPr>
              <w:t>CZ</w:t>
            </w:r>
          </w:p>
        </w:tc>
        <w:tc>
          <w:tcPr>
            <w:tcW w:w="1123" w:type="dxa"/>
          </w:tcPr>
          <w:p w14:paraId="45B3321E"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26 916 667</w:t>
            </w:r>
          </w:p>
        </w:tc>
        <w:tc>
          <w:tcPr>
            <w:tcW w:w="997" w:type="dxa"/>
          </w:tcPr>
          <w:p w14:paraId="06969267"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23 071 429</w:t>
            </w:r>
          </w:p>
        </w:tc>
        <w:tc>
          <w:tcPr>
            <w:tcW w:w="997" w:type="dxa"/>
          </w:tcPr>
          <w:p w14:paraId="597B234D"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19 226 191</w:t>
            </w:r>
          </w:p>
        </w:tc>
        <w:tc>
          <w:tcPr>
            <w:tcW w:w="997" w:type="dxa"/>
          </w:tcPr>
          <w:p w14:paraId="64062F6A"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15 380 953</w:t>
            </w:r>
          </w:p>
        </w:tc>
        <w:tc>
          <w:tcPr>
            <w:tcW w:w="997" w:type="dxa"/>
          </w:tcPr>
          <w:p w14:paraId="5C55EBAB"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11 535 714</w:t>
            </w:r>
          </w:p>
        </w:tc>
        <w:tc>
          <w:tcPr>
            <w:tcW w:w="997" w:type="dxa"/>
          </w:tcPr>
          <w:p w14:paraId="673EEA1E"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7 690 476</w:t>
            </w:r>
          </w:p>
        </w:tc>
        <w:tc>
          <w:tcPr>
            <w:tcW w:w="997" w:type="dxa"/>
          </w:tcPr>
          <w:p w14:paraId="73A8696C"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3 845 238</w:t>
            </w:r>
          </w:p>
        </w:tc>
        <w:tc>
          <w:tcPr>
            <w:tcW w:w="1111" w:type="dxa"/>
          </w:tcPr>
          <w:p w14:paraId="1EE13CFD"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107 666 668</w:t>
            </w:r>
          </w:p>
        </w:tc>
      </w:tr>
      <w:tr w:rsidR="0067338B" w:rsidRPr="00AC48C8" w14:paraId="36B5AD73" w14:textId="77777777" w:rsidTr="002802C4">
        <w:trPr>
          <w:gridAfter w:val="1"/>
          <w:wAfter w:w="11" w:type="dxa"/>
          <w:trHeight w:val="304"/>
          <w:jc w:val="center"/>
        </w:trPr>
        <w:tc>
          <w:tcPr>
            <w:tcW w:w="1086" w:type="dxa"/>
          </w:tcPr>
          <w:p w14:paraId="4B94D0C6" w14:textId="77777777" w:rsidR="0067338B" w:rsidRPr="00C64727" w:rsidRDefault="003A348D">
            <w:pPr>
              <w:spacing w:after="0"/>
              <w:jc w:val="center"/>
              <w:rPr>
                <w:rFonts w:ascii="Times New Roman" w:hAnsi="Times New Roman"/>
                <w:sz w:val="20"/>
                <w:szCs w:val="20"/>
              </w:rPr>
            </w:pPr>
            <w:r w:rsidRPr="00C64727">
              <w:rPr>
                <w:rFonts w:ascii="Times New Roman" w:hAnsi="Times New Roman"/>
                <w:sz w:val="20"/>
                <w:szCs w:val="20"/>
              </w:rPr>
              <w:t>EE</w:t>
            </w:r>
          </w:p>
        </w:tc>
        <w:tc>
          <w:tcPr>
            <w:tcW w:w="1123" w:type="dxa"/>
          </w:tcPr>
          <w:p w14:paraId="271A261B"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5 288 827</w:t>
            </w:r>
          </w:p>
        </w:tc>
        <w:tc>
          <w:tcPr>
            <w:tcW w:w="997" w:type="dxa"/>
          </w:tcPr>
          <w:p w14:paraId="31349C0C"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4 533 280</w:t>
            </w:r>
          </w:p>
        </w:tc>
        <w:tc>
          <w:tcPr>
            <w:tcW w:w="997" w:type="dxa"/>
          </w:tcPr>
          <w:p w14:paraId="4A5341B7"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3 777 733</w:t>
            </w:r>
          </w:p>
        </w:tc>
        <w:tc>
          <w:tcPr>
            <w:tcW w:w="997" w:type="dxa"/>
          </w:tcPr>
          <w:p w14:paraId="770CDCA6"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3 022 187</w:t>
            </w:r>
          </w:p>
        </w:tc>
        <w:tc>
          <w:tcPr>
            <w:tcW w:w="997" w:type="dxa"/>
          </w:tcPr>
          <w:p w14:paraId="4379BDF9"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2 266 640</w:t>
            </w:r>
          </w:p>
        </w:tc>
        <w:tc>
          <w:tcPr>
            <w:tcW w:w="997" w:type="dxa"/>
          </w:tcPr>
          <w:p w14:paraId="3079C210"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1 511 093</w:t>
            </w:r>
          </w:p>
        </w:tc>
        <w:tc>
          <w:tcPr>
            <w:tcW w:w="997" w:type="dxa"/>
          </w:tcPr>
          <w:p w14:paraId="4A16BA07"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755 547</w:t>
            </w:r>
          </w:p>
        </w:tc>
        <w:tc>
          <w:tcPr>
            <w:tcW w:w="1111" w:type="dxa"/>
          </w:tcPr>
          <w:p w14:paraId="64EB6CB1"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21 155 307</w:t>
            </w:r>
          </w:p>
        </w:tc>
      </w:tr>
      <w:tr w:rsidR="0067338B" w:rsidRPr="00AC48C8" w14:paraId="6F551BC8" w14:textId="77777777" w:rsidTr="002802C4">
        <w:trPr>
          <w:gridAfter w:val="1"/>
          <w:wAfter w:w="11" w:type="dxa"/>
          <w:trHeight w:val="304"/>
          <w:jc w:val="center"/>
        </w:trPr>
        <w:tc>
          <w:tcPr>
            <w:tcW w:w="1086" w:type="dxa"/>
          </w:tcPr>
          <w:p w14:paraId="72CBE4DF" w14:textId="77777777" w:rsidR="0067338B" w:rsidRPr="00C64727" w:rsidRDefault="003A348D">
            <w:pPr>
              <w:spacing w:after="0"/>
              <w:jc w:val="center"/>
              <w:rPr>
                <w:rFonts w:ascii="Times New Roman" w:hAnsi="Times New Roman"/>
                <w:sz w:val="20"/>
                <w:szCs w:val="20"/>
              </w:rPr>
            </w:pPr>
            <w:r w:rsidRPr="00C64727">
              <w:rPr>
                <w:rFonts w:ascii="Times New Roman" w:hAnsi="Times New Roman"/>
                <w:sz w:val="20"/>
                <w:szCs w:val="20"/>
              </w:rPr>
              <w:t>HU</w:t>
            </w:r>
          </w:p>
        </w:tc>
        <w:tc>
          <w:tcPr>
            <w:tcW w:w="1123" w:type="dxa"/>
          </w:tcPr>
          <w:p w14:paraId="131845E3"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7 047 255</w:t>
            </w:r>
          </w:p>
        </w:tc>
        <w:tc>
          <w:tcPr>
            <w:tcW w:w="997" w:type="dxa"/>
          </w:tcPr>
          <w:p w14:paraId="253DC725"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0</w:t>
            </w:r>
          </w:p>
        </w:tc>
        <w:tc>
          <w:tcPr>
            <w:tcW w:w="997" w:type="dxa"/>
          </w:tcPr>
          <w:p w14:paraId="4E0D9A53"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0</w:t>
            </w:r>
          </w:p>
        </w:tc>
        <w:tc>
          <w:tcPr>
            <w:tcW w:w="997" w:type="dxa"/>
          </w:tcPr>
          <w:p w14:paraId="7AE651B8"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0</w:t>
            </w:r>
          </w:p>
        </w:tc>
        <w:tc>
          <w:tcPr>
            <w:tcW w:w="997" w:type="dxa"/>
          </w:tcPr>
          <w:p w14:paraId="70D9EB70"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0</w:t>
            </w:r>
          </w:p>
        </w:tc>
        <w:tc>
          <w:tcPr>
            <w:tcW w:w="997" w:type="dxa"/>
          </w:tcPr>
          <w:p w14:paraId="732A2198"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0</w:t>
            </w:r>
          </w:p>
        </w:tc>
        <w:tc>
          <w:tcPr>
            <w:tcW w:w="997" w:type="dxa"/>
          </w:tcPr>
          <w:p w14:paraId="3257B270"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0</w:t>
            </w:r>
          </w:p>
        </w:tc>
        <w:tc>
          <w:tcPr>
            <w:tcW w:w="1111" w:type="dxa"/>
          </w:tcPr>
          <w:p w14:paraId="69655404"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7 047 255</w:t>
            </w:r>
          </w:p>
        </w:tc>
      </w:tr>
      <w:tr w:rsidR="0067338B" w:rsidRPr="00AC48C8" w14:paraId="2E3622AE" w14:textId="77777777" w:rsidTr="002802C4">
        <w:trPr>
          <w:gridAfter w:val="1"/>
          <w:wAfter w:w="11" w:type="dxa"/>
          <w:trHeight w:val="304"/>
          <w:jc w:val="center"/>
        </w:trPr>
        <w:tc>
          <w:tcPr>
            <w:tcW w:w="1086" w:type="dxa"/>
          </w:tcPr>
          <w:p w14:paraId="2F17AAF0" w14:textId="77777777" w:rsidR="0067338B" w:rsidRPr="00C64727" w:rsidRDefault="003A348D">
            <w:pPr>
              <w:spacing w:after="0"/>
              <w:jc w:val="center"/>
              <w:rPr>
                <w:rFonts w:ascii="Times New Roman" w:hAnsi="Times New Roman"/>
                <w:sz w:val="20"/>
                <w:szCs w:val="20"/>
              </w:rPr>
            </w:pPr>
            <w:r w:rsidRPr="00C64727">
              <w:rPr>
                <w:rFonts w:ascii="Times New Roman" w:hAnsi="Times New Roman"/>
                <w:sz w:val="20"/>
                <w:szCs w:val="20"/>
              </w:rPr>
              <w:t>LT</w:t>
            </w:r>
          </w:p>
        </w:tc>
        <w:tc>
          <w:tcPr>
            <w:tcW w:w="1123" w:type="dxa"/>
          </w:tcPr>
          <w:p w14:paraId="3A058697" w14:textId="77777777" w:rsidR="0067338B" w:rsidRPr="00AC48C8" w:rsidRDefault="003A348D">
            <w:pPr>
              <w:spacing w:after="0"/>
              <w:jc w:val="center"/>
              <w:rPr>
                <w:rFonts w:ascii="Times New Roman" w:hAnsi="Times New Roman"/>
                <w:sz w:val="16"/>
                <w:szCs w:val="16"/>
                <w:highlight w:val="yellow"/>
              </w:rPr>
            </w:pPr>
            <w:r w:rsidRPr="00AC48C8">
              <w:rPr>
                <w:rFonts w:ascii="Times New Roman" w:hAnsi="Times New Roman"/>
                <w:sz w:val="16"/>
                <w:szCs w:val="16"/>
              </w:rPr>
              <w:t>582 373</w:t>
            </w:r>
          </w:p>
        </w:tc>
        <w:tc>
          <w:tcPr>
            <w:tcW w:w="997" w:type="dxa"/>
          </w:tcPr>
          <w:p w14:paraId="01091AB0" w14:textId="77777777" w:rsidR="0067338B" w:rsidRPr="00AC48C8" w:rsidRDefault="003A348D">
            <w:pPr>
              <w:spacing w:after="0"/>
              <w:jc w:val="center"/>
              <w:rPr>
                <w:rFonts w:ascii="Times New Roman" w:hAnsi="Times New Roman"/>
                <w:sz w:val="16"/>
                <w:szCs w:val="16"/>
                <w:highlight w:val="yellow"/>
              </w:rPr>
            </w:pPr>
            <w:r w:rsidRPr="00AC48C8">
              <w:rPr>
                <w:rFonts w:ascii="Times New Roman" w:hAnsi="Times New Roman"/>
                <w:sz w:val="16"/>
                <w:szCs w:val="16"/>
              </w:rPr>
              <w:t>536 615</w:t>
            </w:r>
          </w:p>
        </w:tc>
        <w:tc>
          <w:tcPr>
            <w:tcW w:w="997" w:type="dxa"/>
          </w:tcPr>
          <w:p w14:paraId="55517E85" w14:textId="77777777" w:rsidR="0067338B" w:rsidRPr="00AC48C8" w:rsidRDefault="003A348D">
            <w:pPr>
              <w:spacing w:after="0"/>
              <w:jc w:val="center"/>
              <w:rPr>
                <w:rFonts w:ascii="Times New Roman" w:hAnsi="Times New Roman"/>
                <w:sz w:val="16"/>
                <w:szCs w:val="16"/>
                <w:highlight w:val="yellow"/>
              </w:rPr>
            </w:pPr>
            <w:r w:rsidRPr="00AC48C8">
              <w:rPr>
                <w:rFonts w:ascii="Times New Roman" w:hAnsi="Times New Roman"/>
                <w:sz w:val="16"/>
                <w:szCs w:val="16"/>
              </w:rPr>
              <w:t>486 698</w:t>
            </w:r>
          </w:p>
        </w:tc>
        <w:tc>
          <w:tcPr>
            <w:tcW w:w="997" w:type="dxa"/>
          </w:tcPr>
          <w:p w14:paraId="326F9114" w14:textId="77777777" w:rsidR="0067338B" w:rsidRPr="00AC48C8" w:rsidRDefault="003A348D">
            <w:pPr>
              <w:spacing w:after="0"/>
              <w:jc w:val="center"/>
              <w:rPr>
                <w:rFonts w:ascii="Times New Roman" w:hAnsi="Times New Roman"/>
                <w:sz w:val="16"/>
                <w:szCs w:val="16"/>
                <w:highlight w:val="yellow"/>
              </w:rPr>
            </w:pPr>
            <w:r w:rsidRPr="00AC48C8">
              <w:rPr>
                <w:rFonts w:ascii="Times New Roman" w:hAnsi="Times New Roman"/>
                <w:sz w:val="16"/>
                <w:szCs w:val="16"/>
              </w:rPr>
              <w:t>428 460</w:t>
            </w:r>
          </w:p>
        </w:tc>
        <w:tc>
          <w:tcPr>
            <w:tcW w:w="997" w:type="dxa"/>
          </w:tcPr>
          <w:p w14:paraId="7D1D8C9F" w14:textId="77777777" w:rsidR="0067338B" w:rsidRPr="00AC48C8" w:rsidRDefault="003A348D">
            <w:pPr>
              <w:spacing w:after="0"/>
              <w:jc w:val="center"/>
              <w:rPr>
                <w:rFonts w:ascii="Times New Roman" w:hAnsi="Times New Roman"/>
                <w:sz w:val="16"/>
                <w:szCs w:val="16"/>
                <w:highlight w:val="yellow"/>
              </w:rPr>
            </w:pPr>
            <w:r w:rsidRPr="00AC48C8">
              <w:rPr>
                <w:rFonts w:ascii="Times New Roman" w:hAnsi="Times New Roman"/>
                <w:sz w:val="16"/>
                <w:szCs w:val="16"/>
              </w:rPr>
              <w:t>361 903</w:t>
            </w:r>
          </w:p>
        </w:tc>
        <w:tc>
          <w:tcPr>
            <w:tcW w:w="997" w:type="dxa"/>
          </w:tcPr>
          <w:p w14:paraId="71A8A03A" w14:textId="77777777" w:rsidR="0067338B" w:rsidRPr="00AC48C8" w:rsidRDefault="003A348D">
            <w:pPr>
              <w:spacing w:after="0"/>
              <w:jc w:val="center"/>
              <w:rPr>
                <w:rFonts w:ascii="Times New Roman" w:hAnsi="Times New Roman"/>
                <w:sz w:val="16"/>
                <w:szCs w:val="16"/>
                <w:highlight w:val="yellow"/>
              </w:rPr>
            </w:pPr>
            <w:r w:rsidRPr="00AC48C8">
              <w:rPr>
                <w:rFonts w:ascii="Times New Roman" w:hAnsi="Times New Roman"/>
                <w:sz w:val="16"/>
                <w:szCs w:val="16"/>
              </w:rPr>
              <w:t>287 027</w:t>
            </w:r>
          </w:p>
        </w:tc>
        <w:tc>
          <w:tcPr>
            <w:tcW w:w="997" w:type="dxa"/>
          </w:tcPr>
          <w:p w14:paraId="6D17C3A2" w14:textId="77777777" w:rsidR="0067338B" w:rsidRPr="00AC48C8" w:rsidRDefault="003A348D">
            <w:pPr>
              <w:spacing w:after="0"/>
              <w:jc w:val="center"/>
              <w:rPr>
                <w:rFonts w:ascii="Times New Roman" w:hAnsi="Times New Roman"/>
                <w:sz w:val="16"/>
                <w:szCs w:val="16"/>
                <w:highlight w:val="yellow"/>
              </w:rPr>
            </w:pPr>
            <w:r w:rsidRPr="00AC48C8">
              <w:rPr>
                <w:rFonts w:ascii="Times New Roman" w:hAnsi="Times New Roman"/>
                <w:sz w:val="16"/>
                <w:szCs w:val="16"/>
              </w:rPr>
              <w:t>170 552</w:t>
            </w:r>
          </w:p>
        </w:tc>
        <w:tc>
          <w:tcPr>
            <w:tcW w:w="1111" w:type="dxa"/>
          </w:tcPr>
          <w:p w14:paraId="43B913B7" w14:textId="77777777" w:rsidR="0067338B" w:rsidRPr="00AC48C8" w:rsidRDefault="003A348D">
            <w:pPr>
              <w:spacing w:after="0"/>
              <w:jc w:val="center"/>
              <w:rPr>
                <w:rFonts w:ascii="Times New Roman" w:hAnsi="Times New Roman"/>
                <w:sz w:val="16"/>
                <w:szCs w:val="16"/>
                <w:highlight w:val="yellow"/>
              </w:rPr>
            </w:pPr>
            <w:r w:rsidRPr="00AC48C8">
              <w:rPr>
                <w:rFonts w:ascii="Times New Roman" w:hAnsi="Times New Roman"/>
                <w:sz w:val="16"/>
                <w:szCs w:val="16"/>
              </w:rPr>
              <w:t>2 853 628</w:t>
            </w:r>
          </w:p>
        </w:tc>
      </w:tr>
      <w:tr w:rsidR="0067338B" w:rsidRPr="00AC48C8" w14:paraId="689262B3" w14:textId="77777777" w:rsidTr="002802C4">
        <w:trPr>
          <w:gridAfter w:val="1"/>
          <w:wAfter w:w="11" w:type="dxa"/>
          <w:trHeight w:val="304"/>
          <w:jc w:val="center"/>
        </w:trPr>
        <w:tc>
          <w:tcPr>
            <w:tcW w:w="1086" w:type="dxa"/>
          </w:tcPr>
          <w:p w14:paraId="6DDD46D3" w14:textId="77777777" w:rsidR="0067338B" w:rsidRPr="00C64727" w:rsidRDefault="003A348D">
            <w:pPr>
              <w:spacing w:after="0"/>
              <w:jc w:val="center"/>
              <w:rPr>
                <w:rFonts w:ascii="Times New Roman" w:hAnsi="Times New Roman"/>
                <w:sz w:val="20"/>
                <w:szCs w:val="20"/>
              </w:rPr>
            </w:pPr>
            <w:r w:rsidRPr="00C64727">
              <w:rPr>
                <w:rFonts w:ascii="Times New Roman" w:hAnsi="Times New Roman"/>
                <w:sz w:val="20"/>
                <w:szCs w:val="20"/>
              </w:rPr>
              <w:t>PL</w:t>
            </w:r>
          </w:p>
        </w:tc>
        <w:tc>
          <w:tcPr>
            <w:tcW w:w="1123" w:type="dxa"/>
          </w:tcPr>
          <w:p w14:paraId="5CF2EFC8"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77 816 756</w:t>
            </w:r>
          </w:p>
        </w:tc>
        <w:tc>
          <w:tcPr>
            <w:tcW w:w="997" w:type="dxa"/>
          </w:tcPr>
          <w:p w14:paraId="6EE5B17B"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72 258 416</w:t>
            </w:r>
          </w:p>
        </w:tc>
        <w:tc>
          <w:tcPr>
            <w:tcW w:w="997" w:type="dxa"/>
          </w:tcPr>
          <w:p w14:paraId="7CD6B61D"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66 700 076</w:t>
            </w:r>
          </w:p>
        </w:tc>
        <w:tc>
          <w:tcPr>
            <w:tcW w:w="997" w:type="dxa"/>
          </w:tcPr>
          <w:p w14:paraId="54156F3E"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60 030 069</w:t>
            </w:r>
          </w:p>
        </w:tc>
        <w:tc>
          <w:tcPr>
            <w:tcW w:w="997" w:type="dxa"/>
          </w:tcPr>
          <w:p w14:paraId="55598F57"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52 248 393</w:t>
            </w:r>
          </w:p>
        </w:tc>
        <w:tc>
          <w:tcPr>
            <w:tcW w:w="997" w:type="dxa"/>
          </w:tcPr>
          <w:p w14:paraId="67DCD312"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43 355 049</w:t>
            </w:r>
          </w:p>
        </w:tc>
        <w:tc>
          <w:tcPr>
            <w:tcW w:w="997" w:type="dxa"/>
          </w:tcPr>
          <w:p w14:paraId="1D9A4AE8"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32 238 370</w:t>
            </w:r>
          </w:p>
        </w:tc>
        <w:tc>
          <w:tcPr>
            <w:tcW w:w="1111" w:type="dxa"/>
          </w:tcPr>
          <w:p w14:paraId="4338794D"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404 647 129</w:t>
            </w:r>
          </w:p>
        </w:tc>
      </w:tr>
      <w:tr w:rsidR="0067338B" w:rsidRPr="00AC48C8" w14:paraId="4CF10CF6" w14:textId="77777777" w:rsidTr="002802C4">
        <w:trPr>
          <w:gridAfter w:val="1"/>
          <w:wAfter w:w="11" w:type="dxa"/>
          <w:trHeight w:val="304"/>
          <w:jc w:val="center"/>
        </w:trPr>
        <w:tc>
          <w:tcPr>
            <w:tcW w:w="1086" w:type="dxa"/>
          </w:tcPr>
          <w:p w14:paraId="52E1642A" w14:textId="77777777" w:rsidR="0067338B" w:rsidRPr="00C64727" w:rsidRDefault="003A348D">
            <w:pPr>
              <w:spacing w:after="0"/>
              <w:jc w:val="center"/>
              <w:rPr>
                <w:rFonts w:ascii="Times New Roman" w:hAnsi="Times New Roman"/>
                <w:sz w:val="20"/>
                <w:szCs w:val="20"/>
              </w:rPr>
            </w:pPr>
            <w:r w:rsidRPr="00C64727">
              <w:rPr>
                <w:rFonts w:ascii="Times New Roman" w:hAnsi="Times New Roman"/>
                <w:sz w:val="20"/>
                <w:szCs w:val="20"/>
              </w:rPr>
              <w:t>RO</w:t>
            </w:r>
          </w:p>
        </w:tc>
        <w:tc>
          <w:tcPr>
            <w:tcW w:w="1123" w:type="dxa"/>
          </w:tcPr>
          <w:p w14:paraId="2BCC71C1"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17 852 479</w:t>
            </w:r>
          </w:p>
        </w:tc>
        <w:tc>
          <w:tcPr>
            <w:tcW w:w="997" w:type="dxa"/>
          </w:tcPr>
          <w:p w14:paraId="5D34D26D"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15 302 125</w:t>
            </w:r>
          </w:p>
        </w:tc>
        <w:tc>
          <w:tcPr>
            <w:tcW w:w="997" w:type="dxa"/>
          </w:tcPr>
          <w:p w14:paraId="4E798D38"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12 751 771</w:t>
            </w:r>
          </w:p>
        </w:tc>
        <w:tc>
          <w:tcPr>
            <w:tcW w:w="997" w:type="dxa"/>
          </w:tcPr>
          <w:p w14:paraId="282B6D38"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10 201 417</w:t>
            </w:r>
          </w:p>
        </w:tc>
        <w:tc>
          <w:tcPr>
            <w:tcW w:w="997" w:type="dxa"/>
          </w:tcPr>
          <w:p w14:paraId="2509C8F3"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7 651 063</w:t>
            </w:r>
          </w:p>
        </w:tc>
        <w:tc>
          <w:tcPr>
            <w:tcW w:w="997" w:type="dxa"/>
          </w:tcPr>
          <w:p w14:paraId="036ED052"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5 100 708</w:t>
            </w:r>
          </w:p>
        </w:tc>
        <w:tc>
          <w:tcPr>
            <w:tcW w:w="997" w:type="dxa"/>
          </w:tcPr>
          <w:p w14:paraId="4D3A9C8D"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2 550 354</w:t>
            </w:r>
          </w:p>
        </w:tc>
        <w:tc>
          <w:tcPr>
            <w:tcW w:w="1111" w:type="dxa"/>
          </w:tcPr>
          <w:p w14:paraId="5C94A0FE" w14:textId="77777777" w:rsidR="0067338B" w:rsidRPr="00AC48C8" w:rsidRDefault="003A348D">
            <w:pPr>
              <w:spacing w:after="0"/>
              <w:jc w:val="center"/>
              <w:rPr>
                <w:rFonts w:ascii="Times New Roman" w:hAnsi="Times New Roman"/>
                <w:sz w:val="16"/>
                <w:szCs w:val="16"/>
              </w:rPr>
            </w:pPr>
            <w:r w:rsidRPr="00AC48C8">
              <w:rPr>
                <w:rFonts w:ascii="Times New Roman" w:hAnsi="Times New Roman"/>
                <w:sz w:val="16"/>
                <w:szCs w:val="16"/>
              </w:rPr>
              <w:t>71 409 917</w:t>
            </w:r>
          </w:p>
        </w:tc>
      </w:tr>
      <w:tr w:rsidR="0067338B" w:rsidRPr="00AC48C8" w14:paraId="45F12DF7" w14:textId="77777777" w:rsidTr="002802C4">
        <w:trPr>
          <w:gridAfter w:val="1"/>
          <w:wAfter w:w="11" w:type="dxa"/>
          <w:trHeight w:val="432"/>
          <w:jc w:val="center"/>
        </w:trPr>
        <w:tc>
          <w:tcPr>
            <w:tcW w:w="1086" w:type="dxa"/>
          </w:tcPr>
          <w:p w14:paraId="568B074B" w14:textId="77777777" w:rsidR="0067338B" w:rsidRPr="00C64727" w:rsidRDefault="003A348D">
            <w:pPr>
              <w:spacing w:after="0"/>
              <w:jc w:val="center"/>
              <w:rPr>
                <w:rFonts w:ascii="Times New Roman" w:hAnsi="Times New Roman"/>
                <w:b/>
                <w:sz w:val="20"/>
                <w:szCs w:val="20"/>
                <w:u w:val="single"/>
              </w:rPr>
            </w:pPr>
            <w:r w:rsidRPr="00C64727">
              <w:rPr>
                <w:rFonts w:ascii="Times New Roman" w:hAnsi="Times New Roman"/>
                <w:b/>
                <w:sz w:val="20"/>
                <w:szCs w:val="20"/>
                <w:u w:val="single"/>
              </w:rPr>
              <w:t>Összesen</w:t>
            </w:r>
          </w:p>
        </w:tc>
        <w:tc>
          <w:tcPr>
            <w:tcW w:w="1123" w:type="dxa"/>
          </w:tcPr>
          <w:p w14:paraId="2EA39E7D" w14:textId="77777777" w:rsidR="0067338B" w:rsidRPr="00AC48C8" w:rsidRDefault="003A348D">
            <w:pPr>
              <w:spacing w:after="0"/>
              <w:jc w:val="center"/>
              <w:rPr>
                <w:rFonts w:ascii="Times New Roman" w:hAnsi="Times New Roman"/>
                <w:sz w:val="16"/>
                <w:szCs w:val="16"/>
                <w:highlight w:val="yellow"/>
              </w:rPr>
            </w:pPr>
            <w:r w:rsidRPr="00AC48C8">
              <w:rPr>
                <w:rFonts w:ascii="Times New Roman" w:hAnsi="Times New Roman"/>
                <w:sz w:val="16"/>
                <w:szCs w:val="16"/>
              </w:rPr>
              <w:t>151 565 434</w:t>
            </w:r>
          </w:p>
        </w:tc>
        <w:tc>
          <w:tcPr>
            <w:tcW w:w="997" w:type="dxa"/>
          </w:tcPr>
          <w:p w14:paraId="5603FDDF" w14:textId="77777777" w:rsidR="0067338B" w:rsidRPr="00AC48C8" w:rsidRDefault="003A348D">
            <w:pPr>
              <w:spacing w:after="0"/>
              <w:jc w:val="center"/>
              <w:rPr>
                <w:rFonts w:ascii="Times New Roman" w:hAnsi="Times New Roman"/>
                <w:sz w:val="16"/>
                <w:szCs w:val="16"/>
                <w:highlight w:val="yellow"/>
              </w:rPr>
            </w:pPr>
            <w:r w:rsidRPr="00AC48C8">
              <w:rPr>
                <w:rFonts w:ascii="Times New Roman" w:hAnsi="Times New Roman"/>
                <w:sz w:val="16"/>
                <w:szCs w:val="16"/>
              </w:rPr>
              <w:t>129 504 488</w:t>
            </w:r>
          </w:p>
        </w:tc>
        <w:tc>
          <w:tcPr>
            <w:tcW w:w="997" w:type="dxa"/>
          </w:tcPr>
          <w:p w14:paraId="722F3365" w14:textId="77777777" w:rsidR="0067338B" w:rsidRPr="00AC48C8" w:rsidRDefault="003A348D">
            <w:pPr>
              <w:spacing w:after="0"/>
              <w:jc w:val="center"/>
              <w:rPr>
                <w:rFonts w:ascii="Times New Roman" w:hAnsi="Times New Roman"/>
                <w:sz w:val="16"/>
                <w:szCs w:val="16"/>
                <w:highlight w:val="yellow"/>
              </w:rPr>
            </w:pPr>
            <w:r w:rsidRPr="00AC48C8">
              <w:rPr>
                <w:rFonts w:ascii="Times New Roman" w:hAnsi="Times New Roman"/>
                <w:sz w:val="16"/>
                <w:szCs w:val="16"/>
              </w:rPr>
              <w:t>114 522 628</w:t>
            </w:r>
          </w:p>
        </w:tc>
        <w:tc>
          <w:tcPr>
            <w:tcW w:w="997" w:type="dxa"/>
          </w:tcPr>
          <w:p w14:paraId="17D38C4D" w14:textId="77777777" w:rsidR="0067338B" w:rsidRPr="00AC48C8" w:rsidRDefault="003A348D">
            <w:pPr>
              <w:spacing w:after="0"/>
              <w:jc w:val="center"/>
              <w:rPr>
                <w:rFonts w:ascii="Times New Roman" w:hAnsi="Times New Roman"/>
                <w:sz w:val="16"/>
                <w:szCs w:val="16"/>
                <w:highlight w:val="yellow"/>
              </w:rPr>
            </w:pPr>
            <w:r w:rsidRPr="00AC48C8">
              <w:rPr>
                <w:rFonts w:ascii="Times New Roman" w:hAnsi="Times New Roman"/>
                <w:sz w:val="16"/>
                <w:szCs w:val="16"/>
              </w:rPr>
              <w:t>98 384 792</w:t>
            </w:r>
          </w:p>
        </w:tc>
        <w:tc>
          <w:tcPr>
            <w:tcW w:w="997" w:type="dxa"/>
          </w:tcPr>
          <w:p w14:paraId="29BA1AF3" w14:textId="77777777" w:rsidR="0067338B" w:rsidRPr="00AC48C8" w:rsidRDefault="003A348D">
            <w:pPr>
              <w:spacing w:after="0"/>
              <w:jc w:val="center"/>
              <w:rPr>
                <w:rFonts w:ascii="Times New Roman" w:hAnsi="Times New Roman"/>
                <w:sz w:val="16"/>
                <w:szCs w:val="16"/>
                <w:highlight w:val="yellow"/>
              </w:rPr>
            </w:pPr>
            <w:r w:rsidRPr="00AC48C8">
              <w:rPr>
                <w:rFonts w:ascii="Times New Roman" w:hAnsi="Times New Roman"/>
                <w:sz w:val="16"/>
                <w:szCs w:val="16"/>
              </w:rPr>
              <w:t>81 126 965</w:t>
            </w:r>
          </w:p>
        </w:tc>
        <w:tc>
          <w:tcPr>
            <w:tcW w:w="997" w:type="dxa"/>
          </w:tcPr>
          <w:p w14:paraId="63A89FDC" w14:textId="77777777" w:rsidR="0067338B" w:rsidRPr="00AC48C8" w:rsidRDefault="003A348D">
            <w:pPr>
              <w:spacing w:after="0"/>
              <w:jc w:val="center"/>
              <w:rPr>
                <w:rFonts w:ascii="Times New Roman" w:hAnsi="Times New Roman"/>
                <w:sz w:val="16"/>
                <w:szCs w:val="16"/>
                <w:highlight w:val="yellow"/>
              </w:rPr>
            </w:pPr>
            <w:r w:rsidRPr="00AC48C8">
              <w:rPr>
                <w:rFonts w:ascii="Times New Roman" w:hAnsi="Times New Roman"/>
                <w:sz w:val="16"/>
                <w:szCs w:val="16"/>
              </w:rPr>
              <w:t>62 749 153</w:t>
            </w:r>
          </w:p>
        </w:tc>
        <w:tc>
          <w:tcPr>
            <w:tcW w:w="997" w:type="dxa"/>
          </w:tcPr>
          <w:p w14:paraId="5709B4FB" w14:textId="77777777" w:rsidR="0067338B" w:rsidRPr="00AC48C8" w:rsidRDefault="003A348D">
            <w:pPr>
              <w:spacing w:after="0"/>
              <w:jc w:val="center"/>
              <w:rPr>
                <w:rFonts w:ascii="Times New Roman" w:hAnsi="Times New Roman"/>
                <w:sz w:val="16"/>
                <w:szCs w:val="16"/>
                <w:highlight w:val="yellow"/>
              </w:rPr>
            </w:pPr>
            <w:r w:rsidRPr="00AC48C8">
              <w:rPr>
                <w:rFonts w:ascii="Times New Roman" w:hAnsi="Times New Roman"/>
                <w:sz w:val="16"/>
                <w:szCs w:val="16"/>
              </w:rPr>
              <w:t>42 070 421</w:t>
            </w:r>
          </w:p>
        </w:tc>
        <w:tc>
          <w:tcPr>
            <w:tcW w:w="1111" w:type="dxa"/>
          </w:tcPr>
          <w:p w14:paraId="2A70D6E7" w14:textId="77777777" w:rsidR="0067338B" w:rsidRPr="00AC48C8" w:rsidRDefault="003A348D">
            <w:pPr>
              <w:spacing w:after="0"/>
              <w:jc w:val="center"/>
              <w:rPr>
                <w:rFonts w:ascii="Times New Roman" w:hAnsi="Times New Roman"/>
                <w:sz w:val="16"/>
                <w:szCs w:val="16"/>
                <w:highlight w:val="yellow"/>
              </w:rPr>
            </w:pPr>
            <w:r w:rsidRPr="00AC48C8">
              <w:rPr>
                <w:rFonts w:ascii="Times New Roman" w:hAnsi="Times New Roman"/>
                <w:sz w:val="16"/>
                <w:szCs w:val="16"/>
              </w:rPr>
              <w:t>679 923 881</w:t>
            </w:r>
          </w:p>
        </w:tc>
      </w:tr>
    </w:tbl>
    <w:p w14:paraId="507D3299" w14:textId="72C7C82D" w:rsidR="0067338B" w:rsidRPr="00C64727" w:rsidRDefault="00526348">
      <w:pPr>
        <w:rPr>
          <w:rFonts w:ascii="Times New Roman" w:hAnsi="Times New Roman"/>
          <w:sz w:val="24"/>
          <w:szCs w:val="24"/>
        </w:rPr>
      </w:pPr>
      <w:r w:rsidRPr="00C64727">
        <w:rPr>
          <w:rFonts w:ascii="Times New Roman" w:hAnsi="Times New Roman"/>
          <w:sz w:val="24"/>
          <w:szCs w:val="24"/>
        </w:rPr>
        <w:t>Forrás: Éghajlatpolitikai Főigazgatóság</w:t>
      </w:r>
    </w:p>
    <w:p w14:paraId="6E0AF790" w14:textId="77777777" w:rsidR="0067338B" w:rsidRPr="00C64727" w:rsidRDefault="0067338B">
      <w:pPr>
        <w:rPr>
          <w:rFonts w:ascii="Times New Roman" w:hAnsi="Times New Roman"/>
          <w:b/>
          <w:sz w:val="24"/>
          <w:szCs w:val="24"/>
        </w:rPr>
      </w:pPr>
    </w:p>
    <w:p w14:paraId="35C8434D" w14:textId="77777777" w:rsidR="0067338B" w:rsidRPr="00C64727" w:rsidRDefault="0067338B">
      <w:pPr>
        <w:rPr>
          <w:rFonts w:ascii="Times New Roman" w:hAnsi="Times New Roman"/>
          <w:b/>
          <w:sz w:val="24"/>
          <w:szCs w:val="24"/>
        </w:rPr>
      </w:pPr>
    </w:p>
    <w:p w14:paraId="5ECAC1B4" w14:textId="77777777" w:rsidR="0067338B" w:rsidRPr="00C64727" w:rsidRDefault="0067338B">
      <w:pPr>
        <w:rPr>
          <w:rFonts w:ascii="Times New Roman" w:hAnsi="Times New Roman"/>
          <w:b/>
          <w:sz w:val="24"/>
          <w:szCs w:val="24"/>
        </w:rPr>
      </w:pPr>
    </w:p>
    <w:p w14:paraId="23760357" w14:textId="77777777" w:rsidR="0067338B" w:rsidRPr="00C64727" w:rsidRDefault="007708E7">
      <w:pPr>
        <w:rPr>
          <w:rFonts w:ascii="Times New Roman" w:hAnsi="Times New Roman"/>
          <w:b/>
          <w:sz w:val="20"/>
          <w:szCs w:val="20"/>
        </w:rPr>
      </w:pPr>
      <w:r w:rsidRPr="00C64727">
        <w:rPr>
          <w:rFonts w:ascii="Times New Roman" w:hAnsi="Times New Roman"/>
          <w:b/>
          <w:sz w:val="20"/>
          <w:szCs w:val="20"/>
        </w:rPr>
        <w:t>1.3. táblázat: A teljes körű árverésre vonatkozó szabálytól való eltérés alapján ingyenesen kiosztott kibocsátási egységek száma a villamosenergia- és hőtermelés esetében, amelyeket árverés útján értékesítettek (vagy értékesíteni kívánnak) a 2013-2020 közötti időszakban</w:t>
      </w:r>
      <w:r w:rsidRPr="00C64727">
        <w:rPr>
          <w:rStyle w:val="FootnoteReference"/>
          <w:rFonts w:ascii="Times New Roman" w:hAnsi="Times New Roman"/>
          <w:b/>
          <w:sz w:val="20"/>
          <w:szCs w:val="20"/>
        </w:rPr>
        <w:footnoteReference w:id="76"/>
      </w:r>
    </w:p>
    <w:tbl>
      <w:tblPr>
        <w:tblW w:w="9042" w:type="dxa"/>
        <w:tblInd w:w="85" w:type="dxa"/>
        <w:tblLook w:val="04A0" w:firstRow="1" w:lastRow="0" w:firstColumn="1" w:lastColumn="0" w:noHBand="0" w:noVBand="1"/>
      </w:tblPr>
      <w:tblGrid>
        <w:gridCol w:w="1926"/>
        <w:gridCol w:w="1135"/>
        <w:gridCol w:w="1135"/>
        <w:gridCol w:w="1135"/>
        <w:gridCol w:w="1135"/>
        <w:gridCol w:w="1288"/>
        <w:gridCol w:w="1288"/>
      </w:tblGrid>
      <w:tr w:rsidR="0067338B" w:rsidRPr="00C64727" w14:paraId="7AF23450" w14:textId="77777777" w:rsidTr="007708E7">
        <w:trPr>
          <w:trHeight w:val="330"/>
        </w:trPr>
        <w:tc>
          <w:tcPr>
            <w:tcW w:w="9042" w:type="dxa"/>
            <w:gridSpan w:val="7"/>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016AD822" w14:textId="77777777" w:rsidR="0067338B" w:rsidRPr="00C64727" w:rsidRDefault="007708E7">
            <w:pPr>
              <w:spacing w:after="0" w:line="240" w:lineRule="auto"/>
              <w:jc w:val="center"/>
              <w:rPr>
                <w:rFonts w:ascii="Times New Roman" w:eastAsia="Times New Roman" w:hAnsi="Times New Roman"/>
                <w:b/>
                <w:bCs/>
                <w:color w:val="000000"/>
                <w:sz w:val="20"/>
                <w:szCs w:val="20"/>
              </w:rPr>
            </w:pPr>
            <w:r w:rsidRPr="00C64727">
              <w:rPr>
                <w:rFonts w:ascii="Times New Roman" w:hAnsi="Times New Roman"/>
                <w:b/>
                <w:bCs/>
                <w:sz w:val="20"/>
                <w:szCs w:val="20"/>
              </w:rPr>
              <w:t xml:space="preserve">Árverezés útján értékesített felhasználatlan 10c. cikk szerinti kibocsátási egységek </w:t>
            </w:r>
          </w:p>
        </w:tc>
      </w:tr>
      <w:tr w:rsidR="0067338B" w:rsidRPr="00C64727" w14:paraId="3CCBB46A" w14:textId="77777777" w:rsidTr="007708E7">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38CDE876" w14:textId="77777777" w:rsidR="0067338B" w:rsidRPr="00C64727" w:rsidRDefault="007708E7">
            <w:pPr>
              <w:spacing w:after="0" w:line="240" w:lineRule="auto"/>
              <w:jc w:val="center"/>
              <w:rPr>
                <w:rFonts w:ascii="Times New Roman" w:eastAsia="Times New Roman" w:hAnsi="Times New Roman"/>
                <w:b/>
                <w:bCs/>
                <w:color w:val="000000"/>
                <w:sz w:val="20"/>
                <w:szCs w:val="20"/>
              </w:rPr>
            </w:pPr>
            <w:r w:rsidRPr="00C64727">
              <w:rPr>
                <w:rFonts w:ascii="Times New Roman" w:hAnsi="Times New Roman"/>
                <w:b/>
                <w:bCs/>
                <w:sz w:val="20"/>
                <w:szCs w:val="20"/>
              </w:rPr>
              <w:t>Tagállam</w:t>
            </w:r>
          </w:p>
        </w:tc>
        <w:tc>
          <w:tcPr>
            <w:tcW w:w="1135" w:type="dxa"/>
            <w:tcBorders>
              <w:top w:val="nil"/>
              <w:left w:val="nil"/>
              <w:bottom w:val="double" w:sz="6" w:space="0" w:color="auto"/>
              <w:right w:val="double" w:sz="6" w:space="0" w:color="auto"/>
            </w:tcBorders>
            <w:shd w:val="clear" w:color="auto" w:fill="auto"/>
            <w:noWrap/>
            <w:vAlign w:val="center"/>
            <w:hideMark/>
          </w:tcPr>
          <w:p w14:paraId="4E5BBE93" w14:textId="77777777" w:rsidR="0067338B" w:rsidRPr="00C64727" w:rsidRDefault="007708E7">
            <w:pPr>
              <w:spacing w:after="0" w:line="240" w:lineRule="auto"/>
              <w:jc w:val="center"/>
              <w:rPr>
                <w:rFonts w:ascii="Times New Roman" w:eastAsia="Times New Roman" w:hAnsi="Times New Roman"/>
                <w:b/>
                <w:bCs/>
                <w:color w:val="000000"/>
                <w:sz w:val="20"/>
                <w:szCs w:val="20"/>
              </w:rPr>
            </w:pPr>
            <w:r w:rsidRPr="00C64727">
              <w:rPr>
                <w:rFonts w:ascii="Times New Roman" w:hAnsi="Times New Roman"/>
                <w:b/>
                <w:bCs/>
                <w:sz w:val="20"/>
                <w:szCs w:val="20"/>
              </w:rPr>
              <w:t>2015</w:t>
            </w:r>
          </w:p>
        </w:tc>
        <w:tc>
          <w:tcPr>
            <w:tcW w:w="1135" w:type="dxa"/>
            <w:tcBorders>
              <w:top w:val="nil"/>
              <w:left w:val="nil"/>
              <w:bottom w:val="double" w:sz="6" w:space="0" w:color="auto"/>
              <w:right w:val="double" w:sz="6" w:space="0" w:color="auto"/>
            </w:tcBorders>
            <w:shd w:val="clear" w:color="auto" w:fill="auto"/>
            <w:noWrap/>
            <w:vAlign w:val="center"/>
            <w:hideMark/>
          </w:tcPr>
          <w:p w14:paraId="30AAE0B9" w14:textId="77777777" w:rsidR="0067338B" w:rsidRPr="00C64727" w:rsidRDefault="007708E7">
            <w:pPr>
              <w:spacing w:after="0" w:line="240" w:lineRule="auto"/>
              <w:jc w:val="center"/>
              <w:rPr>
                <w:rFonts w:ascii="Times New Roman" w:eastAsia="Times New Roman" w:hAnsi="Times New Roman"/>
                <w:b/>
                <w:bCs/>
                <w:color w:val="000000"/>
                <w:sz w:val="20"/>
                <w:szCs w:val="20"/>
              </w:rPr>
            </w:pPr>
            <w:r w:rsidRPr="00C64727">
              <w:rPr>
                <w:rFonts w:ascii="Times New Roman" w:hAnsi="Times New Roman"/>
                <w:b/>
                <w:bCs/>
                <w:sz w:val="20"/>
                <w:szCs w:val="20"/>
              </w:rPr>
              <w:t>2016</w:t>
            </w:r>
          </w:p>
        </w:tc>
        <w:tc>
          <w:tcPr>
            <w:tcW w:w="1135" w:type="dxa"/>
            <w:tcBorders>
              <w:top w:val="nil"/>
              <w:left w:val="nil"/>
              <w:bottom w:val="double" w:sz="6" w:space="0" w:color="auto"/>
              <w:right w:val="double" w:sz="6" w:space="0" w:color="auto"/>
            </w:tcBorders>
            <w:shd w:val="clear" w:color="auto" w:fill="auto"/>
            <w:noWrap/>
            <w:vAlign w:val="center"/>
            <w:hideMark/>
          </w:tcPr>
          <w:p w14:paraId="267BF273" w14:textId="77777777" w:rsidR="0067338B" w:rsidRPr="00C64727" w:rsidRDefault="007708E7">
            <w:pPr>
              <w:spacing w:after="0" w:line="240" w:lineRule="auto"/>
              <w:jc w:val="center"/>
              <w:rPr>
                <w:rFonts w:ascii="Times New Roman" w:eastAsia="Times New Roman" w:hAnsi="Times New Roman"/>
                <w:b/>
                <w:bCs/>
                <w:color w:val="000000"/>
                <w:sz w:val="20"/>
                <w:szCs w:val="20"/>
              </w:rPr>
            </w:pPr>
            <w:r w:rsidRPr="00C64727">
              <w:rPr>
                <w:rFonts w:ascii="Times New Roman" w:hAnsi="Times New Roman"/>
                <w:b/>
                <w:bCs/>
                <w:sz w:val="20"/>
                <w:szCs w:val="20"/>
              </w:rPr>
              <w:t>2017</w:t>
            </w:r>
          </w:p>
        </w:tc>
        <w:tc>
          <w:tcPr>
            <w:tcW w:w="1135" w:type="dxa"/>
            <w:tcBorders>
              <w:top w:val="nil"/>
              <w:left w:val="nil"/>
              <w:bottom w:val="double" w:sz="6" w:space="0" w:color="auto"/>
              <w:right w:val="double" w:sz="6" w:space="0" w:color="auto"/>
            </w:tcBorders>
            <w:shd w:val="clear" w:color="auto" w:fill="auto"/>
            <w:noWrap/>
            <w:vAlign w:val="center"/>
            <w:hideMark/>
          </w:tcPr>
          <w:p w14:paraId="7C10E610" w14:textId="77777777" w:rsidR="0067338B" w:rsidRPr="00C64727" w:rsidRDefault="007708E7">
            <w:pPr>
              <w:spacing w:after="0" w:line="240" w:lineRule="auto"/>
              <w:jc w:val="center"/>
              <w:rPr>
                <w:rFonts w:ascii="Times New Roman" w:eastAsia="Times New Roman" w:hAnsi="Times New Roman"/>
                <w:b/>
                <w:bCs/>
                <w:color w:val="000000"/>
                <w:sz w:val="20"/>
                <w:szCs w:val="20"/>
              </w:rPr>
            </w:pPr>
            <w:r w:rsidRPr="00C64727">
              <w:rPr>
                <w:rFonts w:ascii="Times New Roman" w:hAnsi="Times New Roman"/>
                <w:b/>
                <w:bCs/>
                <w:sz w:val="20"/>
                <w:szCs w:val="20"/>
              </w:rPr>
              <w:t>2018</w:t>
            </w:r>
          </w:p>
        </w:tc>
        <w:tc>
          <w:tcPr>
            <w:tcW w:w="1288" w:type="dxa"/>
            <w:tcBorders>
              <w:top w:val="nil"/>
              <w:left w:val="nil"/>
              <w:bottom w:val="double" w:sz="6" w:space="0" w:color="auto"/>
              <w:right w:val="double" w:sz="6" w:space="0" w:color="auto"/>
            </w:tcBorders>
            <w:shd w:val="clear" w:color="auto" w:fill="auto"/>
            <w:noWrap/>
            <w:vAlign w:val="center"/>
            <w:hideMark/>
          </w:tcPr>
          <w:p w14:paraId="2F56EE2C" w14:textId="77777777" w:rsidR="0067338B" w:rsidRPr="00C64727" w:rsidRDefault="007708E7">
            <w:pPr>
              <w:spacing w:after="0" w:line="240" w:lineRule="auto"/>
              <w:jc w:val="center"/>
              <w:rPr>
                <w:rFonts w:ascii="Times New Roman" w:eastAsia="Times New Roman" w:hAnsi="Times New Roman"/>
                <w:b/>
                <w:bCs/>
                <w:color w:val="000000"/>
                <w:sz w:val="20"/>
                <w:szCs w:val="20"/>
              </w:rPr>
            </w:pPr>
            <w:r w:rsidRPr="00C64727">
              <w:rPr>
                <w:rFonts w:ascii="Times New Roman" w:hAnsi="Times New Roman"/>
                <w:b/>
                <w:bCs/>
                <w:sz w:val="20"/>
                <w:szCs w:val="20"/>
              </w:rPr>
              <w:t>2019</w:t>
            </w:r>
          </w:p>
        </w:tc>
        <w:tc>
          <w:tcPr>
            <w:tcW w:w="1288" w:type="dxa"/>
            <w:tcBorders>
              <w:top w:val="nil"/>
              <w:left w:val="nil"/>
              <w:bottom w:val="double" w:sz="6" w:space="0" w:color="auto"/>
              <w:right w:val="double" w:sz="6" w:space="0" w:color="auto"/>
            </w:tcBorders>
            <w:shd w:val="clear" w:color="auto" w:fill="auto"/>
            <w:noWrap/>
            <w:vAlign w:val="center"/>
            <w:hideMark/>
          </w:tcPr>
          <w:p w14:paraId="34FBD94A" w14:textId="77777777" w:rsidR="0067338B" w:rsidRPr="00C64727" w:rsidRDefault="007708E7">
            <w:pPr>
              <w:spacing w:after="0" w:line="240" w:lineRule="auto"/>
              <w:jc w:val="center"/>
              <w:rPr>
                <w:rFonts w:ascii="Times New Roman" w:eastAsia="Times New Roman" w:hAnsi="Times New Roman"/>
                <w:b/>
                <w:bCs/>
                <w:color w:val="000000"/>
                <w:sz w:val="20"/>
                <w:szCs w:val="20"/>
              </w:rPr>
            </w:pPr>
            <w:r w:rsidRPr="00C64727">
              <w:rPr>
                <w:rFonts w:ascii="Times New Roman" w:hAnsi="Times New Roman"/>
                <w:b/>
                <w:bCs/>
                <w:sz w:val="20"/>
                <w:szCs w:val="20"/>
              </w:rPr>
              <w:t>2020</w:t>
            </w:r>
          </w:p>
        </w:tc>
      </w:tr>
      <w:tr w:rsidR="0067338B" w:rsidRPr="00C64727" w14:paraId="52506049" w14:textId="77777777" w:rsidTr="007708E7">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6DD519C0" w14:textId="77777777" w:rsidR="0067338B" w:rsidRPr="00C64727" w:rsidRDefault="007708E7">
            <w:pPr>
              <w:spacing w:after="0" w:line="240" w:lineRule="auto"/>
              <w:jc w:val="center"/>
              <w:rPr>
                <w:rFonts w:ascii="Times New Roman" w:eastAsia="Times New Roman" w:hAnsi="Times New Roman"/>
                <w:b/>
                <w:bCs/>
                <w:color w:val="000000"/>
                <w:sz w:val="20"/>
                <w:szCs w:val="20"/>
              </w:rPr>
            </w:pPr>
            <w:r w:rsidRPr="00C64727">
              <w:rPr>
                <w:rFonts w:ascii="Times New Roman" w:hAnsi="Times New Roman"/>
                <w:b/>
                <w:bCs/>
                <w:sz w:val="20"/>
                <w:szCs w:val="20"/>
              </w:rPr>
              <w:t>BG</w:t>
            </w:r>
          </w:p>
        </w:tc>
        <w:tc>
          <w:tcPr>
            <w:tcW w:w="1135" w:type="dxa"/>
            <w:tcBorders>
              <w:top w:val="nil"/>
              <w:left w:val="nil"/>
              <w:bottom w:val="double" w:sz="6" w:space="0" w:color="auto"/>
              <w:right w:val="double" w:sz="6" w:space="0" w:color="auto"/>
            </w:tcBorders>
            <w:shd w:val="clear" w:color="auto" w:fill="auto"/>
            <w:noWrap/>
            <w:vAlign w:val="center"/>
            <w:hideMark/>
          </w:tcPr>
          <w:p w14:paraId="2349D363" w14:textId="77777777" w:rsidR="0067338B" w:rsidRPr="00C64727" w:rsidRDefault="007708E7">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5 444 169</w:t>
            </w:r>
          </w:p>
        </w:tc>
        <w:tc>
          <w:tcPr>
            <w:tcW w:w="1135" w:type="dxa"/>
            <w:tcBorders>
              <w:top w:val="nil"/>
              <w:left w:val="nil"/>
              <w:bottom w:val="double" w:sz="6" w:space="0" w:color="auto"/>
              <w:right w:val="double" w:sz="6" w:space="0" w:color="auto"/>
            </w:tcBorders>
            <w:shd w:val="clear" w:color="auto" w:fill="auto"/>
            <w:noWrap/>
            <w:vAlign w:val="center"/>
            <w:hideMark/>
          </w:tcPr>
          <w:p w14:paraId="623F4186" w14:textId="77777777" w:rsidR="0067338B" w:rsidRPr="00C64727" w:rsidRDefault="007708E7">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1 461 360</w:t>
            </w:r>
          </w:p>
        </w:tc>
        <w:tc>
          <w:tcPr>
            <w:tcW w:w="1135" w:type="dxa"/>
            <w:tcBorders>
              <w:top w:val="nil"/>
              <w:left w:val="nil"/>
              <w:bottom w:val="double" w:sz="6" w:space="0" w:color="auto"/>
              <w:right w:val="double" w:sz="6" w:space="0" w:color="auto"/>
            </w:tcBorders>
            <w:shd w:val="clear" w:color="auto" w:fill="auto"/>
            <w:noWrap/>
            <w:vAlign w:val="center"/>
            <w:hideMark/>
          </w:tcPr>
          <w:p w14:paraId="2FC1933D" w14:textId="77777777" w:rsidR="0067338B" w:rsidRPr="00C64727" w:rsidRDefault="007708E7">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920 823</w:t>
            </w:r>
          </w:p>
        </w:tc>
        <w:tc>
          <w:tcPr>
            <w:tcW w:w="1135" w:type="dxa"/>
            <w:tcBorders>
              <w:top w:val="nil"/>
              <w:left w:val="nil"/>
              <w:bottom w:val="double" w:sz="6" w:space="0" w:color="auto"/>
              <w:right w:val="double" w:sz="6" w:space="0" w:color="auto"/>
            </w:tcBorders>
            <w:shd w:val="clear" w:color="auto" w:fill="auto"/>
            <w:noWrap/>
            <w:vAlign w:val="center"/>
            <w:hideMark/>
          </w:tcPr>
          <w:p w14:paraId="303A51AB" w14:textId="77777777" w:rsidR="0067338B" w:rsidRPr="00C64727" w:rsidRDefault="007708E7">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604 908</w:t>
            </w:r>
          </w:p>
        </w:tc>
        <w:tc>
          <w:tcPr>
            <w:tcW w:w="1288" w:type="dxa"/>
            <w:tcBorders>
              <w:top w:val="nil"/>
              <w:left w:val="nil"/>
              <w:bottom w:val="double" w:sz="6" w:space="0" w:color="auto"/>
              <w:right w:val="double" w:sz="6" w:space="0" w:color="auto"/>
            </w:tcBorders>
            <w:shd w:val="clear" w:color="auto" w:fill="auto"/>
            <w:noWrap/>
            <w:vAlign w:val="center"/>
            <w:hideMark/>
          </w:tcPr>
          <w:p w14:paraId="485BE40A" w14:textId="77777777" w:rsidR="0067338B" w:rsidRPr="00C64727" w:rsidRDefault="007708E7">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1 386 372</w:t>
            </w:r>
          </w:p>
        </w:tc>
        <w:tc>
          <w:tcPr>
            <w:tcW w:w="1288" w:type="dxa"/>
            <w:tcBorders>
              <w:top w:val="nil"/>
              <w:left w:val="nil"/>
              <w:bottom w:val="double" w:sz="6" w:space="0" w:color="auto"/>
              <w:right w:val="double" w:sz="6" w:space="0" w:color="auto"/>
            </w:tcBorders>
            <w:shd w:val="clear" w:color="auto" w:fill="auto"/>
            <w:noWrap/>
            <w:vAlign w:val="center"/>
            <w:hideMark/>
          </w:tcPr>
          <w:p w14:paraId="08482216" w14:textId="77777777" w:rsidR="0067338B" w:rsidRPr="00C64727" w:rsidRDefault="007708E7">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0</w:t>
            </w:r>
          </w:p>
        </w:tc>
      </w:tr>
      <w:tr w:rsidR="0067338B" w:rsidRPr="00C64727" w14:paraId="49CDF87F" w14:textId="77777777" w:rsidTr="007708E7">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708AB67F" w14:textId="77777777" w:rsidR="0067338B" w:rsidRPr="00C64727" w:rsidRDefault="007708E7">
            <w:pPr>
              <w:spacing w:after="0" w:line="240" w:lineRule="auto"/>
              <w:jc w:val="center"/>
              <w:rPr>
                <w:rFonts w:ascii="Times New Roman" w:eastAsia="Times New Roman" w:hAnsi="Times New Roman"/>
                <w:b/>
                <w:bCs/>
                <w:color w:val="000000"/>
                <w:sz w:val="20"/>
                <w:szCs w:val="20"/>
              </w:rPr>
            </w:pPr>
            <w:r w:rsidRPr="00C64727">
              <w:rPr>
                <w:rFonts w:ascii="Times New Roman" w:hAnsi="Times New Roman"/>
                <w:b/>
                <w:bCs/>
                <w:sz w:val="20"/>
                <w:szCs w:val="20"/>
              </w:rPr>
              <w:t>CY</w:t>
            </w:r>
          </w:p>
        </w:tc>
        <w:tc>
          <w:tcPr>
            <w:tcW w:w="1135" w:type="dxa"/>
            <w:tcBorders>
              <w:top w:val="nil"/>
              <w:left w:val="nil"/>
              <w:bottom w:val="double" w:sz="6" w:space="0" w:color="auto"/>
              <w:right w:val="double" w:sz="6" w:space="0" w:color="auto"/>
            </w:tcBorders>
            <w:shd w:val="clear" w:color="auto" w:fill="auto"/>
            <w:noWrap/>
            <w:vAlign w:val="center"/>
            <w:hideMark/>
          </w:tcPr>
          <w:p w14:paraId="14880825" w14:textId="77777777" w:rsidR="0067338B" w:rsidRPr="00C64727" w:rsidRDefault="007708E7">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0</w:t>
            </w:r>
          </w:p>
        </w:tc>
        <w:tc>
          <w:tcPr>
            <w:tcW w:w="1135" w:type="dxa"/>
            <w:tcBorders>
              <w:top w:val="nil"/>
              <w:left w:val="nil"/>
              <w:bottom w:val="double" w:sz="6" w:space="0" w:color="auto"/>
              <w:right w:val="double" w:sz="6" w:space="0" w:color="auto"/>
            </w:tcBorders>
            <w:shd w:val="clear" w:color="auto" w:fill="auto"/>
            <w:noWrap/>
            <w:vAlign w:val="center"/>
            <w:hideMark/>
          </w:tcPr>
          <w:p w14:paraId="41AD3D65" w14:textId="77777777" w:rsidR="0067338B" w:rsidRPr="00C64727" w:rsidRDefault="007708E7">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0</w:t>
            </w:r>
          </w:p>
        </w:tc>
        <w:tc>
          <w:tcPr>
            <w:tcW w:w="1135" w:type="dxa"/>
            <w:tcBorders>
              <w:top w:val="nil"/>
              <w:left w:val="nil"/>
              <w:bottom w:val="double" w:sz="6" w:space="0" w:color="auto"/>
              <w:right w:val="double" w:sz="6" w:space="0" w:color="auto"/>
            </w:tcBorders>
            <w:shd w:val="clear" w:color="auto" w:fill="auto"/>
            <w:noWrap/>
            <w:vAlign w:val="center"/>
            <w:hideMark/>
          </w:tcPr>
          <w:p w14:paraId="2E19303F" w14:textId="77777777" w:rsidR="0067338B" w:rsidRPr="00C64727" w:rsidRDefault="007708E7">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0</w:t>
            </w:r>
          </w:p>
        </w:tc>
        <w:tc>
          <w:tcPr>
            <w:tcW w:w="1135" w:type="dxa"/>
            <w:tcBorders>
              <w:top w:val="nil"/>
              <w:left w:val="nil"/>
              <w:bottom w:val="double" w:sz="6" w:space="0" w:color="auto"/>
              <w:right w:val="double" w:sz="6" w:space="0" w:color="auto"/>
            </w:tcBorders>
            <w:shd w:val="clear" w:color="auto" w:fill="auto"/>
            <w:noWrap/>
            <w:vAlign w:val="center"/>
            <w:hideMark/>
          </w:tcPr>
          <w:p w14:paraId="175CB196" w14:textId="77777777" w:rsidR="0067338B" w:rsidRPr="00C64727" w:rsidRDefault="007708E7">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0</w:t>
            </w:r>
          </w:p>
        </w:tc>
        <w:tc>
          <w:tcPr>
            <w:tcW w:w="1288" w:type="dxa"/>
            <w:tcBorders>
              <w:top w:val="nil"/>
              <w:left w:val="nil"/>
              <w:bottom w:val="double" w:sz="6" w:space="0" w:color="auto"/>
              <w:right w:val="double" w:sz="6" w:space="0" w:color="auto"/>
            </w:tcBorders>
            <w:shd w:val="clear" w:color="auto" w:fill="auto"/>
            <w:noWrap/>
            <w:vAlign w:val="center"/>
            <w:hideMark/>
          </w:tcPr>
          <w:p w14:paraId="5A159305" w14:textId="77777777" w:rsidR="0067338B" w:rsidRPr="00C64727" w:rsidRDefault="007708E7">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0</w:t>
            </w:r>
          </w:p>
        </w:tc>
        <w:tc>
          <w:tcPr>
            <w:tcW w:w="1288" w:type="dxa"/>
            <w:tcBorders>
              <w:top w:val="nil"/>
              <w:left w:val="nil"/>
              <w:bottom w:val="double" w:sz="6" w:space="0" w:color="auto"/>
              <w:right w:val="double" w:sz="6" w:space="0" w:color="auto"/>
            </w:tcBorders>
            <w:shd w:val="clear" w:color="auto" w:fill="auto"/>
            <w:noWrap/>
            <w:vAlign w:val="center"/>
            <w:hideMark/>
          </w:tcPr>
          <w:p w14:paraId="08B60441" w14:textId="77777777" w:rsidR="0067338B" w:rsidRPr="00C64727" w:rsidRDefault="007708E7">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0</w:t>
            </w:r>
          </w:p>
        </w:tc>
      </w:tr>
      <w:tr w:rsidR="0067338B" w:rsidRPr="00C64727" w14:paraId="25CEBD87" w14:textId="77777777" w:rsidTr="007708E7">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7DC2F387" w14:textId="77777777" w:rsidR="0067338B" w:rsidRPr="00C64727" w:rsidRDefault="007708E7">
            <w:pPr>
              <w:spacing w:after="0" w:line="240" w:lineRule="auto"/>
              <w:jc w:val="center"/>
              <w:rPr>
                <w:rFonts w:ascii="Times New Roman" w:eastAsia="Times New Roman" w:hAnsi="Times New Roman"/>
                <w:b/>
                <w:bCs/>
                <w:color w:val="000000"/>
                <w:sz w:val="20"/>
                <w:szCs w:val="20"/>
              </w:rPr>
            </w:pPr>
            <w:r w:rsidRPr="00C64727">
              <w:rPr>
                <w:rFonts w:ascii="Times New Roman" w:hAnsi="Times New Roman"/>
                <w:b/>
                <w:bCs/>
                <w:sz w:val="20"/>
                <w:szCs w:val="20"/>
              </w:rPr>
              <w:t>CZ</w:t>
            </w:r>
          </w:p>
        </w:tc>
        <w:tc>
          <w:tcPr>
            <w:tcW w:w="1135" w:type="dxa"/>
            <w:tcBorders>
              <w:top w:val="nil"/>
              <w:left w:val="nil"/>
              <w:bottom w:val="double" w:sz="6" w:space="0" w:color="auto"/>
              <w:right w:val="double" w:sz="6" w:space="0" w:color="auto"/>
            </w:tcBorders>
            <w:shd w:val="clear" w:color="auto" w:fill="auto"/>
            <w:noWrap/>
            <w:vAlign w:val="center"/>
            <w:hideMark/>
          </w:tcPr>
          <w:p w14:paraId="3B05889D" w14:textId="77777777" w:rsidR="0067338B" w:rsidRPr="00C64727" w:rsidRDefault="007708E7">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0</w:t>
            </w:r>
          </w:p>
        </w:tc>
        <w:tc>
          <w:tcPr>
            <w:tcW w:w="1135" w:type="dxa"/>
            <w:tcBorders>
              <w:top w:val="nil"/>
              <w:left w:val="nil"/>
              <w:bottom w:val="double" w:sz="6" w:space="0" w:color="auto"/>
              <w:right w:val="double" w:sz="6" w:space="0" w:color="auto"/>
            </w:tcBorders>
            <w:shd w:val="clear" w:color="auto" w:fill="auto"/>
            <w:noWrap/>
            <w:vAlign w:val="center"/>
            <w:hideMark/>
          </w:tcPr>
          <w:p w14:paraId="5E56D190" w14:textId="77777777" w:rsidR="0067338B" w:rsidRPr="00C64727" w:rsidRDefault="007708E7">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90 694</w:t>
            </w:r>
          </w:p>
        </w:tc>
        <w:tc>
          <w:tcPr>
            <w:tcW w:w="1135" w:type="dxa"/>
            <w:tcBorders>
              <w:top w:val="nil"/>
              <w:left w:val="nil"/>
              <w:bottom w:val="double" w:sz="6" w:space="0" w:color="auto"/>
              <w:right w:val="double" w:sz="6" w:space="0" w:color="auto"/>
            </w:tcBorders>
            <w:shd w:val="clear" w:color="auto" w:fill="auto"/>
            <w:noWrap/>
            <w:vAlign w:val="center"/>
            <w:hideMark/>
          </w:tcPr>
          <w:p w14:paraId="43B27C0C" w14:textId="77777777" w:rsidR="0067338B" w:rsidRPr="00C64727" w:rsidRDefault="007708E7">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77 741</w:t>
            </w:r>
          </w:p>
        </w:tc>
        <w:tc>
          <w:tcPr>
            <w:tcW w:w="1135" w:type="dxa"/>
            <w:tcBorders>
              <w:top w:val="nil"/>
              <w:left w:val="nil"/>
              <w:bottom w:val="double" w:sz="6" w:space="0" w:color="auto"/>
              <w:right w:val="double" w:sz="6" w:space="0" w:color="auto"/>
            </w:tcBorders>
            <w:shd w:val="clear" w:color="auto" w:fill="auto"/>
            <w:noWrap/>
            <w:vAlign w:val="center"/>
            <w:hideMark/>
          </w:tcPr>
          <w:p w14:paraId="314DA011" w14:textId="77777777" w:rsidR="0067338B" w:rsidRPr="00C64727" w:rsidRDefault="007708E7">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66 740</w:t>
            </w:r>
          </w:p>
        </w:tc>
        <w:tc>
          <w:tcPr>
            <w:tcW w:w="1288" w:type="dxa"/>
            <w:tcBorders>
              <w:top w:val="nil"/>
              <w:left w:val="nil"/>
              <w:bottom w:val="double" w:sz="6" w:space="0" w:color="auto"/>
              <w:right w:val="double" w:sz="6" w:space="0" w:color="auto"/>
            </w:tcBorders>
            <w:shd w:val="clear" w:color="auto" w:fill="auto"/>
            <w:noWrap/>
            <w:vAlign w:val="center"/>
            <w:hideMark/>
          </w:tcPr>
          <w:p w14:paraId="0A027F80" w14:textId="77777777" w:rsidR="0067338B" w:rsidRPr="00C64727" w:rsidRDefault="007708E7">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54 550</w:t>
            </w:r>
          </w:p>
        </w:tc>
        <w:tc>
          <w:tcPr>
            <w:tcW w:w="1288" w:type="dxa"/>
            <w:tcBorders>
              <w:top w:val="nil"/>
              <w:left w:val="nil"/>
              <w:bottom w:val="double" w:sz="6" w:space="0" w:color="auto"/>
              <w:right w:val="double" w:sz="6" w:space="0" w:color="auto"/>
            </w:tcBorders>
            <w:shd w:val="clear" w:color="auto" w:fill="auto"/>
            <w:noWrap/>
            <w:vAlign w:val="center"/>
            <w:hideMark/>
          </w:tcPr>
          <w:p w14:paraId="1CE20461" w14:textId="77777777" w:rsidR="0067338B" w:rsidRPr="00C64727" w:rsidRDefault="007708E7">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80 295</w:t>
            </w:r>
          </w:p>
        </w:tc>
      </w:tr>
      <w:tr w:rsidR="0067338B" w:rsidRPr="00C64727" w14:paraId="7F676F58" w14:textId="77777777" w:rsidTr="007708E7">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0749B80B" w14:textId="77777777" w:rsidR="0067338B" w:rsidRPr="00C64727" w:rsidRDefault="007708E7">
            <w:pPr>
              <w:spacing w:after="0" w:line="240" w:lineRule="auto"/>
              <w:jc w:val="center"/>
              <w:rPr>
                <w:rFonts w:ascii="Times New Roman" w:eastAsia="Times New Roman" w:hAnsi="Times New Roman"/>
                <w:b/>
                <w:bCs/>
                <w:color w:val="000000"/>
                <w:sz w:val="20"/>
                <w:szCs w:val="20"/>
              </w:rPr>
            </w:pPr>
            <w:r w:rsidRPr="00C64727">
              <w:rPr>
                <w:rFonts w:ascii="Times New Roman" w:hAnsi="Times New Roman"/>
                <w:b/>
                <w:bCs/>
                <w:sz w:val="20"/>
                <w:szCs w:val="20"/>
              </w:rPr>
              <w:t>EE</w:t>
            </w:r>
          </w:p>
        </w:tc>
        <w:tc>
          <w:tcPr>
            <w:tcW w:w="1135" w:type="dxa"/>
            <w:tcBorders>
              <w:top w:val="nil"/>
              <w:left w:val="nil"/>
              <w:bottom w:val="double" w:sz="6" w:space="0" w:color="auto"/>
              <w:right w:val="double" w:sz="6" w:space="0" w:color="auto"/>
            </w:tcBorders>
            <w:shd w:val="clear" w:color="auto" w:fill="auto"/>
            <w:noWrap/>
            <w:vAlign w:val="center"/>
            <w:hideMark/>
          </w:tcPr>
          <w:p w14:paraId="322622DD" w14:textId="77777777" w:rsidR="0067338B" w:rsidRPr="00C64727" w:rsidRDefault="007708E7">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0</w:t>
            </w:r>
          </w:p>
        </w:tc>
        <w:tc>
          <w:tcPr>
            <w:tcW w:w="1135" w:type="dxa"/>
            <w:tcBorders>
              <w:top w:val="nil"/>
              <w:left w:val="nil"/>
              <w:bottom w:val="double" w:sz="6" w:space="0" w:color="auto"/>
              <w:right w:val="double" w:sz="6" w:space="0" w:color="auto"/>
            </w:tcBorders>
            <w:shd w:val="clear" w:color="auto" w:fill="auto"/>
            <w:noWrap/>
            <w:vAlign w:val="center"/>
            <w:hideMark/>
          </w:tcPr>
          <w:p w14:paraId="7C1439D8" w14:textId="77777777" w:rsidR="0067338B" w:rsidRPr="00C64727" w:rsidRDefault="007708E7">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188 682</w:t>
            </w:r>
          </w:p>
        </w:tc>
        <w:tc>
          <w:tcPr>
            <w:tcW w:w="1135" w:type="dxa"/>
            <w:tcBorders>
              <w:top w:val="nil"/>
              <w:left w:val="nil"/>
              <w:bottom w:val="double" w:sz="6" w:space="0" w:color="auto"/>
              <w:right w:val="double" w:sz="6" w:space="0" w:color="auto"/>
            </w:tcBorders>
            <w:shd w:val="clear" w:color="auto" w:fill="auto"/>
            <w:noWrap/>
            <w:vAlign w:val="center"/>
            <w:hideMark/>
          </w:tcPr>
          <w:p w14:paraId="2EFC1133" w14:textId="77777777" w:rsidR="0067338B" w:rsidRPr="00C64727" w:rsidRDefault="007708E7">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134 897</w:t>
            </w:r>
          </w:p>
        </w:tc>
        <w:tc>
          <w:tcPr>
            <w:tcW w:w="1135" w:type="dxa"/>
            <w:tcBorders>
              <w:top w:val="nil"/>
              <w:left w:val="nil"/>
              <w:bottom w:val="double" w:sz="6" w:space="0" w:color="auto"/>
              <w:right w:val="double" w:sz="6" w:space="0" w:color="auto"/>
            </w:tcBorders>
            <w:shd w:val="clear" w:color="auto" w:fill="auto"/>
            <w:noWrap/>
            <w:vAlign w:val="center"/>
            <w:hideMark/>
          </w:tcPr>
          <w:p w14:paraId="172CA394" w14:textId="77777777" w:rsidR="0067338B" w:rsidRPr="00C64727" w:rsidRDefault="007708E7">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1 767 499</w:t>
            </w:r>
          </w:p>
        </w:tc>
        <w:tc>
          <w:tcPr>
            <w:tcW w:w="1288" w:type="dxa"/>
            <w:tcBorders>
              <w:top w:val="nil"/>
              <w:left w:val="nil"/>
              <w:bottom w:val="double" w:sz="6" w:space="0" w:color="auto"/>
              <w:right w:val="double" w:sz="6" w:space="0" w:color="auto"/>
            </w:tcBorders>
            <w:shd w:val="clear" w:color="auto" w:fill="auto"/>
            <w:noWrap/>
            <w:vAlign w:val="center"/>
            <w:hideMark/>
          </w:tcPr>
          <w:p w14:paraId="268C1446" w14:textId="77777777" w:rsidR="0067338B" w:rsidRPr="00C64727" w:rsidRDefault="007708E7">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761 088</w:t>
            </w:r>
          </w:p>
        </w:tc>
        <w:tc>
          <w:tcPr>
            <w:tcW w:w="1288" w:type="dxa"/>
            <w:tcBorders>
              <w:top w:val="nil"/>
              <w:left w:val="nil"/>
              <w:bottom w:val="double" w:sz="6" w:space="0" w:color="auto"/>
              <w:right w:val="double" w:sz="6" w:space="0" w:color="auto"/>
            </w:tcBorders>
            <w:shd w:val="clear" w:color="auto" w:fill="auto"/>
            <w:noWrap/>
            <w:vAlign w:val="center"/>
            <w:hideMark/>
          </w:tcPr>
          <w:p w14:paraId="66F27B0C" w14:textId="77777777" w:rsidR="0067338B" w:rsidRPr="00C64727" w:rsidRDefault="007708E7">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50 026</w:t>
            </w:r>
          </w:p>
        </w:tc>
      </w:tr>
      <w:tr w:rsidR="0067338B" w:rsidRPr="00C64727" w14:paraId="3B5F6919" w14:textId="77777777" w:rsidTr="007708E7">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3E278A11" w14:textId="77777777" w:rsidR="0067338B" w:rsidRPr="00C64727" w:rsidRDefault="007708E7">
            <w:pPr>
              <w:spacing w:after="0" w:line="240" w:lineRule="auto"/>
              <w:jc w:val="center"/>
              <w:rPr>
                <w:rFonts w:ascii="Times New Roman" w:eastAsia="Times New Roman" w:hAnsi="Times New Roman"/>
                <w:b/>
                <w:bCs/>
                <w:color w:val="000000"/>
                <w:sz w:val="20"/>
                <w:szCs w:val="20"/>
              </w:rPr>
            </w:pPr>
            <w:r w:rsidRPr="00C64727">
              <w:rPr>
                <w:rFonts w:ascii="Times New Roman" w:hAnsi="Times New Roman"/>
                <w:b/>
                <w:bCs/>
                <w:sz w:val="20"/>
                <w:szCs w:val="20"/>
              </w:rPr>
              <w:t>LT</w:t>
            </w:r>
          </w:p>
        </w:tc>
        <w:tc>
          <w:tcPr>
            <w:tcW w:w="1135" w:type="dxa"/>
            <w:tcBorders>
              <w:top w:val="nil"/>
              <w:left w:val="nil"/>
              <w:bottom w:val="double" w:sz="6" w:space="0" w:color="auto"/>
              <w:right w:val="double" w:sz="6" w:space="0" w:color="auto"/>
            </w:tcBorders>
            <w:shd w:val="clear" w:color="auto" w:fill="auto"/>
            <w:noWrap/>
            <w:vAlign w:val="center"/>
            <w:hideMark/>
          </w:tcPr>
          <w:p w14:paraId="0DE874D6" w14:textId="77777777" w:rsidR="0067338B" w:rsidRPr="00C64727" w:rsidRDefault="007708E7">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259 924</w:t>
            </w:r>
          </w:p>
        </w:tc>
        <w:tc>
          <w:tcPr>
            <w:tcW w:w="1135" w:type="dxa"/>
            <w:tcBorders>
              <w:top w:val="nil"/>
              <w:left w:val="nil"/>
              <w:bottom w:val="double" w:sz="6" w:space="0" w:color="auto"/>
              <w:right w:val="double" w:sz="6" w:space="0" w:color="auto"/>
            </w:tcBorders>
            <w:shd w:val="clear" w:color="auto" w:fill="auto"/>
            <w:noWrap/>
            <w:vAlign w:val="center"/>
            <w:hideMark/>
          </w:tcPr>
          <w:p w14:paraId="29D6F43C" w14:textId="77777777" w:rsidR="0067338B" w:rsidRPr="00C64727" w:rsidRDefault="007708E7">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0</w:t>
            </w:r>
          </w:p>
        </w:tc>
        <w:tc>
          <w:tcPr>
            <w:tcW w:w="1135" w:type="dxa"/>
            <w:tcBorders>
              <w:top w:val="nil"/>
              <w:left w:val="nil"/>
              <w:bottom w:val="double" w:sz="6" w:space="0" w:color="auto"/>
              <w:right w:val="double" w:sz="6" w:space="0" w:color="auto"/>
            </w:tcBorders>
            <w:shd w:val="clear" w:color="auto" w:fill="auto"/>
            <w:noWrap/>
            <w:vAlign w:val="center"/>
            <w:hideMark/>
          </w:tcPr>
          <w:p w14:paraId="36646801" w14:textId="77777777" w:rsidR="0067338B" w:rsidRPr="00C64727" w:rsidRDefault="007708E7">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456 725</w:t>
            </w:r>
          </w:p>
        </w:tc>
        <w:tc>
          <w:tcPr>
            <w:tcW w:w="1135" w:type="dxa"/>
            <w:tcBorders>
              <w:top w:val="nil"/>
              <w:left w:val="nil"/>
              <w:bottom w:val="double" w:sz="6" w:space="0" w:color="auto"/>
              <w:right w:val="double" w:sz="6" w:space="0" w:color="auto"/>
            </w:tcBorders>
            <w:shd w:val="clear" w:color="auto" w:fill="auto"/>
            <w:noWrap/>
            <w:vAlign w:val="center"/>
            <w:hideMark/>
          </w:tcPr>
          <w:p w14:paraId="44F6CFC5" w14:textId="77777777" w:rsidR="0067338B" w:rsidRPr="00C64727" w:rsidRDefault="007708E7">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191 229</w:t>
            </w:r>
          </w:p>
        </w:tc>
        <w:tc>
          <w:tcPr>
            <w:tcW w:w="1288" w:type="dxa"/>
            <w:tcBorders>
              <w:top w:val="nil"/>
              <w:left w:val="nil"/>
              <w:bottom w:val="double" w:sz="6" w:space="0" w:color="auto"/>
              <w:right w:val="double" w:sz="6" w:space="0" w:color="auto"/>
            </w:tcBorders>
            <w:shd w:val="clear" w:color="auto" w:fill="auto"/>
            <w:noWrap/>
            <w:vAlign w:val="center"/>
            <w:hideMark/>
          </w:tcPr>
          <w:p w14:paraId="4B8D9780" w14:textId="77777777" w:rsidR="0067338B" w:rsidRPr="00C64727" w:rsidRDefault="007708E7">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161 522</w:t>
            </w:r>
          </w:p>
        </w:tc>
        <w:tc>
          <w:tcPr>
            <w:tcW w:w="1288" w:type="dxa"/>
            <w:tcBorders>
              <w:top w:val="nil"/>
              <w:left w:val="nil"/>
              <w:bottom w:val="double" w:sz="6" w:space="0" w:color="auto"/>
              <w:right w:val="double" w:sz="6" w:space="0" w:color="auto"/>
            </w:tcBorders>
            <w:shd w:val="clear" w:color="auto" w:fill="auto"/>
            <w:noWrap/>
            <w:vAlign w:val="center"/>
            <w:hideMark/>
          </w:tcPr>
          <w:p w14:paraId="11F9E8A9" w14:textId="77777777" w:rsidR="0067338B" w:rsidRPr="00C64727" w:rsidRDefault="007708E7">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128 105</w:t>
            </w:r>
          </w:p>
        </w:tc>
      </w:tr>
      <w:tr w:rsidR="0067338B" w:rsidRPr="00C64727" w14:paraId="6E5D041C" w14:textId="77777777" w:rsidTr="007708E7">
        <w:trPr>
          <w:trHeight w:val="405"/>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564FA56B" w14:textId="77777777" w:rsidR="0067338B" w:rsidRPr="00C64727" w:rsidRDefault="007708E7">
            <w:pPr>
              <w:spacing w:after="0" w:line="240" w:lineRule="auto"/>
              <w:jc w:val="center"/>
              <w:rPr>
                <w:rFonts w:ascii="Times New Roman" w:eastAsia="Times New Roman" w:hAnsi="Times New Roman"/>
                <w:b/>
                <w:bCs/>
                <w:color w:val="000000"/>
                <w:sz w:val="20"/>
                <w:szCs w:val="20"/>
              </w:rPr>
            </w:pPr>
            <w:r w:rsidRPr="00C64727">
              <w:rPr>
                <w:rFonts w:ascii="Times New Roman" w:hAnsi="Times New Roman"/>
                <w:b/>
                <w:bCs/>
                <w:sz w:val="20"/>
                <w:szCs w:val="20"/>
              </w:rPr>
              <w:t>PL</w:t>
            </w:r>
          </w:p>
        </w:tc>
        <w:tc>
          <w:tcPr>
            <w:tcW w:w="1135" w:type="dxa"/>
            <w:tcBorders>
              <w:top w:val="nil"/>
              <w:left w:val="nil"/>
              <w:bottom w:val="double" w:sz="6" w:space="0" w:color="auto"/>
              <w:right w:val="double" w:sz="6" w:space="0" w:color="auto"/>
            </w:tcBorders>
            <w:shd w:val="clear" w:color="auto" w:fill="auto"/>
            <w:noWrap/>
            <w:vAlign w:val="center"/>
            <w:hideMark/>
          </w:tcPr>
          <w:p w14:paraId="4889E2B2" w14:textId="77777777" w:rsidR="0067338B" w:rsidRPr="00C64727" w:rsidRDefault="007708E7">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1 196</w:t>
            </w:r>
          </w:p>
        </w:tc>
        <w:tc>
          <w:tcPr>
            <w:tcW w:w="1135" w:type="dxa"/>
            <w:tcBorders>
              <w:top w:val="nil"/>
              <w:left w:val="nil"/>
              <w:bottom w:val="double" w:sz="6" w:space="0" w:color="auto"/>
              <w:right w:val="double" w:sz="6" w:space="0" w:color="auto"/>
            </w:tcBorders>
            <w:shd w:val="clear" w:color="auto" w:fill="auto"/>
            <w:noWrap/>
            <w:vAlign w:val="center"/>
            <w:hideMark/>
          </w:tcPr>
          <w:p w14:paraId="6CCAA4EC" w14:textId="77777777" w:rsidR="0067338B" w:rsidRPr="00C64727" w:rsidRDefault="007708E7">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0</w:t>
            </w:r>
          </w:p>
        </w:tc>
        <w:tc>
          <w:tcPr>
            <w:tcW w:w="1135" w:type="dxa"/>
            <w:tcBorders>
              <w:top w:val="nil"/>
              <w:left w:val="nil"/>
              <w:bottom w:val="double" w:sz="6" w:space="0" w:color="auto"/>
              <w:right w:val="double" w:sz="6" w:space="0" w:color="auto"/>
            </w:tcBorders>
            <w:shd w:val="clear" w:color="auto" w:fill="auto"/>
            <w:noWrap/>
            <w:vAlign w:val="center"/>
            <w:hideMark/>
          </w:tcPr>
          <w:p w14:paraId="3525DEE8" w14:textId="77777777" w:rsidR="0067338B" w:rsidRPr="00C64727" w:rsidRDefault="007708E7">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7 491</w:t>
            </w:r>
          </w:p>
        </w:tc>
        <w:tc>
          <w:tcPr>
            <w:tcW w:w="1135" w:type="dxa"/>
            <w:tcBorders>
              <w:top w:val="nil"/>
              <w:left w:val="nil"/>
              <w:bottom w:val="double" w:sz="6" w:space="0" w:color="auto"/>
              <w:right w:val="double" w:sz="6" w:space="0" w:color="auto"/>
            </w:tcBorders>
            <w:shd w:val="clear" w:color="auto" w:fill="auto"/>
            <w:noWrap/>
            <w:vAlign w:val="center"/>
            <w:hideMark/>
          </w:tcPr>
          <w:p w14:paraId="08E536C9" w14:textId="77777777" w:rsidR="0067338B" w:rsidRPr="00C64727" w:rsidRDefault="007708E7">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0</w:t>
            </w:r>
          </w:p>
        </w:tc>
        <w:tc>
          <w:tcPr>
            <w:tcW w:w="1288" w:type="dxa"/>
            <w:tcBorders>
              <w:top w:val="nil"/>
              <w:left w:val="nil"/>
              <w:bottom w:val="double" w:sz="6" w:space="0" w:color="auto"/>
              <w:right w:val="double" w:sz="6" w:space="0" w:color="auto"/>
            </w:tcBorders>
            <w:shd w:val="clear" w:color="auto" w:fill="auto"/>
            <w:noWrap/>
            <w:vAlign w:val="center"/>
            <w:hideMark/>
          </w:tcPr>
          <w:p w14:paraId="5C7381F4" w14:textId="77777777" w:rsidR="0067338B" w:rsidRPr="00C64727" w:rsidRDefault="007708E7">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55 800 000</w:t>
            </w:r>
          </w:p>
        </w:tc>
        <w:tc>
          <w:tcPr>
            <w:tcW w:w="1288" w:type="dxa"/>
            <w:tcBorders>
              <w:top w:val="nil"/>
              <w:left w:val="nil"/>
              <w:bottom w:val="double" w:sz="6" w:space="0" w:color="auto"/>
              <w:right w:val="double" w:sz="6" w:space="0" w:color="auto"/>
            </w:tcBorders>
            <w:shd w:val="clear" w:color="auto" w:fill="auto"/>
            <w:noWrap/>
            <w:vAlign w:val="center"/>
            <w:hideMark/>
          </w:tcPr>
          <w:p w14:paraId="564D4BAD" w14:textId="77777777" w:rsidR="0067338B" w:rsidRPr="00C64727" w:rsidRDefault="007708E7">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49 520 000</w:t>
            </w:r>
          </w:p>
        </w:tc>
      </w:tr>
      <w:tr w:rsidR="0067338B" w:rsidRPr="00C64727" w14:paraId="0F2435B6" w14:textId="77777777" w:rsidTr="007708E7">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0173A554" w14:textId="77777777" w:rsidR="0067338B" w:rsidRPr="00C64727" w:rsidRDefault="007708E7">
            <w:pPr>
              <w:spacing w:after="0" w:line="240" w:lineRule="auto"/>
              <w:jc w:val="center"/>
              <w:rPr>
                <w:rFonts w:ascii="Times New Roman" w:eastAsia="Times New Roman" w:hAnsi="Times New Roman"/>
                <w:b/>
                <w:bCs/>
                <w:color w:val="000000"/>
                <w:sz w:val="20"/>
                <w:szCs w:val="20"/>
              </w:rPr>
            </w:pPr>
            <w:r w:rsidRPr="00C64727">
              <w:rPr>
                <w:rFonts w:ascii="Times New Roman" w:hAnsi="Times New Roman"/>
                <w:b/>
                <w:bCs/>
                <w:sz w:val="20"/>
                <w:szCs w:val="20"/>
              </w:rPr>
              <w:t>RO</w:t>
            </w:r>
          </w:p>
        </w:tc>
        <w:tc>
          <w:tcPr>
            <w:tcW w:w="1135" w:type="dxa"/>
            <w:tcBorders>
              <w:top w:val="nil"/>
              <w:left w:val="nil"/>
              <w:bottom w:val="double" w:sz="6" w:space="0" w:color="auto"/>
              <w:right w:val="double" w:sz="6" w:space="0" w:color="auto"/>
            </w:tcBorders>
            <w:shd w:val="clear" w:color="auto" w:fill="auto"/>
            <w:noWrap/>
            <w:vAlign w:val="center"/>
            <w:hideMark/>
          </w:tcPr>
          <w:p w14:paraId="4C9A446F" w14:textId="77777777" w:rsidR="0067338B" w:rsidRPr="00C64727" w:rsidRDefault="007708E7">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2 104 468</w:t>
            </w:r>
          </w:p>
        </w:tc>
        <w:tc>
          <w:tcPr>
            <w:tcW w:w="1135" w:type="dxa"/>
            <w:tcBorders>
              <w:top w:val="nil"/>
              <w:left w:val="nil"/>
              <w:bottom w:val="double" w:sz="6" w:space="0" w:color="auto"/>
              <w:right w:val="double" w:sz="6" w:space="0" w:color="auto"/>
            </w:tcBorders>
            <w:shd w:val="clear" w:color="auto" w:fill="auto"/>
            <w:noWrap/>
            <w:vAlign w:val="center"/>
            <w:hideMark/>
          </w:tcPr>
          <w:p w14:paraId="554023A7" w14:textId="77777777" w:rsidR="0067338B" w:rsidRPr="00C64727" w:rsidRDefault="007708E7">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6 710 664</w:t>
            </w:r>
          </w:p>
        </w:tc>
        <w:tc>
          <w:tcPr>
            <w:tcW w:w="1135" w:type="dxa"/>
            <w:tcBorders>
              <w:top w:val="nil"/>
              <w:left w:val="nil"/>
              <w:bottom w:val="double" w:sz="6" w:space="0" w:color="auto"/>
              <w:right w:val="double" w:sz="6" w:space="0" w:color="auto"/>
            </w:tcBorders>
            <w:shd w:val="clear" w:color="auto" w:fill="auto"/>
            <w:noWrap/>
            <w:vAlign w:val="center"/>
            <w:hideMark/>
          </w:tcPr>
          <w:p w14:paraId="18A48DFE" w14:textId="77777777" w:rsidR="0067338B" w:rsidRPr="00C64727" w:rsidRDefault="007708E7">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3 540 974</w:t>
            </w:r>
          </w:p>
        </w:tc>
        <w:tc>
          <w:tcPr>
            <w:tcW w:w="1135" w:type="dxa"/>
            <w:tcBorders>
              <w:top w:val="nil"/>
              <w:left w:val="nil"/>
              <w:bottom w:val="double" w:sz="6" w:space="0" w:color="auto"/>
              <w:right w:val="double" w:sz="6" w:space="0" w:color="auto"/>
            </w:tcBorders>
            <w:shd w:val="clear" w:color="auto" w:fill="auto"/>
            <w:noWrap/>
            <w:vAlign w:val="center"/>
            <w:hideMark/>
          </w:tcPr>
          <w:p w14:paraId="7BE81852" w14:textId="77777777" w:rsidR="0067338B" w:rsidRPr="00C64727" w:rsidRDefault="007708E7">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3 011 456</w:t>
            </w:r>
          </w:p>
        </w:tc>
        <w:tc>
          <w:tcPr>
            <w:tcW w:w="1288" w:type="dxa"/>
            <w:tcBorders>
              <w:top w:val="nil"/>
              <w:left w:val="nil"/>
              <w:bottom w:val="double" w:sz="6" w:space="0" w:color="auto"/>
              <w:right w:val="double" w:sz="6" w:space="0" w:color="auto"/>
            </w:tcBorders>
            <w:shd w:val="clear" w:color="auto" w:fill="auto"/>
            <w:noWrap/>
            <w:vAlign w:val="center"/>
            <w:hideMark/>
          </w:tcPr>
          <w:p w14:paraId="11F9F3D5" w14:textId="77777777" w:rsidR="0067338B" w:rsidRPr="00C64727" w:rsidRDefault="007708E7">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0</w:t>
            </w:r>
          </w:p>
        </w:tc>
        <w:tc>
          <w:tcPr>
            <w:tcW w:w="1288" w:type="dxa"/>
            <w:tcBorders>
              <w:top w:val="nil"/>
              <w:left w:val="nil"/>
              <w:bottom w:val="double" w:sz="6" w:space="0" w:color="auto"/>
              <w:right w:val="double" w:sz="6" w:space="0" w:color="auto"/>
            </w:tcBorders>
            <w:shd w:val="clear" w:color="auto" w:fill="auto"/>
            <w:noWrap/>
            <w:vAlign w:val="center"/>
            <w:hideMark/>
          </w:tcPr>
          <w:p w14:paraId="3D0BF78A" w14:textId="77777777" w:rsidR="0067338B" w:rsidRPr="00C64727" w:rsidRDefault="007708E7">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0</w:t>
            </w:r>
          </w:p>
        </w:tc>
      </w:tr>
      <w:tr w:rsidR="0067338B" w:rsidRPr="00C64727" w14:paraId="23B118CF" w14:textId="77777777" w:rsidTr="007708E7">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7B2D5304" w14:textId="77777777" w:rsidR="0067338B" w:rsidRPr="00C64727" w:rsidRDefault="007708E7">
            <w:pPr>
              <w:spacing w:after="0" w:line="240" w:lineRule="auto"/>
              <w:jc w:val="center"/>
              <w:rPr>
                <w:rFonts w:ascii="Times New Roman" w:eastAsia="Times New Roman" w:hAnsi="Times New Roman"/>
                <w:b/>
                <w:bCs/>
                <w:color w:val="000000"/>
                <w:sz w:val="20"/>
                <w:szCs w:val="20"/>
              </w:rPr>
            </w:pPr>
            <w:r w:rsidRPr="00C64727">
              <w:rPr>
                <w:rFonts w:ascii="Times New Roman" w:hAnsi="Times New Roman"/>
                <w:b/>
                <w:bCs/>
                <w:sz w:val="20"/>
                <w:szCs w:val="20"/>
              </w:rPr>
              <w:t>HU</w:t>
            </w:r>
          </w:p>
        </w:tc>
        <w:tc>
          <w:tcPr>
            <w:tcW w:w="1135" w:type="dxa"/>
            <w:tcBorders>
              <w:top w:val="nil"/>
              <w:left w:val="nil"/>
              <w:bottom w:val="double" w:sz="6" w:space="0" w:color="auto"/>
              <w:right w:val="double" w:sz="6" w:space="0" w:color="auto"/>
            </w:tcBorders>
            <w:shd w:val="clear" w:color="auto" w:fill="auto"/>
            <w:noWrap/>
            <w:vAlign w:val="center"/>
            <w:hideMark/>
          </w:tcPr>
          <w:p w14:paraId="14D6C0BC" w14:textId="77777777" w:rsidR="0067338B" w:rsidRPr="00C64727" w:rsidRDefault="007708E7">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0</w:t>
            </w:r>
          </w:p>
        </w:tc>
        <w:tc>
          <w:tcPr>
            <w:tcW w:w="1135" w:type="dxa"/>
            <w:tcBorders>
              <w:top w:val="nil"/>
              <w:left w:val="nil"/>
              <w:bottom w:val="double" w:sz="6" w:space="0" w:color="auto"/>
              <w:right w:val="double" w:sz="6" w:space="0" w:color="auto"/>
            </w:tcBorders>
            <w:shd w:val="clear" w:color="auto" w:fill="auto"/>
            <w:noWrap/>
            <w:vAlign w:val="center"/>
            <w:hideMark/>
          </w:tcPr>
          <w:p w14:paraId="0DAC9E94" w14:textId="77777777" w:rsidR="0067338B" w:rsidRPr="00C64727" w:rsidRDefault="007708E7">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0</w:t>
            </w:r>
          </w:p>
        </w:tc>
        <w:tc>
          <w:tcPr>
            <w:tcW w:w="1135" w:type="dxa"/>
            <w:tcBorders>
              <w:top w:val="nil"/>
              <w:left w:val="nil"/>
              <w:bottom w:val="double" w:sz="6" w:space="0" w:color="auto"/>
              <w:right w:val="double" w:sz="6" w:space="0" w:color="auto"/>
            </w:tcBorders>
            <w:shd w:val="clear" w:color="auto" w:fill="auto"/>
            <w:noWrap/>
            <w:vAlign w:val="center"/>
            <w:hideMark/>
          </w:tcPr>
          <w:p w14:paraId="324C42AC" w14:textId="77777777" w:rsidR="0067338B" w:rsidRPr="00C64727" w:rsidRDefault="007708E7">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0</w:t>
            </w:r>
          </w:p>
        </w:tc>
        <w:tc>
          <w:tcPr>
            <w:tcW w:w="1135" w:type="dxa"/>
            <w:tcBorders>
              <w:top w:val="nil"/>
              <w:left w:val="nil"/>
              <w:bottom w:val="double" w:sz="6" w:space="0" w:color="auto"/>
              <w:right w:val="double" w:sz="6" w:space="0" w:color="auto"/>
            </w:tcBorders>
            <w:shd w:val="clear" w:color="auto" w:fill="auto"/>
            <w:noWrap/>
            <w:vAlign w:val="center"/>
            <w:hideMark/>
          </w:tcPr>
          <w:p w14:paraId="32A68F16" w14:textId="77777777" w:rsidR="0067338B" w:rsidRPr="00C64727" w:rsidRDefault="007708E7">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0</w:t>
            </w:r>
          </w:p>
        </w:tc>
        <w:tc>
          <w:tcPr>
            <w:tcW w:w="1288" w:type="dxa"/>
            <w:tcBorders>
              <w:top w:val="nil"/>
              <w:left w:val="nil"/>
              <w:bottom w:val="double" w:sz="6" w:space="0" w:color="auto"/>
              <w:right w:val="double" w:sz="6" w:space="0" w:color="auto"/>
            </w:tcBorders>
            <w:shd w:val="clear" w:color="auto" w:fill="auto"/>
            <w:noWrap/>
            <w:vAlign w:val="center"/>
            <w:hideMark/>
          </w:tcPr>
          <w:p w14:paraId="3ACC0739" w14:textId="77777777" w:rsidR="0067338B" w:rsidRPr="00C64727" w:rsidRDefault="007708E7">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0</w:t>
            </w:r>
          </w:p>
        </w:tc>
        <w:tc>
          <w:tcPr>
            <w:tcW w:w="1288" w:type="dxa"/>
            <w:tcBorders>
              <w:top w:val="nil"/>
              <w:left w:val="nil"/>
              <w:bottom w:val="double" w:sz="6" w:space="0" w:color="auto"/>
              <w:right w:val="double" w:sz="6" w:space="0" w:color="auto"/>
            </w:tcBorders>
            <w:shd w:val="clear" w:color="auto" w:fill="auto"/>
            <w:noWrap/>
            <w:vAlign w:val="center"/>
            <w:hideMark/>
          </w:tcPr>
          <w:p w14:paraId="403DF371" w14:textId="77777777" w:rsidR="0067338B" w:rsidRPr="00C64727" w:rsidRDefault="007708E7">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0</w:t>
            </w:r>
          </w:p>
        </w:tc>
      </w:tr>
    </w:tbl>
    <w:p w14:paraId="5C11801C" w14:textId="18301D18" w:rsidR="0067338B" w:rsidRPr="00C64727" w:rsidRDefault="00526348">
      <w:pPr>
        <w:rPr>
          <w:rFonts w:ascii="Times New Roman" w:hAnsi="Times New Roman"/>
          <w:sz w:val="18"/>
          <w:szCs w:val="18"/>
        </w:rPr>
      </w:pPr>
      <w:r w:rsidRPr="00C64727">
        <w:rPr>
          <w:rFonts w:ascii="Times New Roman" w:hAnsi="Times New Roman"/>
          <w:sz w:val="18"/>
          <w:szCs w:val="18"/>
        </w:rPr>
        <w:t>Forrás: Éghajlatpolitikai Főigazgatóság</w:t>
      </w:r>
    </w:p>
    <w:p w14:paraId="266C93E1" w14:textId="77777777" w:rsidR="0067338B" w:rsidRPr="00C64727" w:rsidRDefault="0067338B">
      <w:pPr>
        <w:rPr>
          <w:rFonts w:ascii="Times New Roman" w:hAnsi="Times New Roman"/>
          <w:b/>
          <w:sz w:val="24"/>
          <w:szCs w:val="24"/>
        </w:rPr>
      </w:pPr>
    </w:p>
    <w:p w14:paraId="2E71F32F" w14:textId="77777777" w:rsidR="0067338B" w:rsidRPr="00C64727" w:rsidRDefault="003A348D">
      <w:pPr>
        <w:rPr>
          <w:rFonts w:ascii="Times New Roman" w:hAnsi="Times New Roman"/>
          <w:b/>
        </w:rPr>
      </w:pPr>
      <w:r w:rsidRPr="00C64727">
        <w:rPr>
          <w:rFonts w:ascii="Times New Roman" w:hAnsi="Times New Roman"/>
          <w:b/>
        </w:rPr>
        <w:t>2. függelék</w:t>
      </w:r>
    </w:p>
    <w:p w14:paraId="648B20BF" w14:textId="77777777" w:rsidR="0067338B" w:rsidRPr="00C64727" w:rsidRDefault="003A348D">
      <w:pPr>
        <w:rPr>
          <w:rFonts w:ascii="Times New Roman" w:hAnsi="Times New Roman"/>
          <w:b/>
          <w:sz w:val="20"/>
          <w:szCs w:val="20"/>
        </w:rPr>
      </w:pPr>
      <w:r w:rsidRPr="00C64727">
        <w:rPr>
          <w:rFonts w:ascii="Times New Roman" w:hAnsi="Times New Roman"/>
          <w:b/>
          <w:sz w:val="20"/>
          <w:szCs w:val="20"/>
        </w:rPr>
        <w:t>2.1. ábra: Általános célú kibocsátási egységekre 2013 és 2019. június 30. között lezajlott árveréseken részt vevő ajánlattevők számra</w:t>
      </w:r>
    </w:p>
    <w:p w14:paraId="487434F3" w14:textId="77777777" w:rsidR="0067338B" w:rsidRPr="00C64727" w:rsidRDefault="006E0EB4">
      <w:pPr>
        <w:spacing w:after="0"/>
        <w:rPr>
          <w:rFonts w:ascii="Times New Roman" w:hAnsi="Times New Roman"/>
          <w:b/>
          <w:color w:val="00B050"/>
          <w:sz w:val="24"/>
          <w:szCs w:val="24"/>
        </w:rPr>
      </w:pPr>
      <w:r w:rsidRPr="00C64727">
        <w:rPr>
          <w:rFonts w:ascii="Times New Roman" w:hAnsi="Times New Roman"/>
          <w:b/>
          <w:noProof/>
          <w:color w:val="00B050"/>
          <w:sz w:val="24"/>
          <w:szCs w:val="24"/>
          <w:lang w:val="en-GB" w:eastAsia="en-GB"/>
        </w:rPr>
        <w:drawing>
          <wp:inline distT="0" distB="0" distL="0" distR="0" wp14:anchorId="7589ADBD" wp14:editId="3DDB18D5">
            <wp:extent cx="5908964" cy="2967592"/>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26383" cy="2976340"/>
                    </a:xfrm>
                    <a:prstGeom prst="rect">
                      <a:avLst/>
                    </a:prstGeom>
                    <a:noFill/>
                  </pic:spPr>
                </pic:pic>
              </a:graphicData>
            </a:graphic>
          </wp:inline>
        </w:drawing>
      </w:r>
    </w:p>
    <w:p w14:paraId="2D2027E5" w14:textId="77777777" w:rsidR="0067338B" w:rsidRPr="00C64727" w:rsidRDefault="00626D3C">
      <w:pPr>
        <w:spacing w:after="0"/>
        <w:rPr>
          <w:rFonts w:ascii="Times New Roman" w:hAnsi="Times New Roman"/>
          <w:color w:val="000000" w:themeColor="text1"/>
          <w:sz w:val="18"/>
          <w:szCs w:val="18"/>
        </w:rPr>
      </w:pPr>
      <w:r w:rsidRPr="00C64727">
        <w:rPr>
          <w:rFonts w:ascii="Times New Roman" w:hAnsi="Times New Roman"/>
          <w:sz w:val="18"/>
          <w:szCs w:val="18"/>
        </w:rPr>
        <w:t>Forrás: EEX</w:t>
      </w:r>
    </w:p>
    <w:p w14:paraId="45A738F5" w14:textId="77777777" w:rsidR="0067338B" w:rsidRPr="00C64727" w:rsidRDefault="002A6473">
      <w:pPr>
        <w:rPr>
          <w:rFonts w:ascii="Times New Roman" w:hAnsi="Times New Roman"/>
          <w:b/>
          <w:sz w:val="18"/>
          <w:szCs w:val="18"/>
        </w:rPr>
      </w:pPr>
      <w:r w:rsidRPr="00C64727">
        <w:rPr>
          <w:rFonts w:ascii="Times New Roman" w:hAnsi="Times New Roman"/>
          <w:b/>
          <w:sz w:val="18"/>
          <w:szCs w:val="18"/>
        </w:rPr>
        <w:t xml:space="preserve">.  </w:t>
      </w:r>
      <w:r w:rsidRPr="00C64727">
        <w:rPr>
          <w:rFonts w:ascii="Times New Roman" w:hAnsi="Times New Roman"/>
          <w:sz w:val="18"/>
          <w:szCs w:val="18"/>
        </w:rPr>
        <w:t>Ajánlattevők száma</w:t>
      </w:r>
      <w:r w:rsidRPr="00C64727">
        <w:rPr>
          <w:rFonts w:ascii="Times New Roman" w:hAnsi="Times New Roman"/>
          <w:b/>
          <w:sz w:val="18"/>
          <w:szCs w:val="18"/>
        </w:rPr>
        <w:t xml:space="preserve"> </w:t>
      </w:r>
    </w:p>
    <w:p w14:paraId="3B40F4C2" w14:textId="77777777" w:rsidR="0067338B" w:rsidRPr="00C64727" w:rsidRDefault="0067338B">
      <w:pPr>
        <w:rPr>
          <w:rFonts w:ascii="Times New Roman" w:hAnsi="Times New Roman"/>
          <w:b/>
          <w:sz w:val="24"/>
          <w:szCs w:val="24"/>
        </w:rPr>
      </w:pPr>
    </w:p>
    <w:p w14:paraId="45FA8394" w14:textId="77777777" w:rsidR="0067338B" w:rsidRPr="00C64727" w:rsidRDefault="00CA734B">
      <w:pPr>
        <w:rPr>
          <w:rFonts w:ascii="Times New Roman" w:hAnsi="Times New Roman"/>
          <w:b/>
          <w:sz w:val="24"/>
          <w:szCs w:val="24"/>
          <w:highlight w:val="yellow"/>
        </w:rPr>
      </w:pPr>
      <w:r w:rsidRPr="00C64727">
        <w:rPr>
          <w:rFonts w:ascii="Times New Roman" w:hAnsi="Times New Roman"/>
          <w:sz w:val="24"/>
          <w:szCs w:val="24"/>
        </w:rPr>
        <w:br w:type="page"/>
      </w:r>
    </w:p>
    <w:p w14:paraId="36969B15" w14:textId="77777777" w:rsidR="0067338B" w:rsidRPr="00C64727" w:rsidRDefault="0067338B">
      <w:pPr>
        <w:rPr>
          <w:rFonts w:ascii="Times New Roman" w:hAnsi="Times New Roman"/>
          <w:b/>
          <w:sz w:val="24"/>
          <w:szCs w:val="24"/>
          <w:highlight w:val="yellow"/>
        </w:rPr>
        <w:sectPr w:rsidR="0067338B" w:rsidRPr="00C64727" w:rsidSect="0069589D">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pgNumType w:start="1"/>
          <w:cols w:space="720"/>
          <w:docGrid w:linePitch="360"/>
        </w:sectPr>
      </w:pPr>
    </w:p>
    <w:p w14:paraId="4AC8580F" w14:textId="77777777" w:rsidR="0067338B" w:rsidRPr="00C64727" w:rsidRDefault="00750C8E">
      <w:pPr>
        <w:rPr>
          <w:rFonts w:ascii="Times New Roman" w:hAnsi="Times New Roman"/>
          <w:b/>
          <w:sz w:val="20"/>
          <w:szCs w:val="20"/>
        </w:rPr>
      </w:pPr>
      <w:r w:rsidRPr="00C64727">
        <w:rPr>
          <w:rFonts w:ascii="Times New Roman" w:hAnsi="Times New Roman"/>
          <w:b/>
          <w:sz w:val="20"/>
          <w:szCs w:val="20"/>
        </w:rPr>
        <w:t>2.1. táblázat: Árverésekből származó tagállami bevételek a 2012–2018 közötti időszakban</w:t>
      </w:r>
      <w:r w:rsidRPr="00C64727">
        <w:rPr>
          <w:rStyle w:val="FootnoteReference"/>
          <w:rFonts w:ascii="Times New Roman" w:hAnsi="Times New Roman"/>
          <w:b/>
          <w:sz w:val="20"/>
          <w:szCs w:val="20"/>
        </w:rPr>
        <w:footnoteReference w:id="77"/>
      </w:r>
    </w:p>
    <w:tbl>
      <w:tblPr>
        <w:tblW w:w="14633" w:type="dxa"/>
        <w:tblInd w:w="-459" w:type="dxa"/>
        <w:tblLook w:val="04A0" w:firstRow="1" w:lastRow="0" w:firstColumn="1" w:lastColumn="0" w:noHBand="0" w:noVBand="1"/>
      </w:tblPr>
      <w:tblGrid>
        <w:gridCol w:w="968"/>
        <w:gridCol w:w="822"/>
        <w:gridCol w:w="1170"/>
        <w:gridCol w:w="774"/>
        <w:gridCol w:w="1170"/>
        <w:gridCol w:w="774"/>
        <w:gridCol w:w="1171"/>
        <w:gridCol w:w="775"/>
        <w:gridCol w:w="1171"/>
        <w:gridCol w:w="775"/>
        <w:gridCol w:w="1171"/>
        <w:gridCol w:w="775"/>
        <w:gridCol w:w="1171"/>
        <w:gridCol w:w="775"/>
        <w:gridCol w:w="1171"/>
      </w:tblGrid>
      <w:tr w:rsidR="0067338B" w:rsidRPr="00C64727" w14:paraId="3C749DE7" w14:textId="77777777" w:rsidTr="00AC48C8">
        <w:trPr>
          <w:trHeight w:val="319"/>
        </w:trPr>
        <w:tc>
          <w:tcPr>
            <w:tcW w:w="14633" w:type="dxa"/>
            <w:gridSpan w:val="15"/>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02E712B7" w14:textId="77777777" w:rsidR="0067338B" w:rsidRPr="00C64727" w:rsidRDefault="00696C1E">
            <w:pPr>
              <w:spacing w:after="0" w:line="240" w:lineRule="auto"/>
              <w:jc w:val="center"/>
              <w:rPr>
                <w:rFonts w:ascii="Times New Roman" w:eastAsia="Times New Roman" w:hAnsi="Times New Roman"/>
                <w:b/>
                <w:bCs/>
                <w:color w:val="000000"/>
                <w:sz w:val="20"/>
                <w:szCs w:val="20"/>
              </w:rPr>
            </w:pPr>
            <w:r w:rsidRPr="00C64727">
              <w:rPr>
                <w:rFonts w:ascii="Times New Roman" w:hAnsi="Times New Roman"/>
                <w:b/>
                <w:bCs/>
                <w:sz w:val="20"/>
                <w:szCs w:val="20"/>
              </w:rPr>
              <w:t xml:space="preserve">                                        Kibocsátási egységek árverés útján történő értékesítéséből származó bevételek 2012 és 2018 között (millió EUR)</w:t>
            </w:r>
          </w:p>
          <w:p w14:paraId="75C5B318" w14:textId="77777777" w:rsidR="0067338B" w:rsidRPr="00C64727" w:rsidRDefault="00696C1E">
            <w:pPr>
              <w:spacing w:after="0" w:line="240" w:lineRule="auto"/>
              <w:rPr>
                <w:rFonts w:ascii="Times New Roman" w:eastAsia="Times New Roman" w:hAnsi="Times New Roman"/>
                <w:color w:val="000000"/>
                <w:sz w:val="20"/>
                <w:szCs w:val="20"/>
              </w:rPr>
            </w:pPr>
            <w:r w:rsidRPr="00C64727">
              <w:rPr>
                <w:rFonts w:ascii="Times New Roman" w:hAnsi="Times New Roman"/>
                <w:sz w:val="20"/>
                <w:szCs w:val="20"/>
              </w:rPr>
              <w:t> </w:t>
            </w:r>
          </w:p>
        </w:tc>
      </w:tr>
      <w:tr w:rsidR="0067338B" w:rsidRPr="00C64727" w14:paraId="324B4796" w14:textId="77777777" w:rsidTr="00AC48C8">
        <w:trPr>
          <w:trHeight w:val="315"/>
        </w:trPr>
        <w:tc>
          <w:tcPr>
            <w:tcW w:w="966" w:type="dxa"/>
            <w:tcBorders>
              <w:top w:val="nil"/>
              <w:left w:val="double" w:sz="6" w:space="0" w:color="auto"/>
              <w:bottom w:val="nil"/>
              <w:right w:val="double" w:sz="6" w:space="0" w:color="auto"/>
            </w:tcBorders>
            <w:shd w:val="clear" w:color="auto" w:fill="auto"/>
            <w:noWrap/>
            <w:vAlign w:val="bottom"/>
            <w:hideMark/>
          </w:tcPr>
          <w:p w14:paraId="60DA6CF9" w14:textId="77777777" w:rsidR="0067338B" w:rsidRPr="00C64727" w:rsidRDefault="001379D6">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 </w:t>
            </w:r>
          </w:p>
        </w:tc>
        <w:tc>
          <w:tcPr>
            <w:tcW w:w="2021" w:type="dxa"/>
            <w:gridSpan w:val="2"/>
            <w:tcBorders>
              <w:top w:val="double" w:sz="6" w:space="0" w:color="auto"/>
              <w:left w:val="nil"/>
              <w:bottom w:val="double" w:sz="6" w:space="0" w:color="auto"/>
              <w:right w:val="double" w:sz="6" w:space="0" w:color="000000"/>
            </w:tcBorders>
            <w:shd w:val="clear" w:color="auto" w:fill="auto"/>
            <w:noWrap/>
            <w:vAlign w:val="bottom"/>
            <w:hideMark/>
          </w:tcPr>
          <w:p w14:paraId="3693864B" w14:textId="77777777" w:rsidR="0067338B" w:rsidRPr="00C64727" w:rsidRDefault="001379D6">
            <w:pPr>
              <w:spacing w:after="0" w:line="240" w:lineRule="auto"/>
              <w:jc w:val="center"/>
              <w:rPr>
                <w:rFonts w:ascii="Times New Roman" w:eastAsia="Times New Roman" w:hAnsi="Times New Roman"/>
                <w:b/>
                <w:bCs/>
                <w:color w:val="000000"/>
                <w:sz w:val="20"/>
                <w:szCs w:val="20"/>
              </w:rPr>
            </w:pPr>
            <w:r w:rsidRPr="00C64727">
              <w:rPr>
                <w:rFonts w:ascii="Times New Roman" w:hAnsi="Times New Roman"/>
                <w:b/>
                <w:bCs/>
                <w:sz w:val="20"/>
                <w:szCs w:val="20"/>
              </w:rPr>
              <w:t>2012</w:t>
            </w:r>
          </w:p>
        </w:tc>
        <w:tc>
          <w:tcPr>
            <w:tcW w:w="1941" w:type="dxa"/>
            <w:gridSpan w:val="2"/>
            <w:tcBorders>
              <w:top w:val="double" w:sz="6" w:space="0" w:color="auto"/>
              <w:left w:val="nil"/>
              <w:bottom w:val="double" w:sz="6" w:space="0" w:color="auto"/>
              <w:right w:val="double" w:sz="6" w:space="0" w:color="000000"/>
            </w:tcBorders>
            <w:shd w:val="clear" w:color="auto" w:fill="auto"/>
            <w:noWrap/>
            <w:vAlign w:val="bottom"/>
            <w:hideMark/>
          </w:tcPr>
          <w:p w14:paraId="5493AC0F" w14:textId="77777777" w:rsidR="0067338B" w:rsidRPr="00C64727" w:rsidRDefault="001379D6">
            <w:pPr>
              <w:spacing w:after="0" w:line="240" w:lineRule="auto"/>
              <w:jc w:val="center"/>
              <w:rPr>
                <w:rFonts w:ascii="Times New Roman" w:eastAsia="Times New Roman" w:hAnsi="Times New Roman"/>
                <w:b/>
                <w:bCs/>
                <w:color w:val="000000"/>
                <w:sz w:val="20"/>
                <w:szCs w:val="20"/>
              </w:rPr>
            </w:pPr>
            <w:r w:rsidRPr="00C64727">
              <w:rPr>
                <w:rFonts w:ascii="Times New Roman" w:hAnsi="Times New Roman"/>
                <w:b/>
                <w:bCs/>
                <w:sz w:val="20"/>
                <w:szCs w:val="20"/>
              </w:rPr>
              <w:t>2013</w:t>
            </w:r>
          </w:p>
        </w:tc>
        <w:tc>
          <w:tcPr>
            <w:tcW w:w="1941" w:type="dxa"/>
            <w:gridSpan w:val="2"/>
            <w:tcBorders>
              <w:top w:val="double" w:sz="6" w:space="0" w:color="auto"/>
              <w:left w:val="nil"/>
              <w:bottom w:val="double" w:sz="6" w:space="0" w:color="auto"/>
              <w:right w:val="double" w:sz="6" w:space="0" w:color="000000"/>
            </w:tcBorders>
            <w:shd w:val="clear" w:color="auto" w:fill="auto"/>
            <w:noWrap/>
            <w:vAlign w:val="bottom"/>
            <w:hideMark/>
          </w:tcPr>
          <w:p w14:paraId="403C99DC" w14:textId="77777777" w:rsidR="0067338B" w:rsidRPr="00C64727" w:rsidRDefault="001379D6">
            <w:pPr>
              <w:spacing w:after="0" w:line="240" w:lineRule="auto"/>
              <w:jc w:val="center"/>
              <w:rPr>
                <w:rFonts w:ascii="Times New Roman" w:eastAsia="Times New Roman" w:hAnsi="Times New Roman"/>
                <w:b/>
                <w:bCs/>
                <w:color w:val="000000"/>
                <w:sz w:val="20"/>
                <w:szCs w:val="20"/>
              </w:rPr>
            </w:pPr>
            <w:r w:rsidRPr="00C64727">
              <w:rPr>
                <w:rFonts w:ascii="Times New Roman" w:hAnsi="Times New Roman"/>
                <w:b/>
                <w:bCs/>
                <w:sz w:val="20"/>
                <w:szCs w:val="20"/>
              </w:rPr>
              <w:t>2014</w:t>
            </w:r>
          </w:p>
        </w:tc>
        <w:tc>
          <w:tcPr>
            <w:tcW w:w="1941" w:type="dxa"/>
            <w:gridSpan w:val="2"/>
            <w:tcBorders>
              <w:top w:val="double" w:sz="6" w:space="0" w:color="auto"/>
              <w:left w:val="nil"/>
              <w:bottom w:val="double" w:sz="6" w:space="0" w:color="auto"/>
              <w:right w:val="double" w:sz="6" w:space="0" w:color="000000"/>
            </w:tcBorders>
            <w:shd w:val="clear" w:color="auto" w:fill="auto"/>
            <w:noWrap/>
            <w:vAlign w:val="bottom"/>
            <w:hideMark/>
          </w:tcPr>
          <w:p w14:paraId="6FE761AA" w14:textId="77777777" w:rsidR="0067338B" w:rsidRPr="00C64727" w:rsidRDefault="001379D6">
            <w:pPr>
              <w:spacing w:after="0" w:line="240" w:lineRule="auto"/>
              <w:jc w:val="center"/>
              <w:rPr>
                <w:rFonts w:ascii="Times New Roman" w:eastAsia="Times New Roman" w:hAnsi="Times New Roman"/>
                <w:b/>
                <w:bCs/>
                <w:color w:val="000000"/>
                <w:sz w:val="20"/>
                <w:szCs w:val="20"/>
              </w:rPr>
            </w:pPr>
            <w:r w:rsidRPr="00C64727">
              <w:rPr>
                <w:rFonts w:ascii="Times New Roman" w:hAnsi="Times New Roman"/>
                <w:b/>
                <w:bCs/>
                <w:sz w:val="20"/>
                <w:szCs w:val="20"/>
              </w:rPr>
              <w:t>2015</w:t>
            </w:r>
          </w:p>
        </w:tc>
        <w:tc>
          <w:tcPr>
            <w:tcW w:w="1941" w:type="dxa"/>
            <w:gridSpan w:val="2"/>
            <w:tcBorders>
              <w:top w:val="double" w:sz="6" w:space="0" w:color="auto"/>
              <w:left w:val="nil"/>
              <w:bottom w:val="double" w:sz="6" w:space="0" w:color="auto"/>
              <w:right w:val="double" w:sz="6" w:space="0" w:color="000000"/>
            </w:tcBorders>
            <w:shd w:val="clear" w:color="auto" w:fill="auto"/>
            <w:noWrap/>
            <w:vAlign w:val="bottom"/>
            <w:hideMark/>
          </w:tcPr>
          <w:p w14:paraId="1A9AA14F" w14:textId="77777777" w:rsidR="0067338B" w:rsidRPr="00C64727" w:rsidRDefault="001379D6">
            <w:pPr>
              <w:spacing w:after="0" w:line="240" w:lineRule="auto"/>
              <w:jc w:val="center"/>
              <w:rPr>
                <w:rFonts w:ascii="Times New Roman" w:eastAsia="Times New Roman" w:hAnsi="Times New Roman"/>
                <w:b/>
                <w:bCs/>
                <w:color w:val="000000"/>
                <w:sz w:val="20"/>
                <w:szCs w:val="20"/>
              </w:rPr>
            </w:pPr>
            <w:r w:rsidRPr="00C64727">
              <w:rPr>
                <w:rFonts w:ascii="Times New Roman" w:hAnsi="Times New Roman"/>
                <w:b/>
                <w:bCs/>
                <w:sz w:val="20"/>
                <w:szCs w:val="20"/>
              </w:rPr>
              <w:t>2016</w:t>
            </w:r>
          </w:p>
        </w:tc>
        <w:tc>
          <w:tcPr>
            <w:tcW w:w="1941" w:type="dxa"/>
            <w:gridSpan w:val="2"/>
            <w:tcBorders>
              <w:top w:val="double" w:sz="6" w:space="0" w:color="auto"/>
              <w:left w:val="nil"/>
              <w:bottom w:val="double" w:sz="6" w:space="0" w:color="auto"/>
              <w:right w:val="double" w:sz="6" w:space="0" w:color="000000"/>
            </w:tcBorders>
            <w:shd w:val="clear" w:color="auto" w:fill="auto"/>
            <w:noWrap/>
            <w:vAlign w:val="bottom"/>
            <w:hideMark/>
          </w:tcPr>
          <w:p w14:paraId="392B1291" w14:textId="77777777" w:rsidR="0067338B" w:rsidRPr="00C64727" w:rsidRDefault="001379D6">
            <w:pPr>
              <w:spacing w:after="0" w:line="240" w:lineRule="auto"/>
              <w:jc w:val="center"/>
              <w:rPr>
                <w:rFonts w:ascii="Times New Roman" w:eastAsia="Times New Roman" w:hAnsi="Times New Roman"/>
                <w:b/>
                <w:bCs/>
                <w:color w:val="000000"/>
                <w:sz w:val="20"/>
                <w:szCs w:val="20"/>
              </w:rPr>
            </w:pPr>
            <w:r w:rsidRPr="00C64727">
              <w:rPr>
                <w:rFonts w:ascii="Times New Roman" w:hAnsi="Times New Roman"/>
                <w:b/>
                <w:bCs/>
                <w:sz w:val="20"/>
                <w:szCs w:val="20"/>
              </w:rPr>
              <w:t>2017</w:t>
            </w:r>
          </w:p>
        </w:tc>
        <w:tc>
          <w:tcPr>
            <w:tcW w:w="1941" w:type="dxa"/>
            <w:gridSpan w:val="2"/>
            <w:tcBorders>
              <w:top w:val="double" w:sz="6" w:space="0" w:color="auto"/>
              <w:left w:val="nil"/>
              <w:bottom w:val="double" w:sz="6" w:space="0" w:color="auto"/>
              <w:right w:val="double" w:sz="6" w:space="0" w:color="000000"/>
            </w:tcBorders>
            <w:shd w:val="clear" w:color="auto" w:fill="auto"/>
            <w:noWrap/>
            <w:vAlign w:val="bottom"/>
            <w:hideMark/>
          </w:tcPr>
          <w:p w14:paraId="4474075D" w14:textId="77777777" w:rsidR="0067338B" w:rsidRPr="00C64727" w:rsidRDefault="001379D6">
            <w:pPr>
              <w:spacing w:after="0" w:line="240" w:lineRule="auto"/>
              <w:jc w:val="center"/>
              <w:rPr>
                <w:rFonts w:ascii="Times New Roman" w:eastAsia="Times New Roman" w:hAnsi="Times New Roman"/>
                <w:b/>
                <w:bCs/>
                <w:color w:val="000000"/>
                <w:sz w:val="20"/>
                <w:szCs w:val="20"/>
              </w:rPr>
            </w:pPr>
            <w:r w:rsidRPr="00C64727">
              <w:rPr>
                <w:rFonts w:ascii="Times New Roman" w:hAnsi="Times New Roman"/>
                <w:b/>
                <w:bCs/>
                <w:sz w:val="20"/>
                <w:szCs w:val="20"/>
              </w:rPr>
              <w:t>2018</w:t>
            </w:r>
          </w:p>
        </w:tc>
      </w:tr>
      <w:tr w:rsidR="0067338B" w:rsidRPr="00C64727" w14:paraId="429B0FF4" w14:textId="77777777" w:rsidTr="00AC48C8">
        <w:trPr>
          <w:trHeight w:val="889"/>
        </w:trPr>
        <w:tc>
          <w:tcPr>
            <w:tcW w:w="966" w:type="dxa"/>
            <w:tcBorders>
              <w:top w:val="nil"/>
              <w:left w:val="double" w:sz="6" w:space="0" w:color="auto"/>
              <w:bottom w:val="double" w:sz="6" w:space="0" w:color="auto"/>
              <w:right w:val="double" w:sz="6" w:space="0" w:color="auto"/>
            </w:tcBorders>
            <w:shd w:val="clear" w:color="auto" w:fill="auto"/>
            <w:noWrap/>
            <w:vAlign w:val="bottom"/>
            <w:hideMark/>
          </w:tcPr>
          <w:p w14:paraId="0D06264E" w14:textId="77777777" w:rsidR="0067338B" w:rsidRPr="00C64727" w:rsidRDefault="001379D6">
            <w:pPr>
              <w:spacing w:after="0" w:line="240" w:lineRule="auto"/>
              <w:rPr>
                <w:rFonts w:ascii="Times New Roman" w:eastAsia="Times New Roman" w:hAnsi="Times New Roman"/>
                <w:b/>
                <w:bCs/>
                <w:color w:val="000000"/>
                <w:sz w:val="20"/>
                <w:szCs w:val="20"/>
              </w:rPr>
            </w:pPr>
            <w:r w:rsidRPr="00C64727">
              <w:rPr>
                <w:rFonts w:ascii="Times New Roman" w:hAnsi="Times New Roman"/>
                <w:b/>
                <w:bCs/>
                <w:sz w:val="20"/>
                <w:szCs w:val="20"/>
              </w:rPr>
              <w:t> </w:t>
            </w:r>
          </w:p>
        </w:tc>
        <w:tc>
          <w:tcPr>
            <w:tcW w:w="853" w:type="dxa"/>
            <w:tcBorders>
              <w:top w:val="nil"/>
              <w:left w:val="nil"/>
              <w:bottom w:val="double" w:sz="6" w:space="0" w:color="auto"/>
              <w:right w:val="double" w:sz="6" w:space="0" w:color="auto"/>
            </w:tcBorders>
            <w:shd w:val="clear" w:color="auto" w:fill="auto"/>
            <w:vAlign w:val="bottom"/>
            <w:hideMark/>
          </w:tcPr>
          <w:p w14:paraId="3FF82586" w14:textId="77777777" w:rsidR="0067338B" w:rsidRPr="00C64727" w:rsidRDefault="001379D6">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Általános (korai árverések)</w:t>
            </w:r>
          </w:p>
        </w:tc>
        <w:tc>
          <w:tcPr>
            <w:tcW w:w="1168" w:type="dxa"/>
            <w:tcBorders>
              <w:top w:val="nil"/>
              <w:left w:val="nil"/>
              <w:bottom w:val="double" w:sz="6" w:space="0" w:color="auto"/>
              <w:right w:val="double" w:sz="6" w:space="0" w:color="auto"/>
            </w:tcBorders>
            <w:shd w:val="clear" w:color="auto" w:fill="auto"/>
            <w:vAlign w:val="bottom"/>
            <w:hideMark/>
          </w:tcPr>
          <w:p w14:paraId="2DC45F72" w14:textId="77777777" w:rsidR="0067338B" w:rsidRPr="00C64727" w:rsidRDefault="001379D6">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Légiközlekedési (korai árverések)</w:t>
            </w:r>
          </w:p>
        </w:tc>
        <w:tc>
          <w:tcPr>
            <w:tcW w:w="773" w:type="dxa"/>
            <w:tcBorders>
              <w:top w:val="nil"/>
              <w:left w:val="nil"/>
              <w:bottom w:val="double" w:sz="6" w:space="0" w:color="auto"/>
              <w:right w:val="double" w:sz="6" w:space="0" w:color="auto"/>
            </w:tcBorders>
            <w:shd w:val="clear" w:color="auto" w:fill="auto"/>
            <w:noWrap/>
            <w:vAlign w:val="bottom"/>
            <w:hideMark/>
          </w:tcPr>
          <w:p w14:paraId="618E631E" w14:textId="77777777" w:rsidR="0067338B" w:rsidRPr="00C64727" w:rsidRDefault="001379D6">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 xml:space="preserve">Általános </w:t>
            </w:r>
          </w:p>
        </w:tc>
        <w:tc>
          <w:tcPr>
            <w:tcW w:w="1168" w:type="dxa"/>
            <w:tcBorders>
              <w:top w:val="nil"/>
              <w:left w:val="nil"/>
              <w:bottom w:val="double" w:sz="6" w:space="0" w:color="auto"/>
              <w:right w:val="double" w:sz="6" w:space="0" w:color="auto"/>
            </w:tcBorders>
            <w:shd w:val="clear" w:color="auto" w:fill="auto"/>
            <w:noWrap/>
            <w:vAlign w:val="bottom"/>
            <w:hideMark/>
          </w:tcPr>
          <w:p w14:paraId="2E7D5369" w14:textId="77777777" w:rsidR="0067338B" w:rsidRPr="00C64727" w:rsidRDefault="001379D6">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Légiközlekedési</w:t>
            </w:r>
          </w:p>
        </w:tc>
        <w:tc>
          <w:tcPr>
            <w:tcW w:w="773" w:type="dxa"/>
            <w:tcBorders>
              <w:top w:val="nil"/>
              <w:left w:val="nil"/>
              <w:bottom w:val="double" w:sz="6" w:space="0" w:color="auto"/>
              <w:right w:val="double" w:sz="6" w:space="0" w:color="auto"/>
            </w:tcBorders>
            <w:shd w:val="clear" w:color="auto" w:fill="auto"/>
            <w:noWrap/>
            <w:vAlign w:val="bottom"/>
            <w:hideMark/>
          </w:tcPr>
          <w:p w14:paraId="18F5B0FF" w14:textId="77777777" w:rsidR="0067338B" w:rsidRPr="00C64727" w:rsidRDefault="001379D6">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Általános</w:t>
            </w:r>
          </w:p>
        </w:tc>
        <w:tc>
          <w:tcPr>
            <w:tcW w:w="1168" w:type="dxa"/>
            <w:tcBorders>
              <w:top w:val="nil"/>
              <w:left w:val="nil"/>
              <w:bottom w:val="double" w:sz="6" w:space="0" w:color="auto"/>
              <w:right w:val="double" w:sz="6" w:space="0" w:color="auto"/>
            </w:tcBorders>
            <w:shd w:val="clear" w:color="auto" w:fill="auto"/>
            <w:noWrap/>
            <w:vAlign w:val="bottom"/>
            <w:hideMark/>
          </w:tcPr>
          <w:p w14:paraId="2493F5EA" w14:textId="77777777" w:rsidR="0067338B" w:rsidRPr="00C64727" w:rsidRDefault="001379D6">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Légiközlekedési</w:t>
            </w:r>
          </w:p>
        </w:tc>
        <w:tc>
          <w:tcPr>
            <w:tcW w:w="773" w:type="dxa"/>
            <w:tcBorders>
              <w:top w:val="nil"/>
              <w:left w:val="nil"/>
              <w:bottom w:val="double" w:sz="6" w:space="0" w:color="auto"/>
              <w:right w:val="double" w:sz="6" w:space="0" w:color="auto"/>
            </w:tcBorders>
            <w:shd w:val="clear" w:color="auto" w:fill="auto"/>
            <w:noWrap/>
            <w:vAlign w:val="bottom"/>
            <w:hideMark/>
          </w:tcPr>
          <w:p w14:paraId="5B4DCC3A" w14:textId="77777777" w:rsidR="0067338B" w:rsidRPr="00C64727" w:rsidRDefault="001379D6">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Általános</w:t>
            </w:r>
          </w:p>
        </w:tc>
        <w:tc>
          <w:tcPr>
            <w:tcW w:w="1168" w:type="dxa"/>
            <w:tcBorders>
              <w:top w:val="nil"/>
              <w:left w:val="nil"/>
              <w:bottom w:val="double" w:sz="6" w:space="0" w:color="auto"/>
              <w:right w:val="double" w:sz="6" w:space="0" w:color="auto"/>
            </w:tcBorders>
            <w:shd w:val="clear" w:color="auto" w:fill="auto"/>
            <w:noWrap/>
            <w:vAlign w:val="bottom"/>
            <w:hideMark/>
          </w:tcPr>
          <w:p w14:paraId="52A0AC14" w14:textId="77777777" w:rsidR="0067338B" w:rsidRPr="00C64727" w:rsidRDefault="001379D6">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Légiközlekedési</w:t>
            </w:r>
          </w:p>
        </w:tc>
        <w:tc>
          <w:tcPr>
            <w:tcW w:w="773" w:type="dxa"/>
            <w:tcBorders>
              <w:top w:val="nil"/>
              <w:left w:val="nil"/>
              <w:bottom w:val="double" w:sz="6" w:space="0" w:color="auto"/>
              <w:right w:val="double" w:sz="6" w:space="0" w:color="auto"/>
            </w:tcBorders>
            <w:shd w:val="clear" w:color="auto" w:fill="auto"/>
            <w:noWrap/>
            <w:vAlign w:val="bottom"/>
            <w:hideMark/>
          </w:tcPr>
          <w:p w14:paraId="78F66164" w14:textId="77777777" w:rsidR="0067338B" w:rsidRPr="00C64727" w:rsidRDefault="001379D6">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Általános</w:t>
            </w:r>
          </w:p>
        </w:tc>
        <w:tc>
          <w:tcPr>
            <w:tcW w:w="1168" w:type="dxa"/>
            <w:tcBorders>
              <w:top w:val="nil"/>
              <w:left w:val="nil"/>
              <w:bottom w:val="double" w:sz="6" w:space="0" w:color="auto"/>
              <w:right w:val="double" w:sz="6" w:space="0" w:color="auto"/>
            </w:tcBorders>
            <w:shd w:val="clear" w:color="auto" w:fill="auto"/>
            <w:noWrap/>
            <w:vAlign w:val="bottom"/>
            <w:hideMark/>
          </w:tcPr>
          <w:p w14:paraId="1F032946" w14:textId="77777777" w:rsidR="0067338B" w:rsidRPr="00C64727" w:rsidRDefault="001379D6">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Légiközlekedési</w:t>
            </w:r>
          </w:p>
        </w:tc>
        <w:tc>
          <w:tcPr>
            <w:tcW w:w="873" w:type="dxa"/>
            <w:tcBorders>
              <w:top w:val="nil"/>
              <w:left w:val="nil"/>
              <w:bottom w:val="double" w:sz="6" w:space="0" w:color="auto"/>
              <w:right w:val="double" w:sz="6" w:space="0" w:color="auto"/>
            </w:tcBorders>
            <w:shd w:val="clear" w:color="auto" w:fill="auto"/>
            <w:noWrap/>
            <w:vAlign w:val="bottom"/>
            <w:hideMark/>
          </w:tcPr>
          <w:p w14:paraId="5753244A" w14:textId="77777777" w:rsidR="0067338B" w:rsidRPr="00C64727" w:rsidRDefault="001379D6">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Általános</w:t>
            </w:r>
          </w:p>
        </w:tc>
        <w:tc>
          <w:tcPr>
            <w:tcW w:w="1068" w:type="dxa"/>
            <w:tcBorders>
              <w:top w:val="nil"/>
              <w:left w:val="nil"/>
              <w:bottom w:val="double" w:sz="6" w:space="0" w:color="auto"/>
              <w:right w:val="double" w:sz="6" w:space="0" w:color="auto"/>
            </w:tcBorders>
            <w:shd w:val="clear" w:color="auto" w:fill="auto"/>
            <w:noWrap/>
            <w:vAlign w:val="bottom"/>
            <w:hideMark/>
          </w:tcPr>
          <w:p w14:paraId="2BA41E20" w14:textId="77777777" w:rsidR="0067338B" w:rsidRPr="00C64727" w:rsidRDefault="001379D6">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Légiközlekedési</w:t>
            </w:r>
          </w:p>
        </w:tc>
        <w:tc>
          <w:tcPr>
            <w:tcW w:w="773" w:type="dxa"/>
            <w:tcBorders>
              <w:top w:val="nil"/>
              <w:left w:val="nil"/>
              <w:bottom w:val="double" w:sz="6" w:space="0" w:color="auto"/>
              <w:right w:val="double" w:sz="6" w:space="0" w:color="auto"/>
            </w:tcBorders>
            <w:shd w:val="clear" w:color="auto" w:fill="auto"/>
            <w:noWrap/>
            <w:vAlign w:val="bottom"/>
            <w:hideMark/>
          </w:tcPr>
          <w:p w14:paraId="52247309" w14:textId="77777777" w:rsidR="0067338B" w:rsidRPr="00C64727" w:rsidRDefault="001379D6">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Általános</w:t>
            </w:r>
          </w:p>
        </w:tc>
        <w:tc>
          <w:tcPr>
            <w:tcW w:w="1168" w:type="dxa"/>
            <w:tcBorders>
              <w:top w:val="nil"/>
              <w:left w:val="nil"/>
              <w:bottom w:val="double" w:sz="6" w:space="0" w:color="auto"/>
              <w:right w:val="double" w:sz="6" w:space="0" w:color="auto"/>
            </w:tcBorders>
            <w:shd w:val="clear" w:color="auto" w:fill="auto"/>
            <w:noWrap/>
            <w:vAlign w:val="bottom"/>
            <w:hideMark/>
          </w:tcPr>
          <w:p w14:paraId="5B5E1010" w14:textId="77777777" w:rsidR="0067338B" w:rsidRPr="00C64727" w:rsidRDefault="001379D6">
            <w:pPr>
              <w:spacing w:after="0" w:line="240" w:lineRule="auto"/>
              <w:jc w:val="center"/>
              <w:rPr>
                <w:rFonts w:ascii="Times New Roman" w:eastAsia="Times New Roman" w:hAnsi="Times New Roman"/>
                <w:color w:val="000000"/>
                <w:sz w:val="20"/>
                <w:szCs w:val="20"/>
              </w:rPr>
            </w:pPr>
            <w:r w:rsidRPr="00C64727">
              <w:rPr>
                <w:rFonts w:ascii="Times New Roman" w:hAnsi="Times New Roman"/>
                <w:sz w:val="20"/>
                <w:szCs w:val="20"/>
              </w:rPr>
              <w:t>Légiközlekedési</w:t>
            </w:r>
          </w:p>
        </w:tc>
      </w:tr>
      <w:tr w:rsidR="0067338B" w:rsidRPr="00C64727" w14:paraId="6820C7CD" w14:textId="77777777" w:rsidTr="00AC48C8">
        <w:trPr>
          <w:trHeight w:val="315"/>
        </w:trPr>
        <w:tc>
          <w:tcPr>
            <w:tcW w:w="966" w:type="dxa"/>
            <w:tcBorders>
              <w:top w:val="nil"/>
              <w:left w:val="double" w:sz="6" w:space="0" w:color="auto"/>
              <w:bottom w:val="double" w:sz="6" w:space="0" w:color="auto"/>
              <w:right w:val="double" w:sz="6" w:space="0" w:color="auto"/>
            </w:tcBorders>
            <w:shd w:val="clear" w:color="auto" w:fill="auto"/>
            <w:noWrap/>
            <w:vAlign w:val="bottom"/>
            <w:hideMark/>
          </w:tcPr>
          <w:p w14:paraId="51BFCAD2" w14:textId="77777777" w:rsidR="0067338B" w:rsidRPr="00C64727" w:rsidRDefault="001379D6">
            <w:pPr>
              <w:spacing w:after="0" w:line="240" w:lineRule="auto"/>
              <w:rPr>
                <w:rFonts w:ascii="Times New Roman" w:eastAsia="Times New Roman" w:hAnsi="Times New Roman"/>
                <w:b/>
                <w:bCs/>
                <w:color w:val="000000"/>
                <w:sz w:val="20"/>
                <w:szCs w:val="20"/>
              </w:rPr>
            </w:pPr>
            <w:r w:rsidRPr="00C64727">
              <w:rPr>
                <w:rFonts w:ascii="Times New Roman" w:hAnsi="Times New Roman"/>
                <w:b/>
                <w:bCs/>
                <w:sz w:val="20"/>
                <w:szCs w:val="20"/>
              </w:rPr>
              <w:t>AT</w:t>
            </w:r>
          </w:p>
        </w:tc>
        <w:tc>
          <w:tcPr>
            <w:tcW w:w="853" w:type="dxa"/>
            <w:tcBorders>
              <w:top w:val="nil"/>
              <w:left w:val="nil"/>
              <w:bottom w:val="double" w:sz="6" w:space="0" w:color="auto"/>
              <w:right w:val="double" w:sz="6" w:space="0" w:color="auto"/>
            </w:tcBorders>
            <w:shd w:val="clear" w:color="auto" w:fill="auto"/>
            <w:noWrap/>
            <w:vAlign w:val="bottom"/>
            <w:hideMark/>
          </w:tcPr>
          <w:p w14:paraId="45D4C98F"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11,05</w:t>
            </w:r>
          </w:p>
        </w:tc>
        <w:tc>
          <w:tcPr>
            <w:tcW w:w="1168" w:type="dxa"/>
            <w:tcBorders>
              <w:top w:val="nil"/>
              <w:left w:val="nil"/>
              <w:bottom w:val="double" w:sz="6" w:space="0" w:color="auto"/>
              <w:right w:val="double" w:sz="6" w:space="0" w:color="auto"/>
            </w:tcBorders>
            <w:shd w:val="clear" w:color="auto" w:fill="auto"/>
            <w:noWrap/>
            <w:vAlign w:val="bottom"/>
            <w:hideMark/>
          </w:tcPr>
          <w:p w14:paraId="0F4542AD"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6F1BA483"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55,75</w:t>
            </w:r>
          </w:p>
        </w:tc>
        <w:tc>
          <w:tcPr>
            <w:tcW w:w="1168" w:type="dxa"/>
            <w:tcBorders>
              <w:top w:val="nil"/>
              <w:left w:val="nil"/>
              <w:bottom w:val="double" w:sz="6" w:space="0" w:color="auto"/>
              <w:right w:val="double" w:sz="6" w:space="0" w:color="auto"/>
            </w:tcBorders>
            <w:shd w:val="clear" w:color="auto" w:fill="auto"/>
            <w:noWrap/>
            <w:vAlign w:val="bottom"/>
            <w:hideMark/>
          </w:tcPr>
          <w:p w14:paraId="1283223D"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4BC54052"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52,17</w:t>
            </w:r>
          </w:p>
        </w:tc>
        <w:tc>
          <w:tcPr>
            <w:tcW w:w="1168" w:type="dxa"/>
            <w:tcBorders>
              <w:top w:val="nil"/>
              <w:left w:val="nil"/>
              <w:bottom w:val="double" w:sz="6" w:space="0" w:color="auto"/>
              <w:right w:val="double" w:sz="6" w:space="0" w:color="auto"/>
            </w:tcBorders>
            <w:shd w:val="clear" w:color="auto" w:fill="auto"/>
            <w:noWrap/>
            <w:vAlign w:val="bottom"/>
            <w:hideMark/>
          </w:tcPr>
          <w:p w14:paraId="69417289"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1,18</w:t>
            </w:r>
          </w:p>
        </w:tc>
        <w:tc>
          <w:tcPr>
            <w:tcW w:w="773" w:type="dxa"/>
            <w:tcBorders>
              <w:top w:val="nil"/>
              <w:left w:val="nil"/>
              <w:bottom w:val="double" w:sz="6" w:space="0" w:color="auto"/>
              <w:right w:val="double" w:sz="6" w:space="0" w:color="auto"/>
            </w:tcBorders>
            <w:shd w:val="clear" w:color="auto" w:fill="auto"/>
            <w:noWrap/>
            <w:vAlign w:val="bottom"/>
            <w:hideMark/>
          </w:tcPr>
          <w:p w14:paraId="0ED3EF6D"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76,24</w:t>
            </w:r>
          </w:p>
        </w:tc>
        <w:tc>
          <w:tcPr>
            <w:tcW w:w="1168" w:type="dxa"/>
            <w:tcBorders>
              <w:top w:val="nil"/>
              <w:left w:val="nil"/>
              <w:bottom w:val="double" w:sz="6" w:space="0" w:color="auto"/>
              <w:right w:val="double" w:sz="6" w:space="0" w:color="auto"/>
            </w:tcBorders>
            <w:shd w:val="clear" w:color="auto" w:fill="auto"/>
            <w:noWrap/>
            <w:vAlign w:val="bottom"/>
            <w:hideMark/>
          </w:tcPr>
          <w:p w14:paraId="7394F386"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2,36</w:t>
            </w:r>
          </w:p>
        </w:tc>
        <w:tc>
          <w:tcPr>
            <w:tcW w:w="773" w:type="dxa"/>
            <w:tcBorders>
              <w:top w:val="nil"/>
              <w:left w:val="nil"/>
              <w:bottom w:val="double" w:sz="6" w:space="0" w:color="auto"/>
              <w:right w:val="double" w:sz="6" w:space="0" w:color="auto"/>
            </w:tcBorders>
            <w:shd w:val="clear" w:color="auto" w:fill="auto"/>
            <w:noWrap/>
            <w:vAlign w:val="bottom"/>
            <w:hideMark/>
          </w:tcPr>
          <w:p w14:paraId="344F4E19"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58,81</w:t>
            </w:r>
          </w:p>
        </w:tc>
        <w:tc>
          <w:tcPr>
            <w:tcW w:w="1168" w:type="dxa"/>
            <w:tcBorders>
              <w:top w:val="nil"/>
              <w:left w:val="nil"/>
              <w:bottom w:val="double" w:sz="6" w:space="0" w:color="auto"/>
              <w:right w:val="double" w:sz="6" w:space="0" w:color="auto"/>
            </w:tcBorders>
            <w:shd w:val="clear" w:color="auto" w:fill="auto"/>
            <w:noWrap/>
            <w:vAlign w:val="bottom"/>
            <w:hideMark/>
          </w:tcPr>
          <w:p w14:paraId="6173D6A4"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0,65</w:t>
            </w:r>
          </w:p>
        </w:tc>
        <w:tc>
          <w:tcPr>
            <w:tcW w:w="873" w:type="dxa"/>
            <w:tcBorders>
              <w:top w:val="nil"/>
              <w:left w:val="nil"/>
              <w:bottom w:val="double" w:sz="6" w:space="0" w:color="auto"/>
              <w:right w:val="double" w:sz="6" w:space="0" w:color="auto"/>
            </w:tcBorders>
            <w:shd w:val="clear" w:color="auto" w:fill="auto"/>
            <w:noWrap/>
            <w:vAlign w:val="bottom"/>
            <w:hideMark/>
          </w:tcPr>
          <w:p w14:paraId="33FE4F4F"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78,74</w:t>
            </w:r>
          </w:p>
        </w:tc>
        <w:tc>
          <w:tcPr>
            <w:tcW w:w="1068" w:type="dxa"/>
            <w:tcBorders>
              <w:top w:val="nil"/>
              <w:left w:val="nil"/>
              <w:bottom w:val="double" w:sz="6" w:space="0" w:color="auto"/>
              <w:right w:val="double" w:sz="6" w:space="0" w:color="auto"/>
            </w:tcBorders>
            <w:shd w:val="clear" w:color="auto" w:fill="auto"/>
            <w:noWrap/>
            <w:vAlign w:val="bottom"/>
            <w:hideMark/>
          </w:tcPr>
          <w:p w14:paraId="3E355B99"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0,69</w:t>
            </w:r>
          </w:p>
        </w:tc>
        <w:tc>
          <w:tcPr>
            <w:tcW w:w="773" w:type="dxa"/>
            <w:tcBorders>
              <w:top w:val="nil"/>
              <w:left w:val="nil"/>
              <w:bottom w:val="double" w:sz="6" w:space="0" w:color="auto"/>
              <w:right w:val="double" w:sz="6" w:space="0" w:color="auto"/>
            </w:tcBorders>
            <w:shd w:val="clear" w:color="auto" w:fill="auto"/>
            <w:noWrap/>
            <w:vAlign w:val="bottom"/>
            <w:hideMark/>
          </w:tcPr>
          <w:p w14:paraId="2007C484"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208,20</w:t>
            </w:r>
          </w:p>
        </w:tc>
        <w:tc>
          <w:tcPr>
            <w:tcW w:w="1168" w:type="dxa"/>
            <w:tcBorders>
              <w:top w:val="nil"/>
              <w:left w:val="nil"/>
              <w:bottom w:val="double" w:sz="6" w:space="0" w:color="auto"/>
              <w:right w:val="double" w:sz="6" w:space="0" w:color="auto"/>
            </w:tcBorders>
            <w:shd w:val="clear" w:color="auto" w:fill="auto"/>
            <w:noWrap/>
            <w:vAlign w:val="bottom"/>
            <w:hideMark/>
          </w:tcPr>
          <w:p w14:paraId="650ABDD0"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2,16</w:t>
            </w:r>
          </w:p>
        </w:tc>
      </w:tr>
      <w:tr w:rsidR="0067338B" w:rsidRPr="00C64727" w14:paraId="543DF30A" w14:textId="77777777" w:rsidTr="00AC48C8">
        <w:trPr>
          <w:trHeight w:val="315"/>
        </w:trPr>
        <w:tc>
          <w:tcPr>
            <w:tcW w:w="966" w:type="dxa"/>
            <w:tcBorders>
              <w:top w:val="nil"/>
              <w:left w:val="double" w:sz="6" w:space="0" w:color="auto"/>
              <w:bottom w:val="double" w:sz="6" w:space="0" w:color="auto"/>
              <w:right w:val="double" w:sz="6" w:space="0" w:color="auto"/>
            </w:tcBorders>
            <w:shd w:val="clear" w:color="auto" w:fill="auto"/>
            <w:noWrap/>
            <w:vAlign w:val="bottom"/>
            <w:hideMark/>
          </w:tcPr>
          <w:p w14:paraId="4C9DEB3F" w14:textId="77777777" w:rsidR="0067338B" w:rsidRPr="00C64727" w:rsidRDefault="001379D6">
            <w:pPr>
              <w:spacing w:after="0" w:line="240" w:lineRule="auto"/>
              <w:rPr>
                <w:rFonts w:ascii="Times New Roman" w:eastAsia="Times New Roman" w:hAnsi="Times New Roman"/>
                <w:b/>
                <w:bCs/>
                <w:color w:val="000000"/>
                <w:sz w:val="20"/>
                <w:szCs w:val="20"/>
              </w:rPr>
            </w:pPr>
            <w:r w:rsidRPr="00C64727">
              <w:rPr>
                <w:rFonts w:ascii="Times New Roman" w:hAnsi="Times New Roman"/>
                <w:b/>
                <w:bCs/>
                <w:sz w:val="20"/>
                <w:szCs w:val="20"/>
              </w:rPr>
              <w:t>BE</w:t>
            </w:r>
          </w:p>
        </w:tc>
        <w:tc>
          <w:tcPr>
            <w:tcW w:w="853" w:type="dxa"/>
            <w:tcBorders>
              <w:top w:val="nil"/>
              <w:left w:val="nil"/>
              <w:bottom w:val="double" w:sz="6" w:space="0" w:color="auto"/>
              <w:right w:val="double" w:sz="6" w:space="0" w:color="auto"/>
            </w:tcBorders>
            <w:shd w:val="clear" w:color="auto" w:fill="auto"/>
            <w:noWrap/>
            <w:vAlign w:val="bottom"/>
            <w:hideMark/>
          </w:tcPr>
          <w:p w14:paraId="6156BFAE"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1168" w:type="dxa"/>
            <w:tcBorders>
              <w:top w:val="nil"/>
              <w:left w:val="nil"/>
              <w:bottom w:val="double" w:sz="6" w:space="0" w:color="auto"/>
              <w:right w:val="double" w:sz="6" w:space="0" w:color="auto"/>
            </w:tcBorders>
            <w:shd w:val="clear" w:color="auto" w:fill="auto"/>
            <w:noWrap/>
            <w:vAlign w:val="bottom"/>
            <w:hideMark/>
          </w:tcPr>
          <w:p w14:paraId="58045059"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388B53E1"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114,99</w:t>
            </w:r>
          </w:p>
        </w:tc>
        <w:tc>
          <w:tcPr>
            <w:tcW w:w="1168" w:type="dxa"/>
            <w:tcBorders>
              <w:top w:val="nil"/>
              <w:left w:val="nil"/>
              <w:bottom w:val="double" w:sz="6" w:space="0" w:color="auto"/>
              <w:right w:val="double" w:sz="6" w:space="0" w:color="auto"/>
            </w:tcBorders>
            <w:shd w:val="clear" w:color="auto" w:fill="auto"/>
            <w:noWrap/>
            <w:vAlign w:val="bottom"/>
            <w:hideMark/>
          </w:tcPr>
          <w:p w14:paraId="541DA7A5"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10B534AB"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95,03</w:t>
            </w:r>
          </w:p>
        </w:tc>
        <w:tc>
          <w:tcPr>
            <w:tcW w:w="1168" w:type="dxa"/>
            <w:tcBorders>
              <w:top w:val="nil"/>
              <w:left w:val="nil"/>
              <w:bottom w:val="double" w:sz="6" w:space="0" w:color="auto"/>
              <w:right w:val="double" w:sz="6" w:space="0" w:color="auto"/>
            </w:tcBorders>
            <w:shd w:val="clear" w:color="auto" w:fill="auto"/>
            <w:noWrap/>
            <w:vAlign w:val="bottom"/>
            <w:hideMark/>
          </w:tcPr>
          <w:p w14:paraId="12B241CA"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2,05</w:t>
            </w:r>
          </w:p>
        </w:tc>
        <w:tc>
          <w:tcPr>
            <w:tcW w:w="773" w:type="dxa"/>
            <w:tcBorders>
              <w:top w:val="nil"/>
              <w:left w:val="nil"/>
              <w:bottom w:val="double" w:sz="6" w:space="0" w:color="auto"/>
              <w:right w:val="double" w:sz="6" w:space="0" w:color="auto"/>
            </w:tcBorders>
            <w:shd w:val="clear" w:color="auto" w:fill="auto"/>
            <w:noWrap/>
            <w:vAlign w:val="bottom"/>
            <w:hideMark/>
          </w:tcPr>
          <w:p w14:paraId="5B92A8AA"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138,96</w:t>
            </w:r>
          </w:p>
        </w:tc>
        <w:tc>
          <w:tcPr>
            <w:tcW w:w="1168" w:type="dxa"/>
            <w:tcBorders>
              <w:top w:val="nil"/>
              <w:left w:val="nil"/>
              <w:bottom w:val="double" w:sz="6" w:space="0" w:color="auto"/>
              <w:right w:val="double" w:sz="6" w:space="0" w:color="auto"/>
            </w:tcBorders>
            <w:shd w:val="clear" w:color="auto" w:fill="auto"/>
            <w:noWrap/>
            <w:vAlign w:val="bottom"/>
            <w:hideMark/>
          </w:tcPr>
          <w:p w14:paraId="245D6A23"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2,69</w:t>
            </w:r>
          </w:p>
        </w:tc>
        <w:tc>
          <w:tcPr>
            <w:tcW w:w="773" w:type="dxa"/>
            <w:tcBorders>
              <w:top w:val="nil"/>
              <w:left w:val="nil"/>
              <w:bottom w:val="double" w:sz="6" w:space="0" w:color="auto"/>
              <w:right w:val="double" w:sz="6" w:space="0" w:color="auto"/>
            </w:tcBorders>
            <w:shd w:val="clear" w:color="auto" w:fill="auto"/>
            <w:noWrap/>
            <w:vAlign w:val="bottom"/>
            <w:hideMark/>
          </w:tcPr>
          <w:p w14:paraId="2EBD752B"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107,14</w:t>
            </w:r>
          </w:p>
        </w:tc>
        <w:tc>
          <w:tcPr>
            <w:tcW w:w="1168" w:type="dxa"/>
            <w:tcBorders>
              <w:top w:val="nil"/>
              <w:left w:val="nil"/>
              <w:bottom w:val="double" w:sz="6" w:space="0" w:color="auto"/>
              <w:right w:val="double" w:sz="6" w:space="0" w:color="auto"/>
            </w:tcBorders>
            <w:shd w:val="clear" w:color="auto" w:fill="auto"/>
            <w:noWrap/>
            <w:vAlign w:val="bottom"/>
            <w:hideMark/>
          </w:tcPr>
          <w:p w14:paraId="3544ABCB"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0,74</w:t>
            </w:r>
          </w:p>
        </w:tc>
        <w:tc>
          <w:tcPr>
            <w:tcW w:w="873" w:type="dxa"/>
            <w:tcBorders>
              <w:top w:val="nil"/>
              <w:left w:val="nil"/>
              <w:bottom w:val="double" w:sz="6" w:space="0" w:color="auto"/>
              <w:right w:val="double" w:sz="6" w:space="0" w:color="auto"/>
            </w:tcBorders>
            <w:shd w:val="clear" w:color="auto" w:fill="auto"/>
            <w:noWrap/>
            <w:vAlign w:val="bottom"/>
            <w:hideMark/>
          </w:tcPr>
          <w:p w14:paraId="267F54ED"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143,52</w:t>
            </w:r>
          </w:p>
        </w:tc>
        <w:tc>
          <w:tcPr>
            <w:tcW w:w="1068" w:type="dxa"/>
            <w:tcBorders>
              <w:top w:val="nil"/>
              <w:left w:val="nil"/>
              <w:bottom w:val="double" w:sz="6" w:space="0" w:color="auto"/>
              <w:right w:val="double" w:sz="6" w:space="0" w:color="auto"/>
            </w:tcBorders>
            <w:shd w:val="clear" w:color="auto" w:fill="auto"/>
            <w:noWrap/>
            <w:vAlign w:val="bottom"/>
            <w:hideMark/>
          </w:tcPr>
          <w:p w14:paraId="7DE9DB31"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0,79</w:t>
            </w:r>
          </w:p>
        </w:tc>
        <w:tc>
          <w:tcPr>
            <w:tcW w:w="773" w:type="dxa"/>
            <w:tcBorders>
              <w:top w:val="nil"/>
              <w:left w:val="nil"/>
              <w:bottom w:val="double" w:sz="6" w:space="0" w:color="auto"/>
              <w:right w:val="double" w:sz="6" w:space="0" w:color="auto"/>
            </w:tcBorders>
            <w:shd w:val="clear" w:color="auto" w:fill="auto"/>
            <w:noWrap/>
            <w:vAlign w:val="bottom"/>
            <w:hideMark/>
          </w:tcPr>
          <w:p w14:paraId="0F8AD180"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379,00</w:t>
            </w:r>
          </w:p>
        </w:tc>
        <w:tc>
          <w:tcPr>
            <w:tcW w:w="1168" w:type="dxa"/>
            <w:tcBorders>
              <w:top w:val="nil"/>
              <w:left w:val="nil"/>
              <w:bottom w:val="double" w:sz="6" w:space="0" w:color="auto"/>
              <w:right w:val="double" w:sz="6" w:space="0" w:color="auto"/>
            </w:tcBorders>
            <w:shd w:val="clear" w:color="auto" w:fill="auto"/>
            <w:noWrap/>
            <w:vAlign w:val="bottom"/>
            <w:hideMark/>
          </w:tcPr>
          <w:p w14:paraId="5B93E826"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2,47</w:t>
            </w:r>
          </w:p>
        </w:tc>
      </w:tr>
      <w:tr w:rsidR="0067338B" w:rsidRPr="00C64727" w14:paraId="0F3A127D" w14:textId="77777777" w:rsidTr="00AC48C8">
        <w:trPr>
          <w:trHeight w:val="315"/>
        </w:trPr>
        <w:tc>
          <w:tcPr>
            <w:tcW w:w="966" w:type="dxa"/>
            <w:tcBorders>
              <w:top w:val="nil"/>
              <w:left w:val="double" w:sz="6" w:space="0" w:color="auto"/>
              <w:bottom w:val="double" w:sz="6" w:space="0" w:color="auto"/>
              <w:right w:val="double" w:sz="6" w:space="0" w:color="auto"/>
            </w:tcBorders>
            <w:shd w:val="clear" w:color="auto" w:fill="auto"/>
            <w:noWrap/>
            <w:vAlign w:val="bottom"/>
            <w:hideMark/>
          </w:tcPr>
          <w:p w14:paraId="67A19C6C" w14:textId="77777777" w:rsidR="0067338B" w:rsidRPr="00C64727" w:rsidRDefault="001379D6">
            <w:pPr>
              <w:spacing w:after="0" w:line="240" w:lineRule="auto"/>
              <w:rPr>
                <w:rFonts w:ascii="Times New Roman" w:eastAsia="Times New Roman" w:hAnsi="Times New Roman"/>
                <w:b/>
                <w:bCs/>
                <w:color w:val="000000"/>
                <w:sz w:val="20"/>
                <w:szCs w:val="20"/>
              </w:rPr>
            </w:pPr>
            <w:r w:rsidRPr="00C64727">
              <w:rPr>
                <w:rFonts w:ascii="Times New Roman" w:hAnsi="Times New Roman"/>
                <w:b/>
                <w:bCs/>
                <w:sz w:val="20"/>
                <w:szCs w:val="20"/>
              </w:rPr>
              <w:t>BG</w:t>
            </w:r>
          </w:p>
        </w:tc>
        <w:tc>
          <w:tcPr>
            <w:tcW w:w="853" w:type="dxa"/>
            <w:tcBorders>
              <w:top w:val="nil"/>
              <w:left w:val="nil"/>
              <w:bottom w:val="double" w:sz="6" w:space="0" w:color="auto"/>
              <w:right w:val="double" w:sz="6" w:space="0" w:color="auto"/>
            </w:tcBorders>
            <w:shd w:val="clear" w:color="auto" w:fill="auto"/>
            <w:noWrap/>
            <w:vAlign w:val="bottom"/>
            <w:hideMark/>
          </w:tcPr>
          <w:p w14:paraId="3DFADA9D"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22,14</w:t>
            </w:r>
          </w:p>
        </w:tc>
        <w:tc>
          <w:tcPr>
            <w:tcW w:w="1168" w:type="dxa"/>
            <w:tcBorders>
              <w:top w:val="nil"/>
              <w:left w:val="nil"/>
              <w:bottom w:val="double" w:sz="6" w:space="0" w:color="auto"/>
              <w:right w:val="double" w:sz="6" w:space="0" w:color="auto"/>
            </w:tcBorders>
            <w:shd w:val="clear" w:color="auto" w:fill="auto"/>
            <w:noWrap/>
            <w:vAlign w:val="bottom"/>
            <w:hideMark/>
          </w:tcPr>
          <w:p w14:paraId="5BA18AC8"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5F55FB03"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52,63</w:t>
            </w:r>
          </w:p>
        </w:tc>
        <w:tc>
          <w:tcPr>
            <w:tcW w:w="1168" w:type="dxa"/>
            <w:tcBorders>
              <w:top w:val="nil"/>
              <w:left w:val="nil"/>
              <w:bottom w:val="double" w:sz="6" w:space="0" w:color="auto"/>
              <w:right w:val="double" w:sz="6" w:space="0" w:color="auto"/>
            </w:tcBorders>
            <w:shd w:val="clear" w:color="auto" w:fill="auto"/>
            <w:noWrap/>
            <w:vAlign w:val="bottom"/>
            <w:hideMark/>
          </w:tcPr>
          <w:p w14:paraId="008B9290"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05824415"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36,19</w:t>
            </w:r>
          </w:p>
        </w:tc>
        <w:tc>
          <w:tcPr>
            <w:tcW w:w="1168" w:type="dxa"/>
            <w:tcBorders>
              <w:top w:val="nil"/>
              <w:left w:val="nil"/>
              <w:bottom w:val="double" w:sz="6" w:space="0" w:color="auto"/>
              <w:right w:val="double" w:sz="6" w:space="0" w:color="auto"/>
            </w:tcBorders>
            <w:shd w:val="clear" w:color="auto" w:fill="auto"/>
            <w:noWrap/>
            <w:vAlign w:val="bottom"/>
            <w:hideMark/>
          </w:tcPr>
          <w:p w14:paraId="717A7BB8"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0,22</w:t>
            </w:r>
          </w:p>
        </w:tc>
        <w:tc>
          <w:tcPr>
            <w:tcW w:w="773" w:type="dxa"/>
            <w:tcBorders>
              <w:top w:val="nil"/>
              <w:left w:val="nil"/>
              <w:bottom w:val="double" w:sz="6" w:space="0" w:color="auto"/>
              <w:right w:val="double" w:sz="6" w:space="0" w:color="auto"/>
            </w:tcBorders>
            <w:shd w:val="clear" w:color="auto" w:fill="auto"/>
            <w:noWrap/>
            <w:vAlign w:val="bottom"/>
            <w:hideMark/>
          </w:tcPr>
          <w:p w14:paraId="02E93FFC"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120,91</w:t>
            </w:r>
          </w:p>
        </w:tc>
        <w:tc>
          <w:tcPr>
            <w:tcW w:w="1168" w:type="dxa"/>
            <w:tcBorders>
              <w:top w:val="nil"/>
              <w:left w:val="nil"/>
              <w:bottom w:val="double" w:sz="6" w:space="0" w:color="auto"/>
              <w:right w:val="double" w:sz="6" w:space="0" w:color="auto"/>
            </w:tcBorders>
            <w:shd w:val="clear" w:color="auto" w:fill="auto"/>
            <w:noWrap/>
            <w:vAlign w:val="bottom"/>
            <w:hideMark/>
          </w:tcPr>
          <w:p w14:paraId="49485D9E"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0,91</w:t>
            </w:r>
          </w:p>
        </w:tc>
        <w:tc>
          <w:tcPr>
            <w:tcW w:w="773" w:type="dxa"/>
            <w:tcBorders>
              <w:top w:val="nil"/>
              <w:left w:val="nil"/>
              <w:bottom w:val="double" w:sz="6" w:space="0" w:color="auto"/>
              <w:right w:val="double" w:sz="6" w:space="0" w:color="auto"/>
            </w:tcBorders>
            <w:shd w:val="clear" w:color="auto" w:fill="auto"/>
            <w:noWrap/>
            <w:vAlign w:val="bottom"/>
            <w:hideMark/>
          </w:tcPr>
          <w:p w14:paraId="783C63A5"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85,08</w:t>
            </w:r>
          </w:p>
        </w:tc>
        <w:tc>
          <w:tcPr>
            <w:tcW w:w="1168" w:type="dxa"/>
            <w:tcBorders>
              <w:top w:val="nil"/>
              <w:left w:val="nil"/>
              <w:bottom w:val="double" w:sz="6" w:space="0" w:color="auto"/>
              <w:right w:val="double" w:sz="6" w:space="0" w:color="auto"/>
            </w:tcBorders>
            <w:shd w:val="clear" w:color="auto" w:fill="auto"/>
            <w:noWrap/>
            <w:vAlign w:val="bottom"/>
            <w:hideMark/>
          </w:tcPr>
          <w:p w14:paraId="3FC79B57"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0,25</w:t>
            </w:r>
          </w:p>
        </w:tc>
        <w:tc>
          <w:tcPr>
            <w:tcW w:w="873" w:type="dxa"/>
            <w:tcBorders>
              <w:top w:val="nil"/>
              <w:left w:val="nil"/>
              <w:bottom w:val="double" w:sz="6" w:space="0" w:color="auto"/>
              <w:right w:val="double" w:sz="6" w:space="0" w:color="auto"/>
            </w:tcBorders>
            <w:shd w:val="clear" w:color="auto" w:fill="auto"/>
            <w:noWrap/>
            <w:vAlign w:val="bottom"/>
            <w:hideMark/>
          </w:tcPr>
          <w:p w14:paraId="679F2FBF"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130,15</w:t>
            </w:r>
          </w:p>
        </w:tc>
        <w:tc>
          <w:tcPr>
            <w:tcW w:w="1068" w:type="dxa"/>
            <w:tcBorders>
              <w:top w:val="nil"/>
              <w:left w:val="nil"/>
              <w:bottom w:val="double" w:sz="6" w:space="0" w:color="auto"/>
              <w:right w:val="double" w:sz="6" w:space="0" w:color="auto"/>
            </w:tcBorders>
            <w:shd w:val="clear" w:color="auto" w:fill="auto"/>
            <w:noWrap/>
            <w:vAlign w:val="bottom"/>
            <w:hideMark/>
          </w:tcPr>
          <w:p w14:paraId="60F795BD"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0,27</w:t>
            </w:r>
          </w:p>
        </w:tc>
        <w:tc>
          <w:tcPr>
            <w:tcW w:w="773" w:type="dxa"/>
            <w:tcBorders>
              <w:top w:val="nil"/>
              <w:left w:val="nil"/>
              <w:bottom w:val="double" w:sz="6" w:space="0" w:color="auto"/>
              <w:right w:val="double" w:sz="6" w:space="0" w:color="auto"/>
            </w:tcBorders>
            <w:shd w:val="clear" w:color="auto" w:fill="auto"/>
            <w:noWrap/>
            <w:vAlign w:val="bottom"/>
            <w:hideMark/>
          </w:tcPr>
          <w:p w14:paraId="15386E52"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367,34</w:t>
            </w:r>
          </w:p>
        </w:tc>
        <w:tc>
          <w:tcPr>
            <w:tcW w:w="1168" w:type="dxa"/>
            <w:tcBorders>
              <w:top w:val="nil"/>
              <w:left w:val="nil"/>
              <w:bottom w:val="double" w:sz="6" w:space="0" w:color="auto"/>
              <w:right w:val="double" w:sz="6" w:space="0" w:color="auto"/>
            </w:tcBorders>
            <w:shd w:val="clear" w:color="auto" w:fill="auto"/>
            <w:noWrap/>
            <w:vAlign w:val="bottom"/>
            <w:hideMark/>
          </w:tcPr>
          <w:p w14:paraId="30ED0087"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0,83</w:t>
            </w:r>
          </w:p>
        </w:tc>
      </w:tr>
      <w:tr w:rsidR="0067338B" w:rsidRPr="00C64727" w14:paraId="4FF1C228" w14:textId="77777777" w:rsidTr="00AC48C8">
        <w:trPr>
          <w:trHeight w:val="315"/>
        </w:trPr>
        <w:tc>
          <w:tcPr>
            <w:tcW w:w="966" w:type="dxa"/>
            <w:tcBorders>
              <w:top w:val="nil"/>
              <w:left w:val="double" w:sz="6" w:space="0" w:color="auto"/>
              <w:bottom w:val="double" w:sz="6" w:space="0" w:color="auto"/>
              <w:right w:val="double" w:sz="6" w:space="0" w:color="auto"/>
            </w:tcBorders>
            <w:shd w:val="clear" w:color="auto" w:fill="auto"/>
            <w:noWrap/>
            <w:vAlign w:val="bottom"/>
            <w:hideMark/>
          </w:tcPr>
          <w:p w14:paraId="41E3F7E9" w14:textId="77777777" w:rsidR="0067338B" w:rsidRPr="00C64727" w:rsidRDefault="001379D6">
            <w:pPr>
              <w:spacing w:after="0" w:line="240" w:lineRule="auto"/>
              <w:rPr>
                <w:rFonts w:ascii="Times New Roman" w:eastAsia="Times New Roman" w:hAnsi="Times New Roman"/>
                <w:b/>
                <w:bCs/>
                <w:color w:val="000000"/>
                <w:sz w:val="20"/>
                <w:szCs w:val="20"/>
              </w:rPr>
            </w:pPr>
            <w:r w:rsidRPr="00C64727">
              <w:rPr>
                <w:rFonts w:ascii="Times New Roman" w:hAnsi="Times New Roman"/>
                <w:b/>
                <w:bCs/>
                <w:sz w:val="20"/>
                <w:szCs w:val="20"/>
              </w:rPr>
              <w:t>CY</w:t>
            </w:r>
          </w:p>
        </w:tc>
        <w:tc>
          <w:tcPr>
            <w:tcW w:w="853" w:type="dxa"/>
            <w:tcBorders>
              <w:top w:val="nil"/>
              <w:left w:val="nil"/>
              <w:bottom w:val="double" w:sz="6" w:space="0" w:color="auto"/>
              <w:right w:val="double" w:sz="6" w:space="0" w:color="auto"/>
            </w:tcBorders>
            <w:shd w:val="clear" w:color="auto" w:fill="auto"/>
            <w:noWrap/>
            <w:vAlign w:val="bottom"/>
            <w:hideMark/>
          </w:tcPr>
          <w:p w14:paraId="61AA8FD1"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1,58</w:t>
            </w:r>
          </w:p>
        </w:tc>
        <w:tc>
          <w:tcPr>
            <w:tcW w:w="1168" w:type="dxa"/>
            <w:tcBorders>
              <w:top w:val="nil"/>
              <w:left w:val="nil"/>
              <w:bottom w:val="double" w:sz="6" w:space="0" w:color="auto"/>
              <w:right w:val="double" w:sz="6" w:space="0" w:color="auto"/>
            </w:tcBorders>
            <w:shd w:val="clear" w:color="auto" w:fill="auto"/>
            <w:noWrap/>
            <w:vAlign w:val="bottom"/>
            <w:hideMark/>
          </w:tcPr>
          <w:p w14:paraId="675C2D86"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564B5D66"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0,35</w:t>
            </w:r>
          </w:p>
        </w:tc>
        <w:tc>
          <w:tcPr>
            <w:tcW w:w="1168" w:type="dxa"/>
            <w:tcBorders>
              <w:top w:val="nil"/>
              <w:left w:val="nil"/>
              <w:bottom w:val="double" w:sz="6" w:space="0" w:color="auto"/>
              <w:right w:val="double" w:sz="6" w:space="0" w:color="auto"/>
            </w:tcBorders>
            <w:shd w:val="clear" w:color="auto" w:fill="auto"/>
            <w:noWrap/>
            <w:vAlign w:val="bottom"/>
            <w:hideMark/>
          </w:tcPr>
          <w:p w14:paraId="244AE53A"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6848AD5F"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0,43</w:t>
            </w:r>
          </w:p>
        </w:tc>
        <w:tc>
          <w:tcPr>
            <w:tcW w:w="1168" w:type="dxa"/>
            <w:tcBorders>
              <w:top w:val="nil"/>
              <w:left w:val="nil"/>
              <w:bottom w:val="double" w:sz="6" w:space="0" w:color="auto"/>
              <w:right w:val="double" w:sz="6" w:space="0" w:color="auto"/>
            </w:tcBorders>
            <w:shd w:val="clear" w:color="auto" w:fill="auto"/>
            <w:noWrap/>
            <w:vAlign w:val="bottom"/>
            <w:hideMark/>
          </w:tcPr>
          <w:p w14:paraId="47300468"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0,30</w:t>
            </w:r>
          </w:p>
        </w:tc>
        <w:tc>
          <w:tcPr>
            <w:tcW w:w="773" w:type="dxa"/>
            <w:tcBorders>
              <w:top w:val="nil"/>
              <w:left w:val="nil"/>
              <w:bottom w:val="double" w:sz="6" w:space="0" w:color="auto"/>
              <w:right w:val="double" w:sz="6" w:space="0" w:color="auto"/>
            </w:tcBorders>
            <w:shd w:val="clear" w:color="auto" w:fill="auto"/>
            <w:noWrap/>
            <w:vAlign w:val="bottom"/>
            <w:hideMark/>
          </w:tcPr>
          <w:p w14:paraId="1825DD08"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1168" w:type="dxa"/>
            <w:tcBorders>
              <w:top w:val="nil"/>
              <w:left w:val="nil"/>
              <w:bottom w:val="double" w:sz="6" w:space="0" w:color="auto"/>
              <w:right w:val="double" w:sz="6" w:space="0" w:color="auto"/>
            </w:tcBorders>
            <w:shd w:val="clear" w:color="auto" w:fill="auto"/>
            <w:noWrap/>
            <w:vAlign w:val="bottom"/>
            <w:hideMark/>
          </w:tcPr>
          <w:p w14:paraId="7F9D27D0"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1,42</w:t>
            </w:r>
          </w:p>
        </w:tc>
        <w:tc>
          <w:tcPr>
            <w:tcW w:w="773" w:type="dxa"/>
            <w:tcBorders>
              <w:top w:val="nil"/>
              <w:left w:val="nil"/>
              <w:bottom w:val="double" w:sz="6" w:space="0" w:color="auto"/>
              <w:right w:val="double" w:sz="6" w:space="0" w:color="auto"/>
            </w:tcBorders>
            <w:shd w:val="clear" w:color="auto" w:fill="auto"/>
            <w:noWrap/>
            <w:vAlign w:val="bottom"/>
            <w:hideMark/>
          </w:tcPr>
          <w:p w14:paraId="4B0D4156"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1168" w:type="dxa"/>
            <w:tcBorders>
              <w:top w:val="nil"/>
              <w:left w:val="nil"/>
              <w:bottom w:val="double" w:sz="6" w:space="0" w:color="auto"/>
              <w:right w:val="double" w:sz="6" w:space="0" w:color="auto"/>
            </w:tcBorders>
            <w:shd w:val="clear" w:color="auto" w:fill="auto"/>
            <w:noWrap/>
            <w:vAlign w:val="bottom"/>
            <w:hideMark/>
          </w:tcPr>
          <w:p w14:paraId="569053F0"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0,39</w:t>
            </w:r>
          </w:p>
        </w:tc>
        <w:tc>
          <w:tcPr>
            <w:tcW w:w="873" w:type="dxa"/>
            <w:tcBorders>
              <w:top w:val="nil"/>
              <w:left w:val="nil"/>
              <w:bottom w:val="double" w:sz="6" w:space="0" w:color="auto"/>
              <w:right w:val="double" w:sz="6" w:space="0" w:color="auto"/>
            </w:tcBorders>
            <w:shd w:val="clear" w:color="auto" w:fill="auto"/>
            <w:noWrap/>
            <w:vAlign w:val="bottom"/>
            <w:hideMark/>
          </w:tcPr>
          <w:p w14:paraId="79F0F3E7"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6,15</w:t>
            </w:r>
          </w:p>
        </w:tc>
        <w:tc>
          <w:tcPr>
            <w:tcW w:w="1068" w:type="dxa"/>
            <w:tcBorders>
              <w:top w:val="nil"/>
              <w:left w:val="nil"/>
              <w:bottom w:val="double" w:sz="6" w:space="0" w:color="auto"/>
              <w:right w:val="double" w:sz="6" w:space="0" w:color="auto"/>
            </w:tcBorders>
            <w:shd w:val="clear" w:color="auto" w:fill="auto"/>
            <w:noWrap/>
            <w:vAlign w:val="bottom"/>
            <w:hideMark/>
          </w:tcPr>
          <w:p w14:paraId="2BC9DD54"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0,41</w:t>
            </w:r>
          </w:p>
        </w:tc>
        <w:tc>
          <w:tcPr>
            <w:tcW w:w="773" w:type="dxa"/>
            <w:tcBorders>
              <w:top w:val="nil"/>
              <w:left w:val="nil"/>
              <w:bottom w:val="double" w:sz="6" w:space="0" w:color="auto"/>
              <w:right w:val="double" w:sz="6" w:space="0" w:color="auto"/>
            </w:tcBorders>
            <w:shd w:val="clear" w:color="auto" w:fill="auto"/>
            <w:noWrap/>
            <w:vAlign w:val="bottom"/>
            <w:hideMark/>
          </w:tcPr>
          <w:p w14:paraId="7A3CB575" w14:textId="77777777" w:rsidR="0067338B" w:rsidRPr="00C64727" w:rsidRDefault="00E55173">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 xml:space="preserve">24,66 </w:t>
            </w:r>
          </w:p>
        </w:tc>
        <w:tc>
          <w:tcPr>
            <w:tcW w:w="1168" w:type="dxa"/>
            <w:tcBorders>
              <w:top w:val="nil"/>
              <w:left w:val="nil"/>
              <w:bottom w:val="double" w:sz="6" w:space="0" w:color="auto"/>
              <w:right w:val="double" w:sz="6" w:space="0" w:color="auto"/>
            </w:tcBorders>
            <w:shd w:val="clear" w:color="auto" w:fill="auto"/>
            <w:noWrap/>
            <w:vAlign w:val="bottom"/>
            <w:hideMark/>
          </w:tcPr>
          <w:p w14:paraId="060A3076"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1,30</w:t>
            </w:r>
          </w:p>
        </w:tc>
      </w:tr>
      <w:tr w:rsidR="0067338B" w:rsidRPr="00C64727" w14:paraId="1B7EB028" w14:textId="77777777" w:rsidTr="00AC48C8">
        <w:trPr>
          <w:trHeight w:val="315"/>
        </w:trPr>
        <w:tc>
          <w:tcPr>
            <w:tcW w:w="966" w:type="dxa"/>
            <w:tcBorders>
              <w:top w:val="nil"/>
              <w:left w:val="double" w:sz="6" w:space="0" w:color="auto"/>
              <w:bottom w:val="double" w:sz="6" w:space="0" w:color="auto"/>
              <w:right w:val="double" w:sz="6" w:space="0" w:color="auto"/>
            </w:tcBorders>
            <w:shd w:val="clear" w:color="auto" w:fill="auto"/>
            <w:noWrap/>
            <w:vAlign w:val="bottom"/>
            <w:hideMark/>
          </w:tcPr>
          <w:p w14:paraId="08B26794" w14:textId="77777777" w:rsidR="0067338B" w:rsidRPr="00C64727" w:rsidRDefault="001379D6">
            <w:pPr>
              <w:spacing w:after="0" w:line="240" w:lineRule="auto"/>
              <w:rPr>
                <w:rFonts w:ascii="Times New Roman" w:eastAsia="Times New Roman" w:hAnsi="Times New Roman"/>
                <w:b/>
                <w:bCs/>
                <w:color w:val="000000"/>
                <w:sz w:val="20"/>
                <w:szCs w:val="20"/>
              </w:rPr>
            </w:pPr>
            <w:r w:rsidRPr="00C64727">
              <w:rPr>
                <w:rFonts w:ascii="Times New Roman" w:hAnsi="Times New Roman"/>
                <w:b/>
                <w:bCs/>
                <w:sz w:val="20"/>
                <w:szCs w:val="20"/>
              </w:rPr>
              <w:t>HR</w:t>
            </w:r>
          </w:p>
        </w:tc>
        <w:tc>
          <w:tcPr>
            <w:tcW w:w="853" w:type="dxa"/>
            <w:tcBorders>
              <w:top w:val="nil"/>
              <w:left w:val="nil"/>
              <w:bottom w:val="double" w:sz="6" w:space="0" w:color="auto"/>
              <w:right w:val="double" w:sz="6" w:space="0" w:color="auto"/>
            </w:tcBorders>
            <w:shd w:val="clear" w:color="auto" w:fill="auto"/>
            <w:noWrap/>
            <w:vAlign w:val="bottom"/>
            <w:hideMark/>
          </w:tcPr>
          <w:p w14:paraId="3F3C5396"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1168" w:type="dxa"/>
            <w:tcBorders>
              <w:top w:val="nil"/>
              <w:left w:val="nil"/>
              <w:bottom w:val="double" w:sz="6" w:space="0" w:color="auto"/>
              <w:right w:val="double" w:sz="6" w:space="0" w:color="auto"/>
            </w:tcBorders>
            <w:shd w:val="clear" w:color="auto" w:fill="auto"/>
            <w:noWrap/>
            <w:vAlign w:val="bottom"/>
            <w:hideMark/>
          </w:tcPr>
          <w:p w14:paraId="085F6B86"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4FACB8D6"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1168" w:type="dxa"/>
            <w:tcBorders>
              <w:top w:val="nil"/>
              <w:left w:val="nil"/>
              <w:bottom w:val="double" w:sz="6" w:space="0" w:color="auto"/>
              <w:right w:val="double" w:sz="6" w:space="0" w:color="auto"/>
            </w:tcBorders>
            <w:shd w:val="clear" w:color="auto" w:fill="auto"/>
            <w:noWrap/>
            <w:vAlign w:val="bottom"/>
            <w:hideMark/>
          </w:tcPr>
          <w:p w14:paraId="303BDCAF"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038DF17B"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1168" w:type="dxa"/>
            <w:tcBorders>
              <w:top w:val="nil"/>
              <w:left w:val="nil"/>
              <w:bottom w:val="double" w:sz="6" w:space="0" w:color="auto"/>
              <w:right w:val="double" w:sz="6" w:space="0" w:color="auto"/>
            </w:tcBorders>
            <w:shd w:val="clear" w:color="auto" w:fill="auto"/>
            <w:noWrap/>
            <w:vAlign w:val="bottom"/>
            <w:hideMark/>
          </w:tcPr>
          <w:p w14:paraId="7775AF3B"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78D0696F"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86,40</w:t>
            </w:r>
          </w:p>
        </w:tc>
        <w:tc>
          <w:tcPr>
            <w:tcW w:w="1168" w:type="dxa"/>
            <w:tcBorders>
              <w:top w:val="nil"/>
              <w:left w:val="nil"/>
              <w:bottom w:val="double" w:sz="6" w:space="0" w:color="auto"/>
              <w:right w:val="double" w:sz="6" w:space="0" w:color="auto"/>
            </w:tcBorders>
            <w:shd w:val="clear" w:color="auto" w:fill="auto"/>
            <w:noWrap/>
            <w:vAlign w:val="bottom"/>
            <w:hideMark/>
          </w:tcPr>
          <w:p w14:paraId="6E69C307"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0,49</w:t>
            </w:r>
          </w:p>
        </w:tc>
        <w:tc>
          <w:tcPr>
            <w:tcW w:w="773" w:type="dxa"/>
            <w:tcBorders>
              <w:top w:val="nil"/>
              <w:left w:val="nil"/>
              <w:bottom w:val="double" w:sz="6" w:space="0" w:color="auto"/>
              <w:right w:val="double" w:sz="6" w:space="0" w:color="auto"/>
            </w:tcBorders>
            <w:shd w:val="clear" w:color="auto" w:fill="auto"/>
            <w:noWrap/>
            <w:vAlign w:val="bottom"/>
            <w:hideMark/>
          </w:tcPr>
          <w:p w14:paraId="6A6BDF8C"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20,09</w:t>
            </w:r>
          </w:p>
        </w:tc>
        <w:tc>
          <w:tcPr>
            <w:tcW w:w="1168" w:type="dxa"/>
            <w:tcBorders>
              <w:top w:val="nil"/>
              <w:left w:val="nil"/>
              <w:bottom w:val="double" w:sz="6" w:space="0" w:color="auto"/>
              <w:right w:val="double" w:sz="6" w:space="0" w:color="auto"/>
            </w:tcBorders>
            <w:shd w:val="clear" w:color="auto" w:fill="auto"/>
            <w:noWrap/>
            <w:vAlign w:val="bottom"/>
            <w:hideMark/>
          </w:tcPr>
          <w:p w14:paraId="476BEF60"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0,16</w:t>
            </w:r>
          </w:p>
        </w:tc>
        <w:tc>
          <w:tcPr>
            <w:tcW w:w="873" w:type="dxa"/>
            <w:tcBorders>
              <w:top w:val="nil"/>
              <w:left w:val="nil"/>
              <w:bottom w:val="double" w:sz="6" w:space="0" w:color="auto"/>
              <w:right w:val="double" w:sz="6" w:space="0" w:color="auto"/>
            </w:tcBorders>
            <w:shd w:val="clear" w:color="auto" w:fill="auto"/>
            <w:noWrap/>
            <w:vAlign w:val="bottom"/>
            <w:hideMark/>
          </w:tcPr>
          <w:p w14:paraId="12CB16D6"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26,97</w:t>
            </w:r>
          </w:p>
        </w:tc>
        <w:tc>
          <w:tcPr>
            <w:tcW w:w="1068" w:type="dxa"/>
            <w:tcBorders>
              <w:top w:val="nil"/>
              <w:left w:val="nil"/>
              <w:bottom w:val="double" w:sz="6" w:space="0" w:color="auto"/>
              <w:right w:val="double" w:sz="6" w:space="0" w:color="auto"/>
            </w:tcBorders>
            <w:shd w:val="clear" w:color="auto" w:fill="auto"/>
            <w:noWrap/>
            <w:vAlign w:val="bottom"/>
            <w:hideMark/>
          </w:tcPr>
          <w:p w14:paraId="1437C4DF"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0,18</w:t>
            </w:r>
          </w:p>
        </w:tc>
        <w:tc>
          <w:tcPr>
            <w:tcW w:w="773" w:type="dxa"/>
            <w:tcBorders>
              <w:top w:val="nil"/>
              <w:left w:val="nil"/>
              <w:bottom w:val="double" w:sz="6" w:space="0" w:color="auto"/>
              <w:right w:val="double" w:sz="6" w:space="0" w:color="auto"/>
            </w:tcBorders>
            <w:shd w:val="clear" w:color="auto" w:fill="auto"/>
            <w:noWrap/>
            <w:vAlign w:val="bottom"/>
            <w:hideMark/>
          </w:tcPr>
          <w:p w14:paraId="3A884A2C"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70,96</w:t>
            </w:r>
          </w:p>
        </w:tc>
        <w:tc>
          <w:tcPr>
            <w:tcW w:w="1168" w:type="dxa"/>
            <w:tcBorders>
              <w:top w:val="nil"/>
              <w:left w:val="nil"/>
              <w:bottom w:val="double" w:sz="6" w:space="0" w:color="auto"/>
              <w:right w:val="double" w:sz="6" w:space="0" w:color="auto"/>
            </w:tcBorders>
            <w:shd w:val="clear" w:color="auto" w:fill="auto"/>
            <w:noWrap/>
            <w:vAlign w:val="bottom"/>
            <w:hideMark/>
          </w:tcPr>
          <w:p w14:paraId="19924571"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0,55</w:t>
            </w:r>
          </w:p>
        </w:tc>
      </w:tr>
      <w:tr w:rsidR="0067338B" w:rsidRPr="00C64727" w14:paraId="31A9D934" w14:textId="77777777" w:rsidTr="00AC48C8">
        <w:trPr>
          <w:trHeight w:val="315"/>
        </w:trPr>
        <w:tc>
          <w:tcPr>
            <w:tcW w:w="966" w:type="dxa"/>
            <w:tcBorders>
              <w:top w:val="nil"/>
              <w:left w:val="double" w:sz="6" w:space="0" w:color="auto"/>
              <w:bottom w:val="double" w:sz="6" w:space="0" w:color="auto"/>
              <w:right w:val="double" w:sz="6" w:space="0" w:color="auto"/>
            </w:tcBorders>
            <w:shd w:val="clear" w:color="auto" w:fill="auto"/>
            <w:noWrap/>
            <w:vAlign w:val="bottom"/>
            <w:hideMark/>
          </w:tcPr>
          <w:p w14:paraId="6638B988" w14:textId="77777777" w:rsidR="0067338B" w:rsidRPr="00C64727" w:rsidRDefault="001379D6">
            <w:pPr>
              <w:spacing w:after="0" w:line="240" w:lineRule="auto"/>
              <w:rPr>
                <w:rFonts w:ascii="Times New Roman" w:eastAsia="Times New Roman" w:hAnsi="Times New Roman"/>
                <w:b/>
                <w:bCs/>
                <w:color w:val="000000"/>
                <w:sz w:val="20"/>
                <w:szCs w:val="20"/>
              </w:rPr>
            </w:pPr>
            <w:r w:rsidRPr="00C64727">
              <w:rPr>
                <w:rFonts w:ascii="Times New Roman" w:hAnsi="Times New Roman"/>
                <w:b/>
                <w:bCs/>
                <w:sz w:val="20"/>
                <w:szCs w:val="20"/>
              </w:rPr>
              <w:t>CZ</w:t>
            </w:r>
          </w:p>
        </w:tc>
        <w:tc>
          <w:tcPr>
            <w:tcW w:w="853" w:type="dxa"/>
            <w:tcBorders>
              <w:top w:val="nil"/>
              <w:left w:val="nil"/>
              <w:bottom w:val="double" w:sz="6" w:space="0" w:color="auto"/>
              <w:right w:val="double" w:sz="6" w:space="0" w:color="auto"/>
            </w:tcBorders>
            <w:shd w:val="clear" w:color="auto" w:fill="auto"/>
            <w:noWrap/>
            <w:vAlign w:val="bottom"/>
            <w:hideMark/>
          </w:tcPr>
          <w:p w14:paraId="29328FCB"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1168" w:type="dxa"/>
            <w:tcBorders>
              <w:top w:val="nil"/>
              <w:left w:val="nil"/>
              <w:bottom w:val="double" w:sz="6" w:space="0" w:color="auto"/>
              <w:right w:val="double" w:sz="6" w:space="0" w:color="auto"/>
            </w:tcBorders>
            <w:shd w:val="clear" w:color="auto" w:fill="auto"/>
            <w:noWrap/>
            <w:vAlign w:val="bottom"/>
            <w:hideMark/>
          </w:tcPr>
          <w:p w14:paraId="13C31C1E"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3F1A554F"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1168" w:type="dxa"/>
            <w:tcBorders>
              <w:top w:val="nil"/>
              <w:left w:val="nil"/>
              <w:bottom w:val="double" w:sz="6" w:space="0" w:color="auto"/>
              <w:right w:val="double" w:sz="6" w:space="0" w:color="auto"/>
            </w:tcBorders>
            <w:shd w:val="clear" w:color="auto" w:fill="auto"/>
            <w:noWrap/>
            <w:vAlign w:val="bottom"/>
            <w:hideMark/>
          </w:tcPr>
          <w:p w14:paraId="70478A31"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038D797C"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55,24</w:t>
            </w:r>
          </w:p>
        </w:tc>
        <w:tc>
          <w:tcPr>
            <w:tcW w:w="1168" w:type="dxa"/>
            <w:tcBorders>
              <w:top w:val="nil"/>
              <w:left w:val="nil"/>
              <w:bottom w:val="double" w:sz="6" w:space="0" w:color="auto"/>
              <w:right w:val="double" w:sz="6" w:space="0" w:color="auto"/>
            </w:tcBorders>
            <w:shd w:val="clear" w:color="auto" w:fill="auto"/>
            <w:noWrap/>
            <w:vAlign w:val="bottom"/>
            <w:hideMark/>
          </w:tcPr>
          <w:p w14:paraId="657A2AF0"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0,47</w:t>
            </w:r>
          </w:p>
        </w:tc>
        <w:tc>
          <w:tcPr>
            <w:tcW w:w="773" w:type="dxa"/>
            <w:tcBorders>
              <w:top w:val="nil"/>
              <w:left w:val="nil"/>
              <w:bottom w:val="double" w:sz="6" w:space="0" w:color="auto"/>
              <w:right w:val="double" w:sz="6" w:space="0" w:color="auto"/>
            </w:tcBorders>
            <w:shd w:val="clear" w:color="auto" w:fill="auto"/>
            <w:noWrap/>
            <w:vAlign w:val="bottom"/>
            <w:hideMark/>
          </w:tcPr>
          <w:p w14:paraId="1ACE2F6D"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110,30</w:t>
            </w:r>
          </w:p>
        </w:tc>
        <w:tc>
          <w:tcPr>
            <w:tcW w:w="1168" w:type="dxa"/>
            <w:tcBorders>
              <w:top w:val="nil"/>
              <w:left w:val="nil"/>
              <w:bottom w:val="double" w:sz="6" w:space="0" w:color="auto"/>
              <w:right w:val="double" w:sz="6" w:space="0" w:color="auto"/>
            </w:tcBorders>
            <w:shd w:val="clear" w:color="auto" w:fill="auto"/>
            <w:noWrap/>
            <w:vAlign w:val="bottom"/>
            <w:hideMark/>
          </w:tcPr>
          <w:p w14:paraId="72FE3433"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1,20</w:t>
            </w:r>
          </w:p>
        </w:tc>
        <w:tc>
          <w:tcPr>
            <w:tcW w:w="773" w:type="dxa"/>
            <w:tcBorders>
              <w:top w:val="nil"/>
              <w:left w:val="nil"/>
              <w:bottom w:val="double" w:sz="6" w:space="0" w:color="auto"/>
              <w:right w:val="double" w:sz="6" w:space="0" w:color="auto"/>
            </w:tcBorders>
            <w:shd w:val="clear" w:color="auto" w:fill="auto"/>
            <w:noWrap/>
            <w:vAlign w:val="bottom"/>
            <w:hideMark/>
          </w:tcPr>
          <w:p w14:paraId="1D256CEF"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117,63</w:t>
            </w:r>
          </w:p>
        </w:tc>
        <w:tc>
          <w:tcPr>
            <w:tcW w:w="1168" w:type="dxa"/>
            <w:tcBorders>
              <w:top w:val="nil"/>
              <w:left w:val="nil"/>
              <w:bottom w:val="double" w:sz="6" w:space="0" w:color="auto"/>
              <w:right w:val="double" w:sz="6" w:space="0" w:color="auto"/>
            </w:tcBorders>
            <w:shd w:val="clear" w:color="auto" w:fill="auto"/>
            <w:noWrap/>
            <w:vAlign w:val="bottom"/>
            <w:hideMark/>
          </w:tcPr>
          <w:p w14:paraId="3FD0CF96"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0,33</w:t>
            </w:r>
          </w:p>
        </w:tc>
        <w:tc>
          <w:tcPr>
            <w:tcW w:w="873" w:type="dxa"/>
            <w:tcBorders>
              <w:top w:val="nil"/>
              <w:left w:val="nil"/>
              <w:bottom w:val="double" w:sz="6" w:space="0" w:color="auto"/>
              <w:right w:val="double" w:sz="6" w:space="0" w:color="auto"/>
            </w:tcBorders>
            <w:shd w:val="clear" w:color="auto" w:fill="auto"/>
            <w:noWrap/>
            <w:vAlign w:val="bottom"/>
            <w:hideMark/>
          </w:tcPr>
          <w:p w14:paraId="48B88143"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199,43</w:t>
            </w:r>
          </w:p>
        </w:tc>
        <w:tc>
          <w:tcPr>
            <w:tcW w:w="1068" w:type="dxa"/>
            <w:tcBorders>
              <w:top w:val="nil"/>
              <w:left w:val="nil"/>
              <w:bottom w:val="double" w:sz="6" w:space="0" w:color="auto"/>
              <w:right w:val="double" w:sz="6" w:space="0" w:color="auto"/>
            </w:tcBorders>
            <w:shd w:val="clear" w:color="auto" w:fill="auto"/>
            <w:noWrap/>
            <w:vAlign w:val="bottom"/>
            <w:hideMark/>
          </w:tcPr>
          <w:p w14:paraId="6943C406"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0,35</w:t>
            </w:r>
          </w:p>
        </w:tc>
        <w:tc>
          <w:tcPr>
            <w:tcW w:w="773" w:type="dxa"/>
            <w:tcBorders>
              <w:top w:val="nil"/>
              <w:left w:val="nil"/>
              <w:bottom w:val="double" w:sz="6" w:space="0" w:color="auto"/>
              <w:right w:val="double" w:sz="6" w:space="0" w:color="auto"/>
            </w:tcBorders>
            <w:shd w:val="clear" w:color="auto" w:fill="auto"/>
            <w:noWrap/>
            <w:vAlign w:val="bottom"/>
            <w:hideMark/>
          </w:tcPr>
          <w:p w14:paraId="67C40E77" w14:textId="77777777" w:rsidR="0067338B" w:rsidRPr="00C64727" w:rsidRDefault="00E55173">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 xml:space="preserve">583,33 </w:t>
            </w:r>
          </w:p>
        </w:tc>
        <w:tc>
          <w:tcPr>
            <w:tcW w:w="1168" w:type="dxa"/>
            <w:tcBorders>
              <w:top w:val="nil"/>
              <w:left w:val="nil"/>
              <w:bottom w:val="double" w:sz="6" w:space="0" w:color="auto"/>
              <w:right w:val="double" w:sz="6" w:space="0" w:color="auto"/>
            </w:tcBorders>
            <w:shd w:val="clear" w:color="auto" w:fill="auto"/>
            <w:noWrap/>
            <w:vAlign w:val="bottom"/>
            <w:hideMark/>
          </w:tcPr>
          <w:p w14:paraId="676BE7D6"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1,10</w:t>
            </w:r>
          </w:p>
        </w:tc>
      </w:tr>
      <w:tr w:rsidR="0067338B" w:rsidRPr="00C64727" w14:paraId="1A93B58D" w14:textId="77777777" w:rsidTr="00AC48C8">
        <w:trPr>
          <w:trHeight w:val="315"/>
        </w:trPr>
        <w:tc>
          <w:tcPr>
            <w:tcW w:w="966" w:type="dxa"/>
            <w:tcBorders>
              <w:top w:val="nil"/>
              <w:left w:val="double" w:sz="6" w:space="0" w:color="auto"/>
              <w:bottom w:val="double" w:sz="6" w:space="0" w:color="auto"/>
              <w:right w:val="double" w:sz="6" w:space="0" w:color="auto"/>
            </w:tcBorders>
            <w:shd w:val="clear" w:color="auto" w:fill="auto"/>
            <w:noWrap/>
            <w:vAlign w:val="bottom"/>
          </w:tcPr>
          <w:p w14:paraId="5BFE7F46" w14:textId="77777777" w:rsidR="0067338B" w:rsidRPr="00C64727" w:rsidRDefault="005C0D84">
            <w:pPr>
              <w:spacing w:after="0" w:line="240" w:lineRule="auto"/>
              <w:rPr>
                <w:rFonts w:ascii="Times New Roman" w:eastAsia="Times New Roman" w:hAnsi="Times New Roman"/>
                <w:b/>
                <w:bCs/>
                <w:color w:val="000000"/>
                <w:sz w:val="20"/>
                <w:szCs w:val="20"/>
              </w:rPr>
            </w:pPr>
            <w:r w:rsidRPr="00C64727">
              <w:rPr>
                <w:rFonts w:ascii="Times New Roman" w:hAnsi="Times New Roman"/>
                <w:b/>
                <w:bCs/>
                <w:sz w:val="20"/>
                <w:szCs w:val="20"/>
              </w:rPr>
              <w:t>DE</w:t>
            </w:r>
          </w:p>
        </w:tc>
        <w:tc>
          <w:tcPr>
            <w:tcW w:w="853" w:type="dxa"/>
            <w:tcBorders>
              <w:top w:val="nil"/>
              <w:left w:val="nil"/>
              <w:bottom w:val="double" w:sz="6" w:space="0" w:color="auto"/>
              <w:right w:val="double" w:sz="6" w:space="0" w:color="auto"/>
            </w:tcBorders>
            <w:shd w:val="clear" w:color="auto" w:fill="auto"/>
            <w:noWrap/>
            <w:vAlign w:val="bottom"/>
          </w:tcPr>
          <w:p w14:paraId="4D658309" w14:textId="77777777" w:rsidR="0067338B" w:rsidRPr="00C64727" w:rsidRDefault="005C0D84">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166,18</w:t>
            </w:r>
          </w:p>
        </w:tc>
        <w:tc>
          <w:tcPr>
            <w:tcW w:w="1168" w:type="dxa"/>
            <w:tcBorders>
              <w:top w:val="nil"/>
              <w:left w:val="nil"/>
              <w:bottom w:val="double" w:sz="6" w:space="0" w:color="auto"/>
              <w:right w:val="double" w:sz="6" w:space="0" w:color="auto"/>
            </w:tcBorders>
            <w:shd w:val="clear" w:color="auto" w:fill="auto"/>
            <w:noWrap/>
            <w:vAlign w:val="bottom"/>
          </w:tcPr>
          <w:p w14:paraId="4A60CB9B" w14:textId="77777777" w:rsidR="0067338B" w:rsidRPr="00C64727" w:rsidRDefault="005C0D84">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17,52</w:t>
            </w:r>
          </w:p>
        </w:tc>
        <w:tc>
          <w:tcPr>
            <w:tcW w:w="773" w:type="dxa"/>
            <w:tcBorders>
              <w:top w:val="nil"/>
              <w:left w:val="nil"/>
              <w:bottom w:val="double" w:sz="6" w:space="0" w:color="auto"/>
              <w:right w:val="double" w:sz="6" w:space="0" w:color="auto"/>
            </w:tcBorders>
            <w:shd w:val="clear" w:color="auto" w:fill="auto"/>
            <w:noWrap/>
            <w:vAlign w:val="bottom"/>
          </w:tcPr>
          <w:p w14:paraId="7E6FE341" w14:textId="77777777" w:rsidR="0067338B" w:rsidRPr="00C64727" w:rsidRDefault="005C0D84">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791,25</w:t>
            </w:r>
          </w:p>
        </w:tc>
        <w:tc>
          <w:tcPr>
            <w:tcW w:w="1168" w:type="dxa"/>
            <w:tcBorders>
              <w:top w:val="nil"/>
              <w:left w:val="nil"/>
              <w:bottom w:val="double" w:sz="6" w:space="0" w:color="auto"/>
              <w:right w:val="double" w:sz="6" w:space="0" w:color="auto"/>
            </w:tcBorders>
            <w:shd w:val="clear" w:color="auto" w:fill="auto"/>
            <w:noWrap/>
            <w:vAlign w:val="bottom"/>
          </w:tcPr>
          <w:p w14:paraId="256E2EAC" w14:textId="77777777" w:rsidR="0067338B" w:rsidRPr="00C64727" w:rsidRDefault="005C0D84">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tcPr>
          <w:p w14:paraId="0F015248" w14:textId="77777777" w:rsidR="0067338B" w:rsidRPr="00C64727" w:rsidRDefault="005C0D84">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749,97</w:t>
            </w:r>
          </w:p>
        </w:tc>
        <w:tc>
          <w:tcPr>
            <w:tcW w:w="1168" w:type="dxa"/>
            <w:tcBorders>
              <w:top w:val="nil"/>
              <w:left w:val="nil"/>
              <w:bottom w:val="double" w:sz="6" w:space="0" w:color="auto"/>
              <w:right w:val="double" w:sz="6" w:space="0" w:color="auto"/>
            </w:tcBorders>
            <w:shd w:val="clear" w:color="auto" w:fill="auto"/>
            <w:noWrap/>
            <w:vAlign w:val="bottom"/>
          </w:tcPr>
          <w:p w14:paraId="40BE46CF" w14:textId="77777777" w:rsidR="0067338B" w:rsidRPr="00C64727" w:rsidRDefault="005C0D84">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tcPr>
          <w:p w14:paraId="5EAF44F2" w14:textId="77777777" w:rsidR="0067338B" w:rsidRPr="00C64727" w:rsidRDefault="005C0D84">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1093,31</w:t>
            </w:r>
          </w:p>
        </w:tc>
        <w:tc>
          <w:tcPr>
            <w:tcW w:w="1168" w:type="dxa"/>
            <w:tcBorders>
              <w:top w:val="nil"/>
              <w:left w:val="nil"/>
              <w:bottom w:val="double" w:sz="6" w:space="0" w:color="auto"/>
              <w:right w:val="double" w:sz="6" w:space="0" w:color="auto"/>
            </w:tcBorders>
            <w:shd w:val="clear" w:color="auto" w:fill="auto"/>
            <w:noWrap/>
            <w:vAlign w:val="bottom"/>
          </w:tcPr>
          <w:p w14:paraId="04F4D847" w14:textId="77777777" w:rsidR="0067338B" w:rsidRPr="00C64727" w:rsidRDefault="005C0D84">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16,87</w:t>
            </w:r>
          </w:p>
        </w:tc>
        <w:tc>
          <w:tcPr>
            <w:tcW w:w="773" w:type="dxa"/>
            <w:tcBorders>
              <w:top w:val="nil"/>
              <w:left w:val="nil"/>
              <w:bottom w:val="double" w:sz="6" w:space="0" w:color="auto"/>
              <w:right w:val="double" w:sz="6" w:space="0" w:color="auto"/>
            </w:tcBorders>
            <w:shd w:val="clear" w:color="auto" w:fill="auto"/>
            <w:noWrap/>
            <w:vAlign w:val="bottom"/>
          </w:tcPr>
          <w:p w14:paraId="4019BF89" w14:textId="77777777" w:rsidR="0067338B" w:rsidRPr="00C64727" w:rsidRDefault="005C0D84">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845,74</w:t>
            </w:r>
          </w:p>
        </w:tc>
        <w:tc>
          <w:tcPr>
            <w:tcW w:w="1168" w:type="dxa"/>
            <w:tcBorders>
              <w:top w:val="nil"/>
              <w:left w:val="nil"/>
              <w:bottom w:val="double" w:sz="6" w:space="0" w:color="auto"/>
              <w:right w:val="double" w:sz="6" w:space="0" w:color="auto"/>
            </w:tcBorders>
            <w:shd w:val="clear" w:color="auto" w:fill="auto"/>
            <w:noWrap/>
            <w:vAlign w:val="bottom"/>
          </w:tcPr>
          <w:p w14:paraId="36D5B6E6" w14:textId="77777777" w:rsidR="0067338B" w:rsidRPr="00C64727" w:rsidRDefault="005C0D84">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4,65</w:t>
            </w:r>
          </w:p>
        </w:tc>
        <w:tc>
          <w:tcPr>
            <w:tcW w:w="873" w:type="dxa"/>
            <w:tcBorders>
              <w:top w:val="nil"/>
              <w:left w:val="nil"/>
              <w:bottom w:val="double" w:sz="6" w:space="0" w:color="auto"/>
              <w:right w:val="double" w:sz="6" w:space="0" w:color="auto"/>
            </w:tcBorders>
            <w:shd w:val="clear" w:color="auto" w:fill="auto"/>
            <w:noWrap/>
            <w:vAlign w:val="bottom"/>
          </w:tcPr>
          <w:p w14:paraId="3FD65E03" w14:textId="77777777" w:rsidR="0067338B" w:rsidRPr="00C64727" w:rsidRDefault="005C0D84">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1141,74</w:t>
            </w:r>
          </w:p>
        </w:tc>
        <w:tc>
          <w:tcPr>
            <w:tcW w:w="1068" w:type="dxa"/>
            <w:tcBorders>
              <w:top w:val="nil"/>
              <w:left w:val="nil"/>
              <w:bottom w:val="double" w:sz="6" w:space="0" w:color="auto"/>
              <w:right w:val="double" w:sz="6" w:space="0" w:color="auto"/>
            </w:tcBorders>
            <w:shd w:val="clear" w:color="auto" w:fill="auto"/>
            <w:noWrap/>
            <w:vAlign w:val="bottom"/>
          </w:tcPr>
          <w:p w14:paraId="1DE1655F" w14:textId="77777777" w:rsidR="0067338B" w:rsidRPr="00C64727" w:rsidRDefault="005C0D84">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5,07</w:t>
            </w:r>
          </w:p>
        </w:tc>
        <w:tc>
          <w:tcPr>
            <w:tcW w:w="773" w:type="dxa"/>
            <w:tcBorders>
              <w:top w:val="nil"/>
              <w:left w:val="nil"/>
              <w:bottom w:val="double" w:sz="6" w:space="0" w:color="auto"/>
              <w:right w:val="double" w:sz="6" w:space="0" w:color="auto"/>
            </w:tcBorders>
            <w:shd w:val="clear" w:color="auto" w:fill="auto"/>
            <w:noWrap/>
            <w:vAlign w:val="bottom"/>
          </w:tcPr>
          <w:p w14:paraId="6AFA9D8A" w14:textId="77777777" w:rsidR="0067338B" w:rsidRPr="00C64727" w:rsidRDefault="005C0D84">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2565,34</w:t>
            </w:r>
          </w:p>
        </w:tc>
        <w:tc>
          <w:tcPr>
            <w:tcW w:w="1168" w:type="dxa"/>
            <w:tcBorders>
              <w:top w:val="nil"/>
              <w:left w:val="nil"/>
              <w:bottom w:val="double" w:sz="6" w:space="0" w:color="auto"/>
              <w:right w:val="double" w:sz="6" w:space="0" w:color="auto"/>
            </w:tcBorders>
            <w:shd w:val="clear" w:color="auto" w:fill="auto"/>
            <w:noWrap/>
            <w:vAlign w:val="bottom"/>
          </w:tcPr>
          <w:p w14:paraId="2B7AA188" w14:textId="77777777" w:rsidR="0067338B" w:rsidRPr="00C64727" w:rsidRDefault="005C0D84">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16,31</w:t>
            </w:r>
          </w:p>
        </w:tc>
      </w:tr>
      <w:tr w:rsidR="0067338B" w:rsidRPr="00C64727" w14:paraId="2CB3AA90" w14:textId="77777777" w:rsidTr="00AC48C8">
        <w:trPr>
          <w:trHeight w:val="315"/>
        </w:trPr>
        <w:tc>
          <w:tcPr>
            <w:tcW w:w="966" w:type="dxa"/>
            <w:tcBorders>
              <w:top w:val="nil"/>
              <w:left w:val="double" w:sz="6" w:space="0" w:color="auto"/>
              <w:bottom w:val="double" w:sz="6" w:space="0" w:color="auto"/>
              <w:right w:val="double" w:sz="6" w:space="0" w:color="auto"/>
            </w:tcBorders>
            <w:shd w:val="clear" w:color="auto" w:fill="auto"/>
            <w:noWrap/>
            <w:vAlign w:val="bottom"/>
            <w:hideMark/>
          </w:tcPr>
          <w:p w14:paraId="2FA89F37" w14:textId="77777777" w:rsidR="0067338B" w:rsidRPr="00C64727" w:rsidRDefault="00524AA2">
            <w:pPr>
              <w:spacing w:after="0" w:line="240" w:lineRule="auto"/>
              <w:rPr>
                <w:rFonts w:ascii="Times New Roman" w:eastAsia="Times New Roman" w:hAnsi="Times New Roman"/>
                <w:b/>
                <w:bCs/>
                <w:color w:val="000000"/>
                <w:sz w:val="20"/>
                <w:szCs w:val="20"/>
              </w:rPr>
            </w:pPr>
            <w:r w:rsidRPr="00C64727">
              <w:rPr>
                <w:rFonts w:ascii="Times New Roman" w:hAnsi="Times New Roman"/>
                <w:b/>
                <w:bCs/>
                <w:sz w:val="20"/>
                <w:szCs w:val="20"/>
              </w:rPr>
              <w:t>DK</w:t>
            </w:r>
          </w:p>
        </w:tc>
        <w:tc>
          <w:tcPr>
            <w:tcW w:w="853" w:type="dxa"/>
            <w:tcBorders>
              <w:top w:val="nil"/>
              <w:left w:val="nil"/>
              <w:bottom w:val="double" w:sz="6" w:space="0" w:color="auto"/>
              <w:right w:val="double" w:sz="6" w:space="0" w:color="auto"/>
            </w:tcBorders>
            <w:shd w:val="clear" w:color="auto" w:fill="auto"/>
            <w:noWrap/>
            <w:vAlign w:val="bottom"/>
            <w:hideMark/>
          </w:tcPr>
          <w:p w14:paraId="72F0D546"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1,07</w:t>
            </w:r>
          </w:p>
        </w:tc>
        <w:tc>
          <w:tcPr>
            <w:tcW w:w="1168" w:type="dxa"/>
            <w:tcBorders>
              <w:top w:val="nil"/>
              <w:left w:val="nil"/>
              <w:bottom w:val="double" w:sz="6" w:space="0" w:color="auto"/>
              <w:right w:val="double" w:sz="6" w:space="0" w:color="auto"/>
            </w:tcBorders>
            <w:shd w:val="clear" w:color="auto" w:fill="auto"/>
            <w:noWrap/>
            <w:vAlign w:val="bottom"/>
            <w:hideMark/>
          </w:tcPr>
          <w:p w14:paraId="1C32C589"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62D0C9D9"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56,06</w:t>
            </w:r>
          </w:p>
        </w:tc>
        <w:tc>
          <w:tcPr>
            <w:tcW w:w="1168" w:type="dxa"/>
            <w:tcBorders>
              <w:top w:val="nil"/>
              <w:left w:val="nil"/>
              <w:bottom w:val="double" w:sz="6" w:space="0" w:color="auto"/>
              <w:right w:val="double" w:sz="6" w:space="0" w:color="auto"/>
            </w:tcBorders>
            <w:shd w:val="clear" w:color="auto" w:fill="auto"/>
            <w:noWrap/>
            <w:vAlign w:val="bottom"/>
            <w:hideMark/>
          </w:tcPr>
          <w:p w14:paraId="7EDC62B2"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67C330D6"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46,93</w:t>
            </w:r>
          </w:p>
        </w:tc>
        <w:tc>
          <w:tcPr>
            <w:tcW w:w="1168" w:type="dxa"/>
            <w:tcBorders>
              <w:top w:val="nil"/>
              <w:left w:val="nil"/>
              <w:bottom w:val="double" w:sz="6" w:space="0" w:color="auto"/>
              <w:right w:val="double" w:sz="6" w:space="0" w:color="auto"/>
            </w:tcBorders>
            <w:shd w:val="clear" w:color="auto" w:fill="auto"/>
            <w:noWrap/>
            <w:vAlign w:val="bottom"/>
            <w:hideMark/>
          </w:tcPr>
          <w:p w14:paraId="46356A6B"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1,16</w:t>
            </w:r>
          </w:p>
        </w:tc>
        <w:tc>
          <w:tcPr>
            <w:tcW w:w="773" w:type="dxa"/>
            <w:tcBorders>
              <w:top w:val="nil"/>
              <w:left w:val="nil"/>
              <w:bottom w:val="double" w:sz="6" w:space="0" w:color="auto"/>
              <w:right w:val="double" w:sz="6" w:space="0" w:color="auto"/>
            </w:tcBorders>
            <w:shd w:val="clear" w:color="auto" w:fill="auto"/>
            <w:noWrap/>
            <w:vAlign w:val="bottom"/>
            <w:hideMark/>
          </w:tcPr>
          <w:p w14:paraId="0A405B33"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68,64</w:t>
            </w:r>
          </w:p>
        </w:tc>
        <w:tc>
          <w:tcPr>
            <w:tcW w:w="1168" w:type="dxa"/>
            <w:tcBorders>
              <w:top w:val="nil"/>
              <w:left w:val="nil"/>
              <w:bottom w:val="double" w:sz="6" w:space="0" w:color="auto"/>
              <w:right w:val="double" w:sz="6" w:space="0" w:color="auto"/>
            </w:tcBorders>
            <w:shd w:val="clear" w:color="auto" w:fill="auto"/>
            <w:noWrap/>
            <w:vAlign w:val="bottom"/>
            <w:hideMark/>
          </w:tcPr>
          <w:p w14:paraId="61F75C36"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2,71</w:t>
            </w:r>
          </w:p>
        </w:tc>
        <w:tc>
          <w:tcPr>
            <w:tcW w:w="773" w:type="dxa"/>
            <w:tcBorders>
              <w:top w:val="nil"/>
              <w:left w:val="nil"/>
              <w:bottom w:val="double" w:sz="6" w:space="0" w:color="auto"/>
              <w:right w:val="double" w:sz="6" w:space="0" w:color="auto"/>
            </w:tcBorders>
            <w:shd w:val="clear" w:color="auto" w:fill="auto"/>
            <w:noWrap/>
            <w:vAlign w:val="bottom"/>
            <w:hideMark/>
          </w:tcPr>
          <w:p w14:paraId="699975A8"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52,93</w:t>
            </w:r>
          </w:p>
        </w:tc>
        <w:tc>
          <w:tcPr>
            <w:tcW w:w="1168" w:type="dxa"/>
            <w:tcBorders>
              <w:top w:val="nil"/>
              <w:left w:val="nil"/>
              <w:bottom w:val="double" w:sz="6" w:space="0" w:color="auto"/>
              <w:right w:val="double" w:sz="6" w:space="0" w:color="auto"/>
            </w:tcBorders>
            <w:shd w:val="clear" w:color="auto" w:fill="auto"/>
            <w:noWrap/>
            <w:vAlign w:val="bottom"/>
            <w:hideMark/>
          </w:tcPr>
          <w:p w14:paraId="3F439967"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0,74</w:t>
            </w:r>
          </w:p>
        </w:tc>
        <w:tc>
          <w:tcPr>
            <w:tcW w:w="873" w:type="dxa"/>
            <w:tcBorders>
              <w:top w:val="nil"/>
              <w:left w:val="nil"/>
              <w:bottom w:val="double" w:sz="6" w:space="0" w:color="auto"/>
              <w:right w:val="double" w:sz="6" w:space="0" w:color="auto"/>
            </w:tcBorders>
            <w:shd w:val="clear" w:color="auto" w:fill="auto"/>
            <w:noWrap/>
            <w:vAlign w:val="bottom"/>
            <w:hideMark/>
          </w:tcPr>
          <w:p w14:paraId="1F60E96C"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70,93</w:t>
            </w:r>
          </w:p>
        </w:tc>
        <w:tc>
          <w:tcPr>
            <w:tcW w:w="1068" w:type="dxa"/>
            <w:tcBorders>
              <w:top w:val="nil"/>
              <w:left w:val="nil"/>
              <w:bottom w:val="double" w:sz="6" w:space="0" w:color="auto"/>
              <w:right w:val="double" w:sz="6" w:space="0" w:color="auto"/>
            </w:tcBorders>
            <w:shd w:val="clear" w:color="auto" w:fill="auto"/>
            <w:noWrap/>
            <w:vAlign w:val="bottom"/>
            <w:hideMark/>
          </w:tcPr>
          <w:p w14:paraId="63E7A861"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0,79</w:t>
            </w:r>
          </w:p>
        </w:tc>
        <w:tc>
          <w:tcPr>
            <w:tcW w:w="773" w:type="dxa"/>
            <w:tcBorders>
              <w:top w:val="nil"/>
              <w:left w:val="nil"/>
              <w:bottom w:val="double" w:sz="6" w:space="0" w:color="auto"/>
              <w:right w:val="double" w:sz="6" w:space="0" w:color="auto"/>
            </w:tcBorders>
            <w:shd w:val="clear" w:color="auto" w:fill="auto"/>
            <w:noWrap/>
            <w:vAlign w:val="bottom"/>
            <w:hideMark/>
          </w:tcPr>
          <w:p w14:paraId="49336A67"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187,32</w:t>
            </w:r>
          </w:p>
        </w:tc>
        <w:tc>
          <w:tcPr>
            <w:tcW w:w="1168" w:type="dxa"/>
            <w:tcBorders>
              <w:top w:val="nil"/>
              <w:left w:val="nil"/>
              <w:bottom w:val="double" w:sz="6" w:space="0" w:color="auto"/>
              <w:right w:val="double" w:sz="6" w:space="0" w:color="auto"/>
            </w:tcBorders>
            <w:shd w:val="clear" w:color="auto" w:fill="auto"/>
            <w:noWrap/>
            <w:vAlign w:val="bottom"/>
            <w:hideMark/>
          </w:tcPr>
          <w:p w14:paraId="5485D11A"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2,48</w:t>
            </w:r>
          </w:p>
        </w:tc>
      </w:tr>
      <w:tr w:rsidR="0067338B" w:rsidRPr="00C64727" w14:paraId="5422B39A" w14:textId="77777777" w:rsidTr="00AC48C8">
        <w:trPr>
          <w:trHeight w:val="315"/>
        </w:trPr>
        <w:tc>
          <w:tcPr>
            <w:tcW w:w="966" w:type="dxa"/>
            <w:tcBorders>
              <w:top w:val="nil"/>
              <w:left w:val="double" w:sz="6" w:space="0" w:color="auto"/>
              <w:bottom w:val="double" w:sz="6" w:space="0" w:color="auto"/>
              <w:right w:val="double" w:sz="6" w:space="0" w:color="auto"/>
            </w:tcBorders>
            <w:shd w:val="clear" w:color="auto" w:fill="auto"/>
            <w:noWrap/>
            <w:vAlign w:val="bottom"/>
            <w:hideMark/>
          </w:tcPr>
          <w:p w14:paraId="03A3212B" w14:textId="77777777" w:rsidR="0067338B" w:rsidRPr="00C64727" w:rsidRDefault="001379D6">
            <w:pPr>
              <w:spacing w:after="0" w:line="240" w:lineRule="auto"/>
              <w:rPr>
                <w:rFonts w:ascii="Times New Roman" w:eastAsia="Times New Roman" w:hAnsi="Times New Roman"/>
                <w:b/>
                <w:bCs/>
                <w:color w:val="000000"/>
                <w:sz w:val="20"/>
                <w:szCs w:val="20"/>
              </w:rPr>
            </w:pPr>
            <w:r w:rsidRPr="00C64727">
              <w:rPr>
                <w:rFonts w:ascii="Times New Roman" w:hAnsi="Times New Roman"/>
                <w:b/>
                <w:bCs/>
                <w:sz w:val="20"/>
                <w:szCs w:val="20"/>
              </w:rPr>
              <w:t>EE</w:t>
            </w:r>
          </w:p>
        </w:tc>
        <w:tc>
          <w:tcPr>
            <w:tcW w:w="853" w:type="dxa"/>
            <w:tcBorders>
              <w:top w:val="nil"/>
              <w:left w:val="nil"/>
              <w:bottom w:val="double" w:sz="6" w:space="0" w:color="auto"/>
              <w:right w:val="double" w:sz="6" w:space="0" w:color="auto"/>
            </w:tcBorders>
            <w:shd w:val="clear" w:color="auto" w:fill="auto"/>
            <w:noWrap/>
            <w:vAlign w:val="bottom"/>
            <w:hideMark/>
          </w:tcPr>
          <w:p w14:paraId="243C33B5"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1168" w:type="dxa"/>
            <w:tcBorders>
              <w:top w:val="nil"/>
              <w:left w:val="nil"/>
              <w:bottom w:val="double" w:sz="6" w:space="0" w:color="auto"/>
              <w:right w:val="double" w:sz="6" w:space="0" w:color="auto"/>
            </w:tcBorders>
            <w:shd w:val="clear" w:color="auto" w:fill="auto"/>
            <w:noWrap/>
            <w:vAlign w:val="bottom"/>
            <w:hideMark/>
          </w:tcPr>
          <w:p w14:paraId="34986C5D"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5681FBCF"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18,07</w:t>
            </w:r>
          </w:p>
        </w:tc>
        <w:tc>
          <w:tcPr>
            <w:tcW w:w="1168" w:type="dxa"/>
            <w:tcBorders>
              <w:top w:val="nil"/>
              <w:left w:val="nil"/>
              <w:bottom w:val="double" w:sz="6" w:space="0" w:color="auto"/>
              <w:right w:val="double" w:sz="6" w:space="0" w:color="auto"/>
            </w:tcBorders>
            <w:shd w:val="clear" w:color="auto" w:fill="auto"/>
            <w:noWrap/>
            <w:vAlign w:val="bottom"/>
            <w:hideMark/>
          </w:tcPr>
          <w:p w14:paraId="53A60DBD"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2469E7D3"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7,41</w:t>
            </w:r>
          </w:p>
        </w:tc>
        <w:tc>
          <w:tcPr>
            <w:tcW w:w="1168" w:type="dxa"/>
            <w:tcBorders>
              <w:top w:val="nil"/>
              <w:left w:val="nil"/>
              <w:bottom w:val="double" w:sz="6" w:space="0" w:color="auto"/>
              <w:right w:val="double" w:sz="6" w:space="0" w:color="auto"/>
            </w:tcBorders>
            <w:shd w:val="clear" w:color="auto" w:fill="auto"/>
            <w:noWrap/>
            <w:vAlign w:val="bottom"/>
            <w:hideMark/>
          </w:tcPr>
          <w:p w14:paraId="0DEF4D2B"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0,04</w:t>
            </w:r>
          </w:p>
        </w:tc>
        <w:tc>
          <w:tcPr>
            <w:tcW w:w="773" w:type="dxa"/>
            <w:tcBorders>
              <w:top w:val="nil"/>
              <w:left w:val="nil"/>
              <w:bottom w:val="double" w:sz="6" w:space="0" w:color="auto"/>
              <w:right w:val="double" w:sz="6" w:space="0" w:color="auto"/>
            </w:tcBorders>
            <w:shd w:val="clear" w:color="auto" w:fill="auto"/>
            <w:noWrap/>
            <w:vAlign w:val="bottom"/>
            <w:hideMark/>
          </w:tcPr>
          <w:p w14:paraId="307010FC"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21,13</w:t>
            </w:r>
          </w:p>
        </w:tc>
        <w:tc>
          <w:tcPr>
            <w:tcW w:w="1168" w:type="dxa"/>
            <w:tcBorders>
              <w:top w:val="nil"/>
              <w:left w:val="nil"/>
              <w:bottom w:val="double" w:sz="6" w:space="0" w:color="auto"/>
              <w:right w:val="double" w:sz="6" w:space="0" w:color="auto"/>
            </w:tcBorders>
            <w:shd w:val="clear" w:color="auto" w:fill="auto"/>
            <w:noWrap/>
            <w:vAlign w:val="bottom"/>
            <w:hideMark/>
          </w:tcPr>
          <w:p w14:paraId="56486D63"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0,15</w:t>
            </w:r>
          </w:p>
        </w:tc>
        <w:tc>
          <w:tcPr>
            <w:tcW w:w="773" w:type="dxa"/>
            <w:tcBorders>
              <w:top w:val="nil"/>
              <w:left w:val="nil"/>
              <w:bottom w:val="double" w:sz="6" w:space="0" w:color="auto"/>
              <w:right w:val="double" w:sz="6" w:space="0" w:color="auto"/>
            </w:tcBorders>
            <w:shd w:val="clear" w:color="auto" w:fill="auto"/>
            <w:noWrap/>
            <w:vAlign w:val="bottom"/>
            <w:hideMark/>
          </w:tcPr>
          <w:p w14:paraId="339940A3"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23,57</w:t>
            </w:r>
          </w:p>
        </w:tc>
        <w:tc>
          <w:tcPr>
            <w:tcW w:w="1168" w:type="dxa"/>
            <w:tcBorders>
              <w:top w:val="nil"/>
              <w:left w:val="nil"/>
              <w:bottom w:val="double" w:sz="6" w:space="0" w:color="auto"/>
              <w:right w:val="double" w:sz="6" w:space="0" w:color="auto"/>
            </w:tcBorders>
            <w:shd w:val="clear" w:color="auto" w:fill="auto"/>
            <w:noWrap/>
            <w:vAlign w:val="bottom"/>
            <w:hideMark/>
          </w:tcPr>
          <w:p w14:paraId="1951869B"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0,04</w:t>
            </w:r>
          </w:p>
        </w:tc>
        <w:tc>
          <w:tcPr>
            <w:tcW w:w="873" w:type="dxa"/>
            <w:tcBorders>
              <w:top w:val="nil"/>
              <w:left w:val="nil"/>
              <w:bottom w:val="double" w:sz="6" w:space="0" w:color="auto"/>
              <w:right w:val="double" w:sz="6" w:space="0" w:color="auto"/>
            </w:tcBorders>
            <w:shd w:val="clear" w:color="auto" w:fill="auto"/>
            <w:noWrap/>
            <w:vAlign w:val="bottom"/>
            <w:hideMark/>
          </w:tcPr>
          <w:p w14:paraId="67A5B688"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39,31</w:t>
            </w:r>
          </w:p>
        </w:tc>
        <w:tc>
          <w:tcPr>
            <w:tcW w:w="1068" w:type="dxa"/>
            <w:tcBorders>
              <w:top w:val="nil"/>
              <w:left w:val="nil"/>
              <w:bottom w:val="double" w:sz="6" w:space="0" w:color="auto"/>
              <w:right w:val="double" w:sz="6" w:space="0" w:color="auto"/>
            </w:tcBorders>
            <w:shd w:val="clear" w:color="auto" w:fill="auto"/>
            <w:noWrap/>
            <w:vAlign w:val="bottom"/>
            <w:hideMark/>
          </w:tcPr>
          <w:p w14:paraId="5B587185"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0,05</w:t>
            </w:r>
          </w:p>
        </w:tc>
        <w:tc>
          <w:tcPr>
            <w:tcW w:w="773" w:type="dxa"/>
            <w:tcBorders>
              <w:top w:val="nil"/>
              <w:left w:val="nil"/>
              <w:bottom w:val="double" w:sz="6" w:space="0" w:color="auto"/>
              <w:right w:val="double" w:sz="6" w:space="0" w:color="auto"/>
            </w:tcBorders>
            <w:shd w:val="clear" w:color="auto" w:fill="auto"/>
            <w:noWrap/>
            <w:vAlign w:val="bottom"/>
            <w:hideMark/>
          </w:tcPr>
          <w:p w14:paraId="6B07EDA8"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139,89</w:t>
            </w:r>
          </w:p>
        </w:tc>
        <w:tc>
          <w:tcPr>
            <w:tcW w:w="1168" w:type="dxa"/>
            <w:tcBorders>
              <w:top w:val="nil"/>
              <w:left w:val="nil"/>
              <w:bottom w:val="double" w:sz="6" w:space="0" w:color="auto"/>
              <w:right w:val="double" w:sz="6" w:space="0" w:color="auto"/>
            </w:tcBorders>
            <w:shd w:val="clear" w:color="auto" w:fill="auto"/>
            <w:noWrap/>
            <w:vAlign w:val="bottom"/>
            <w:hideMark/>
          </w:tcPr>
          <w:p w14:paraId="2A3526EA"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0,14</w:t>
            </w:r>
          </w:p>
        </w:tc>
      </w:tr>
      <w:tr w:rsidR="0067338B" w:rsidRPr="00C64727" w14:paraId="37A4022E" w14:textId="77777777" w:rsidTr="00AC48C8">
        <w:trPr>
          <w:trHeight w:val="315"/>
        </w:trPr>
        <w:tc>
          <w:tcPr>
            <w:tcW w:w="966" w:type="dxa"/>
            <w:tcBorders>
              <w:top w:val="nil"/>
              <w:left w:val="double" w:sz="6" w:space="0" w:color="auto"/>
              <w:bottom w:val="double" w:sz="6" w:space="0" w:color="auto"/>
              <w:right w:val="double" w:sz="6" w:space="0" w:color="auto"/>
            </w:tcBorders>
            <w:shd w:val="clear" w:color="auto" w:fill="auto"/>
            <w:noWrap/>
            <w:vAlign w:val="bottom"/>
            <w:hideMark/>
          </w:tcPr>
          <w:p w14:paraId="5250F78E" w14:textId="77777777" w:rsidR="0067338B" w:rsidRPr="00C64727" w:rsidRDefault="001379D6">
            <w:pPr>
              <w:spacing w:after="0" w:line="240" w:lineRule="auto"/>
              <w:rPr>
                <w:rFonts w:ascii="Times New Roman" w:eastAsia="Times New Roman" w:hAnsi="Times New Roman"/>
                <w:b/>
                <w:bCs/>
                <w:color w:val="000000"/>
                <w:sz w:val="20"/>
                <w:szCs w:val="20"/>
              </w:rPr>
            </w:pPr>
            <w:r w:rsidRPr="00C64727">
              <w:rPr>
                <w:rFonts w:ascii="Times New Roman" w:hAnsi="Times New Roman"/>
                <w:b/>
                <w:bCs/>
                <w:sz w:val="20"/>
                <w:szCs w:val="20"/>
              </w:rPr>
              <w:t>EL</w:t>
            </w:r>
          </w:p>
        </w:tc>
        <w:tc>
          <w:tcPr>
            <w:tcW w:w="853" w:type="dxa"/>
            <w:tcBorders>
              <w:top w:val="nil"/>
              <w:left w:val="nil"/>
              <w:bottom w:val="double" w:sz="6" w:space="0" w:color="auto"/>
              <w:right w:val="double" w:sz="6" w:space="0" w:color="auto"/>
            </w:tcBorders>
            <w:shd w:val="clear" w:color="auto" w:fill="auto"/>
            <w:noWrap/>
            <w:vAlign w:val="bottom"/>
            <w:hideMark/>
          </w:tcPr>
          <w:p w14:paraId="0735EFE9"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14,84</w:t>
            </w:r>
          </w:p>
        </w:tc>
        <w:tc>
          <w:tcPr>
            <w:tcW w:w="1168" w:type="dxa"/>
            <w:tcBorders>
              <w:top w:val="nil"/>
              <w:left w:val="nil"/>
              <w:bottom w:val="double" w:sz="6" w:space="0" w:color="auto"/>
              <w:right w:val="double" w:sz="6" w:space="0" w:color="auto"/>
            </w:tcBorders>
            <w:shd w:val="clear" w:color="auto" w:fill="auto"/>
            <w:noWrap/>
            <w:vAlign w:val="bottom"/>
            <w:hideMark/>
          </w:tcPr>
          <w:p w14:paraId="3B4171A5"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58B1A307"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147,64</w:t>
            </w:r>
          </w:p>
        </w:tc>
        <w:tc>
          <w:tcPr>
            <w:tcW w:w="1168" w:type="dxa"/>
            <w:tcBorders>
              <w:top w:val="nil"/>
              <w:left w:val="nil"/>
              <w:bottom w:val="double" w:sz="6" w:space="0" w:color="auto"/>
              <w:right w:val="double" w:sz="6" w:space="0" w:color="auto"/>
            </w:tcBorders>
            <w:shd w:val="clear" w:color="auto" w:fill="auto"/>
            <w:noWrap/>
            <w:vAlign w:val="bottom"/>
            <w:hideMark/>
          </w:tcPr>
          <w:p w14:paraId="31C82673"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6677DA9F"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129,97</w:t>
            </w:r>
          </w:p>
        </w:tc>
        <w:tc>
          <w:tcPr>
            <w:tcW w:w="1168" w:type="dxa"/>
            <w:tcBorders>
              <w:top w:val="nil"/>
              <w:left w:val="nil"/>
              <w:bottom w:val="double" w:sz="6" w:space="0" w:color="auto"/>
              <w:right w:val="double" w:sz="6" w:space="0" w:color="auto"/>
            </w:tcBorders>
            <w:shd w:val="clear" w:color="auto" w:fill="auto"/>
            <w:noWrap/>
            <w:vAlign w:val="bottom"/>
            <w:hideMark/>
          </w:tcPr>
          <w:p w14:paraId="1F0B0597"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1,10</w:t>
            </w:r>
          </w:p>
        </w:tc>
        <w:tc>
          <w:tcPr>
            <w:tcW w:w="773" w:type="dxa"/>
            <w:tcBorders>
              <w:top w:val="nil"/>
              <w:left w:val="nil"/>
              <w:bottom w:val="double" w:sz="6" w:space="0" w:color="auto"/>
              <w:right w:val="double" w:sz="6" w:space="0" w:color="auto"/>
            </w:tcBorders>
            <w:shd w:val="clear" w:color="auto" w:fill="auto"/>
            <w:noWrap/>
            <w:vAlign w:val="bottom"/>
            <w:hideMark/>
          </w:tcPr>
          <w:p w14:paraId="04E2470E"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190,17</w:t>
            </w:r>
          </w:p>
        </w:tc>
        <w:tc>
          <w:tcPr>
            <w:tcW w:w="1168" w:type="dxa"/>
            <w:tcBorders>
              <w:top w:val="nil"/>
              <w:left w:val="nil"/>
              <w:bottom w:val="double" w:sz="6" w:space="0" w:color="auto"/>
              <w:right w:val="double" w:sz="6" w:space="0" w:color="auto"/>
            </w:tcBorders>
            <w:shd w:val="clear" w:color="auto" w:fill="auto"/>
            <w:noWrap/>
            <w:vAlign w:val="bottom"/>
            <w:hideMark/>
          </w:tcPr>
          <w:p w14:paraId="77CC855A"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4,99</w:t>
            </w:r>
          </w:p>
        </w:tc>
        <w:tc>
          <w:tcPr>
            <w:tcW w:w="773" w:type="dxa"/>
            <w:tcBorders>
              <w:top w:val="nil"/>
              <w:left w:val="nil"/>
              <w:bottom w:val="double" w:sz="6" w:space="0" w:color="auto"/>
              <w:right w:val="double" w:sz="6" w:space="0" w:color="auto"/>
            </w:tcBorders>
            <w:shd w:val="clear" w:color="auto" w:fill="auto"/>
            <w:noWrap/>
            <w:vAlign w:val="bottom"/>
            <w:hideMark/>
          </w:tcPr>
          <w:p w14:paraId="7C24C068"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146,68</w:t>
            </w:r>
          </w:p>
        </w:tc>
        <w:tc>
          <w:tcPr>
            <w:tcW w:w="1168" w:type="dxa"/>
            <w:tcBorders>
              <w:top w:val="nil"/>
              <w:left w:val="nil"/>
              <w:bottom w:val="double" w:sz="6" w:space="0" w:color="auto"/>
              <w:right w:val="double" w:sz="6" w:space="0" w:color="auto"/>
            </w:tcBorders>
            <w:shd w:val="clear" w:color="auto" w:fill="auto"/>
            <w:noWrap/>
            <w:vAlign w:val="bottom"/>
            <w:hideMark/>
          </w:tcPr>
          <w:p w14:paraId="28F65995"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1,37</w:t>
            </w:r>
          </w:p>
        </w:tc>
        <w:tc>
          <w:tcPr>
            <w:tcW w:w="873" w:type="dxa"/>
            <w:tcBorders>
              <w:top w:val="nil"/>
              <w:left w:val="nil"/>
              <w:bottom w:val="double" w:sz="6" w:space="0" w:color="auto"/>
              <w:right w:val="double" w:sz="6" w:space="0" w:color="auto"/>
            </w:tcBorders>
            <w:shd w:val="clear" w:color="auto" w:fill="auto"/>
            <w:noWrap/>
            <w:vAlign w:val="bottom"/>
            <w:hideMark/>
          </w:tcPr>
          <w:p w14:paraId="0DD77017"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196,57</w:t>
            </w:r>
          </w:p>
        </w:tc>
        <w:tc>
          <w:tcPr>
            <w:tcW w:w="1068" w:type="dxa"/>
            <w:tcBorders>
              <w:top w:val="nil"/>
              <w:left w:val="nil"/>
              <w:bottom w:val="double" w:sz="6" w:space="0" w:color="auto"/>
              <w:right w:val="double" w:sz="6" w:space="0" w:color="auto"/>
            </w:tcBorders>
            <w:shd w:val="clear" w:color="auto" w:fill="auto"/>
            <w:noWrap/>
            <w:vAlign w:val="bottom"/>
            <w:hideMark/>
          </w:tcPr>
          <w:p w14:paraId="1CF3D65C"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1,46</w:t>
            </w:r>
          </w:p>
        </w:tc>
        <w:tc>
          <w:tcPr>
            <w:tcW w:w="773" w:type="dxa"/>
            <w:tcBorders>
              <w:top w:val="nil"/>
              <w:left w:val="nil"/>
              <w:bottom w:val="double" w:sz="6" w:space="0" w:color="auto"/>
              <w:right w:val="double" w:sz="6" w:space="0" w:color="auto"/>
            </w:tcBorders>
            <w:shd w:val="clear" w:color="auto" w:fill="auto"/>
            <w:noWrap/>
            <w:vAlign w:val="bottom"/>
            <w:hideMark/>
          </w:tcPr>
          <w:p w14:paraId="51733D25"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518,96</w:t>
            </w:r>
          </w:p>
        </w:tc>
        <w:tc>
          <w:tcPr>
            <w:tcW w:w="1168" w:type="dxa"/>
            <w:tcBorders>
              <w:top w:val="nil"/>
              <w:left w:val="nil"/>
              <w:bottom w:val="double" w:sz="6" w:space="0" w:color="auto"/>
              <w:right w:val="double" w:sz="6" w:space="0" w:color="auto"/>
            </w:tcBorders>
            <w:shd w:val="clear" w:color="auto" w:fill="auto"/>
            <w:noWrap/>
            <w:vAlign w:val="bottom"/>
            <w:hideMark/>
          </w:tcPr>
          <w:p w14:paraId="4CFD9759"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4,57</w:t>
            </w:r>
          </w:p>
        </w:tc>
      </w:tr>
      <w:tr w:rsidR="0067338B" w:rsidRPr="00C64727" w14:paraId="6B1D40A9" w14:textId="77777777" w:rsidTr="00AC48C8">
        <w:trPr>
          <w:trHeight w:val="315"/>
        </w:trPr>
        <w:tc>
          <w:tcPr>
            <w:tcW w:w="966" w:type="dxa"/>
            <w:tcBorders>
              <w:top w:val="nil"/>
              <w:left w:val="double" w:sz="6" w:space="0" w:color="auto"/>
              <w:bottom w:val="double" w:sz="6" w:space="0" w:color="auto"/>
              <w:right w:val="double" w:sz="6" w:space="0" w:color="auto"/>
            </w:tcBorders>
            <w:shd w:val="clear" w:color="auto" w:fill="auto"/>
            <w:noWrap/>
            <w:vAlign w:val="bottom"/>
            <w:hideMark/>
          </w:tcPr>
          <w:p w14:paraId="29F4782D" w14:textId="77777777" w:rsidR="0067338B" w:rsidRPr="00C64727" w:rsidRDefault="001379D6">
            <w:pPr>
              <w:spacing w:after="0" w:line="240" w:lineRule="auto"/>
              <w:rPr>
                <w:rFonts w:ascii="Times New Roman" w:eastAsia="Times New Roman" w:hAnsi="Times New Roman"/>
                <w:b/>
                <w:bCs/>
                <w:color w:val="000000"/>
                <w:sz w:val="20"/>
                <w:szCs w:val="20"/>
              </w:rPr>
            </w:pPr>
            <w:r w:rsidRPr="00C64727">
              <w:rPr>
                <w:rFonts w:ascii="Times New Roman" w:hAnsi="Times New Roman"/>
                <w:b/>
                <w:bCs/>
                <w:sz w:val="20"/>
                <w:szCs w:val="20"/>
              </w:rPr>
              <w:t>ES</w:t>
            </w:r>
          </w:p>
        </w:tc>
        <w:tc>
          <w:tcPr>
            <w:tcW w:w="853" w:type="dxa"/>
            <w:tcBorders>
              <w:top w:val="nil"/>
              <w:left w:val="nil"/>
              <w:bottom w:val="double" w:sz="6" w:space="0" w:color="auto"/>
              <w:right w:val="double" w:sz="6" w:space="0" w:color="auto"/>
            </w:tcBorders>
            <w:shd w:val="clear" w:color="auto" w:fill="auto"/>
            <w:noWrap/>
            <w:vAlign w:val="bottom"/>
            <w:hideMark/>
          </w:tcPr>
          <w:p w14:paraId="22B32B8B"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68,53</w:t>
            </w:r>
          </w:p>
        </w:tc>
        <w:tc>
          <w:tcPr>
            <w:tcW w:w="1168" w:type="dxa"/>
            <w:tcBorders>
              <w:top w:val="nil"/>
              <w:left w:val="nil"/>
              <w:bottom w:val="double" w:sz="6" w:space="0" w:color="auto"/>
              <w:right w:val="double" w:sz="6" w:space="0" w:color="auto"/>
            </w:tcBorders>
            <w:shd w:val="clear" w:color="auto" w:fill="auto"/>
            <w:noWrap/>
            <w:vAlign w:val="bottom"/>
            <w:hideMark/>
          </w:tcPr>
          <w:p w14:paraId="4E9A3B21"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0DDB2D58"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346,11</w:t>
            </w:r>
          </w:p>
        </w:tc>
        <w:tc>
          <w:tcPr>
            <w:tcW w:w="1168" w:type="dxa"/>
            <w:tcBorders>
              <w:top w:val="nil"/>
              <w:left w:val="nil"/>
              <w:bottom w:val="double" w:sz="6" w:space="0" w:color="auto"/>
              <w:right w:val="double" w:sz="6" w:space="0" w:color="auto"/>
            </w:tcBorders>
            <w:shd w:val="clear" w:color="auto" w:fill="auto"/>
            <w:noWrap/>
            <w:vAlign w:val="bottom"/>
            <w:hideMark/>
          </w:tcPr>
          <w:p w14:paraId="2C673FF8"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100DCD03"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323,53</w:t>
            </w:r>
          </w:p>
        </w:tc>
        <w:tc>
          <w:tcPr>
            <w:tcW w:w="1168" w:type="dxa"/>
            <w:tcBorders>
              <w:top w:val="nil"/>
              <w:left w:val="nil"/>
              <w:bottom w:val="double" w:sz="6" w:space="0" w:color="auto"/>
              <w:right w:val="double" w:sz="6" w:space="0" w:color="auto"/>
            </w:tcBorders>
            <w:shd w:val="clear" w:color="auto" w:fill="auto"/>
            <w:noWrap/>
            <w:vAlign w:val="bottom"/>
            <w:hideMark/>
          </w:tcPr>
          <w:p w14:paraId="7C7E9D3D"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6,56</w:t>
            </w:r>
          </w:p>
        </w:tc>
        <w:tc>
          <w:tcPr>
            <w:tcW w:w="773" w:type="dxa"/>
            <w:tcBorders>
              <w:top w:val="nil"/>
              <w:left w:val="nil"/>
              <w:bottom w:val="double" w:sz="6" w:space="0" w:color="auto"/>
              <w:right w:val="double" w:sz="6" w:space="0" w:color="auto"/>
            </w:tcBorders>
            <w:shd w:val="clear" w:color="auto" w:fill="auto"/>
            <w:noWrap/>
            <w:vAlign w:val="bottom"/>
            <w:hideMark/>
          </w:tcPr>
          <w:p w14:paraId="2063335C"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473,20</w:t>
            </w:r>
          </w:p>
        </w:tc>
        <w:tc>
          <w:tcPr>
            <w:tcW w:w="1168" w:type="dxa"/>
            <w:tcBorders>
              <w:top w:val="nil"/>
              <w:left w:val="nil"/>
              <w:bottom w:val="double" w:sz="6" w:space="0" w:color="auto"/>
              <w:right w:val="double" w:sz="6" w:space="0" w:color="auto"/>
            </w:tcBorders>
            <w:shd w:val="clear" w:color="auto" w:fill="auto"/>
            <w:noWrap/>
            <w:vAlign w:val="bottom"/>
            <w:hideMark/>
          </w:tcPr>
          <w:p w14:paraId="18B61030"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16,32</w:t>
            </w:r>
          </w:p>
        </w:tc>
        <w:tc>
          <w:tcPr>
            <w:tcW w:w="773" w:type="dxa"/>
            <w:tcBorders>
              <w:top w:val="nil"/>
              <w:left w:val="nil"/>
              <w:bottom w:val="double" w:sz="6" w:space="0" w:color="auto"/>
              <w:right w:val="double" w:sz="6" w:space="0" w:color="auto"/>
            </w:tcBorders>
            <w:shd w:val="clear" w:color="auto" w:fill="auto"/>
            <w:noWrap/>
            <w:vAlign w:val="bottom"/>
            <w:hideMark/>
          </w:tcPr>
          <w:p w14:paraId="1B97CB05"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364,97</w:t>
            </w:r>
          </w:p>
        </w:tc>
        <w:tc>
          <w:tcPr>
            <w:tcW w:w="1168" w:type="dxa"/>
            <w:tcBorders>
              <w:top w:val="nil"/>
              <w:left w:val="nil"/>
              <w:bottom w:val="double" w:sz="6" w:space="0" w:color="auto"/>
              <w:right w:val="double" w:sz="6" w:space="0" w:color="auto"/>
            </w:tcBorders>
            <w:shd w:val="clear" w:color="auto" w:fill="auto"/>
            <w:noWrap/>
            <w:vAlign w:val="bottom"/>
            <w:hideMark/>
          </w:tcPr>
          <w:p w14:paraId="29544088"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4,48</w:t>
            </w:r>
          </w:p>
        </w:tc>
        <w:tc>
          <w:tcPr>
            <w:tcW w:w="873" w:type="dxa"/>
            <w:tcBorders>
              <w:top w:val="nil"/>
              <w:left w:val="nil"/>
              <w:bottom w:val="double" w:sz="6" w:space="0" w:color="auto"/>
              <w:right w:val="double" w:sz="6" w:space="0" w:color="auto"/>
            </w:tcBorders>
            <w:shd w:val="clear" w:color="auto" w:fill="auto"/>
            <w:noWrap/>
            <w:vAlign w:val="bottom"/>
            <w:hideMark/>
          </w:tcPr>
          <w:p w14:paraId="203C6059"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488,78</w:t>
            </w:r>
          </w:p>
        </w:tc>
        <w:tc>
          <w:tcPr>
            <w:tcW w:w="1068" w:type="dxa"/>
            <w:tcBorders>
              <w:top w:val="nil"/>
              <w:left w:val="nil"/>
              <w:bottom w:val="double" w:sz="6" w:space="0" w:color="auto"/>
              <w:right w:val="double" w:sz="6" w:space="0" w:color="auto"/>
            </w:tcBorders>
            <w:shd w:val="clear" w:color="auto" w:fill="auto"/>
            <w:noWrap/>
            <w:vAlign w:val="bottom"/>
            <w:hideMark/>
          </w:tcPr>
          <w:p w14:paraId="4748FFFD"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4,77</w:t>
            </w:r>
          </w:p>
        </w:tc>
        <w:tc>
          <w:tcPr>
            <w:tcW w:w="773" w:type="dxa"/>
            <w:tcBorders>
              <w:top w:val="nil"/>
              <w:left w:val="nil"/>
              <w:bottom w:val="double" w:sz="6" w:space="0" w:color="auto"/>
              <w:right w:val="double" w:sz="6" w:space="0" w:color="auto"/>
            </w:tcBorders>
            <w:shd w:val="clear" w:color="auto" w:fill="auto"/>
            <w:noWrap/>
            <w:vAlign w:val="bottom"/>
            <w:hideMark/>
          </w:tcPr>
          <w:p w14:paraId="56915597"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1291,07</w:t>
            </w:r>
          </w:p>
        </w:tc>
        <w:tc>
          <w:tcPr>
            <w:tcW w:w="1168" w:type="dxa"/>
            <w:tcBorders>
              <w:top w:val="nil"/>
              <w:left w:val="nil"/>
              <w:bottom w:val="double" w:sz="6" w:space="0" w:color="auto"/>
              <w:right w:val="double" w:sz="6" w:space="0" w:color="auto"/>
            </w:tcBorders>
            <w:shd w:val="clear" w:color="auto" w:fill="auto"/>
            <w:noWrap/>
            <w:vAlign w:val="bottom"/>
            <w:hideMark/>
          </w:tcPr>
          <w:p w14:paraId="208D630A"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14,97</w:t>
            </w:r>
          </w:p>
        </w:tc>
      </w:tr>
      <w:tr w:rsidR="0067338B" w:rsidRPr="00C64727" w14:paraId="6500FF33" w14:textId="77777777" w:rsidTr="00AC48C8">
        <w:trPr>
          <w:trHeight w:val="315"/>
        </w:trPr>
        <w:tc>
          <w:tcPr>
            <w:tcW w:w="966" w:type="dxa"/>
            <w:tcBorders>
              <w:top w:val="nil"/>
              <w:left w:val="double" w:sz="6" w:space="0" w:color="auto"/>
              <w:bottom w:val="double" w:sz="6" w:space="0" w:color="auto"/>
              <w:right w:val="double" w:sz="6" w:space="0" w:color="auto"/>
            </w:tcBorders>
            <w:shd w:val="clear" w:color="auto" w:fill="auto"/>
            <w:noWrap/>
            <w:vAlign w:val="bottom"/>
            <w:hideMark/>
          </w:tcPr>
          <w:p w14:paraId="5C467EEA" w14:textId="77777777" w:rsidR="0067338B" w:rsidRPr="00C64727" w:rsidRDefault="001379D6">
            <w:pPr>
              <w:spacing w:after="0" w:line="240" w:lineRule="auto"/>
              <w:rPr>
                <w:rFonts w:ascii="Times New Roman" w:eastAsia="Times New Roman" w:hAnsi="Times New Roman"/>
                <w:b/>
                <w:bCs/>
                <w:color w:val="000000"/>
                <w:sz w:val="20"/>
                <w:szCs w:val="20"/>
              </w:rPr>
            </w:pPr>
            <w:r w:rsidRPr="00C64727">
              <w:rPr>
                <w:rFonts w:ascii="Times New Roman" w:hAnsi="Times New Roman"/>
                <w:b/>
                <w:bCs/>
                <w:sz w:val="20"/>
                <w:szCs w:val="20"/>
              </w:rPr>
              <w:t>FI</w:t>
            </w:r>
          </w:p>
        </w:tc>
        <w:tc>
          <w:tcPr>
            <w:tcW w:w="853" w:type="dxa"/>
            <w:tcBorders>
              <w:top w:val="nil"/>
              <w:left w:val="nil"/>
              <w:bottom w:val="double" w:sz="6" w:space="0" w:color="auto"/>
              <w:right w:val="double" w:sz="6" w:space="0" w:color="auto"/>
            </w:tcBorders>
            <w:shd w:val="clear" w:color="auto" w:fill="auto"/>
            <w:noWrap/>
            <w:vAlign w:val="bottom"/>
            <w:hideMark/>
          </w:tcPr>
          <w:p w14:paraId="177FCA07"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13,28</w:t>
            </w:r>
          </w:p>
        </w:tc>
        <w:tc>
          <w:tcPr>
            <w:tcW w:w="1168" w:type="dxa"/>
            <w:tcBorders>
              <w:top w:val="nil"/>
              <w:left w:val="nil"/>
              <w:bottom w:val="double" w:sz="6" w:space="0" w:color="auto"/>
              <w:right w:val="double" w:sz="6" w:space="0" w:color="auto"/>
            </w:tcBorders>
            <w:shd w:val="clear" w:color="auto" w:fill="auto"/>
            <w:noWrap/>
            <w:vAlign w:val="bottom"/>
            <w:hideMark/>
          </w:tcPr>
          <w:p w14:paraId="1C761B0E"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79F89783"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66,97</w:t>
            </w:r>
          </w:p>
        </w:tc>
        <w:tc>
          <w:tcPr>
            <w:tcW w:w="1168" w:type="dxa"/>
            <w:tcBorders>
              <w:top w:val="nil"/>
              <w:left w:val="nil"/>
              <w:bottom w:val="double" w:sz="6" w:space="0" w:color="auto"/>
              <w:right w:val="double" w:sz="6" w:space="0" w:color="auto"/>
            </w:tcBorders>
            <w:shd w:val="clear" w:color="auto" w:fill="auto"/>
            <w:noWrap/>
            <w:vAlign w:val="bottom"/>
            <w:hideMark/>
          </w:tcPr>
          <w:p w14:paraId="50D97BF8"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4275AAD7"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62,68</w:t>
            </w:r>
          </w:p>
        </w:tc>
        <w:tc>
          <w:tcPr>
            <w:tcW w:w="1168" w:type="dxa"/>
            <w:tcBorders>
              <w:top w:val="nil"/>
              <w:left w:val="nil"/>
              <w:bottom w:val="double" w:sz="6" w:space="0" w:color="auto"/>
              <w:right w:val="double" w:sz="6" w:space="0" w:color="auto"/>
            </w:tcBorders>
            <w:shd w:val="clear" w:color="auto" w:fill="auto"/>
            <w:noWrap/>
            <w:vAlign w:val="bottom"/>
            <w:hideMark/>
          </w:tcPr>
          <w:p w14:paraId="3727DA77"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0,81</w:t>
            </w:r>
          </w:p>
        </w:tc>
        <w:tc>
          <w:tcPr>
            <w:tcW w:w="773" w:type="dxa"/>
            <w:tcBorders>
              <w:top w:val="nil"/>
              <w:left w:val="nil"/>
              <w:bottom w:val="double" w:sz="6" w:space="0" w:color="auto"/>
              <w:right w:val="double" w:sz="6" w:space="0" w:color="auto"/>
            </w:tcBorders>
            <w:shd w:val="clear" w:color="auto" w:fill="auto"/>
            <w:noWrap/>
            <w:vAlign w:val="bottom"/>
            <w:hideMark/>
          </w:tcPr>
          <w:p w14:paraId="0EF4D156"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91,64</w:t>
            </w:r>
          </w:p>
        </w:tc>
        <w:tc>
          <w:tcPr>
            <w:tcW w:w="1168" w:type="dxa"/>
            <w:tcBorders>
              <w:top w:val="nil"/>
              <w:left w:val="nil"/>
              <w:bottom w:val="double" w:sz="6" w:space="0" w:color="auto"/>
              <w:right w:val="double" w:sz="6" w:space="0" w:color="auto"/>
            </w:tcBorders>
            <w:shd w:val="clear" w:color="auto" w:fill="auto"/>
            <w:noWrap/>
            <w:vAlign w:val="bottom"/>
            <w:hideMark/>
          </w:tcPr>
          <w:p w14:paraId="610F9C5E"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2,13</w:t>
            </w:r>
          </w:p>
        </w:tc>
        <w:tc>
          <w:tcPr>
            <w:tcW w:w="773" w:type="dxa"/>
            <w:tcBorders>
              <w:top w:val="nil"/>
              <w:left w:val="nil"/>
              <w:bottom w:val="double" w:sz="6" w:space="0" w:color="auto"/>
              <w:right w:val="double" w:sz="6" w:space="0" w:color="auto"/>
            </w:tcBorders>
            <w:shd w:val="clear" w:color="auto" w:fill="auto"/>
            <w:noWrap/>
            <w:vAlign w:val="bottom"/>
            <w:hideMark/>
          </w:tcPr>
          <w:p w14:paraId="2EEEB0F8"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70,63</w:t>
            </w:r>
          </w:p>
        </w:tc>
        <w:tc>
          <w:tcPr>
            <w:tcW w:w="1168" w:type="dxa"/>
            <w:tcBorders>
              <w:top w:val="nil"/>
              <w:left w:val="nil"/>
              <w:bottom w:val="double" w:sz="6" w:space="0" w:color="auto"/>
              <w:right w:val="double" w:sz="6" w:space="0" w:color="auto"/>
            </w:tcBorders>
            <w:shd w:val="clear" w:color="auto" w:fill="auto"/>
            <w:noWrap/>
            <w:vAlign w:val="bottom"/>
            <w:hideMark/>
          </w:tcPr>
          <w:p w14:paraId="1607E660"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0,58</w:t>
            </w:r>
          </w:p>
        </w:tc>
        <w:tc>
          <w:tcPr>
            <w:tcW w:w="873" w:type="dxa"/>
            <w:tcBorders>
              <w:top w:val="nil"/>
              <w:left w:val="nil"/>
              <w:bottom w:val="double" w:sz="6" w:space="0" w:color="auto"/>
              <w:right w:val="double" w:sz="6" w:space="0" w:color="auto"/>
            </w:tcBorders>
            <w:shd w:val="clear" w:color="auto" w:fill="auto"/>
            <w:noWrap/>
            <w:vAlign w:val="bottom"/>
            <w:hideMark/>
          </w:tcPr>
          <w:p w14:paraId="481DA0E7"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94,64</w:t>
            </w:r>
          </w:p>
        </w:tc>
        <w:tc>
          <w:tcPr>
            <w:tcW w:w="1068" w:type="dxa"/>
            <w:tcBorders>
              <w:top w:val="nil"/>
              <w:left w:val="nil"/>
              <w:bottom w:val="double" w:sz="6" w:space="0" w:color="auto"/>
              <w:right w:val="double" w:sz="6" w:space="0" w:color="auto"/>
            </w:tcBorders>
            <w:shd w:val="clear" w:color="auto" w:fill="auto"/>
            <w:noWrap/>
            <w:vAlign w:val="bottom"/>
            <w:hideMark/>
          </w:tcPr>
          <w:p w14:paraId="33B2A851"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0,62</w:t>
            </w:r>
          </w:p>
        </w:tc>
        <w:tc>
          <w:tcPr>
            <w:tcW w:w="773" w:type="dxa"/>
            <w:tcBorders>
              <w:top w:val="nil"/>
              <w:left w:val="nil"/>
              <w:bottom w:val="double" w:sz="6" w:space="0" w:color="auto"/>
              <w:right w:val="double" w:sz="6" w:space="0" w:color="auto"/>
            </w:tcBorders>
            <w:shd w:val="clear" w:color="auto" w:fill="auto"/>
            <w:noWrap/>
            <w:vAlign w:val="bottom"/>
            <w:hideMark/>
          </w:tcPr>
          <w:p w14:paraId="67F00291"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249,84</w:t>
            </w:r>
          </w:p>
        </w:tc>
        <w:tc>
          <w:tcPr>
            <w:tcW w:w="1168" w:type="dxa"/>
            <w:tcBorders>
              <w:top w:val="nil"/>
              <w:left w:val="nil"/>
              <w:bottom w:val="double" w:sz="6" w:space="0" w:color="auto"/>
              <w:right w:val="double" w:sz="6" w:space="0" w:color="auto"/>
            </w:tcBorders>
            <w:shd w:val="clear" w:color="auto" w:fill="auto"/>
            <w:noWrap/>
            <w:vAlign w:val="bottom"/>
            <w:hideMark/>
          </w:tcPr>
          <w:p w14:paraId="7D9F5807"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1,96</w:t>
            </w:r>
          </w:p>
        </w:tc>
      </w:tr>
      <w:tr w:rsidR="0067338B" w:rsidRPr="00C64727" w14:paraId="59C1EB8E" w14:textId="77777777" w:rsidTr="00AC48C8">
        <w:trPr>
          <w:trHeight w:val="315"/>
        </w:trPr>
        <w:tc>
          <w:tcPr>
            <w:tcW w:w="966" w:type="dxa"/>
            <w:tcBorders>
              <w:top w:val="nil"/>
              <w:left w:val="double" w:sz="6" w:space="0" w:color="auto"/>
              <w:bottom w:val="double" w:sz="6" w:space="0" w:color="auto"/>
              <w:right w:val="double" w:sz="6" w:space="0" w:color="auto"/>
            </w:tcBorders>
            <w:shd w:val="clear" w:color="auto" w:fill="auto"/>
            <w:noWrap/>
            <w:vAlign w:val="bottom"/>
            <w:hideMark/>
          </w:tcPr>
          <w:p w14:paraId="724B2EB3" w14:textId="77777777" w:rsidR="0067338B" w:rsidRPr="00C64727" w:rsidRDefault="001379D6">
            <w:pPr>
              <w:spacing w:after="0" w:line="240" w:lineRule="auto"/>
              <w:rPr>
                <w:rFonts w:ascii="Times New Roman" w:eastAsia="Times New Roman" w:hAnsi="Times New Roman"/>
                <w:b/>
                <w:bCs/>
                <w:color w:val="000000"/>
                <w:sz w:val="20"/>
                <w:szCs w:val="20"/>
              </w:rPr>
            </w:pPr>
            <w:r w:rsidRPr="00C64727">
              <w:rPr>
                <w:rFonts w:ascii="Times New Roman" w:hAnsi="Times New Roman"/>
                <w:b/>
                <w:bCs/>
                <w:sz w:val="20"/>
                <w:szCs w:val="20"/>
              </w:rPr>
              <w:t>FR</w:t>
            </w:r>
          </w:p>
        </w:tc>
        <w:tc>
          <w:tcPr>
            <w:tcW w:w="853" w:type="dxa"/>
            <w:tcBorders>
              <w:top w:val="nil"/>
              <w:left w:val="nil"/>
              <w:bottom w:val="double" w:sz="6" w:space="0" w:color="auto"/>
              <w:right w:val="double" w:sz="6" w:space="0" w:color="auto"/>
            </w:tcBorders>
            <w:shd w:val="clear" w:color="auto" w:fill="auto"/>
            <w:noWrap/>
            <w:vAlign w:val="bottom"/>
            <w:hideMark/>
          </w:tcPr>
          <w:p w14:paraId="494B8DCD"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43,46</w:t>
            </w:r>
          </w:p>
        </w:tc>
        <w:tc>
          <w:tcPr>
            <w:tcW w:w="1168" w:type="dxa"/>
            <w:tcBorders>
              <w:top w:val="nil"/>
              <w:left w:val="nil"/>
              <w:bottom w:val="double" w:sz="6" w:space="0" w:color="auto"/>
              <w:right w:val="double" w:sz="6" w:space="0" w:color="auto"/>
            </w:tcBorders>
            <w:shd w:val="clear" w:color="auto" w:fill="auto"/>
            <w:noWrap/>
            <w:vAlign w:val="bottom"/>
            <w:hideMark/>
          </w:tcPr>
          <w:p w14:paraId="728BC637"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77401687"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219,25</w:t>
            </w:r>
          </w:p>
        </w:tc>
        <w:tc>
          <w:tcPr>
            <w:tcW w:w="1168" w:type="dxa"/>
            <w:tcBorders>
              <w:top w:val="nil"/>
              <w:left w:val="nil"/>
              <w:bottom w:val="double" w:sz="6" w:space="0" w:color="auto"/>
              <w:right w:val="double" w:sz="6" w:space="0" w:color="auto"/>
            </w:tcBorders>
            <w:shd w:val="clear" w:color="auto" w:fill="auto"/>
            <w:noWrap/>
            <w:vAlign w:val="bottom"/>
            <w:hideMark/>
          </w:tcPr>
          <w:p w14:paraId="70AD1E45"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3C6F2631"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205,29</w:t>
            </w:r>
          </w:p>
        </w:tc>
        <w:tc>
          <w:tcPr>
            <w:tcW w:w="1168" w:type="dxa"/>
            <w:tcBorders>
              <w:top w:val="nil"/>
              <w:left w:val="nil"/>
              <w:bottom w:val="double" w:sz="6" w:space="0" w:color="auto"/>
              <w:right w:val="double" w:sz="6" w:space="0" w:color="auto"/>
            </w:tcBorders>
            <w:shd w:val="clear" w:color="auto" w:fill="auto"/>
            <w:noWrap/>
            <w:vAlign w:val="bottom"/>
            <w:hideMark/>
          </w:tcPr>
          <w:p w14:paraId="0F18F9A6"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10,05</w:t>
            </w:r>
          </w:p>
        </w:tc>
        <w:tc>
          <w:tcPr>
            <w:tcW w:w="773" w:type="dxa"/>
            <w:tcBorders>
              <w:top w:val="nil"/>
              <w:left w:val="nil"/>
              <w:bottom w:val="double" w:sz="6" w:space="0" w:color="auto"/>
              <w:right w:val="double" w:sz="6" w:space="0" w:color="auto"/>
            </w:tcBorders>
            <w:shd w:val="clear" w:color="auto" w:fill="auto"/>
            <w:noWrap/>
            <w:vAlign w:val="bottom"/>
            <w:hideMark/>
          </w:tcPr>
          <w:p w14:paraId="4C2E1298"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299,94</w:t>
            </w:r>
          </w:p>
        </w:tc>
        <w:tc>
          <w:tcPr>
            <w:tcW w:w="1168" w:type="dxa"/>
            <w:tcBorders>
              <w:top w:val="nil"/>
              <w:left w:val="nil"/>
              <w:bottom w:val="double" w:sz="6" w:space="0" w:color="auto"/>
              <w:right w:val="double" w:sz="6" w:space="0" w:color="auto"/>
            </w:tcBorders>
            <w:shd w:val="clear" w:color="auto" w:fill="auto"/>
            <w:noWrap/>
            <w:vAlign w:val="bottom"/>
            <w:hideMark/>
          </w:tcPr>
          <w:p w14:paraId="1E8C4164"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12,18</w:t>
            </w:r>
          </w:p>
        </w:tc>
        <w:tc>
          <w:tcPr>
            <w:tcW w:w="773" w:type="dxa"/>
            <w:tcBorders>
              <w:top w:val="nil"/>
              <w:left w:val="nil"/>
              <w:bottom w:val="double" w:sz="6" w:space="0" w:color="auto"/>
              <w:right w:val="double" w:sz="6" w:space="0" w:color="auto"/>
            </w:tcBorders>
            <w:shd w:val="clear" w:color="auto" w:fill="auto"/>
            <w:noWrap/>
            <w:vAlign w:val="bottom"/>
            <w:hideMark/>
          </w:tcPr>
          <w:p w14:paraId="05B54996"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231,34</w:t>
            </w:r>
          </w:p>
        </w:tc>
        <w:tc>
          <w:tcPr>
            <w:tcW w:w="1168" w:type="dxa"/>
            <w:tcBorders>
              <w:top w:val="nil"/>
              <w:left w:val="nil"/>
              <w:bottom w:val="double" w:sz="6" w:space="0" w:color="auto"/>
              <w:right w:val="double" w:sz="6" w:space="0" w:color="auto"/>
            </w:tcBorders>
            <w:shd w:val="clear" w:color="auto" w:fill="auto"/>
            <w:noWrap/>
            <w:vAlign w:val="bottom"/>
            <w:hideMark/>
          </w:tcPr>
          <w:p w14:paraId="16D4B212"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3,35</w:t>
            </w:r>
          </w:p>
        </w:tc>
        <w:tc>
          <w:tcPr>
            <w:tcW w:w="873" w:type="dxa"/>
            <w:tcBorders>
              <w:top w:val="nil"/>
              <w:left w:val="nil"/>
              <w:bottom w:val="double" w:sz="6" w:space="0" w:color="auto"/>
              <w:right w:val="double" w:sz="6" w:space="0" w:color="auto"/>
            </w:tcBorders>
            <w:shd w:val="clear" w:color="auto" w:fill="auto"/>
            <w:noWrap/>
            <w:vAlign w:val="bottom"/>
            <w:hideMark/>
          </w:tcPr>
          <w:p w14:paraId="78C02750"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309,85</w:t>
            </w:r>
          </w:p>
        </w:tc>
        <w:tc>
          <w:tcPr>
            <w:tcW w:w="1068" w:type="dxa"/>
            <w:tcBorders>
              <w:top w:val="nil"/>
              <w:left w:val="nil"/>
              <w:bottom w:val="double" w:sz="6" w:space="0" w:color="auto"/>
              <w:right w:val="double" w:sz="6" w:space="0" w:color="auto"/>
            </w:tcBorders>
            <w:shd w:val="clear" w:color="auto" w:fill="auto"/>
            <w:noWrap/>
            <w:vAlign w:val="bottom"/>
            <w:hideMark/>
          </w:tcPr>
          <w:p w14:paraId="7EB132E7"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3,55</w:t>
            </w:r>
          </w:p>
        </w:tc>
        <w:tc>
          <w:tcPr>
            <w:tcW w:w="773" w:type="dxa"/>
            <w:tcBorders>
              <w:top w:val="nil"/>
              <w:left w:val="nil"/>
              <w:bottom w:val="double" w:sz="6" w:space="0" w:color="auto"/>
              <w:right w:val="double" w:sz="6" w:space="0" w:color="auto"/>
            </w:tcBorders>
            <w:shd w:val="clear" w:color="auto" w:fill="auto"/>
            <w:noWrap/>
            <w:vAlign w:val="bottom"/>
            <w:hideMark/>
          </w:tcPr>
          <w:p w14:paraId="6EFAB815"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818,40</w:t>
            </w:r>
          </w:p>
        </w:tc>
        <w:tc>
          <w:tcPr>
            <w:tcW w:w="1168" w:type="dxa"/>
            <w:tcBorders>
              <w:top w:val="nil"/>
              <w:left w:val="nil"/>
              <w:bottom w:val="double" w:sz="6" w:space="0" w:color="auto"/>
              <w:right w:val="double" w:sz="6" w:space="0" w:color="auto"/>
            </w:tcBorders>
            <w:shd w:val="clear" w:color="auto" w:fill="auto"/>
            <w:noWrap/>
            <w:vAlign w:val="bottom"/>
            <w:hideMark/>
          </w:tcPr>
          <w:p w14:paraId="2374FAB0"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11,16</w:t>
            </w:r>
          </w:p>
        </w:tc>
      </w:tr>
      <w:tr w:rsidR="0067338B" w:rsidRPr="00C64727" w14:paraId="3E711CCB" w14:textId="77777777" w:rsidTr="00AC48C8">
        <w:trPr>
          <w:trHeight w:val="315"/>
        </w:trPr>
        <w:tc>
          <w:tcPr>
            <w:tcW w:w="966" w:type="dxa"/>
            <w:tcBorders>
              <w:top w:val="nil"/>
              <w:left w:val="double" w:sz="6" w:space="0" w:color="auto"/>
              <w:bottom w:val="double" w:sz="6" w:space="0" w:color="auto"/>
              <w:right w:val="double" w:sz="6" w:space="0" w:color="auto"/>
            </w:tcBorders>
            <w:shd w:val="clear" w:color="auto" w:fill="auto"/>
            <w:noWrap/>
            <w:vAlign w:val="bottom"/>
            <w:hideMark/>
          </w:tcPr>
          <w:p w14:paraId="7F769A92" w14:textId="77777777" w:rsidR="0067338B" w:rsidRPr="00C64727" w:rsidRDefault="001379D6">
            <w:pPr>
              <w:spacing w:after="0" w:line="240" w:lineRule="auto"/>
              <w:rPr>
                <w:rFonts w:ascii="Times New Roman" w:eastAsia="Times New Roman" w:hAnsi="Times New Roman"/>
                <w:b/>
                <w:bCs/>
                <w:color w:val="000000"/>
                <w:sz w:val="20"/>
                <w:szCs w:val="20"/>
              </w:rPr>
            </w:pPr>
            <w:r w:rsidRPr="00C64727">
              <w:rPr>
                <w:rFonts w:ascii="Times New Roman" w:hAnsi="Times New Roman"/>
                <w:b/>
                <w:bCs/>
                <w:sz w:val="20"/>
                <w:szCs w:val="20"/>
              </w:rPr>
              <w:t>HU</w:t>
            </w:r>
          </w:p>
        </w:tc>
        <w:tc>
          <w:tcPr>
            <w:tcW w:w="853" w:type="dxa"/>
            <w:tcBorders>
              <w:top w:val="nil"/>
              <w:left w:val="nil"/>
              <w:bottom w:val="double" w:sz="6" w:space="0" w:color="auto"/>
              <w:right w:val="double" w:sz="6" w:space="0" w:color="auto"/>
            </w:tcBorders>
            <w:shd w:val="clear" w:color="auto" w:fill="auto"/>
            <w:noWrap/>
            <w:vAlign w:val="bottom"/>
            <w:hideMark/>
          </w:tcPr>
          <w:p w14:paraId="0414DA24"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3,99</w:t>
            </w:r>
          </w:p>
        </w:tc>
        <w:tc>
          <w:tcPr>
            <w:tcW w:w="1168" w:type="dxa"/>
            <w:tcBorders>
              <w:top w:val="nil"/>
              <w:left w:val="nil"/>
              <w:bottom w:val="double" w:sz="6" w:space="0" w:color="auto"/>
              <w:right w:val="double" w:sz="6" w:space="0" w:color="auto"/>
            </w:tcBorders>
            <w:shd w:val="clear" w:color="auto" w:fill="auto"/>
            <w:noWrap/>
            <w:vAlign w:val="bottom"/>
            <w:hideMark/>
          </w:tcPr>
          <w:p w14:paraId="2F013760"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5CB61C5D"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34,59</w:t>
            </w:r>
          </w:p>
        </w:tc>
        <w:tc>
          <w:tcPr>
            <w:tcW w:w="1168" w:type="dxa"/>
            <w:tcBorders>
              <w:top w:val="nil"/>
              <w:left w:val="nil"/>
              <w:bottom w:val="double" w:sz="6" w:space="0" w:color="auto"/>
              <w:right w:val="double" w:sz="6" w:space="0" w:color="auto"/>
            </w:tcBorders>
            <w:shd w:val="clear" w:color="auto" w:fill="auto"/>
            <w:noWrap/>
            <w:vAlign w:val="bottom"/>
            <w:hideMark/>
          </w:tcPr>
          <w:p w14:paraId="516B085B"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122C6C78"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56,21</w:t>
            </w:r>
          </w:p>
        </w:tc>
        <w:tc>
          <w:tcPr>
            <w:tcW w:w="1168" w:type="dxa"/>
            <w:tcBorders>
              <w:top w:val="nil"/>
              <w:left w:val="nil"/>
              <w:bottom w:val="double" w:sz="6" w:space="0" w:color="auto"/>
              <w:right w:val="double" w:sz="6" w:space="0" w:color="auto"/>
            </w:tcBorders>
            <w:shd w:val="clear" w:color="auto" w:fill="auto"/>
            <w:noWrap/>
            <w:vAlign w:val="bottom"/>
            <w:hideMark/>
          </w:tcPr>
          <w:p w14:paraId="4D49F02A"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0,29</w:t>
            </w:r>
          </w:p>
        </w:tc>
        <w:tc>
          <w:tcPr>
            <w:tcW w:w="773" w:type="dxa"/>
            <w:tcBorders>
              <w:top w:val="nil"/>
              <w:left w:val="nil"/>
              <w:bottom w:val="double" w:sz="6" w:space="0" w:color="auto"/>
              <w:right w:val="double" w:sz="6" w:space="0" w:color="auto"/>
            </w:tcBorders>
            <w:shd w:val="clear" w:color="auto" w:fill="auto"/>
            <w:noWrap/>
            <w:vAlign w:val="bottom"/>
            <w:hideMark/>
          </w:tcPr>
          <w:p w14:paraId="288F5A6B"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82,28</w:t>
            </w:r>
          </w:p>
        </w:tc>
        <w:tc>
          <w:tcPr>
            <w:tcW w:w="1168" w:type="dxa"/>
            <w:tcBorders>
              <w:top w:val="nil"/>
              <w:left w:val="nil"/>
              <w:bottom w:val="double" w:sz="6" w:space="0" w:color="auto"/>
              <w:right w:val="double" w:sz="6" w:space="0" w:color="auto"/>
            </w:tcBorders>
            <w:shd w:val="clear" w:color="auto" w:fill="auto"/>
            <w:noWrap/>
            <w:vAlign w:val="bottom"/>
            <w:hideMark/>
          </w:tcPr>
          <w:p w14:paraId="1E8C8893"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0,99</w:t>
            </w:r>
          </w:p>
        </w:tc>
        <w:tc>
          <w:tcPr>
            <w:tcW w:w="773" w:type="dxa"/>
            <w:tcBorders>
              <w:top w:val="nil"/>
              <w:left w:val="nil"/>
              <w:bottom w:val="double" w:sz="6" w:space="0" w:color="auto"/>
              <w:right w:val="double" w:sz="6" w:space="0" w:color="auto"/>
            </w:tcBorders>
            <w:shd w:val="clear" w:color="auto" w:fill="auto"/>
            <w:noWrap/>
            <w:vAlign w:val="bottom"/>
            <w:hideMark/>
          </w:tcPr>
          <w:p w14:paraId="106030BE"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63,43</w:t>
            </w:r>
          </w:p>
        </w:tc>
        <w:tc>
          <w:tcPr>
            <w:tcW w:w="1168" w:type="dxa"/>
            <w:tcBorders>
              <w:top w:val="nil"/>
              <w:left w:val="nil"/>
              <w:bottom w:val="double" w:sz="6" w:space="0" w:color="auto"/>
              <w:right w:val="double" w:sz="6" w:space="0" w:color="auto"/>
            </w:tcBorders>
            <w:shd w:val="clear" w:color="auto" w:fill="auto"/>
            <w:noWrap/>
            <w:vAlign w:val="bottom"/>
            <w:hideMark/>
          </w:tcPr>
          <w:p w14:paraId="553AAB7C"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0,27</w:t>
            </w:r>
          </w:p>
        </w:tc>
        <w:tc>
          <w:tcPr>
            <w:tcW w:w="873" w:type="dxa"/>
            <w:tcBorders>
              <w:top w:val="nil"/>
              <w:left w:val="nil"/>
              <w:bottom w:val="double" w:sz="6" w:space="0" w:color="auto"/>
              <w:right w:val="double" w:sz="6" w:space="0" w:color="auto"/>
            </w:tcBorders>
            <w:shd w:val="clear" w:color="auto" w:fill="auto"/>
            <w:noWrap/>
            <w:vAlign w:val="bottom"/>
            <w:hideMark/>
          </w:tcPr>
          <w:p w14:paraId="46D1924E"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84,94</w:t>
            </w:r>
          </w:p>
        </w:tc>
        <w:tc>
          <w:tcPr>
            <w:tcW w:w="1068" w:type="dxa"/>
            <w:tcBorders>
              <w:top w:val="nil"/>
              <w:left w:val="nil"/>
              <w:bottom w:val="double" w:sz="6" w:space="0" w:color="auto"/>
              <w:right w:val="double" w:sz="6" w:space="0" w:color="auto"/>
            </w:tcBorders>
            <w:shd w:val="clear" w:color="auto" w:fill="auto"/>
            <w:noWrap/>
            <w:vAlign w:val="bottom"/>
            <w:hideMark/>
          </w:tcPr>
          <w:p w14:paraId="70E6A781"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0,29</w:t>
            </w:r>
          </w:p>
        </w:tc>
        <w:tc>
          <w:tcPr>
            <w:tcW w:w="773" w:type="dxa"/>
            <w:tcBorders>
              <w:top w:val="nil"/>
              <w:left w:val="nil"/>
              <w:bottom w:val="double" w:sz="6" w:space="0" w:color="auto"/>
              <w:right w:val="double" w:sz="6" w:space="0" w:color="auto"/>
            </w:tcBorders>
            <w:shd w:val="clear" w:color="auto" w:fill="auto"/>
            <w:noWrap/>
            <w:vAlign w:val="bottom"/>
            <w:hideMark/>
          </w:tcPr>
          <w:p w14:paraId="5BB4F2A7"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224,48</w:t>
            </w:r>
          </w:p>
        </w:tc>
        <w:tc>
          <w:tcPr>
            <w:tcW w:w="1168" w:type="dxa"/>
            <w:tcBorders>
              <w:top w:val="nil"/>
              <w:left w:val="nil"/>
              <w:bottom w:val="double" w:sz="6" w:space="0" w:color="auto"/>
              <w:right w:val="double" w:sz="6" w:space="0" w:color="auto"/>
            </w:tcBorders>
            <w:shd w:val="clear" w:color="auto" w:fill="auto"/>
            <w:noWrap/>
            <w:vAlign w:val="bottom"/>
            <w:hideMark/>
          </w:tcPr>
          <w:p w14:paraId="47CDD4FF"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0,91</w:t>
            </w:r>
          </w:p>
        </w:tc>
      </w:tr>
      <w:tr w:rsidR="0067338B" w:rsidRPr="00C64727" w14:paraId="29D353EB" w14:textId="77777777" w:rsidTr="00AC48C8">
        <w:trPr>
          <w:trHeight w:val="315"/>
        </w:trPr>
        <w:tc>
          <w:tcPr>
            <w:tcW w:w="966" w:type="dxa"/>
            <w:tcBorders>
              <w:top w:val="nil"/>
              <w:left w:val="double" w:sz="6" w:space="0" w:color="auto"/>
              <w:bottom w:val="double" w:sz="6" w:space="0" w:color="auto"/>
              <w:right w:val="double" w:sz="6" w:space="0" w:color="auto"/>
            </w:tcBorders>
            <w:shd w:val="clear" w:color="auto" w:fill="auto"/>
            <w:noWrap/>
            <w:vAlign w:val="bottom"/>
            <w:hideMark/>
          </w:tcPr>
          <w:p w14:paraId="146A6FA4" w14:textId="77777777" w:rsidR="0067338B" w:rsidRPr="00C64727" w:rsidRDefault="001379D6">
            <w:pPr>
              <w:spacing w:after="0" w:line="240" w:lineRule="auto"/>
              <w:rPr>
                <w:rFonts w:ascii="Times New Roman" w:eastAsia="Times New Roman" w:hAnsi="Times New Roman"/>
                <w:b/>
                <w:bCs/>
                <w:color w:val="000000"/>
                <w:sz w:val="20"/>
                <w:szCs w:val="20"/>
              </w:rPr>
            </w:pPr>
            <w:r w:rsidRPr="00C64727">
              <w:rPr>
                <w:rFonts w:ascii="Times New Roman" w:hAnsi="Times New Roman"/>
                <w:b/>
                <w:bCs/>
                <w:sz w:val="20"/>
                <w:szCs w:val="20"/>
              </w:rPr>
              <w:t>IE</w:t>
            </w:r>
          </w:p>
        </w:tc>
        <w:tc>
          <w:tcPr>
            <w:tcW w:w="853" w:type="dxa"/>
            <w:tcBorders>
              <w:top w:val="nil"/>
              <w:left w:val="nil"/>
              <w:bottom w:val="double" w:sz="6" w:space="0" w:color="auto"/>
              <w:right w:val="double" w:sz="6" w:space="0" w:color="auto"/>
            </w:tcBorders>
            <w:shd w:val="clear" w:color="auto" w:fill="auto"/>
            <w:noWrap/>
            <w:vAlign w:val="bottom"/>
            <w:hideMark/>
          </w:tcPr>
          <w:p w14:paraId="52499C87"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1168" w:type="dxa"/>
            <w:tcBorders>
              <w:top w:val="nil"/>
              <w:left w:val="nil"/>
              <w:bottom w:val="double" w:sz="6" w:space="0" w:color="auto"/>
              <w:right w:val="double" w:sz="6" w:space="0" w:color="auto"/>
            </w:tcBorders>
            <w:shd w:val="clear" w:color="auto" w:fill="auto"/>
            <w:noWrap/>
            <w:vAlign w:val="bottom"/>
            <w:hideMark/>
          </w:tcPr>
          <w:p w14:paraId="6D06B87D"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35E07E42"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41,68</w:t>
            </w:r>
          </w:p>
        </w:tc>
        <w:tc>
          <w:tcPr>
            <w:tcW w:w="1168" w:type="dxa"/>
            <w:tcBorders>
              <w:top w:val="nil"/>
              <w:left w:val="nil"/>
              <w:bottom w:val="double" w:sz="6" w:space="0" w:color="auto"/>
              <w:right w:val="double" w:sz="6" w:space="0" w:color="auto"/>
            </w:tcBorders>
            <w:shd w:val="clear" w:color="auto" w:fill="auto"/>
            <w:noWrap/>
            <w:vAlign w:val="bottom"/>
            <w:hideMark/>
          </w:tcPr>
          <w:p w14:paraId="005884B8"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5EE8390B"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35,11</w:t>
            </w:r>
          </w:p>
        </w:tc>
        <w:tc>
          <w:tcPr>
            <w:tcW w:w="1168" w:type="dxa"/>
            <w:tcBorders>
              <w:top w:val="nil"/>
              <w:left w:val="nil"/>
              <w:bottom w:val="double" w:sz="6" w:space="0" w:color="auto"/>
              <w:right w:val="double" w:sz="6" w:space="0" w:color="auto"/>
            </w:tcBorders>
            <w:shd w:val="clear" w:color="auto" w:fill="auto"/>
            <w:noWrap/>
            <w:vAlign w:val="bottom"/>
            <w:hideMark/>
          </w:tcPr>
          <w:p w14:paraId="0DE14FAA"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0,87</w:t>
            </w:r>
          </w:p>
        </w:tc>
        <w:tc>
          <w:tcPr>
            <w:tcW w:w="773" w:type="dxa"/>
            <w:tcBorders>
              <w:top w:val="nil"/>
              <w:left w:val="nil"/>
              <w:bottom w:val="double" w:sz="6" w:space="0" w:color="auto"/>
              <w:right w:val="double" w:sz="6" w:space="0" w:color="auto"/>
            </w:tcBorders>
            <w:shd w:val="clear" w:color="auto" w:fill="auto"/>
            <w:noWrap/>
            <w:vAlign w:val="bottom"/>
            <w:hideMark/>
          </w:tcPr>
          <w:p w14:paraId="17B9E781"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51,32</w:t>
            </w:r>
          </w:p>
        </w:tc>
        <w:tc>
          <w:tcPr>
            <w:tcW w:w="1168" w:type="dxa"/>
            <w:tcBorders>
              <w:top w:val="nil"/>
              <w:left w:val="nil"/>
              <w:bottom w:val="double" w:sz="6" w:space="0" w:color="auto"/>
              <w:right w:val="double" w:sz="6" w:space="0" w:color="auto"/>
            </w:tcBorders>
            <w:shd w:val="clear" w:color="auto" w:fill="auto"/>
            <w:noWrap/>
            <w:vAlign w:val="bottom"/>
            <w:hideMark/>
          </w:tcPr>
          <w:p w14:paraId="51F302EC"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2,15</w:t>
            </w:r>
          </w:p>
        </w:tc>
        <w:tc>
          <w:tcPr>
            <w:tcW w:w="773" w:type="dxa"/>
            <w:tcBorders>
              <w:top w:val="nil"/>
              <w:left w:val="nil"/>
              <w:bottom w:val="double" w:sz="6" w:space="0" w:color="auto"/>
              <w:right w:val="double" w:sz="6" w:space="0" w:color="auto"/>
            </w:tcBorders>
            <w:shd w:val="clear" w:color="auto" w:fill="auto"/>
            <w:noWrap/>
            <w:vAlign w:val="bottom"/>
            <w:hideMark/>
          </w:tcPr>
          <w:p w14:paraId="72C40760"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39,54</w:t>
            </w:r>
          </w:p>
        </w:tc>
        <w:tc>
          <w:tcPr>
            <w:tcW w:w="1168" w:type="dxa"/>
            <w:tcBorders>
              <w:top w:val="nil"/>
              <w:left w:val="nil"/>
              <w:bottom w:val="double" w:sz="6" w:space="0" w:color="auto"/>
              <w:right w:val="double" w:sz="6" w:space="0" w:color="auto"/>
            </w:tcBorders>
            <w:shd w:val="clear" w:color="auto" w:fill="auto"/>
            <w:noWrap/>
            <w:vAlign w:val="bottom"/>
            <w:hideMark/>
          </w:tcPr>
          <w:p w14:paraId="655BE070"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0,59</w:t>
            </w:r>
          </w:p>
        </w:tc>
        <w:tc>
          <w:tcPr>
            <w:tcW w:w="873" w:type="dxa"/>
            <w:tcBorders>
              <w:top w:val="nil"/>
              <w:left w:val="nil"/>
              <w:bottom w:val="double" w:sz="6" w:space="0" w:color="auto"/>
              <w:right w:val="double" w:sz="6" w:space="0" w:color="auto"/>
            </w:tcBorders>
            <w:shd w:val="clear" w:color="auto" w:fill="auto"/>
            <w:noWrap/>
            <w:vAlign w:val="bottom"/>
            <w:hideMark/>
          </w:tcPr>
          <w:p w14:paraId="10BE1E8E"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52,93</w:t>
            </w:r>
          </w:p>
        </w:tc>
        <w:tc>
          <w:tcPr>
            <w:tcW w:w="1068" w:type="dxa"/>
            <w:tcBorders>
              <w:top w:val="nil"/>
              <w:left w:val="nil"/>
              <w:bottom w:val="double" w:sz="6" w:space="0" w:color="auto"/>
              <w:right w:val="double" w:sz="6" w:space="0" w:color="auto"/>
            </w:tcBorders>
            <w:shd w:val="clear" w:color="auto" w:fill="auto"/>
            <w:noWrap/>
            <w:vAlign w:val="bottom"/>
            <w:hideMark/>
          </w:tcPr>
          <w:p w14:paraId="68A6D658"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0,63</w:t>
            </w:r>
          </w:p>
        </w:tc>
        <w:tc>
          <w:tcPr>
            <w:tcW w:w="773" w:type="dxa"/>
            <w:tcBorders>
              <w:top w:val="nil"/>
              <w:left w:val="nil"/>
              <w:bottom w:val="double" w:sz="6" w:space="0" w:color="auto"/>
              <w:right w:val="double" w:sz="6" w:space="0" w:color="auto"/>
            </w:tcBorders>
            <w:shd w:val="clear" w:color="auto" w:fill="auto"/>
            <w:noWrap/>
            <w:vAlign w:val="bottom"/>
            <w:hideMark/>
          </w:tcPr>
          <w:p w14:paraId="6379E6FA"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140,10</w:t>
            </w:r>
          </w:p>
        </w:tc>
        <w:tc>
          <w:tcPr>
            <w:tcW w:w="1168" w:type="dxa"/>
            <w:tcBorders>
              <w:top w:val="nil"/>
              <w:left w:val="nil"/>
              <w:bottom w:val="double" w:sz="6" w:space="0" w:color="auto"/>
              <w:right w:val="double" w:sz="6" w:space="0" w:color="auto"/>
            </w:tcBorders>
            <w:shd w:val="clear" w:color="auto" w:fill="auto"/>
            <w:noWrap/>
            <w:vAlign w:val="bottom"/>
            <w:hideMark/>
          </w:tcPr>
          <w:p w14:paraId="569EEC12"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1,97</w:t>
            </w:r>
          </w:p>
        </w:tc>
      </w:tr>
      <w:tr w:rsidR="0067338B" w:rsidRPr="00C64727" w14:paraId="641B4991" w14:textId="77777777" w:rsidTr="00AC48C8">
        <w:trPr>
          <w:trHeight w:val="315"/>
        </w:trPr>
        <w:tc>
          <w:tcPr>
            <w:tcW w:w="966" w:type="dxa"/>
            <w:tcBorders>
              <w:top w:val="nil"/>
              <w:left w:val="double" w:sz="6" w:space="0" w:color="auto"/>
              <w:bottom w:val="double" w:sz="6" w:space="0" w:color="auto"/>
              <w:right w:val="double" w:sz="6" w:space="0" w:color="auto"/>
            </w:tcBorders>
            <w:shd w:val="clear" w:color="auto" w:fill="auto"/>
            <w:noWrap/>
            <w:vAlign w:val="bottom"/>
            <w:hideMark/>
          </w:tcPr>
          <w:p w14:paraId="2B472EFF" w14:textId="77777777" w:rsidR="0067338B" w:rsidRPr="00C64727" w:rsidRDefault="001379D6">
            <w:pPr>
              <w:spacing w:after="0" w:line="240" w:lineRule="auto"/>
              <w:rPr>
                <w:rFonts w:ascii="Times New Roman" w:eastAsia="Times New Roman" w:hAnsi="Times New Roman"/>
                <w:b/>
                <w:bCs/>
                <w:color w:val="000000"/>
                <w:sz w:val="20"/>
                <w:szCs w:val="20"/>
              </w:rPr>
            </w:pPr>
            <w:r w:rsidRPr="00C64727">
              <w:rPr>
                <w:rFonts w:ascii="Times New Roman" w:hAnsi="Times New Roman"/>
                <w:b/>
                <w:bCs/>
                <w:sz w:val="20"/>
                <w:szCs w:val="20"/>
              </w:rPr>
              <w:t>IT</w:t>
            </w:r>
          </w:p>
        </w:tc>
        <w:tc>
          <w:tcPr>
            <w:tcW w:w="853" w:type="dxa"/>
            <w:tcBorders>
              <w:top w:val="nil"/>
              <w:left w:val="nil"/>
              <w:bottom w:val="double" w:sz="6" w:space="0" w:color="auto"/>
              <w:right w:val="double" w:sz="6" w:space="0" w:color="auto"/>
            </w:tcBorders>
            <w:shd w:val="clear" w:color="auto" w:fill="auto"/>
            <w:noWrap/>
            <w:vAlign w:val="bottom"/>
            <w:hideMark/>
          </w:tcPr>
          <w:p w14:paraId="64E2B132"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76,50</w:t>
            </w:r>
          </w:p>
        </w:tc>
        <w:tc>
          <w:tcPr>
            <w:tcW w:w="1168" w:type="dxa"/>
            <w:tcBorders>
              <w:top w:val="nil"/>
              <w:left w:val="nil"/>
              <w:bottom w:val="double" w:sz="6" w:space="0" w:color="auto"/>
              <w:right w:val="double" w:sz="6" w:space="0" w:color="auto"/>
            </w:tcBorders>
            <w:shd w:val="clear" w:color="auto" w:fill="auto"/>
            <w:noWrap/>
            <w:vAlign w:val="bottom"/>
            <w:hideMark/>
          </w:tcPr>
          <w:p w14:paraId="67B4ACB8"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1952FBB8"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385,98</w:t>
            </w:r>
          </w:p>
        </w:tc>
        <w:tc>
          <w:tcPr>
            <w:tcW w:w="1168" w:type="dxa"/>
            <w:tcBorders>
              <w:top w:val="nil"/>
              <w:left w:val="nil"/>
              <w:bottom w:val="double" w:sz="6" w:space="0" w:color="auto"/>
              <w:right w:val="double" w:sz="6" w:space="0" w:color="auto"/>
            </w:tcBorders>
            <w:shd w:val="clear" w:color="auto" w:fill="auto"/>
            <w:noWrap/>
            <w:vAlign w:val="bottom"/>
            <w:hideMark/>
          </w:tcPr>
          <w:p w14:paraId="1F8F7266"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5D248181"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361,25</w:t>
            </w:r>
          </w:p>
        </w:tc>
        <w:tc>
          <w:tcPr>
            <w:tcW w:w="1168" w:type="dxa"/>
            <w:tcBorders>
              <w:top w:val="nil"/>
              <w:left w:val="nil"/>
              <w:bottom w:val="double" w:sz="6" w:space="0" w:color="auto"/>
              <w:right w:val="double" w:sz="6" w:space="0" w:color="auto"/>
            </w:tcBorders>
            <w:shd w:val="clear" w:color="auto" w:fill="auto"/>
            <w:noWrap/>
            <w:vAlign w:val="bottom"/>
            <w:hideMark/>
          </w:tcPr>
          <w:p w14:paraId="5C891285"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5,24</w:t>
            </w:r>
          </w:p>
        </w:tc>
        <w:tc>
          <w:tcPr>
            <w:tcW w:w="773" w:type="dxa"/>
            <w:tcBorders>
              <w:top w:val="nil"/>
              <w:left w:val="nil"/>
              <w:bottom w:val="double" w:sz="6" w:space="0" w:color="auto"/>
              <w:right w:val="double" w:sz="6" w:space="0" w:color="auto"/>
            </w:tcBorders>
            <w:shd w:val="clear" w:color="auto" w:fill="auto"/>
            <w:noWrap/>
            <w:vAlign w:val="bottom"/>
            <w:hideMark/>
          </w:tcPr>
          <w:p w14:paraId="11985E4C"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528,00</w:t>
            </w:r>
          </w:p>
        </w:tc>
        <w:tc>
          <w:tcPr>
            <w:tcW w:w="1168" w:type="dxa"/>
            <w:tcBorders>
              <w:top w:val="nil"/>
              <w:left w:val="nil"/>
              <w:bottom w:val="double" w:sz="6" w:space="0" w:color="auto"/>
              <w:right w:val="double" w:sz="6" w:space="0" w:color="auto"/>
            </w:tcBorders>
            <w:shd w:val="clear" w:color="auto" w:fill="auto"/>
            <w:noWrap/>
            <w:vAlign w:val="bottom"/>
            <w:hideMark/>
          </w:tcPr>
          <w:p w14:paraId="1D664541"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14,41</w:t>
            </w:r>
          </w:p>
        </w:tc>
        <w:tc>
          <w:tcPr>
            <w:tcW w:w="773" w:type="dxa"/>
            <w:tcBorders>
              <w:top w:val="nil"/>
              <w:left w:val="nil"/>
              <w:bottom w:val="double" w:sz="6" w:space="0" w:color="auto"/>
              <w:right w:val="double" w:sz="6" w:space="0" w:color="auto"/>
            </w:tcBorders>
            <w:shd w:val="clear" w:color="auto" w:fill="auto"/>
            <w:noWrap/>
            <w:vAlign w:val="bottom"/>
            <w:hideMark/>
          </w:tcPr>
          <w:p w14:paraId="777B9890"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407,23</w:t>
            </w:r>
          </w:p>
        </w:tc>
        <w:tc>
          <w:tcPr>
            <w:tcW w:w="1168" w:type="dxa"/>
            <w:tcBorders>
              <w:top w:val="nil"/>
              <w:left w:val="nil"/>
              <w:bottom w:val="double" w:sz="6" w:space="0" w:color="auto"/>
              <w:right w:val="double" w:sz="6" w:space="0" w:color="auto"/>
            </w:tcBorders>
            <w:shd w:val="clear" w:color="auto" w:fill="auto"/>
            <w:noWrap/>
            <w:vAlign w:val="bottom"/>
            <w:hideMark/>
          </w:tcPr>
          <w:p w14:paraId="5B98D73A"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3,96</w:t>
            </w:r>
          </w:p>
        </w:tc>
        <w:tc>
          <w:tcPr>
            <w:tcW w:w="873" w:type="dxa"/>
            <w:tcBorders>
              <w:top w:val="nil"/>
              <w:left w:val="nil"/>
              <w:bottom w:val="double" w:sz="6" w:space="0" w:color="auto"/>
              <w:right w:val="double" w:sz="6" w:space="0" w:color="auto"/>
            </w:tcBorders>
            <w:shd w:val="clear" w:color="auto" w:fill="auto"/>
            <w:noWrap/>
            <w:vAlign w:val="bottom"/>
            <w:hideMark/>
          </w:tcPr>
          <w:p w14:paraId="1185C349"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545,44</w:t>
            </w:r>
          </w:p>
        </w:tc>
        <w:tc>
          <w:tcPr>
            <w:tcW w:w="1068" w:type="dxa"/>
            <w:tcBorders>
              <w:top w:val="nil"/>
              <w:left w:val="nil"/>
              <w:bottom w:val="double" w:sz="6" w:space="0" w:color="auto"/>
              <w:right w:val="double" w:sz="6" w:space="0" w:color="auto"/>
            </w:tcBorders>
            <w:shd w:val="clear" w:color="auto" w:fill="auto"/>
            <w:noWrap/>
            <w:vAlign w:val="bottom"/>
            <w:hideMark/>
          </w:tcPr>
          <w:p w14:paraId="53A17A9F"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4,21</w:t>
            </w:r>
          </w:p>
        </w:tc>
        <w:tc>
          <w:tcPr>
            <w:tcW w:w="773" w:type="dxa"/>
            <w:tcBorders>
              <w:top w:val="nil"/>
              <w:left w:val="nil"/>
              <w:bottom w:val="double" w:sz="6" w:space="0" w:color="auto"/>
              <w:right w:val="double" w:sz="6" w:space="0" w:color="auto"/>
            </w:tcBorders>
            <w:shd w:val="clear" w:color="auto" w:fill="auto"/>
            <w:noWrap/>
            <w:vAlign w:val="bottom"/>
            <w:hideMark/>
          </w:tcPr>
          <w:p w14:paraId="74E9FAF4"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1440,10</w:t>
            </w:r>
          </w:p>
        </w:tc>
        <w:tc>
          <w:tcPr>
            <w:tcW w:w="1168" w:type="dxa"/>
            <w:tcBorders>
              <w:top w:val="nil"/>
              <w:left w:val="nil"/>
              <w:bottom w:val="double" w:sz="6" w:space="0" w:color="auto"/>
              <w:right w:val="double" w:sz="6" w:space="0" w:color="auto"/>
            </w:tcBorders>
            <w:shd w:val="clear" w:color="auto" w:fill="auto"/>
            <w:noWrap/>
            <w:vAlign w:val="bottom"/>
            <w:hideMark/>
          </w:tcPr>
          <w:p w14:paraId="4F4D50A2"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13,22</w:t>
            </w:r>
          </w:p>
        </w:tc>
      </w:tr>
      <w:tr w:rsidR="0067338B" w:rsidRPr="00C64727" w14:paraId="3248BBD1" w14:textId="77777777" w:rsidTr="00AC48C8">
        <w:trPr>
          <w:trHeight w:val="315"/>
        </w:trPr>
        <w:tc>
          <w:tcPr>
            <w:tcW w:w="966" w:type="dxa"/>
            <w:tcBorders>
              <w:top w:val="nil"/>
              <w:left w:val="double" w:sz="6" w:space="0" w:color="auto"/>
              <w:bottom w:val="double" w:sz="6" w:space="0" w:color="auto"/>
              <w:right w:val="double" w:sz="6" w:space="0" w:color="auto"/>
            </w:tcBorders>
            <w:shd w:val="clear" w:color="auto" w:fill="auto"/>
            <w:noWrap/>
            <w:vAlign w:val="bottom"/>
            <w:hideMark/>
          </w:tcPr>
          <w:p w14:paraId="05E21D0A" w14:textId="77777777" w:rsidR="0067338B" w:rsidRPr="00C64727" w:rsidRDefault="001379D6">
            <w:pPr>
              <w:spacing w:after="0" w:line="240" w:lineRule="auto"/>
              <w:rPr>
                <w:rFonts w:ascii="Times New Roman" w:eastAsia="Times New Roman" w:hAnsi="Times New Roman"/>
                <w:b/>
                <w:bCs/>
                <w:color w:val="000000"/>
                <w:sz w:val="20"/>
                <w:szCs w:val="20"/>
              </w:rPr>
            </w:pPr>
            <w:r w:rsidRPr="00C64727">
              <w:rPr>
                <w:rFonts w:ascii="Times New Roman" w:hAnsi="Times New Roman"/>
                <w:b/>
                <w:bCs/>
                <w:sz w:val="20"/>
                <w:szCs w:val="20"/>
              </w:rPr>
              <w:t>LT</w:t>
            </w:r>
          </w:p>
        </w:tc>
        <w:tc>
          <w:tcPr>
            <w:tcW w:w="853" w:type="dxa"/>
            <w:tcBorders>
              <w:top w:val="nil"/>
              <w:left w:val="nil"/>
              <w:bottom w:val="double" w:sz="6" w:space="0" w:color="auto"/>
              <w:right w:val="double" w:sz="6" w:space="0" w:color="auto"/>
            </w:tcBorders>
            <w:shd w:val="clear" w:color="auto" w:fill="auto"/>
            <w:noWrap/>
            <w:vAlign w:val="bottom"/>
            <w:hideMark/>
          </w:tcPr>
          <w:p w14:paraId="4E80C88C"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3,29</w:t>
            </w:r>
          </w:p>
        </w:tc>
        <w:tc>
          <w:tcPr>
            <w:tcW w:w="1168" w:type="dxa"/>
            <w:tcBorders>
              <w:top w:val="nil"/>
              <w:left w:val="nil"/>
              <w:bottom w:val="double" w:sz="6" w:space="0" w:color="auto"/>
              <w:right w:val="double" w:sz="6" w:space="0" w:color="auto"/>
            </w:tcBorders>
            <w:shd w:val="clear" w:color="auto" w:fill="auto"/>
            <w:noWrap/>
            <w:vAlign w:val="bottom"/>
            <w:hideMark/>
          </w:tcPr>
          <w:p w14:paraId="3D9A7A60"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6A5594B5"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19,98</w:t>
            </w:r>
          </w:p>
        </w:tc>
        <w:tc>
          <w:tcPr>
            <w:tcW w:w="1168" w:type="dxa"/>
            <w:tcBorders>
              <w:top w:val="nil"/>
              <w:left w:val="nil"/>
              <w:bottom w:val="double" w:sz="6" w:space="0" w:color="auto"/>
              <w:right w:val="double" w:sz="6" w:space="0" w:color="auto"/>
            </w:tcBorders>
            <w:shd w:val="clear" w:color="auto" w:fill="auto"/>
            <w:noWrap/>
            <w:vAlign w:val="bottom"/>
            <w:hideMark/>
          </w:tcPr>
          <w:p w14:paraId="7036C9CE"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00E8CCD1"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17,28</w:t>
            </w:r>
          </w:p>
        </w:tc>
        <w:tc>
          <w:tcPr>
            <w:tcW w:w="1168" w:type="dxa"/>
            <w:tcBorders>
              <w:top w:val="nil"/>
              <w:left w:val="nil"/>
              <w:bottom w:val="double" w:sz="6" w:space="0" w:color="auto"/>
              <w:right w:val="double" w:sz="6" w:space="0" w:color="auto"/>
            </w:tcBorders>
            <w:shd w:val="clear" w:color="auto" w:fill="auto"/>
            <w:noWrap/>
            <w:vAlign w:val="bottom"/>
            <w:hideMark/>
          </w:tcPr>
          <w:p w14:paraId="7E060D78"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0,06</w:t>
            </w:r>
          </w:p>
        </w:tc>
        <w:tc>
          <w:tcPr>
            <w:tcW w:w="773" w:type="dxa"/>
            <w:tcBorders>
              <w:top w:val="nil"/>
              <w:left w:val="nil"/>
              <w:bottom w:val="double" w:sz="6" w:space="0" w:color="auto"/>
              <w:right w:val="double" w:sz="6" w:space="0" w:color="auto"/>
            </w:tcBorders>
            <w:shd w:val="clear" w:color="auto" w:fill="auto"/>
            <w:noWrap/>
            <w:vAlign w:val="bottom"/>
            <w:hideMark/>
          </w:tcPr>
          <w:p w14:paraId="493FA07E"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28,13</w:t>
            </w:r>
          </w:p>
        </w:tc>
        <w:tc>
          <w:tcPr>
            <w:tcW w:w="1168" w:type="dxa"/>
            <w:tcBorders>
              <w:top w:val="nil"/>
              <w:left w:val="nil"/>
              <w:bottom w:val="double" w:sz="6" w:space="0" w:color="auto"/>
              <w:right w:val="double" w:sz="6" w:space="0" w:color="auto"/>
            </w:tcBorders>
            <w:shd w:val="clear" w:color="auto" w:fill="auto"/>
            <w:noWrap/>
            <w:vAlign w:val="bottom"/>
            <w:hideMark/>
          </w:tcPr>
          <w:p w14:paraId="28FCD65F"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0,29</w:t>
            </w:r>
          </w:p>
        </w:tc>
        <w:tc>
          <w:tcPr>
            <w:tcW w:w="773" w:type="dxa"/>
            <w:tcBorders>
              <w:top w:val="nil"/>
              <w:left w:val="nil"/>
              <w:bottom w:val="double" w:sz="6" w:space="0" w:color="auto"/>
              <w:right w:val="double" w:sz="6" w:space="0" w:color="auto"/>
            </w:tcBorders>
            <w:shd w:val="clear" w:color="auto" w:fill="auto"/>
            <w:noWrap/>
            <w:vAlign w:val="bottom"/>
            <w:hideMark/>
          </w:tcPr>
          <w:p w14:paraId="06B8B0C3"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20,76</w:t>
            </w:r>
          </w:p>
        </w:tc>
        <w:tc>
          <w:tcPr>
            <w:tcW w:w="1168" w:type="dxa"/>
            <w:tcBorders>
              <w:top w:val="nil"/>
              <w:left w:val="nil"/>
              <w:bottom w:val="double" w:sz="6" w:space="0" w:color="auto"/>
              <w:right w:val="double" w:sz="6" w:space="0" w:color="auto"/>
            </w:tcBorders>
            <w:shd w:val="clear" w:color="auto" w:fill="auto"/>
            <w:noWrap/>
            <w:vAlign w:val="bottom"/>
            <w:hideMark/>
          </w:tcPr>
          <w:p w14:paraId="7661EFCB"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0,08</w:t>
            </w:r>
          </w:p>
        </w:tc>
        <w:tc>
          <w:tcPr>
            <w:tcW w:w="873" w:type="dxa"/>
            <w:tcBorders>
              <w:top w:val="nil"/>
              <w:left w:val="nil"/>
              <w:bottom w:val="double" w:sz="6" w:space="0" w:color="auto"/>
              <w:right w:val="double" w:sz="6" w:space="0" w:color="auto"/>
            </w:tcBorders>
            <w:shd w:val="clear" w:color="auto" w:fill="auto"/>
            <w:noWrap/>
            <w:vAlign w:val="bottom"/>
            <w:hideMark/>
          </w:tcPr>
          <w:p w14:paraId="26393F7A"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31,43</w:t>
            </w:r>
          </w:p>
        </w:tc>
        <w:tc>
          <w:tcPr>
            <w:tcW w:w="1068" w:type="dxa"/>
            <w:tcBorders>
              <w:top w:val="nil"/>
              <w:left w:val="nil"/>
              <w:bottom w:val="double" w:sz="6" w:space="0" w:color="auto"/>
              <w:right w:val="double" w:sz="6" w:space="0" w:color="auto"/>
            </w:tcBorders>
            <w:shd w:val="clear" w:color="auto" w:fill="auto"/>
            <w:noWrap/>
            <w:vAlign w:val="bottom"/>
            <w:hideMark/>
          </w:tcPr>
          <w:p w14:paraId="7D44E131"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0,09</w:t>
            </w:r>
          </w:p>
        </w:tc>
        <w:tc>
          <w:tcPr>
            <w:tcW w:w="773" w:type="dxa"/>
            <w:tcBorders>
              <w:top w:val="nil"/>
              <w:left w:val="nil"/>
              <w:bottom w:val="double" w:sz="6" w:space="0" w:color="auto"/>
              <w:right w:val="double" w:sz="6" w:space="0" w:color="auto"/>
            </w:tcBorders>
            <w:shd w:val="clear" w:color="auto" w:fill="auto"/>
            <w:noWrap/>
            <w:vAlign w:val="bottom"/>
            <w:hideMark/>
          </w:tcPr>
          <w:p w14:paraId="568005A4"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80,11</w:t>
            </w:r>
          </w:p>
        </w:tc>
        <w:tc>
          <w:tcPr>
            <w:tcW w:w="1168" w:type="dxa"/>
            <w:tcBorders>
              <w:top w:val="nil"/>
              <w:left w:val="nil"/>
              <w:bottom w:val="double" w:sz="6" w:space="0" w:color="auto"/>
              <w:right w:val="double" w:sz="6" w:space="0" w:color="auto"/>
            </w:tcBorders>
            <w:shd w:val="clear" w:color="auto" w:fill="auto"/>
            <w:noWrap/>
            <w:vAlign w:val="bottom"/>
            <w:hideMark/>
          </w:tcPr>
          <w:p w14:paraId="086553B3"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0,25</w:t>
            </w:r>
          </w:p>
        </w:tc>
      </w:tr>
      <w:tr w:rsidR="0067338B" w:rsidRPr="00C64727" w14:paraId="26D979D1" w14:textId="77777777" w:rsidTr="00AC48C8">
        <w:trPr>
          <w:trHeight w:val="315"/>
        </w:trPr>
        <w:tc>
          <w:tcPr>
            <w:tcW w:w="966" w:type="dxa"/>
            <w:tcBorders>
              <w:top w:val="nil"/>
              <w:left w:val="double" w:sz="6" w:space="0" w:color="auto"/>
              <w:bottom w:val="double" w:sz="6" w:space="0" w:color="auto"/>
              <w:right w:val="double" w:sz="6" w:space="0" w:color="auto"/>
            </w:tcBorders>
            <w:shd w:val="clear" w:color="auto" w:fill="auto"/>
            <w:noWrap/>
            <w:vAlign w:val="bottom"/>
            <w:hideMark/>
          </w:tcPr>
          <w:p w14:paraId="2B5A06D6" w14:textId="77777777" w:rsidR="0067338B" w:rsidRPr="00C64727" w:rsidRDefault="001379D6">
            <w:pPr>
              <w:spacing w:after="0" w:line="240" w:lineRule="auto"/>
              <w:rPr>
                <w:rFonts w:ascii="Times New Roman" w:eastAsia="Times New Roman" w:hAnsi="Times New Roman"/>
                <w:b/>
                <w:bCs/>
                <w:color w:val="000000"/>
                <w:sz w:val="20"/>
                <w:szCs w:val="20"/>
              </w:rPr>
            </w:pPr>
            <w:r w:rsidRPr="00C64727">
              <w:rPr>
                <w:rFonts w:ascii="Times New Roman" w:hAnsi="Times New Roman"/>
                <w:b/>
                <w:bCs/>
                <w:sz w:val="20"/>
                <w:szCs w:val="20"/>
              </w:rPr>
              <w:t>LU</w:t>
            </w:r>
          </w:p>
        </w:tc>
        <w:tc>
          <w:tcPr>
            <w:tcW w:w="853" w:type="dxa"/>
            <w:tcBorders>
              <w:top w:val="nil"/>
              <w:left w:val="nil"/>
              <w:bottom w:val="double" w:sz="6" w:space="0" w:color="auto"/>
              <w:right w:val="double" w:sz="6" w:space="0" w:color="auto"/>
            </w:tcBorders>
            <w:shd w:val="clear" w:color="auto" w:fill="auto"/>
            <w:noWrap/>
            <w:vAlign w:val="bottom"/>
            <w:hideMark/>
          </w:tcPr>
          <w:p w14:paraId="37C50547"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0,74</w:t>
            </w:r>
          </w:p>
        </w:tc>
        <w:tc>
          <w:tcPr>
            <w:tcW w:w="1168" w:type="dxa"/>
            <w:tcBorders>
              <w:top w:val="nil"/>
              <w:left w:val="nil"/>
              <w:bottom w:val="double" w:sz="6" w:space="0" w:color="auto"/>
              <w:right w:val="double" w:sz="6" w:space="0" w:color="auto"/>
            </w:tcBorders>
            <w:shd w:val="clear" w:color="auto" w:fill="auto"/>
            <w:noWrap/>
            <w:vAlign w:val="bottom"/>
            <w:hideMark/>
          </w:tcPr>
          <w:p w14:paraId="1C683DDA"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66198B7E"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4,97</w:t>
            </w:r>
          </w:p>
        </w:tc>
        <w:tc>
          <w:tcPr>
            <w:tcW w:w="1168" w:type="dxa"/>
            <w:tcBorders>
              <w:top w:val="nil"/>
              <w:left w:val="nil"/>
              <w:bottom w:val="double" w:sz="6" w:space="0" w:color="auto"/>
              <w:right w:val="double" w:sz="6" w:space="0" w:color="auto"/>
            </w:tcBorders>
            <w:shd w:val="clear" w:color="auto" w:fill="auto"/>
            <w:noWrap/>
            <w:vAlign w:val="bottom"/>
            <w:hideMark/>
          </w:tcPr>
          <w:p w14:paraId="7D093C8F"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66652758"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4,52</w:t>
            </w:r>
          </w:p>
        </w:tc>
        <w:tc>
          <w:tcPr>
            <w:tcW w:w="1168" w:type="dxa"/>
            <w:tcBorders>
              <w:top w:val="nil"/>
              <w:left w:val="nil"/>
              <w:bottom w:val="double" w:sz="6" w:space="0" w:color="auto"/>
              <w:right w:val="double" w:sz="6" w:space="0" w:color="auto"/>
            </w:tcBorders>
            <w:shd w:val="clear" w:color="auto" w:fill="auto"/>
            <w:noWrap/>
            <w:vAlign w:val="bottom"/>
            <w:hideMark/>
          </w:tcPr>
          <w:p w14:paraId="51A33C4D"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0,63</w:t>
            </w:r>
          </w:p>
        </w:tc>
        <w:tc>
          <w:tcPr>
            <w:tcW w:w="773" w:type="dxa"/>
            <w:tcBorders>
              <w:top w:val="nil"/>
              <w:left w:val="nil"/>
              <w:bottom w:val="double" w:sz="6" w:space="0" w:color="auto"/>
              <w:right w:val="double" w:sz="6" w:space="0" w:color="auto"/>
            </w:tcBorders>
            <w:shd w:val="clear" w:color="auto" w:fill="auto"/>
            <w:noWrap/>
            <w:vAlign w:val="bottom"/>
            <w:hideMark/>
          </w:tcPr>
          <w:p w14:paraId="7E4D2DEF"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6,62</w:t>
            </w:r>
          </w:p>
        </w:tc>
        <w:tc>
          <w:tcPr>
            <w:tcW w:w="1168" w:type="dxa"/>
            <w:tcBorders>
              <w:top w:val="nil"/>
              <w:left w:val="nil"/>
              <w:bottom w:val="double" w:sz="6" w:space="0" w:color="auto"/>
              <w:right w:val="double" w:sz="6" w:space="0" w:color="auto"/>
            </w:tcBorders>
            <w:shd w:val="clear" w:color="auto" w:fill="auto"/>
            <w:noWrap/>
            <w:vAlign w:val="bottom"/>
            <w:hideMark/>
          </w:tcPr>
          <w:p w14:paraId="71E83377"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0,22</w:t>
            </w:r>
          </w:p>
        </w:tc>
        <w:tc>
          <w:tcPr>
            <w:tcW w:w="773" w:type="dxa"/>
            <w:tcBorders>
              <w:top w:val="nil"/>
              <w:left w:val="nil"/>
              <w:bottom w:val="double" w:sz="6" w:space="0" w:color="auto"/>
              <w:right w:val="double" w:sz="6" w:space="0" w:color="auto"/>
            </w:tcBorders>
            <w:shd w:val="clear" w:color="auto" w:fill="auto"/>
            <w:noWrap/>
            <w:vAlign w:val="bottom"/>
            <w:hideMark/>
          </w:tcPr>
          <w:p w14:paraId="740B4FFE"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5,08</w:t>
            </w:r>
          </w:p>
        </w:tc>
        <w:tc>
          <w:tcPr>
            <w:tcW w:w="1168" w:type="dxa"/>
            <w:tcBorders>
              <w:top w:val="nil"/>
              <w:left w:val="nil"/>
              <w:bottom w:val="double" w:sz="6" w:space="0" w:color="auto"/>
              <w:right w:val="double" w:sz="6" w:space="0" w:color="auto"/>
            </w:tcBorders>
            <w:shd w:val="clear" w:color="auto" w:fill="auto"/>
            <w:noWrap/>
            <w:vAlign w:val="bottom"/>
            <w:hideMark/>
          </w:tcPr>
          <w:p w14:paraId="7108B589"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0,06</w:t>
            </w:r>
          </w:p>
        </w:tc>
        <w:tc>
          <w:tcPr>
            <w:tcW w:w="873" w:type="dxa"/>
            <w:tcBorders>
              <w:top w:val="nil"/>
              <w:left w:val="nil"/>
              <w:bottom w:val="double" w:sz="6" w:space="0" w:color="auto"/>
              <w:right w:val="double" w:sz="6" w:space="0" w:color="auto"/>
            </w:tcBorders>
            <w:shd w:val="clear" w:color="auto" w:fill="auto"/>
            <w:noWrap/>
            <w:vAlign w:val="bottom"/>
            <w:hideMark/>
          </w:tcPr>
          <w:p w14:paraId="7629491E"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6,81</w:t>
            </w:r>
          </w:p>
        </w:tc>
        <w:tc>
          <w:tcPr>
            <w:tcW w:w="1068" w:type="dxa"/>
            <w:tcBorders>
              <w:top w:val="nil"/>
              <w:left w:val="nil"/>
              <w:bottom w:val="double" w:sz="6" w:space="0" w:color="auto"/>
              <w:right w:val="double" w:sz="6" w:space="0" w:color="auto"/>
            </w:tcBorders>
            <w:shd w:val="clear" w:color="auto" w:fill="auto"/>
            <w:noWrap/>
            <w:vAlign w:val="bottom"/>
            <w:hideMark/>
          </w:tcPr>
          <w:p w14:paraId="28E709F2"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0,07</w:t>
            </w:r>
          </w:p>
        </w:tc>
        <w:tc>
          <w:tcPr>
            <w:tcW w:w="773" w:type="dxa"/>
            <w:tcBorders>
              <w:top w:val="nil"/>
              <w:left w:val="nil"/>
              <w:bottom w:val="double" w:sz="6" w:space="0" w:color="auto"/>
              <w:right w:val="double" w:sz="6" w:space="0" w:color="auto"/>
            </w:tcBorders>
            <w:shd w:val="clear" w:color="auto" w:fill="auto"/>
            <w:noWrap/>
            <w:vAlign w:val="bottom"/>
            <w:hideMark/>
          </w:tcPr>
          <w:p w14:paraId="4275611B"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18,09</w:t>
            </w:r>
          </w:p>
        </w:tc>
        <w:tc>
          <w:tcPr>
            <w:tcW w:w="1168" w:type="dxa"/>
            <w:tcBorders>
              <w:top w:val="nil"/>
              <w:left w:val="nil"/>
              <w:bottom w:val="double" w:sz="6" w:space="0" w:color="auto"/>
              <w:right w:val="double" w:sz="6" w:space="0" w:color="auto"/>
            </w:tcBorders>
            <w:shd w:val="clear" w:color="auto" w:fill="auto"/>
            <w:noWrap/>
            <w:vAlign w:val="bottom"/>
            <w:hideMark/>
          </w:tcPr>
          <w:p w14:paraId="2C1B1AA2" w14:textId="77777777" w:rsidR="0067338B" w:rsidRPr="00C64727" w:rsidRDefault="001379D6">
            <w:pPr>
              <w:spacing w:after="0" w:line="240" w:lineRule="auto"/>
              <w:jc w:val="right"/>
              <w:rPr>
                <w:rFonts w:ascii="Times New Roman" w:eastAsia="Times New Roman" w:hAnsi="Times New Roman"/>
                <w:b/>
                <w:bCs/>
                <w:color w:val="000000"/>
                <w:sz w:val="20"/>
                <w:szCs w:val="20"/>
              </w:rPr>
            </w:pPr>
            <w:r w:rsidRPr="00C64727">
              <w:rPr>
                <w:rFonts w:ascii="Times New Roman" w:hAnsi="Times New Roman"/>
                <w:b/>
                <w:bCs/>
                <w:sz w:val="20"/>
                <w:szCs w:val="20"/>
              </w:rPr>
              <w:t>0,20</w:t>
            </w:r>
          </w:p>
        </w:tc>
      </w:tr>
      <w:tr w:rsidR="0067338B" w:rsidRPr="00C64727" w14:paraId="1DEC010C" w14:textId="77777777" w:rsidTr="00AC48C8">
        <w:trPr>
          <w:trHeight w:val="315"/>
        </w:trPr>
        <w:tc>
          <w:tcPr>
            <w:tcW w:w="966" w:type="dxa"/>
            <w:tcBorders>
              <w:top w:val="nil"/>
              <w:left w:val="double" w:sz="6" w:space="0" w:color="auto"/>
              <w:bottom w:val="double" w:sz="6" w:space="0" w:color="auto"/>
              <w:right w:val="double" w:sz="6" w:space="0" w:color="auto"/>
            </w:tcBorders>
            <w:shd w:val="clear" w:color="auto" w:fill="auto"/>
            <w:noWrap/>
            <w:vAlign w:val="bottom"/>
            <w:hideMark/>
          </w:tcPr>
          <w:p w14:paraId="00230CEA" w14:textId="77777777" w:rsidR="0067338B" w:rsidRPr="00C64727" w:rsidRDefault="001379D6">
            <w:pPr>
              <w:spacing w:after="0" w:line="240" w:lineRule="auto"/>
              <w:rPr>
                <w:rFonts w:ascii="Times New Roman" w:eastAsia="Times New Roman" w:hAnsi="Times New Roman"/>
                <w:b/>
                <w:bCs/>
                <w:color w:val="000000"/>
                <w:sz w:val="20"/>
                <w:szCs w:val="20"/>
              </w:rPr>
            </w:pPr>
            <w:r w:rsidRPr="00C64727">
              <w:rPr>
                <w:rFonts w:ascii="Times New Roman" w:hAnsi="Times New Roman"/>
                <w:b/>
                <w:bCs/>
                <w:sz w:val="20"/>
                <w:szCs w:val="20"/>
              </w:rPr>
              <w:t>LV</w:t>
            </w:r>
          </w:p>
        </w:tc>
        <w:tc>
          <w:tcPr>
            <w:tcW w:w="853" w:type="dxa"/>
            <w:tcBorders>
              <w:top w:val="nil"/>
              <w:left w:val="nil"/>
              <w:bottom w:val="double" w:sz="6" w:space="0" w:color="auto"/>
              <w:right w:val="double" w:sz="6" w:space="0" w:color="auto"/>
            </w:tcBorders>
            <w:shd w:val="clear" w:color="auto" w:fill="auto"/>
            <w:noWrap/>
            <w:vAlign w:val="bottom"/>
            <w:hideMark/>
          </w:tcPr>
          <w:p w14:paraId="5BB31325"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2,13</w:t>
            </w:r>
          </w:p>
        </w:tc>
        <w:tc>
          <w:tcPr>
            <w:tcW w:w="1168" w:type="dxa"/>
            <w:tcBorders>
              <w:top w:val="nil"/>
              <w:left w:val="nil"/>
              <w:bottom w:val="double" w:sz="6" w:space="0" w:color="auto"/>
              <w:right w:val="double" w:sz="6" w:space="0" w:color="auto"/>
            </w:tcBorders>
            <w:shd w:val="clear" w:color="auto" w:fill="auto"/>
            <w:noWrap/>
            <w:vAlign w:val="bottom"/>
            <w:hideMark/>
          </w:tcPr>
          <w:p w14:paraId="7FF25DBD"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10030816"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10,79</w:t>
            </w:r>
          </w:p>
        </w:tc>
        <w:tc>
          <w:tcPr>
            <w:tcW w:w="1168" w:type="dxa"/>
            <w:tcBorders>
              <w:top w:val="nil"/>
              <w:left w:val="nil"/>
              <w:bottom w:val="double" w:sz="6" w:space="0" w:color="auto"/>
              <w:right w:val="double" w:sz="6" w:space="0" w:color="auto"/>
            </w:tcBorders>
            <w:shd w:val="clear" w:color="auto" w:fill="auto"/>
            <w:noWrap/>
            <w:vAlign w:val="bottom"/>
            <w:hideMark/>
          </w:tcPr>
          <w:p w14:paraId="5F59E12C"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16204322"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10,08</w:t>
            </w:r>
          </w:p>
        </w:tc>
        <w:tc>
          <w:tcPr>
            <w:tcW w:w="1168" w:type="dxa"/>
            <w:tcBorders>
              <w:top w:val="nil"/>
              <w:left w:val="nil"/>
              <w:bottom w:val="double" w:sz="6" w:space="0" w:color="auto"/>
              <w:right w:val="double" w:sz="6" w:space="0" w:color="auto"/>
            </w:tcBorders>
            <w:shd w:val="clear" w:color="auto" w:fill="auto"/>
            <w:noWrap/>
            <w:vAlign w:val="bottom"/>
            <w:hideMark/>
          </w:tcPr>
          <w:p w14:paraId="6EBC2346"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0,14</w:t>
            </w:r>
          </w:p>
        </w:tc>
        <w:tc>
          <w:tcPr>
            <w:tcW w:w="773" w:type="dxa"/>
            <w:tcBorders>
              <w:top w:val="nil"/>
              <w:left w:val="nil"/>
              <w:bottom w:val="double" w:sz="6" w:space="0" w:color="auto"/>
              <w:right w:val="double" w:sz="6" w:space="0" w:color="auto"/>
            </w:tcBorders>
            <w:shd w:val="clear" w:color="auto" w:fill="auto"/>
            <w:noWrap/>
            <w:vAlign w:val="bottom"/>
            <w:hideMark/>
          </w:tcPr>
          <w:p w14:paraId="42A22FE9"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14,76</w:t>
            </w:r>
          </w:p>
        </w:tc>
        <w:tc>
          <w:tcPr>
            <w:tcW w:w="1168" w:type="dxa"/>
            <w:tcBorders>
              <w:top w:val="nil"/>
              <w:left w:val="nil"/>
              <w:bottom w:val="double" w:sz="6" w:space="0" w:color="auto"/>
              <w:right w:val="double" w:sz="6" w:space="0" w:color="auto"/>
            </w:tcBorders>
            <w:shd w:val="clear" w:color="auto" w:fill="auto"/>
            <w:noWrap/>
            <w:vAlign w:val="bottom"/>
            <w:hideMark/>
          </w:tcPr>
          <w:p w14:paraId="6314E4AB"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0,53</w:t>
            </w:r>
          </w:p>
        </w:tc>
        <w:tc>
          <w:tcPr>
            <w:tcW w:w="773" w:type="dxa"/>
            <w:tcBorders>
              <w:top w:val="nil"/>
              <w:left w:val="nil"/>
              <w:bottom w:val="double" w:sz="6" w:space="0" w:color="auto"/>
              <w:right w:val="double" w:sz="6" w:space="0" w:color="auto"/>
            </w:tcBorders>
            <w:shd w:val="clear" w:color="auto" w:fill="auto"/>
            <w:noWrap/>
            <w:vAlign w:val="bottom"/>
            <w:hideMark/>
          </w:tcPr>
          <w:p w14:paraId="33956AF5"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11,36</w:t>
            </w:r>
          </w:p>
        </w:tc>
        <w:tc>
          <w:tcPr>
            <w:tcW w:w="1168" w:type="dxa"/>
            <w:tcBorders>
              <w:top w:val="nil"/>
              <w:left w:val="nil"/>
              <w:bottom w:val="double" w:sz="6" w:space="0" w:color="auto"/>
              <w:right w:val="double" w:sz="6" w:space="0" w:color="auto"/>
            </w:tcBorders>
            <w:shd w:val="clear" w:color="auto" w:fill="auto"/>
            <w:noWrap/>
            <w:vAlign w:val="bottom"/>
            <w:hideMark/>
          </w:tcPr>
          <w:p w14:paraId="063515FE"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0,15</w:t>
            </w:r>
          </w:p>
        </w:tc>
        <w:tc>
          <w:tcPr>
            <w:tcW w:w="873" w:type="dxa"/>
            <w:tcBorders>
              <w:top w:val="nil"/>
              <w:left w:val="nil"/>
              <w:bottom w:val="double" w:sz="6" w:space="0" w:color="auto"/>
              <w:right w:val="double" w:sz="6" w:space="0" w:color="auto"/>
            </w:tcBorders>
            <w:shd w:val="clear" w:color="auto" w:fill="auto"/>
            <w:noWrap/>
            <w:vAlign w:val="bottom"/>
            <w:hideMark/>
          </w:tcPr>
          <w:p w14:paraId="3D9974B6"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15,24</w:t>
            </w:r>
          </w:p>
        </w:tc>
        <w:tc>
          <w:tcPr>
            <w:tcW w:w="1068" w:type="dxa"/>
            <w:tcBorders>
              <w:top w:val="nil"/>
              <w:left w:val="nil"/>
              <w:bottom w:val="double" w:sz="6" w:space="0" w:color="auto"/>
              <w:right w:val="double" w:sz="6" w:space="0" w:color="auto"/>
            </w:tcBorders>
            <w:shd w:val="clear" w:color="auto" w:fill="auto"/>
            <w:noWrap/>
            <w:vAlign w:val="bottom"/>
            <w:hideMark/>
          </w:tcPr>
          <w:p w14:paraId="431F2FE0"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0,15</w:t>
            </w:r>
          </w:p>
        </w:tc>
        <w:tc>
          <w:tcPr>
            <w:tcW w:w="773" w:type="dxa"/>
            <w:tcBorders>
              <w:top w:val="nil"/>
              <w:left w:val="nil"/>
              <w:bottom w:val="double" w:sz="6" w:space="0" w:color="auto"/>
              <w:right w:val="double" w:sz="6" w:space="0" w:color="auto"/>
            </w:tcBorders>
            <w:shd w:val="clear" w:color="auto" w:fill="auto"/>
            <w:noWrap/>
            <w:vAlign w:val="bottom"/>
            <w:hideMark/>
          </w:tcPr>
          <w:p w14:paraId="1E7C8256"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40,20</w:t>
            </w:r>
          </w:p>
        </w:tc>
        <w:tc>
          <w:tcPr>
            <w:tcW w:w="1168" w:type="dxa"/>
            <w:tcBorders>
              <w:top w:val="nil"/>
              <w:left w:val="nil"/>
              <w:bottom w:val="double" w:sz="6" w:space="0" w:color="auto"/>
              <w:right w:val="double" w:sz="6" w:space="0" w:color="auto"/>
            </w:tcBorders>
            <w:shd w:val="clear" w:color="auto" w:fill="auto"/>
            <w:noWrap/>
            <w:vAlign w:val="bottom"/>
            <w:hideMark/>
          </w:tcPr>
          <w:p w14:paraId="29A0EE8B"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0,49</w:t>
            </w:r>
          </w:p>
        </w:tc>
      </w:tr>
      <w:tr w:rsidR="0067338B" w:rsidRPr="00C64727" w14:paraId="2898D405" w14:textId="77777777" w:rsidTr="00AC48C8">
        <w:trPr>
          <w:trHeight w:val="315"/>
        </w:trPr>
        <w:tc>
          <w:tcPr>
            <w:tcW w:w="966" w:type="dxa"/>
            <w:tcBorders>
              <w:top w:val="nil"/>
              <w:left w:val="double" w:sz="6" w:space="0" w:color="auto"/>
              <w:bottom w:val="double" w:sz="6" w:space="0" w:color="auto"/>
              <w:right w:val="double" w:sz="6" w:space="0" w:color="auto"/>
            </w:tcBorders>
            <w:shd w:val="clear" w:color="auto" w:fill="auto"/>
            <w:noWrap/>
            <w:vAlign w:val="bottom"/>
            <w:hideMark/>
          </w:tcPr>
          <w:p w14:paraId="01F0E5D5" w14:textId="77777777" w:rsidR="0067338B" w:rsidRPr="00C64727" w:rsidRDefault="001379D6">
            <w:pPr>
              <w:spacing w:after="0" w:line="240" w:lineRule="auto"/>
              <w:rPr>
                <w:rFonts w:ascii="Times New Roman" w:eastAsia="Times New Roman" w:hAnsi="Times New Roman"/>
                <w:b/>
                <w:bCs/>
                <w:color w:val="000000"/>
                <w:sz w:val="20"/>
                <w:szCs w:val="20"/>
              </w:rPr>
            </w:pPr>
            <w:r w:rsidRPr="00C64727">
              <w:rPr>
                <w:rFonts w:ascii="Times New Roman" w:hAnsi="Times New Roman"/>
                <w:b/>
                <w:bCs/>
                <w:sz w:val="20"/>
                <w:szCs w:val="20"/>
              </w:rPr>
              <w:t>MT</w:t>
            </w:r>
          </w:p>
        </w:tc>
        <w:tc>
          <w:tcPr>
            <w:tcW w:w="853" w:type="dxa"/>
            <w:tcBorders>
              <w:top w:val="nil"/>
              <w:left w:val="nil"/>
              <w:bottom w:val="double" w:sz="6" w:space="0" w:color="auto"/>
              <w:right w:val="double" w:sz="6" w:space="0" w:color="auto"/>
            </w:tcBorders>
            <w:shd w:val="clear" w:color="auto" w:fill="auto"/>
            <w:noWrap/>
            <w:vAlign w:val="bottom"/>
            <w:hideMark/>
          </w:tcPr>
          <w:p w14:paraId="11ADBFE6"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0,27</w:t>
            </w:r>
          </w:p>
        </w:tc>
        <w:tc>
          <w:tcPr>
            <w:tcW w:w="1168" w:type="dxa"/>
            <w:tcBorders>
              <w:top w:val="nil"/>
              <w:left w:val="nil"/>
              <w:bottom w:val="double" w:sz="6" w:space="0" w:color="auto"/>
              <w:right w:val="double" w:sz="6" w:space="0" w:color="auto"/>
            </w:tcBorders>
            <w:shd w:val="clear" w:color="auto" w:fill="auto"/>
            <w:noWrap/>
            <w:vAlign w:val="bottom"/>
            <w:hideMark/>
          </w:tcPr>
          <w:p w14:paraId="51A791C7"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24906B1E"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4,47</w:t>
            </w:r>
          </w:p>
        </w:tc>
        <w:tc>
          <w:tcPr>
            <w:tcW w:w="1168" w:type="dxa"/>
            <w:tcBorders>
              <w:top w:val="nil"/>
              <w:left w:val="nil"/>
              <w:bottom w:val="double" w:sz="6" w:space="0" w:color="auto"/>
              <w:right w:val="double" w:sz="6" w:space="0" w:color="auto"/>
            </w:tcBorders>
            <w:shd w:val="clear" w:color="auto" w:fill="auto"/>
            <w:noWrap/>
            <w:vAlign w:val="bottom"/>
            <w:hideMark/>
          </w:tcPr>
          <w:p w14:paraId="536A1FFC"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2959E854"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3,81</w:t>
            </w:r>
          </w:p>
        </w:tc>
        <w:tc>
          <w:tcPr>
            <w:tcW w:w="1168" w:type="dxa"/>
            <w:tcBorders>
              <w:top w:val="nil"/>
              <w:left w:val="nil"/>
              <w:bottom w:val="double" w:sz="6" w:space="0" w:color="auto"/>
              <w:right w:val="double" w:sz="6" w:space="0" w:color="auto"/>
            </w:tcBorders>
            <w:shd w:val="clear" w:color="auto" w:fill="auto"/>
            <w:noWrap/>
            <w:vAlign w:val="bottom"/>
            <w:hideMark/>
          </w:tcPr>
          <w:p w14:paraId="7932B9ED"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0,10</w:t>
            </w:r>
          </w:p>
        </w:tc>
        <w:tc>
          <w:tcPr>
            <w:tcW w:w="773" w:type="dxa"/>
            <w:tcBorders>
              <w:top w:val="nil"/>
              <w:left w:val="nil"/>
              <w:bottom w:val="double" w:sz="6" w:space="0" w:color="auto"/>
              <w:right w:val="double" w:sz="6" w:space="0" w:color="auto"/>
            </w:tcBorders>
            <w:shd w:val="clear" w:color="auto" w:fill="auto"/>
            <w:noWrap/>
            <w:vAlign w:val="bottom"/>
            <w:hideMark/>
          </w:tcPr>
          <w:p w14:paraId="2A13AA04"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5,62</w:t>
            </w:r>
          </w:p>
        </w:tc>
        <w:tc>
          <w:tcPr>
            <w:tcW w:w="1168" w:type="dxa"/>
            <w:tcBorders>
              <w:top w:val="nil"/>
              <w:left w:val="nil"/>
              <w:bottom w:val="double" w:sz="6" w:space="0" w:color="auto"/>
              <w:right w:val="double" w:sz="6" w:space="0" w:color="auto"/>
            </w:tcBorders>
            <w:shd w:val="clear" w:color="auto" w:fill="auto"/>
            <w:noWrap/>
            <w:vAlign w:val="bottom"/>
            <w:hideMark/>
          </w:tcPr>
          <w:p w14:paraId="4F6E2B1A"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0,57</w:t>
            </w:r>
          </w:p>
        </w:tc>
        <w:tc>
          <w:tcPr>
            <w:tcW w:w="773" w:type="dxa"/>
            <w:tcBorders>
              <w:top w:val="nil"/>
              <w:left w:val="nil"/>
              <w:bottom w:val="double" w:sz="6" w:space="0" w:color="auto"/>
              <w:right w:val="double" w:sz="6" w:space="0" w:color="auto"/>
            </w:tcBorders>
            <w:shd w:val="clear" w:color="auto" w:fill="auto"/>
            <w:noWrap/>
            <w:vAlign w:val="bottom"/>
            <w:hideMark/>
          </w:tcPr>
          <w:p w14:paraId="50786181"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4,30</w:t>
            </w:r>
          </w:p>
        </w:tc>
        <w:tc>
          <w:tcPr>
            <w:tcW w:w="1168" w:type="dxa"/>
            <w:tcBorders>
              <w:top w:val="nil"/>
              <w:left w:val="nil"/>
              <w:bottom w:val="double" w:sz="6" w:space="0" w:color="auto"/>
              <w:right w:val="double" w:sz="6" w:space="0" w:color="auto"/>
            </w:tcBorders>
            <w:shd w:val="clear" w:color="auto" w:fill="auto"/>
            <w:noWrap/>
            <w:vAlign w:val="bottom"/>
            <w:hideMark/>
          </w:tcPr>
          <w:p w14:paraId="354182A2"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0,16</w:t>
            </w:r>
          </w:p>
        </w:tc>
        <w:tc>
          <w:tcPr>
            <w:tcW w:w="873" w:type="dxa"/>
            <w:tcBorders>
              <w:top w:val="nil"/>
              <w:left w:val="nil"/>
              <w:bottom w:val="double" w:sz="6" w:space="0" w:color="auto"/>
              <w:right w:val="double" w:sz="6" w:space="0" w:color="auto"/>
            </w:tcBorders>
            <w:shd w:val="clear" w:color="auto" w:fill="auto"/>
            <w:noWrap/>
            <w:vAlign w:val="bottom"/>
            <w:hideMark/>
          </w:tcPr>
          <w:p w14:paraId="2D3D427D"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5,78</w:t>
            </w:r>
          </w:p>
        </w:tc>
        <w:tc>
          <w:tcPr>
            <w:tcW w:w="1068" w:type="dxa"/>
            <w:tcBorders>
              <w:top w:val="nil"/>
              <w:left w:val="nil"/>
              <w:bottom w:val="double" w:sz="6" w:space="0" w:color="auto"/>
              <w:right w:val="double" w:sz="6" w:space="0" w:color="auto"/>
            </w:tcBorders>
            <w:shd w:val="clear" w:color="auto" w:fill="auto"/>
            <w:noWrap/>
            <w:vAlign w:val="bottom"/>
            <w:hideMark/>
          </w:tcPr>
          <w:p w14:paraId="222C93BF"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0,17</w:t>
            </w:r>
          </w:p>
        </w:tc>
        <w:tc>
          <w:tcPr>
            <w:tcW w:w="773" w:type="dxa"/>
            <w:tcBorders>
              <w:top w:val="nil"/>
              <w:left w:val="nil"/>
              <w:bottom w:val="double" w:sz="6" w:space="0" w:color="auto"/>
              <w:right w:val="double" w:sz="6" w:space="0" w:color="auto"/>
            </w:tcBorders>
            <w:shd w:val="clear" w:color="auto" w:fill="auto"/>
            <w:noWrap/>
            <w:vAlign w:val="bottom"/>
            <w:hideMark/>
          </w:tcPr>
          <w:p w14:paraId="232CD42A"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15,19</w:t>
            </w:r>
          </w:p>
        </w:tc>
        <w:tc>
          <w:tcPr>
            <w:tcW w:w="1168" w:type="dxa"/>
            <w:tcBorders>
              <w:top w:val="nil"/>
              <w:left w:val="nil"/>
              <w:bottom w:val="double" w:sz="6" w:space="0" w:color="auto"/>
              <w:right w:val="double" w:sz="6" w:space="0" w:color="auto"/>
            </w:tcBorders>
            <w:shd w:val="clear" w:color="auto" w:fill="auto"/>
            <w:noWrap/>
            <w:vAlign w:val="bottom"/>
            <w:hideMark/>
          </w:tcPr>
          <w:p w14:paraId="09D41791"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0,52</w:t>
            </w:r>
          </w:p>
        </w:tc>
      </w:tr>
      <w:tr w:rsidR="0067338B" w:rsidRPr="00C64727" w14:paraId="2196D0F1" w14:textId="77777777" w:rsidTr="00AC48C8">
        <w:trPr>
          <w:trHeight w:val="315"/>
        </w:trPr>
        <w:tc>
          <w:tcPr>
            <w:tcW w:w="966" w:type="dxa"/>
            <w:tcBorders>
              <w:top w:val="nil"/>
              <w:left w:val="double" w:sz="6" w:space="0" w:color="auto"/>
              <w:bottom w:val="double" w:sz="6" w:space="0" w:color="auto"/>
              <w:right w:val="double" w:sz="6" w:space="0" w:color="auto"/>
            </w:tcBorders>
            <w:shd w:val="clear" w:color="auto" w:fill="auto"/>
            <w:noWrap/>
            <w:vAlign w:val="bottom"/>
            <w:hideMark/>
          </w:tcPr>
          <w:p w14:paraId="0A0A7C17" w14:textId="77777777" w:rsidR="0067338B" w:rsidRPr="00C64727" w:rsidRDefault="001379D6">
            <w:pPr>
              <w:spacing w:after="0" w:line="240" w:lineRule="auto"/>
              <w:rPr>
                <w:rFonts w:ascii="Times New Roman" w:eastAsia="Times New Roman" w:hAnsi="Times New Roman"/>
                <w:b/>
                <w:bCs/>
                <w:color w:val="000000"/>
                <w:sz w:val="20"/>
                <w:szCs w:val="20"/>
              </w:rPr>
            </w:pPr>
            <w:r w:rsidRPr="00C64727">
              <w:rPr>
                <w:rFonts w:ascii="Times New Roman" w:hAnsi="Times New Roman"/>
                <w:b/>
                <w:bCs/>
                <w:sz w:val="20"/>
                <w:szCs w:val="20"/>
              </w:rPr>
              <w:t>NE</w:t>
            </w:r>
          </w:p>
        </w:tc>
        <w:tc>
          <w:tcPr>
            <w:tcW w:w="853" w:type="dxa"/>
            <w:tcBorders>
              <w:top w:val="nil"/>
              <w:left w:val="nil"/>
              <w:bottom w:val="double" w:sz="6" w:space="0" w:color="auto"/>
              <w:right w:val="double" w:sz="6" w:space="0" w:color="auto"/>
            </w:tcBorders>
            <w:shd w:val="clear" w:color="auto" w:fill="auto"/>
            <w:noWrap/>
            <w:vAlign w:val="bottom"/>
            <w:hideMark/>
          </w:tcPr>
          <w:p w14:paraId="4F4741A4"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25,61</w:t>
            </w:r>
          </w:p>
        </w:tc>
        <w:tc>
          <w:tcPr>
            <w:tcW w:w="1168" w:type="dxa"/>
            <w:tcBorders>
              <w:top w:val="nil"/>
              <w:left w:val="nil"/>
              <w:bottom w:val="double" w:sz="6" w:space="0" w:color="auto"/>
              <w:right w:val="double" w:sz="6" w:space="0" w:color="auto"/>
            </w:tcBorders>
            <w:shd w:val="clear" w:color="auto" w:fill="auto"/>
            <w:noWrap/>
            <w:vAlign w:val="bottom"/>
            <w:hideMark/>
          </w:tcPr>
          <w:p w14:paraId="7BAE0EC2"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5F79350A"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134,24</w:t>
            </w:r>
          </w:p>
        </w:tc>
        <w:tc>
          <w:tcPr>
            <w:tcW w:w="1168" w:type="dxa"/>
            <w:tcBorders>
              <w:top w:val="nil"/>
              <w:left w:val="nil"/>
              <w:bottom w:val="double" w:sz="6" w:space="0" w:color="auto"/>
              <w:right w:val="double" w:sz="6" w:space="0" w:color="auto"/>
            </w:tcBorders>
            <w:shd w:val="clear" w:color="auto" w:fill="auto"/>
            <w:noWrap/>
            <w:vAlign w:val="bottom"/>
            <w:hideMark/>
          </w:tcPr>
          <w:p w14:paraId="47F4B78B"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12323374"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125,63</w:t>
            </w:r>
          </w:p>
        </w:tc>
        <w:tc>
          <w:tcPr>
            <w:tcW w:w="1168" w:type="dxa"/>
            <w:tcBorders>
              <w:top w:val="nil"/>
              <w:left w:val="nil"/>
              <w:bottom w:val="double" w:sz="6" w:space="0" w:color="auto"/>
              <w:right w:val="double" w:sz="6" w:space="0" w:color="auto"/>
            </w:tcBorders>
            <w:shd w:val="clear" w:color="auto" w:fill="auto"/>
            <w:noWrap/>
            <w:vAlign w:val="bottom"/>
            <w:hideMark/>
          </w:tcPr>
          <w:p w14:paraId="2AECA875"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5,47</w:t>
            </w:r>
          </w:p>
        </w:tc>
        <w:tc>
          <w:tcPr>
            <w:tcW w:w="773" w:type="dxa"/>
            <w:tcBorders>
              <w:top w:val="nil"/>
              <w:left w:val="nil"/>
              <w:bottom w:val="double" w:sz="6" w:space="0" w:color="auto"/>
              <w:right w:val="double" w:sz="6" w:space="0" w:color="auto"/>
            </w:tcBorders>
            <w:shd w:val="clear" w:color="auto" w:fill="auto"/>
            <w:noWrap/>
            <w:vAlign w:val="bottom"/>
            <w:hideMark/>
          </w:tcPr>
          <w:p w14:paraId="540756A3"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183,57</w:t>
            </w:r>
          </w:p>
        </w:tc>
        <w:tc>
          <w:tcPr>
            <w:tcW w:w="1168" w:type="dxa"/>
            <w:tcBorders>
              <w:top w:val="nil"/>
              <w:left w:val="nil"/>
              <w:bottom w:val="double" w:sz="6" w:space="0" w:color="auto"/>
              <w:right w:val="double" w:sz="6" w:space="0" w:color="auto"/>
            </w:tcBorders>
            <w:shd w:val="clear" w:color="auto" w:fill="auto"/>
            <w:noWrap/>
            <w:vAlign w:val="bottom"/>
            <w:hideMark/>
          </w:tcPr>
          <w:p w14:paraId="389385A7"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3,68</w:t>
            </w:r>
          </w:p>
        </w:tc>
        <w:tc>
          <w:tcPr>
            <w:tcW w:w="773" w:type="dxa"/>
            <w:tcBorders>
              <w:top w:val="nil"/>
              <w:left w:val="nil"/>
              <w:bottom w:val="double" w:sz="6" w:space="0" w:color="auto"/>
              <w:right w:val="double" w:sz="6" w:space="0" w:color="auto"/>
            </w:tcBorders>
            <w:shd w:val="clear" w:color="auto" w:fill="auto"/>
            <w:noWrap/>
            <w:vAlign w:val="bottom"/>
            <w:hideMark/>
          </w:tcPr>
          <w:p w14:paraId="0E7B3ABA"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141,59</w:t>
            </w:r>
          </w:p>
        </w:tc>
        <w:tc>
          <w:tcPr>
            <w:tcW w:w="1168" w:type="dxa"/>
            <w:tcBorders>
              <w:top w:val="nil"/>
              <w:left w:val="nil"/>
              <w:bottom w:val="double" w:sz="6" w:space="0" w:color="auto"/>
              <w:right w:val="double" w:sz="6" w:space="0" w:color="auto"/>
            </w:tcBorders>
            <w:shd w:val="clear" w:color="auto" w:fill="auto"/>
            <w:noWrap/>
            <w:vAlign w:val="bottom"/>
            <w:hideMark/>
          </w:tcPr>
          <w:p w14:paraId="2888A9FE"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1,01</w:t>
            </w:r>
          </w:p>
        </w:tc>
        <w:tc>
          <w:tcPr>
            <w:tcW w:w="873" w:type="dxa"/>
            <w:tcBorders>
              <w:top w:val="nil"/>
              <w:left w:val="nil"/>
              <w:bottom w:val="double" w:sz="6" w:space="0" w:color="auto"/>
              <w:right w:val="double" w:sz="6" w:space="0" w:color="auto"/>
            </w:tcBorders>
            <w:shd w:val="clear" w:color="auto" w:fill="auto"/>
            <w:noWrap/>
            <w:vAlign w:val="bottom"/>
            <w:hideMark/>
          </w:tcPr>
          <w:p w14:paraId="1DEE4680"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189,63</w:t>
            </w:r>
          </w:p>
        </w:tc>
        <w:tc>
          <w:tcPr>
            <w:tcW w:w="1068" w:type="dxa"/>
            <w:tcBorders>
              <w:top w:val="nil"/>
              <w:left w:val="nil"/>
              <w:bottom w:val="double" w:sz="6" w:space="0" w:color="auto"/>
              <w:right w:val="double" w:sz="6" w:space="0" w:color="auto"/>
            </w:tcBorders>
            <w:shd w:val="clear" w:color="auto" w:fill="auto"/>
            <w:noWrap/>
            <w:vAlign w:val="bottom"/>
            <w:hideMark/>
          </w:tcPr>
          <w:p w14:paraId="59134C14"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1,07</w:t>
            </w:r>
          </w:p>
        </w:tc>
        <w:tc>
          <w:tcPr>
            <w:tcW w:w="773" w:type="dxa"/>
            <w:tcBorders>
              <w:top w:val="nil"/>
              <w:left w:val="nil"/>
              <w:bottom w:val="double" w:sz="6" w:space="0" w:color="auto"/>
              <w:right w:val="double" w:sz="6" w:space="0" w:color="auto"/>
            </w:tcBorders>
            <w:shd w:val="clear" w:color="auto" w:fill="auto"/>
            <w:noWrap/>
            <w:vAlign w:val="bottom"/>
            <w:hideMark/>
          </w:tcPr>
          <w:p w14:paraId="545A8237"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500,84</w:t>
            </w:r>
          </w:p>
        </w:tc>
        <w:tc>
          <w:tcPr>
            <w:tcW w:w="1168" w:type="dxa"/>
            <w:tcBorders>
              <w:top w:val="nil"/>
              <w:left w:val="nil"/>
              <w:bottom w:val="double" w:sz="6" w:space="0" w:color="auto"/>
              <w:right w:val="double" w:sz="6" w:space="0" w:color="auto"/>
            </w:tcBorders>
            <w:shd w:val="clear" w:color="auto" w:fill="auto"/>
            <w:noWrap/>
            <w:vAlign w:val="bottom"/>
            <w:hideMark/>
          </w:tcPr>
          <w:p w14:paraId="2F4267DA"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3,37</w:t>
            </w:r>
          </w:p>
        </w:tc>
      </w:tr>
      <w:tr w:rsidR="0067338B" w:rsidRPr="00C64727" w14:paraId="7BDEB409" w14:textId="77777777" w:rsidTr="00AC48C8">
        <w:trPr>
          <w:trHeight w:val="315"/>
        </w:trPr>
        <w:tc>
          <w:tcPr>
            <w:tcW w:w="966" w:type="dxa"/>
            <w:tcBorders>
              <w:top w:val="nil"/>
              <w:left w:val="double" w:sz="6" w:space="0" w:color="auto"/>
              <w:bottom w:val="double" w:sz="6" w:space="0" w:color="auto"/>
              <w:right w:val="double" w:sz="6" w:space="0" w:color="auto"/>
            </w:tcBorders>
            <w:shd w:val="clear" w:color="auto" w:fill="auto"/>
            <w:noWrap/>
            <w:vAlign w:val="bottom"/>
            <w:hideMark/>
          </w:tcPr>
          <w:p w14:paraId="31DA709D" w14:textId="77777777" w:rsidR="0067338B" w:rsidRPr="00C64727" w:rsidRDefault="001379D6">
            <w:pPr>
              <w:spacing w:after="0" w:line="240" w:lineRule="auto"/>
              <w:rPr>
                <w:rFonts w:ascii="Times New Roman" w:eastAsia="Times New Roman" w:hAnsi="Times New Roman"/>
                <w:b/>
                <w:bCs/>
                <w:color w:val="000000"/>
                <w:sz w:val="20"/>
                <w:szCs w:val="20"/>
              </w:rPr>
            </w:pPr>
            <w:r w:rsidRPr="00C64727">
              <w:rPr>
                <w:rFonts w:ascii="Times New Roman" w:hAnsi="Times New Roman"/>
                <w:b/>
                <w:bCs/>
                <w:sz w:val="20"/>
                <w:szCs w:val="20"/>
              </w:rPr>
              <w:t>PL</w:t>
            </w:r>
          </w:p>
        </w:tc>
        <w:tc>
          <w:tcPr>
            <w:tcW w:w="853" w:type="dxa"/>
            <w:tcBorders>
              <w:top w:val="nil"/>
              <w:left w:val="nil"/>
              <w:bottom w:val="double" w:sz="6" w:space="0" w:color="auto"/>
              <w:right w:val="double" w:sz="6" w:space="0" w:color="auto"/>
            </w:tcBorders>
            <w:shd w:val="clear" w:color="auto" w:fill="auto"/>
            <w:noWrap/>
            <w:vAlign w:val="bottom"/>
            <w:hideMark/>
          </w:tcPr>
          <w:p w14:paraId="241F0051"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1168" w:type="dxa"/>
            <w:tcBorders>
              <w:top w:val="nil"/>
              <w:left w:val="nil"/>
              <w:bottom w:val="double" w:sz="6" w:space="0" w:color="auto"/>
              <w:right w:val="double" w:sz="6" w:space="0" w:color="auto"/>
            </w:tcBorders>
            <w:shd w:val="clear" w:color="auto" w:fill="auto"/>
            <w:noWrap/>
            <w:vAlign w:val="bottom"/>
            <w:hideMark/>
          </w:tcPr>
          <w:p w14:paraId="545BEFA0"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6604C2E9"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244,02</w:t>
            </w:r>
          </w:p>
        </w:tc>
        <w:tc>
          <w:tcPr>
            <w:tcW w:w="1168" w:type="dxa"/>
            <w:tcBorders>
              <w:top w:val="nil"/>
              <w:left w:val="nil"/>
              <w:bottom w:val="double" w:sz="6" w:space="0" w:color="auto"/>
              <w:right w:val="double" w:sz="6" w:space="0" w:color="auto"/>
            </w:tcBorders>
            <w:shd w:val="clear" w:color="auto" w:fill="auto"/>
            <w:noWrap/>
            <w:vAlign w:val="bottom"/>
            <w:hideMark/>
          </w:tcPr>
          <w:p w14:paraId="5FB6532A"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70A14906"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78,01</w:t>
            </w:r>
          </w:p>
        </w:tc>
        <w:tc>
          <w:tcPr>
            <w:tcW w:w="1168" w:type="dxa"/>
            <w:tcBorders>
              <w:top w:val="nil"/>
              <w:left w:val="nil"/>
              <w:bottom w:val="double" w:sz="6" w:space="0" w:color="auto"/>
              <w:right w:val="double" w:sz="6" w:space="0" w:color="auto"/>
            </w:tcBorders>
            <w:shd w:val="clear" w:color="auto" w:fill="auto"/>
            <w:noWrap/>
            <w:vAlign w:val="bottom"/>
            <w:hideMark/>
          </w:tcPr>
          <w:p w14:paraId="767B520E"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7407CC0F"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129,84</w:t>
            </w:r>
          </w:p>
        </w:tc>
        <w:tc>
          <w:tcPr>
            <w:tcW w:w="1168" w:type="dxa"/>
            <w:tcBorders>
              <w:top w:val="nil"/>
              <w:left w:val="nil"/>
              <w:bottom w:val="double" w:sz="6" w:space="0" w:color="auto"/>
              <w:right w:val="double" w:sz="6" w:space="0" w:color="auto"/>
            </w:tcBorders>
            <w:shd w:val="clear" w:color="auto" w:fill="auto"/>
            <w:noWrap/>
            <w:vAlign w:val="bottom"/>
            <w:hideMark/>
          </w:tcPr>
          <w:p w14:paraId="6A2C47B8"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2,98</w:t>
            </w:r>
          </w:p>
        </w:tc>
        <w:tc>
          <w:tcPr>
            <w:tcW w:w="773" w:type="dxa"/>
            <w:tcBorders>
              <w:top w:val="nil"/>
              <w:left w:val="nil"/>
              <w:bottom w:val="double" w:sz="6" w:space="0" w:color="auto"/>
              <w:right w:val="double" w:sz="6" w:space="0" w:color="auto"/>
            </w:tcBorders>
            <w:shd w:val="clear" w:color="auto" w:fill="auto"/>
            <w:noWrap/>
            <w:vAlign w:val="bottom"/>
            <w:hideMark/>
          </w:tcPr>
          <w:p w14:paraId="3FC849D1"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135,57</w:t>
            </w:r>
          </w:p>
        </w:tc>
        <w:tc>
          <w:tcPr>
            <w:tcW w:w="1168" w:type="dxa"/>
            <w:tcBorders>
              <w:top w:val="nil"/>
              <w:left w:val="nil"/>
              <w:bottom w:val="double" w:sz="6" w:space="0" w:color="auto"/>
              <w:right w:val="double" w:sz="6" w:space="0" w:color="auto"/>
            </w:tcBorders>
            <w:shd w:val="clear" w:color="auto" w:fill="auto"/>
            <w:noWrap/>
            <w:vAlign w:val="bottom"/>
            <w:hideMark/>
          </w:tcPr>
          <w:p w14:paraId="01C4A6F4"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0,58</w:t>
            </w:r>
          </w:p>
        </w:tc>
        <w:tc>
          <w:tcPr>
            <w:tcW w:w="873" w:type="dxa"/>
            <w:tcBorders>
              <w:top w:val="nil"/>
              <w:left w:val="nil"/>
              <w:bottom w:val="double" w:sz="6" w:space="0" w:color="auto"/>
              <w:right w:val="double" w:sz="6" w:space="0" w:color="auto"/>
            </w:tcBorders>
            <w:shd w:val="clear" w:color="auto" w:fill="auto"/>
            <w:noWrap/>
            <w:vAlign w:val="bottom"/>
            <w:hideMark/>
          </w:tcPr>
          <w:p w14:paraId="704591D0"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505,31</w:t>
            </w:r>
          </w:p>
        </w:tc>
        <w:tc>
          <w:tcPr>
            <w:tcW w:w="1068" w:type="dxa"/>
            <w:tcBorders>
              <w:top w:val="nil"/>
              <w:left w:val="nil"/>
              <w:bottom w:val="double" w:sz="6" w:space="0" w:color="auto"/>
              <w:right w:val="double" w:sz="6" w:space="0" w:color="auto"/>
            </w:tcBorders>
            <w:shd w:val="clear" w:color="auto" w:fill="auto"/>
            <w:noWrap/>
            <w:vAlign w:val="bottom"/>
            <w:hideMark/>
          </w:tcPr>
          <w:p w14:paraId="37F7DB17"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0,69</w:t>
            </w:r>
          </w:p>
        </w:tc>
        <w:tc>
          <w:tcPr>
            <w:tcW w:w="773" w:type="dxa"/>
            <w:tcBorders>
              <w:top w:val="nil"/>
              <w:left w:val="nil"/>
              <w:bottom w:val="double" w:sz="6" w:space="0" w:color="auto"/>
              <w:right w:val="double" w:sz="6" w:space="0" w:color="auto"/>
            </w:tcBorders>
            <w:shd w:val="clear" w:color="auto" w:fill="auto"/>
            <w:noWrap/>
            <w:vAlign w:val="bottom"/>
            <w:hideMark/>
          </w:tcPr>
          <w:p w14:paraId="3A9CDBF2"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1209,98</w:t>
            </w:r>
          </w:p>
        </w:tc>
        <w:tc>
          <w:tcPr>
            <w:tcW w:w="1168" w:type="dxa"/>
            <w:tcBorders>
              <w:top w:val="nil"/>
              <w:left w:val="nil"/>
              <w:bottom w:val="double" w:sz="6" w:space="0" w:color="auto"/>
              <w:right w:val="double" w:sz="6" w:space="0" w:color="auto"/>
            </w:tcBorders>
            <w:shd w:val="clear" w:color="auto" w:fill="auto"/>
            <w:noWrap/>
            <w:vAlign w:val="bottom"/>
            <w:hideMark/>
          </w:tcPr>
          <w:p w14:paraId="2EAE9D8B"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1,59</w:t>
            </w:r>
          </w:p>
        </w:tc>
      </w:tr>
      <w:tr w:rsidR="0067338B" w:rsidRPr="00C64727" w14:paraId="050298E8" w14:textId="77777777" w:rsidTr="00AC48C8">
        <w:trPr>
          <w:trHeight w:val="315"/>
        </w:trPr>
        <w:tc>
          <w:tcPr>
            <w:tcW w:w="966" w:type="dxa"/>
            <w:tcBorders>
              <w:top w:val="nil"/>
              <w:left w:val="double" w:sz="6" w:space="0" w:color="auto"/>
              <w:bottom w:val="double" w:sz="6" w:space="0" w:color="auto"/>
              <w:right w:val="double" w:sz="6" w:space="0" w:color="auto"/>
            </w:tcBorders>
            <w:shd w:val="clear" w:color="auto" w:fill="auto"/>
            <w:noWrap/>
            <w:vAlign w:val="bottom"/>
            <w:hideMark/>
          </w:tcPr>
          <w:p w14:paraId="29ADB59B" w14:textId="77777777" w:rsidR="0067338B" w:rsidRPr="00C64727" w:rsidRDefault="001379D6">
            <w:pPr>
              <w:spacing w:after="0" w:line="240" w:lineRule="auto"/>
              <w:rPr>
                <w:rFonts w:ascii="Times New Roman" w:eastAsia="Times New Roman" w:hAnsi="Times New Roman"/>
                <w:b/>
                <w:bCs/>
                <w:color w:val="000000"/>
                <w:sz w:val="20"/>
                <w:szCs w:val="20"/>
              </w:rPr>
            </w:pPr>
            <w:r w:rsidRPr="00C64727">
              <w:rPr>
                <w:rFonts w:ascii="Times New Roman" w:hAnsi="Times New Roman"/>
                <w:b/>
                <w:bCs/>
                <w:sz w:val="20"/>
                <w:szCs w:val="20"/>
              </w:rPr>
              <w:t>PT</w:t>
            </w:r>
          </w:p>
        </w:tc>
        <w:tc>
          <w:tcPr>
            <w:tcW w:w="853" w:type="dxa"/>
            <w:tcBorders>
              <w:top w:val="nil"/>
              <w:left w:val="nil"/>
              <w:bottom w:val="double" w:sz="6" w:space="0" w:color="auto"/>
              <w:right w:val="double" w:sz="6" w:space="0" w:color="auto"/>
            </w:tcBorders>
            <w:shd w:val="clear" w:color="auto" w:fill="auto"/>
            <w:noWrap/>
            <w:vAlign w:val="bottom"/>
            <w:hideMark/>
          </w:tcPr>
          <w:p w14:paraId="081CCA5D"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10,65</w:t>
            </w:r>
          </w:p>
        </w:tc>
        <w:tc>
          <w:tcPr>
            <w:tcW w:w="1168" w:type="dxa"/>
            <w:tcBorders>
              <w:top w:val="nil"/>
              <w:left w:val="nil"/>
              <w:bottom w:val="double" w:sz="6" w:space="0" w:color="auto"/>
              <w:right w:val="double" w:sz="6" w:space="0" w:color="auto"/>
            </w:tcBorders>
            <w:shd w:val="clear" w:color="auto" w:fill="auto"/>
            <w:noWrap/>
            <w:vAlign w:val="bottom"/>
            <w:hideMark/>
          </w:tcPr>
          <w:p w14:paraId="538BF719"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3B936574"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72,78</w:t>
            </w:r>
          </w:p>
        </w:tc>
        <w:tc>
          <w:tcPr>
            <w:tcW w:w="1168" w:type="dxa"/>
            <w:tcBorders>
              <w:top w:val="nil"/>
              <w:left w:val="nil"/>
              <w:bottom w:val="double" w:sz="6" w:space="0" w:color="auto"/>
              <w:right w:val="double" w:sz="6" w:space="0" w:color="auto"/>
            </w:tcBorders>
            <w:shd w:val="clear" w:color="auto" w:fill="auto"/>
            <w:noWrap/>
            <w:vAlign w:val="bottom"/>
            <w:hideMark/>
          </w:tcPr>
          <w:p w14:paraId="20A7F825"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66E77795"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65,82</w:t>
            </w:r>
          </w:p>
        </w:tc>
        <w:tc>
          <w:tcPr>
            <w:tcW w:w="1168" w:type="dxa"/>
            <w:tcBorders>
              <w:top w:val="nil"/>
              <w:left w:val="nil"/>
              <w:bottom w:val="double" w:sz="6" w:space="0" w:color="auto"/>
              <w:right w:val="double" w:sz="6" w:space="0" w:color="auto"/>
            </w:tcBorders>
            <w:shd w:val="clear" w:color="auto" w:fill="auto"/>
            <w:noWrap/>
            <w:vAlign w:val="bottom"/>
            <w:hideMark/>
          </w:tcPr>
          <w:p w14:paraId="58E38EA8"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1,27</w:t>
            </w:r>
          </w:p>
        </w:tc>
        <w:tc>
          <w:tcPr>
            <w:tcW w:w="773" w:type="dxa"/>
            <w:tcBorders>
              <w:top w:val="nil"/>
              <w:left w:val="nil"/>
              <w:bottom w:val="double" w:sz="6" w:space="0" w:color="auto"/>
              <w:right w:val="double" w:sz="6" w:space="0" w:color="auto"/>
            </w:tcBorders>
            <w:shd w:val="clear" w:color="auto" w:fill="auto"/>
            <w:noWrap/>
            <w:vAlign w:val="bottom"/>
            <w:hideMark/>
          </w:tcPr>
          <w:p w14:paraId="2CE4A2B7"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96,32</w:t>
            </w:r>
          </w:p>
        </w:tc>
        <w:tc>
          <w:tcPr>
            <w:tcW w:w="1168" w:type="dxa"/>
            <w:tcBorders>
              <w:top w:val="nil"/>
              <w:left w:val="nil"/>
              <w:bottom w:val="double" w:sz="6" w:space="0" w:color="auto"/>
              <w:right w:val="double" w:sz="6" w:space="0" w:color="auto"/>
            </w:tcBorders>
            <w:shd w:val="clear" w:color="auto" w:fill="auto"/>
            <w:noWrap/>
            <w:vAlign w:val="bottom"/>
            <w:hideMark/>
          </w:tcPr>
          <w:p w14:paraId="5A431E98"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2,89</w:t>
            </w:r>
          </w:p>
        </w:tc>
        <w:tc>
          <w:tcPr>
            <w:tcW w:w="773" w:type="dxa"/>
            <w:tcBorders>
              <w:top w:val="nil"/>
              <w:left w:val="nil"/>
              <w:bottom w:val="double" w:sz="6" w:space="0" w:color="auto"/>
              <w:right w:val="double" w:sz="6" w:space="0" w:color="auto"/>
            </w:tcBorders>
            <w:shd w:val="clear" w:color="auto" w:fill="auto"/>
            <w:noWrap/>
            <w:vAlign w:val="bottom"/>
            <w:hideMark/>
          </w:tcPr>
          <w:p w14:paraId="5BF99E6F"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74,29</w:t>
            </w:r>
          </w:p>
        </w:tc>
        <w:tc>
          <w:tcPr>
            <w:tcW w:w="1168" w:type="dxa"/>
            <w:tcBorders>
              <w:top w:val="nil"/>
              <w:left w:val="nil"/>
              <w:bottom w:val="double" w:sz="6" w:space="0" w:color="auto"/>
              <w:right w:val="double" w:sz="6" w:space="0" w:color="auto"/>
            </w:tcBorders>
            <w:shd w:val="clear" w:color="auto" w:fill="auto"/>
            <w:noWrap/>
            <w:vAlign w:val="bottom"/>
            <w:hideMark/>
          </w:tcPr>
          <w:p w14:paraId="123FF3C6"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0,79</w:t>
            </w:r>
          </w:p>
        </w:tc>
        <w:tc>
          <w:tcPr>
            <w:tcW w:w="873" w:type="dxa"/>
            <w:tcBorders>
              <w:top w:val="nil"/>
              <w:left w:val="nil"/>
              <w:bottom w:val="double" w:sz="6" w:space="0" w:color="auto"/>
              <w:right w:val="double" w:sz="6" w:space="0" w:color="auto"/>
            </w:tcBorders>
            <w:shd w:val="clear" w:color="auto" w:fill="auto"/>
            <w:noWrap/>
            <w:vAlign w:val="bottom"/>
            <w:hideMark/>
          </w:tcPr>
          <w:p w14:paraId="3A77B88A"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99,50</w:t>
            </w:r>
          </w:p>
        </w:tc>
        <w:tc>
          <w:tcPr>
            <w:tcW w:w="1068" w:type="dxa"/>
            <w:tcBorders>
              <w:top w:val="nil"/>
              <w:left w:val="nil"/>
              <w:bottom w:val="double" w:sz="6" w:space="0" w:color="auto"/>
              <w:right w:val="double" w:sz="6" w:space="0" w:color="auto"/>
            </w:tcBorders>
            <w:shd w:val="clear" w:color="auto" w:fill="auto"/>
            <w:noWrap/>
            <w:vAlign w:val="bottom"/>
            <w:hideMark/>
          </w:tcPr>
          <w:p w14:paraId="1DEF5629"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0,85</w:t>
            </w:r>
          </w:p>
        </w:tc>
        <w:tc>
          <w:tcPr>
            <w:tcW w:w="773" w:type="dxa"/>
            <w:tcBorders>
              <w:top w:val="nil"/>
              <w:left w:val="nil"/>
              <w:bottom w:val="double" w:sz="6" w:space="0" w:color="auto"/>
              <w:right w:val="double" w:sz="6" w:space="0" w:color="auto"/>
            </w:tcBorders>
            <w:shd w:val="clear" w:color="auto" w:fill="auto"/>
            <w:noWrap/>
            <w:vAlign w:val="bottom"/>
            <w:hideMark/>
          </w:tcPr>
          <w:p w14:paraId="01C91613"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262,96</w:t>
            </w:r>
          </w:p>
        </w:tc>
        <w:tc>
          <w:tcPr>
            <w:tcW w:w="1168" w:type="dxa"/>
            <w:tcBorders>
              <w:top w:val="nil"/>
              <w:left w:val="nil"/>
              <w:bottom w:val="double" w:sz="6" w:space="0" w:color="auto"/>
              <w:right w:val="double" w:sz="6" w:space="0" w:color="auto"/>
            </w:tcBorders>
            <w:shd w:val="clear" w:color="auto" w:fill="auto"/>
            <w:noWrap/>
            <w:vAlign w:val="bottom"/>
            <w:hideMark/>
          </w:tcPr>
          <w:p w14:paraId="1A608CB4"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2,65</w:t>
            </w:r>
          </w:p>
        </w:tc>
      </w:tr>
      <w:tr w:rsidR="0067338B" w:rsidRPr="00C64727" w14:paraId="2A9CA838" w14:textId="77777777" w:rsidTr="00AC48C8">
        <w:trPr>
          <w:trHeight w:val="315"/>
        </w:trPr>
        <w:tc>
          <w:tcPr>
            <w:tcW w:w="966" w:type="dxa"/>
            <w:tcBorders>
              <w:top w:val="nil"/>
              <w:left w:val="double" w:sz="6" w:space="0" w:color="auto"/>
              <w:bottom w:val="double" w:sz="6" w:space="0" w:color="auto"/>
              <w:right w:val="double" w:sz="6" w:space="0" w:color="auto"/>
            </w:tcBorders>
            <w:shd w:val="clear" w:color="auto" w:fill="auto"/>
            <w:noWrap/>
            <w:vAlign w:val="bottom"/>
            <w:hideMark/>
          </w:tcPr>
          <w:p w14:paraId="4FB0B9A6" w14:textId="77777777" w:rsidR="0067338B" w:rsidRPr="00C64727" w:rsidRDefault="001379D6">
            <w:pPr>
              <w:spacing w:after="0" w:line="240" w:lineRule="auto"/>
              <w:rPr>
                <w:rFonts w:ascii="Times New Roman" w:eastAsia="Times New Roman" w:hAnsi="Times New Roman"/>
                <w:b/>
                <w:bCs/>
                <w:color w:val="000000"/>
                <w:sz w:val="20"/>
                <w:szCs w:val="20"/>
              </w:rPr>
            </w:pPr>
            <w:r w:rsidRPr="00C64727">
              <w:rPr>
                <w:rFonts w:ascii="Times New Roman" w:hAnsi="Times New Roman"/>
                <w:b/>
                <w:bCs/>
                <w:sz w:val="20"/>
                <w:szCs w:val="20"/>
              </w:rPr>
              <w:t>RO</w:t>
            </w:r>
          </w:p>
        </w:tc>
        <w:tc>
          <w:tcPr>
            <w:tcW w:w="853" w:type="dxa"/>
            <w:tcBorders>
              <w:top w:val="nil"/>
              <w:left w:val="nil"/>
              <w:bottom w:val="double" w:sz="6" w:space="0" w:color="auto"/>
              <w:right w:val="double" w:sz="6" w:space="0" w:color="auto"/>
            </w:tcBorders>
            <w:shd w:val="clear" w:color="auto" w:fill="auto"/>
            <w:noWrap/>
            <w:vAlign w:val="bottom"/>
            <w:hideMark/>
          </w:tcPr>
          <w:p w14:paraId="49CEE614"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39,71</w:t>
            </w:r>
          </w:p>
        </w:tc>
        <w:tc>
          <w:tcPr>
            <w:tcW w:w="1168" w:type="dxa"/>
            <w:tcBorders>
              <w:top w:val="nil"/>
              <w:left w:val="nil"/>
              <w:bottom w:val="double" w:sz="6" w:space="0" w:color="auto"/>
              <w:right w:val="double" w:sz="6" w:space="0" w:color="auto"/>
            </w:tcBorders>
            <w:shd w:val="clear" w:color="auto" w:fill="auto"/>
            <w:noWrap/>
            <w:vAlign w:val="bottom"/>
            <w:hideMark/>
          </w:tcPr>
          <w:p w14:paraId="215D5FC4"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162F9528"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122,74</w:t>
            </w:r>
          </w:p>
        </w:tc>
        <w:tc>
          <w:tcPr>
            <w:tcW w:w="1168" w:type="dxa"/>
            <w:tcBorders>
              <w:top w:val="nil"/>
              <w:left w:val="nil"/>
              <w:bottom w:val="double" w:sz="6" w:space="0" w:color="auto"/>
              <w:right w:val="double" w:sz="6" w:space="0" w:color="auto"/>
            </w:tcBorders>
            <w:shd w:val="clear" w:color="auto" w:fill="auto"/>
            <w:noWrap/>
            <w:vAlign w:val="bottom"/>
            <w:hideMark/>
          </w:tcPr>
          <w:p w14:paraId="3A79E6CA"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7197A341"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97,57</w:t>
            </w:r>
          </w:p>
        </w:tc>
        <w:tc>
          <w:tcPr>
            <w:tcW w:w="1168" w:type="dxa"/>
            <w:tcBorders>
              <w:top w:val="nil"/>
              <w:left w:val="nil"/>
              <w:bottom w:val="double" w:sz="6" w:space="0" w:color="auto"/>
              <w:right w:val="double" w:sz="6" w:space="0" w:color="auto"/>
            </w:tcBorders>
            <w:shd w:val="clear" w:color="auto" w:fill="auto"/>
            <w:noWrap/>
            <w:vAlign w:val="bottom"/>
            <w:hideMark/>
          </w:tcPr>
          <w:p w14:paraId="615EE694"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0,32</w:t>
            </w:r>
          </w:p>
        </w:tc>
        <w:tc>
          <w:tcPr>
            <w:tcW w:w="773" w:type="dxa"/>
            <w:tcBorders>
              <w:top w:val="nil"/>
              <w:left w:val="nil"/>
              <w:bottom w:val="double" w:sz="6" w:space="0" w:color="auto"/>
              <w:right w:val="double" w:sz="6" w:space="0" w:color="auto"/>
            </w:tcBorders>
            <w:shd w:val="clear" w:color="auto" w:fill="auto"/>
            <w:noWrap/>
            <w:vAlign w:val="bottom"/>
            <w:hideMark/>
          </w:tcPr>
          <w:p w14:paraId="10C0A03F"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193,62</w:t>
            </w:r>
          </w:p>
        </w:tc>
        <w:tc>
          <w:tcPr>
            <w:tcW w:w="1168" w:type="dxa"/>
            <w:tcBorders>
              <w:top w:val="nil"/>
              <w:left w:val="nil"/>
              <w:bottom w:val="double" w:sz="6" w:space="0" w:color="auto"/>
              <w:right w:val="double" w:sz="6" w:space="0" w:color="auto"/>
            </w:tcBorders>
            <w:shd w:val="clear" w:color="auto" w:fill="auto"/>
            <w:noWrap/>
            <w:vAlign w:val="bottom"/>
            <w:hideMark/>
          </w:tcPr>
          <w:p w14:paraId="48D05A9E"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1,60</w:t>
            </w:r>
          </w:p>
        </w:tc>
        <w:tc>
          <w:tcPr>
            <w:tcW w:w="773" w:type="dxa"/>
            <w:tcBorders>
              <w:top w:val="nil"/>
              <w:left w:val="nil"/>
              <w:bottom w:val="double" w:sz="6" w:space="0" w:color="auto"/>
              <w:right w:val="double" w:sz="6" w:space="0" w:color="auto"/>
            </w:tcBorders>
            <w:shd w:val="clear" w:color="auto" w:fill="auto"/>
            <w:noWrap/>
            <w:vAlign w:val="bottom"/>
            <w:hideMark/>
          </w:tcPr>
          <w:p w14:paraId="7C312F0B"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193,56</w:t>
            </w:r>
          </w:p>
        </w:tc>
        <w:tc>
          <w:tcPr>
            <w:tcW w:w="1168" w:type="dxa"/>
            <w:tcBorders>
              <w:top w:val="nil"/>
              <w:left w:val="nil"/>
              <w:bottom w:val="double" w:sz="6" w:space="0" w:color="auto"/>
              <w:right w:val="double" w:sz="6" w:space="0" w:color="auto"/>
            </w:tcBorders>
            <w:shd w:val="clear" w:color="auto" w:fill="auto"/>
            <w:noWrap/>
            <w:vAlign w:val="bottom"/>
            <w:hideMark/>
          </w:tcPr>
          <w:p w14:paraId="05E6BC6D"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0,44</w:t>
            </w:r>
          </w:p>
        </w:tc>
        <w:tc>
          <w:tcPr>
            <w:tcW w:w="873" w:type="dxa"/>
            <w:tcBorders>
              <w:top w:val="nil"/>
              <w:left w:val="nil"/>
              <w:bottom w:val="double" w:sz="6" w:space="0" w:color="auto"/>
              <w:right w:val="double" w:sz="6" w:space="0" w:color="auto"/>
            </w:tcBorders>
            <w:shd w:val="clear" w:color="auto" w:fill="auto"/>
            <w:noWrap/>
            <w:vAlign w:val="bottom"/>
            <w:hideMark/>
          </w:tcPr>
          <w:p w14:paraId="7FD745C9"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260,29</w:t>
            </w:r>
          </w:p>
        </w:tc>
        <w:tc>
          <w:tcPr>
            <w:tcW w:w="1068" w:type="dxa"/>
            <w:tcBorders>
              <w:top w:val="nil"/>
              <w:left w:val="nil"/>
              <w:bottom w:val="double" w:sz="6" w:space="0" w:color="auto"/>
              <w:right w:val="double" w:sz="6" w:space="0" w:color="auto"/>
            </w:tcBorders>
            <w:shd w:val="clear" w:color="auto" w:fill="auto"/>
            <w:noWrap/>
            <w:vAlign w:val="bottom"/>
            <w:hideMark/>
          </w:tcPr>
          <w:p w14:paraId="009D25F6"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0,47</w:t>
            </w:r>
          </w:p>
        </w:tc>
        <w:tc>
          <w:tcPr>
            <w:tcW w:w="773" w:type="dxa"/>
            <w:tcBorders>
              <w:top w:val="nil"/>
              <w:left w:val="nil"/>
              <w:bottom w:val="double" w:sz="6" w:space="0" w:color="auto"/>
              <w:right w:val="double" w:sz="6" w:space="0" w:color="auto"/>
            </w:tcBorders>
            <w:shd w:val="clear" w:color="auto" w:fill="auto"/>
            <w:noWrap/>
            <w:vAlign w:val="bottom"/>
            <w:hideMark/>
          </w:tcPr>
          <w:p w14:paraId="27C5FE40"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717,64</w:t>
            </w:r>
          </w:p>
        </w:tc>
        <w:tc>
          <w:tcPr>
            <w:tcW w:w="1168" w:type="dxa"/>
            <w:tcBorders>
              <w:top w:val="nil"/>
              <w:left w:val="nil"/>
              <w:bottom w:val="double" w:sz="6" w:space="0" w:color="auto"/>
              <w:right w:val="double" w:sz="6" w:space="0" w:color="auto"/>
            </w:tcBorders>
            <w:shd w:val="clear" w:color="auto" w:fill="auto"/>
            <w:noWrap/>
            <w:vAlign w:val="bottom"/>
            <w:hideMark/>
          </w:tcPr>
          <w:p w14:paraId="71B79359"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1,45</w:t>
            </w:r>
          </w:p>
        </w:tc>
      </w:tr>
      <w:tr w:rsidR="0067338B" w:rsidRPr="00C64727" w14:paraId="62DE47F9" w14:textId="77777777" w:rsidTr="00AC48C8">
        <w:trPr>
          <w:trHeight w:val="315"/>
        </w:trPr>
        <w:tc>
          <w:tcPr>
            <w:tcW w:w="966" w:type="dxa"/>
            <w:tcBorders>
              <w:top w:val="nil"/>
              <w:left w:val="double" w:sz="6" w:space="0" w:color="auto"/>
              <w:bottom w:val="double" w:sz="6" w:space="0" w:color="auto"/>
              <w:right w:val="double" w:sz="6" w:space="0" w:color="auto"/>
            </w:tcBorders>
            <w:shd w:val="clear" w:color="auto" w:fill="auto"/>
            <w:noWrap/>
            <w:vAlign w:val="bottom"/>
            <w:hideMark/>
          </w:tcPr>
          <w:p w14:paraId="56EE3759" w14:textId="77777777" w:rsidR="0067338B" w:rsidRPr="00C64727" w:rsidRDefault="001379D6">
            <w:pPr>
              <w:spacing w:after="0" w:line="240" w:lineRule="auto"/>
              <w:rPr>
                <w:rFonts w:ascii="Times New Roman" w:eastAsia="Times New Roman" w:hAnsi="Times New Roman"/>
                <w:b/>
                <w:bCs/>
                <w:color w:val="000000"/>
                <w:sz w:val="20"/>
                <w:szCs w:val="20"/>
              </w:rPr>
            </w:pPr>
            <w:r w:rsidRPr="00C64727">
              <w:rPr>
                <w:rFonts w:ascii="Times New Roman" w:hAnsi="Times New Roman"/>
                <w:b/>
                <w:bCs/>
                <w:sz w:val="20"/>
                <w:szCs w:val="20"/>
              </w:rPr>
              <w:t>SE</w:t>
            </w:r>
          </w:p>
        </w:tc>
        <w:tc>
          <w:tcPr>
            <w:tcW w:w="853" w:type="dxa"/>
            <w:tcBorders>
              <w:top w:val="nil"/>
              <w:left w:val="nil"/>
              <w:bottom w:val="double" w:sz="6" w:space="0" w:color="auto"/>
              <w:right w:val="double" w:sz="6" w:space="0" w:color="auto"/>
            </w:tcBorders>
            <w:shd w:val="clear" w:color="auto" w:fill="auto"/>
            <w:noWrap/>
            <w:vAlign w:val="bottom"/>
            <w:hideMark/>
          </w:tcPr>
          <w:p w14:paraId="0BCE245B"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7,07</w:t>
            </w:r>
          </w:p>
        </w:tc>
        <w:tc>
          <w:tcPr>
            <w:tcW w:w="1168" w:type="dxa"/>
            <w:tcBorders>
              <w:top w:val="nil"/>
              <w:left w:val="nil"/>
              <w:bottom w:val="double" w:sz="6" w:space="0" w:color="auto"/>
              <w:right w:val="double" w:sz="6" w:space="0" w:color="auto"/>
            </w:tcBorders>
            <w:shd w:val="clear" w:color="auto" w:fill="auto"/>
            <w:noWrap/>
            <w:vAlign w:val="bottom"/>
            <w:hideMark/>
          </w:tcPr>
          <w:p w14:paraId="7E55746C"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2F604A5F"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35,67</w:t>
            </w:r>
          </w:p>
        </w:tc>
        <w:tc>
          <w:tcPr>
            <w:tcW w:w="1168" w:type="dxa"/>
            <w:tcBorders>
              <w:top w:val="nil"/>
              <w:left w:val="nil"/>
              <w:bottom w:val="double" w:sz="6" w:space="0" w:color="auto"/>
              <w:right w:val="double" w:sz="6" w:space="0" w:color="auto"/>
            </w:tcBorders>
            <w:shd w:val="clear" w:color="auto" w:fill="auto"/>
            <w:noWrap/>
            <w:vAlign w:val="bottom"/>
            <w:hideMark/>
          </w:tcPr>
          <w:p w14:paraId="1C11F129"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775D72C8"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33,34</w:t>
            </w:r>
          </w:p>
        </w:tc>
        <w:tc>
          <w:tcPr>
            <w:tcW w:w="1168" w:type="dxa"/>
            <w:tcBorders>
              <w:top w:val="nil"/>
              <w:left w:val="nil"/>
              <w:bottom w:val="double" w:sz="6" w:space="0" w:color="auto"/>
              <w:right w:val="double" w:sz="6" w:space="0" w:color="auto"/>
            </w:tcBorders>
            <w:shd w:val="clear" w:color="auto" w:fill="auto"/>
            <w:noWrap/>
            <w:vAlign w:val="bottom"/>
            <w:hideMark/>
          </w:tcPr>
          <w:p w14:paraId="57094808"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1,02</w:t>
            </w:r>
          </w:p>
        </w:tc>
        <w:tc>
          <w:tcPr>
            <w:tcW w:w="773" w:type="dxa"/>
            <w:tcBorders>
              <w:top w:val="nil"/>
              <w:left w:val="nil"/>
              <w:bottom w:val="double" w:sz="6" w:space="0" w:color="auto"/>
              <w:right w:val="double" w:sz="6" w:space="0" w:color="auto"/>
            </w:tcBorders>
            <w:shd w:val="clear" w:color="auto" w:fill="auto"/>
            <w:noWrap/>
            <w:vAlign w:val="bottom"/>
            <w:hideMark/>
          </w:tcPr>
          <w:p w14:paraId="1A1D51F8"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48,79</w:t>
            </w:r>
          </w:p>
        </w:tc>
        <w:tc>
          <w:tcPr>
            <w:tcW w:w="1168" w:type="dxa"/>
            <w:tcBorders>
              <w:top w:val="nil"/>
              <w:left w:val="nil"/>
              <w:bottom w:val="double" w:sz="6" w:space="0" w:color="auto"/>
              <w:right w:val="double" w:sz="6" w:space="0" w:color="auto"/>
            </w:tcBorders>
            <w:shd w:val="clear" w:color="auto" w:fill="auto"/>
            <w:noWrap/>
            <w:vAlign w:val="bottom"/>
            <w:hideMark/>
          </w:tcPr>
          <w:p w14:paraId="71DE629E"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3,63</w:t>
            </w:r>
          </w:p>
        </w:tc>
        <w:tc>
          <w:tcPr>
            <w:tcW w:w="773" w:type="dxa"/>
            <w:tcBorders>
              <w:top w:val="nil"/>
              <w:left w:val="nil"/>
              <w:bottom w:val="double" w:sz="6" w:space="0" w:color="auto"/>
              <w:right w:val="double" w:sz="6" w:space="0" w:color="auto"/>
            </w:tcBorders>
            <w:shd w:val="clear" w:color="auto" w:fill="auto"/>
            <w:noWrap/>
            <w:vAlign w:val="bottom"/>
            <w:hideMark/>
          </w:tcPr>
          <w:p w14:paraId="7B7A4B32"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37,61</w:t>
            </w:r>
          </w:p>
        </w:tc>
        <w:tc>
          <w:tcPr>
            <w:tcW w:w="1168" w:type="dxa"/>
            <w:tcBorders>
              <w:top w:val="nil"/>
              <w:left w:val="nil"/>
              <w:bottom w:val="double" w:sz="6" w:space="0" w:color="auto"/>
              <w:right w:val="double" w:sz="6" w:space="0" w:color="auto"/>
            </w:tcBorders>
            <w:shd w:val="clear" w:color="auto" w:fill="auto"/>
            <w:noWrap/>
            <w:vAlign w:val="bottom"/>
            <w:hideMark/>
          </w:tcPr>
          <w:p w14:paraId="1DA3AA7D"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1,00</w:t>
            </w:r>
          </w:p>
        </w:tc>
        <w:tc>
          <w:tcPr>
            <w:tcW w:w="873" w:type="dxa"/>
            <w:tcBorders>
              <w:top w:val="nil"/>
              <w:left w:val="nil"/>
              <w:bottom w:val="double" w:sz="6" w:space="0" w:color="auto"/>
              <w:right w:val="double" w:sz="6" w:space="0" w:color="auto"/>
            </w:tcBorders>
            <w:shd w:val="clear" w:color="auto" w:fill="auto"/>
            <w:noWrap/>
            <w:vAlign w:val="bottom"/>
            <w:hideMark/>
          </w:tcPr>
          <w:p w14:paraId="2AD0317D"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50,45</w:t>
            </w:r>
          </w:p>
        </w:tc>
        <w:tc>
          <w:tcPr>
            <w:tcW w:w="1068" w:type="dxa"/>
            <w:tcBorders>
              <w:top w:val="nil"/>
              <w:left w:val="nil"/>
              <w:bottom w:val="double" w:sz="6" w:space="0" w:color="auto"/>
              <w:right w:val="double" w:sz="6" w:space="0" w:color="auto"/>
            </w:tcBorders>
            <w:shd w:val="clear" w:color="auto" w:fill="auto"/>
            <w:noWrap/>
            <w:vAlign w:val="bottom"/>
            <w:hideMark/>
          </w:tcPr>
          <w:p w14:paraId="1007451B"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1,06</w:t>
            </w:r>
          </w:p>
        </w:tc>
        <w:tc>
          <w:tcPr>
            <w:tcW w:w="773" w:type="dxa"/>
            <w:tcBorders>
              <w:top w:val="nil"/>
              <w:left w:val="nil"/>
              <w:bottom w:val="double" w:sz="6" w:space="0" w:color="auto"/>
              <w:right w:val="double" w:sz="6" w:space="0" w:color="auto"/>
            </w:tcBorders>
            <w:shd w:val="clear" w:color="auto" w:fill="auto"/>
            <w:noWrap/>
            <w:vAlign w:val="bottom"/>
            <w:hideMark/>
          </w:tcPr>
          <w:p w14:paraId="01F2D53C"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132,98</w:t>
            </w:r>
          </w:p>
        </w:tc>
        <w:tc>
          <w:tcPr>
            <w:tcW w:w="1168" w:type="dxa"/>
            <w:tcBorders>
              <w:top w:val="nil"/>
              <w:left w:val="nil"/>
              <w:bottom w:val="double" w:sz="6" w:space="0" w:color="auto"/>
              <w:right w:val="double" w:sz="6" w:space="0" w:color="auto"/>
            </w:tcBorders>
            <w:shd w:val="clear" w:color="auto" w:fill="auto"/>
            <w:noWrap/>
            <w:vAlign w:val="bottom"/>
            <w:hideMark/>
          </w:tcPr>
          <w:p w14:paraId="5BEB09A8"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3,34</w:t>
            </w:r>
          </w:p>
        </w:tc>
      </w:tr>
      <w:tr w:rsidR="0067338B" w:rsidRPr="00C64727" w14:paraId="7EDD487F" w14:textId="77777777" w:rsidTr="00AC48C8">
        <w:trPr>
          <w:trHeight w:val="315"/>
        </w:trPr>
        <w:tc>
          <w:tcPr>
            <w:tcW w:w="966" w:type="dxa"/>
            <w:tcBorders>
              <w:top w:val="nil"/>
              <w:left w:val="double" w:sz="6" w:space="0" w:color="auto"/>
              <w:bottom w:val="double" w:sz="6" w:space="0" w:color="auto"/>
              <w:right w:val="double" w:sz="6" w:space="0" w:color="auto"/>
            </w:tcBorders>
            <w:shd w:val="clear" w:color="auto" w:fill="auto"/>
            <w:noWrap/>
            <w:vAlign w:val="bottom"/>
            <w:hideMark/>
          </w:tcPr>
          <w:p w14:paraId="047C196A" w14:textId="77777777" w:rsidR="0067338B" w:rsidRPr="00C64727" w:rsidRDefault="001379D6">
            <w:pPr>
              <w:spacing w:after="0" w:line="240" w:lineRule="auto"/>
              <w:rPr>
                <w:rFonts w:ascii="Times New Roman" w:eastAsia="Times New Roman" w:hAnsi="Times New Roman"/>
                <w:b/>
                <w:bCs/>
                <w:color w:val="000000"/>
                <w:sz w:val="20"/>
                <w:szCs w:val="20"/>
              </w:rPr>
            </w:pPr>
            <w:r w:rsidRPr="00C64727">
              <w:rPr>
                <w:rFonts w:ascii="Times New Roman" w:hAnsi="Times New Roman"/>
                <w:b/>
                <w:bCs/>
                <w:sz w:val="20"/>
                <w:szCs w:val="20"/>
              </w:rPr>
              <w:t>SI</w:t>
            </w:r>
          </w:p>
        </w:tc>
        <w:tc>
          <w:tcPr>
            <w:tcW w:w="853" w:type="dxa"/>
            <w:tcBorders>
              <w:top w:val="nil"/>
              <w:left w:val="nil"/>
              <w:bottom w:val="double" w:sz="6" w:space="0" w:color="auto"/>
              <w:right w:val="double" w:sz="6" w:space="0" w:color="auto"/>
            </w:tcBorders>
            <w:shd w:val="clear" w:color="auto" w:fill="auto"/>
            <w:noWrap/>
            <w:vAlign w:val="bottom"/>
            <w:hideMark/>
          </w:tcPr>
          <w:p w14:paraId="27E7B7F3"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3,51</w:t>
            </w:r>
          </w:p>
        </w:tc>
        <w:tc>
          <w:tcPr>
            <w:tcW w:w="1168" w:type="dxa"/>
            <w:tcBorders>
              <w:top w:val="nil"/>
              <w:left w:val="nil"/>
              <w:bottom w:val="double" w:sz="6" w:space="0" w:color="auto"/>
              <w:right w:val="double" w:sz="6" w:space="0" w:color="auto"/>
            </w:tcBorders>
            <w:shd w:val="clear" w:color="auto" w:fill="auto"/>
            <w:noWrap/>
            <w:vAlign w:val="bottom"/>
            <w:hideMark/>
          </w:tcPr>
          <w:p w14:paraId="7F88A0D7"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378F67D2"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17,74</w:t>
            </w:r>
          </w:p>
        </w:tc>
        <w:tc>
          <w:tcPr>
            <w:tcW w:w="1168" w:type="dxa"/>
            <w:tcBorders>
              <w:top w:val="nil"/>
              <w:left w:val="nil"/>
              <w:bottom w:val="double" w:sz="6" w:space="0" w:color="auto"/>
              <w:right w:val="double" w:sz="6" w:space="0" w:color="auto"/>
            </w:tcBorders>
            <w:shd w:val="clear" w:color="auto" w:fill="auto"/>
            <w:noWrap/>
            <w:vAlign w:val="bottom"/>
            <w:hideMark/>
          </w:tcPr>
          <w:p w14:paraId="138EA5C1"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62799502"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16,59</w:t>
            </w:r>
          </w:p>
        </w:tc>
        <w:tc>
          <w:tcPr>
            <w:tcW w:w="1168" w:type="dxa"/>
            <w:tcBorders>
              <w:top w:val="nil"/>
              <w:left w:val="nil"/>
              <w:bottom w:val="double" w:sz="6" w:space="0" w:color="auto"/>
              <w:right w:val="double" w:sz="6" w:space="0" w:color="auto"/>
            </w:tcBorders>
            <w:shd w:val="clear" w:color="auto" w:fill="auto"/>
            <w:noWrap/>
            <w:vAlign w:val="bottom"/>
            <w:hideMark/>
          </w:tcPr>
          <w:p w14:paraId="6D565AE5"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0,05</w:t>
            </w:r>
          </w:p>
        </w:tc>
        <w:tc>
          <w:tcPr>
            <w:tcW w:w="773" w:type="dxa"/>
            <w:tcBorders>
              <w:top w:val="nil"/>
              <w:left w:val="nil"/>
              <w:bottom w:val="double" w:sz="6" w:space="0" w:color="auto"/>
              <w:right w:val="double" w:sz="6" w:space="0" w:color="auto"/>
            </w:tcBorders>
            <w:shd w:val="clear" w:color="auto" w:fill="auto"/>
            <w:noWrap/>
            <w:vAlign w:val="bottom"/>
            <w:hideMark/>
          </w:tcPr>
          <w:p w14:paraId="24E9F5FC"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24,28</w:t>
            </w:r>
          </w:p>
        </w:tc>
        <w:tc>
          <w:tcPr>
            <w:tcW w:w="1168" w:type="dxa"/>
            <w:tcBorders>
              <w:top w:val="nil"/>
              <w:left w:val="nil"/>
              <w:bottom w:val="double" w:sz="6" w:space="0" w:color="auto"/>
              <w:right w:val="double" w:sz="6" w:space="0" w:color="auto"/>
            </w:tcBorders>
            <w:shd w:val="clear" w:color="auto" w:fill="auto"/>
            <w:noWrap/>
            <w:vAlign w:val="bottom"/>
            <w:hideMark/>
          </w:tcPr>
          <w:p w14:paraId="3E8E8283"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0,14</w:t>
            </w:r>
          </w:p>
        </w:tc>
        <w:tc>
          <w:tcPr>
            <w:tcW w:w="773" w:type="dxa"/>
            <w:tcBorders>
              <w:top w:val="nil"/>
              <w:left w:val="nil"/>
              <w:bottom w:val="double" w:sz="6" w:space="0" w:color="auto"/>
              <w:right w:val="double" w:sz="6" w:space="0" w:color="auto"/>
            </w:tcBorders>
            <w:shd w:val="clear" w:color="auto" w:fill="auto"/>
            <w:noWrap/>
            <w:vAlign w:val="bottom"/>
            <w:hideMark/>
          </w:tcPr>
          <w:p w14:paraId="7C31BDBE"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18,70</w:t>
            </w:r>
          </w:p>
        </w:tc>
        <w:tc>
          <w:tcPr>
            <w:tcW w:w="1168" w:type="dxa"/>
            <w:tcBorders>
              <w:top w:val="nil"/>
              <w:left w:val="nil"/>
              <w:bottom w:val="double" w:sz="6" w:space="0" w:color="auto"/>
              <w:right w:val="double" w:sz="6" w:space="0" w:color="auto"/>
            </w:tcBorders>
            <w:shd w:val="clear" w:color="auto" w:fill="auto"/>
            <w:noWrap/>
            <w:vAlign w:val="bottom"/>
            <w:hideMark/>
          </w:tcPr>
          <w:p w14:paraId="1B492048"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0,04</w:t>
            </w:r>
          </w:p>
        </w:tc>
        <w:tc>
          <w:tcPr>
            <w:tcW w:w="873" w:type="dxa"/>
            <w:tcBorders>
              <w:top w:val="nil"/>
              <w:left w:val="nil"/>
              <w:bottom w:val="double" w:sz="6" w:space="0" w:color="auto"/>
              <w:right w:val="double" w:sz="6" w:space="0" w:color="auto"/>
            </w:tcBorders>
            <w:shd w:val="clear" w:color="auto" w:fill="auto"/>
            <w:noWrap/>
            <w:vAlign w:val="bottom"/>
            <w:hideMark/>
          </w:tcPr>
          <w:p w14:paraId="5F68202E"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25,05</w:t>
            </w:r>
          </w:p>
        </w:tc>
        <w:tc>
          <w:tcPr>
            <w:tcW w:w="1068" w:type="dxa"/>
            <w:tcBorders>
              <w:top w:val="nil"/>
              <w:left w:val="nil"/>
              <w:bottom w:val="double" w:sz="6" w:space="0" w:color="auto"/>
              <w:right w:val="double" w:sz="6" w:space="0" w:color="auto"/>
            </w:tcBorders>
            <w:shd w:val="clear" w:color="auto" w:fill="auto"/>
            <w:noWrap/>
            <w:vAlign w:val="bottom"/>
            <w:hideMark/>
          </w:tcPr>
          <w:p w14:paraId="38A75D21"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0,04</w:t>
            </w:r>
          </w:p>
        </w:tc>
        <w:tc>
          <w:tcPr>
            <w:tcW w:w="773" w:type="dxa"/>
            <w:tcBorders>
              <w:top w:val="nil"/>
              <w:left w:val="nil"/>
              <w:bottom w:val="double" w:sz="6" w:space="0" w:color="auto"/>
              <w:right w:val="double" w:sz="6" w:space="0" w:color="auto"/>
            </w:tcBorders>
            <w:shd w:val="clear" w:color="auto" w:fill="auto"/>
            <w:noWrap/>
            <w:vAlign w:val="bottom"/>
            <w:hideMark/>
          </w:tcPr>
          <w:p w14:paraId="07AC7B5B"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66,19</w:t>
            </w:r>
          </w:p>
        </w:tc>
        <w:tc>
          <w:tcPr>
            <w:tcW w:w="1168" w:type="dxa"/>
            <w:tcBorders>
              <w:top w:val="nil"/>
              <w:left w:val="nil"/>
              <w:bottom w:val="double" w:sz="6" w:space="0" w:color="auto"/>
              <w:right w:val="double" w:sz="6" w:space="0" w:color="auto"/>
            </w:tcBorders>
            <w:shd w:val="clear" w:color="auto" w:fill="auto"/>
            <w:noWrap/>
            <w:vAlign w:val="bottom"/>
            <w:hideMark/>
          </w:tcPr>
          <w:p w14:paraId="7F0506A8"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0,12</w:t>
            </w:r>
          </w:p>
        </w:tc>
      </w:tr>
      <w:tr w:rsidR="0067338B" w:rsidRPr="00C64727" w14:paraId="23811E79" w14:textId="77777777" w:rsidTr="00AC48C8">
        <w:trPr>
          <w:trHeight w:val="315"/>
        </w:trPr>
        <w:tc>
          <w:tcPr>
            <w:tcW w:w="966" w:type="dxa"/>
            <w:tcBorders>
              <w:top w:val="nil"/>
              <w:left w:val="double" w:sz="6" w:space="0" w:color="auto"/>
              <w:bottom w:val="double" w:sz="6" w:space="0" w:color="auto"/>
              <w:right w:val="double" w:sz="6" w:space="0" w:color="auto"/>
            </w:tcBorders>
            <w:shd w:val="clear" w:color="auto" w:fill="auto"/>
            <w:noWrap/>
            <w:vAlign w:val="bottom"/>
            <w:hideMark/>
          </w:tcPr>
          <w:p w14:paraId="0A333EE1" w14:textId="77777777" w:rsidR="0067338B" w:rsidRPr="00C64727" w:rsidRDefault="001379D6">
            <w:pPr>
              <w:spacing w:after="0" w:line="240" w:lineRule="auto"/>
              <w:rPr>
                <w:rFonts w:ascii="Times New Roman" w:eastAsia="Times New Roman" w:hAnsi="Times New Roman"/>
                <w:b/>
                <w:bCs/>
                <w:color w:val="000000"/>
                <w:sz w:val="20"/>
                <w:szCs w:val="20"/>
              </w:rPr>
            </w:pPr>
            <w:r w:rsidRPr="00C64727">
              <w:rPr>
                <w:rFonts w:ascii="Times New Roman" w:hAnsi="Times New Roman"/>
                <w:b/>
                <w:bCs/>
                <w:sz w:val="20"/>
                <w:szCs w:val="20"/>
              </w:rPr>
              <w:t>SK</w:t>
            </w:r>
          </w:p>
        </w:tc>
        <w:tc>
          <w:tcPr>
            <w:tcW w:w="853" w:type="dxa"/>
            <w:tcBorders>
              <w:top w:val="nil"/>
              <w:left w:val="nil"/>
              <w:bottom w:val="double" w:sz="6" w:space="0" w:color="auto"/>
              <w:right w:val="double" w:sz="6" w:space="0" w:color="auto"/>
            </w:tcBorders>
            <w:shd w:val="clear" w:color="auto" w:fill="auto"/>
            <w:noWrap/>
            <w:vAlign w:val="bottom"/>
            <w:hideMark/>
          </w:tcPr>
          <w:p w14:paraId="6AFFF243"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12,19</w:t>
            </w:r>
          </w:p>
        </w:tc>
        <w:tc>
          <w:tcPr>
            <w:tcW w:w="1168" w:type="dxa"/>
            <w:tcBorders>
              <w:top w:val="nil"/>
              <w:left w:val="nil"/>
              <w:bottom w:val="double" w:sz="6" w:space="0" w:color="auto"/>
              <w:right w:val="double" w:sz="6" w:space="0" w:color="auto"/>
            </w:tcBorders>
            <w:shd w:val="clear" w:color="auto" w:fill="auto"/>
            <w:noWrap/>
            <w:vAlign w:val="bottom"/>
            <w:hideMark/>
          </w:tcPr>
          <w:p w14:paraId="77FDDAD7"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60C15686"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61,70</w:t>
            </w:r>
          </w:p>
        </w:tc>
        <w:tc>
          <w:tcPr>
            <w:tcW w:w="1168" w:type="dxa"/>
            <w:tcBorders>
              <w:top w:val="nil"/>
              <w:left w:val="nil"/>
              <w:bottom w:val="double" w:sz="6" w:space="0" w:color="auto"/>
              <w:right w:val="double" w:sz="6" w:space="0" w:color="auto"/>
            </w:tcBorders>
            <w:shd w:val="clear" w:color="auto" w:fill="auto"/>
            <w:noWrap/>
            <w:vAlign w:val="bottom"/>
            <w:hideMark/>
          </w:tcPr>
          <w:p w14:paraId="74214C96"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3C8404A3"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57,59</w:t>
            </w:r>
          </w:p>
        </w:tc>
        <w:tc>
          <w:tcPr>
            <w:tcW w:w="1168" w:type="dxa"/>
            <w:tcBorders>
              <w:top w:val="nil"/>
              <w:left w:val="nil"/>
              <w:bottom w:val="double" w:sz="6" w:space="0" w:color="auto"/>
              <w:right w:val="double" w:sz="6" w:space="0" w:color="auto"/>
            </w:tcBorders>
            <w:shd w:val="clear" w:color="auto" w:fill="auto"/>
            <w:noWrap/>
            <w:vAlign w:val="bottom"/>
            <w:hideMark/>
          </w:tcPr>
          <w:p w14:paraId="2FB2BBA8"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0,04</w:t>
            </w:r>
          </w:p>
        </w:tc>
        <w:tc>
          <w:tcPr>
            <w:tcW w:w="773" w:type="dxa"/>
            <w:tcBorders>
              <w:top w:val="nil"/>
              <w:left w:val="nil"/>
              <w:bottom w:val="double" w:sz="6" w:space="0" w:color="auto"/>
              <w:right w:val="double" w:sz="6" w:space="0" w:color="auto"/>
            </w:tcBorders>
            <w:shd w:val="clear" w:color="auto" w:fill="auto"/>
            <w:noWrap/>
            <w:vAlign w:val="bottom"/>
            <w:hideMark/>
          </w:tcPr>
          <w:p w14:paraId="76D5D8B8"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84,31</w:t>
            </w:r>
          </w:p>
        </w:tc>
        <w:tc>
          <w:tcPr>
            <w:tcW w:w="1168" w:type="dxa"/>
            <w:tcBorders>
              <w:top w:val="nil"/>
              <w:left w:val="nil"/>
              <w:bottom w:val="double" w:sz="6" w:space="0" w:color="auto"/>
              <w:right w:val="double" w:sz="6" w:space="0" w:color="auto"/>
            </w:tcBorders>
            <w:shd w:val="clear" w:color="auto" w:fill="auto"/>
            <w:noWrap/>
            <w:vAlign w:val="bottom"/>
            <w:hideMark/>
          </w:tcPr>
          <w:p w14:paraId="04E80FFF"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0,20</w:t>
            </w:r>
          </w:p>
        </w:tc>
        <w:tc>
          <w:tcPr>
            <w:tcW w:w="773" w:type="dxa"/>
            <w:tcBorders>
              <w:top w:val="nil"/>
              <w:left w:val="nil"/>
              <w:bottom w:val="double" w:sz="6" w:space="0" w:color="auto"/>
              <w:right w:val="double" w:sz="6" w:space="0" w:color="auto"/>
            </w:tcBorders>
            <w:shd w:val="clear" w:color="auto" w:fill="auto"/>
            <w:noWrap/>
            <w:vAlign w:val="bottom"/>
            <w:hideMark/>
          </w:tcPr>
          <w:p w14:paraId="55BA5492"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64,99</w:t>
            </w:r>
          </w:p>
        </w:tc>
        <w:tc>
          <w:tcPr>
            <w:tcW w:w="1168" w:type="dxa"/>
            <w:tcBorders>
              <w:top w:val="nil"/>
              <w:left w:val="nil"/>
              <w:bottom w:val="double" w:sz="6" w:space="0" w:color="auto"/>
              <w:right w:val="double" w:sz="6" w:space="0" w:color="auto"/>
            </w:tcBorders>
            <w:shd w:val="clear" w:color="auto" w:fill="auto"/>
            <w:noWrap/>
            <w:vAlign w:val="bottom"/>
            <w:hideMark/>
          </w:tcPr>
          <w:p w14:paraId="684B41F3"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0,06</w:t>
            </w:r>
          </w:p>
        </w:tc>
        <w:tc>
          <w:tcPr>
            <w:tcW w:w="873" w:type="dxa"/>
            <w:tcBorders>
              <w:top w:val="nil"/>
              <w:left w:val="nil"/>
              <w:bottom w:val="double" w:sz="6" w:space="0" w:color="auto"/>
              <w:right w:val="double" w:sz="6" w:space="0" w:color="auto"/>
            </w:tcBorders>
            <w:shd w:val="clear" w:color="auto" w:fill="auto"/>
            <w:noWrap/>
            <w:vAlign w:val="bottom"/>
            <w:hideMark/>
          </w:tcPr>
          <w:p w14:paraId="2A2DEA1C"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87,01</w:t>
            </w:r>
          </w:p>
        </w:tc>
        <w:tc>
          <w:tcPr>
            <w:tcW w:w="1068" w:type="dxa"/>
            <w:tcBorders>
              <w:top w:val="nil"/>
              <w:left w:val="nil"/>
              <w:bottom w:val="double" w:sz="6" w:space="0" w:color="auto"/>
              <w:right w:val="double" w:sz="6" w:space="0" w:color="auto"/>
            </w:tcBorders>
            <w:shd w:val="clear" w:color="auto" w:fill="auto"/>
            <w:noWrap/>
            <w:vAlign w:val="bottom"/>
            <w:hideMark/>
          </w:tcPr>
          <w:p w14:paraId="3E7AFE0D"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0,06</w:t>
            </w:r>
          </w:p>
        </w:tc>
        <w:tc>
          <w:tcPr>
            <w:tcW w:w="773" w:type="dxa"/>
            <w:tcBorders>
              <w:top w:val="nil"/>
              <w:left w:val="nil"/>
              <w:bottom w:val="double" w:sz="6" w:space="0" w:color="auto"/>
              <w:right w:val="double" w:sz="6" w:space="0" w:color="auto"/>
            </w:tcBorders>
            <w:shd w:val="clear" w:color="auto" w:fill="auto"/>
            <w:noWrap/>
            <w:vAlign w:val="bottom"/>
            <w:hideMark/>
          </w:tcPr>
          <w:p w14:paraId="0F711650"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229,74</w:t>
            </w:r>
          </w:p>
        </w:tc>
        <w:tc>
          <w:tcPr>
            <w:tcW w:w="1168" w:type="dxa"/>
            <w:tcBorders>
              <w:top w:val="nil"/>
              <w:left w:val="nil"/>
              <w:bottom w:val="double" w:sz="6" w:space="0" w:color="auto"/>
              <w:right w:val="double" w:sz="6" w:space="0" w:color="auto"/>
            </w:tcBorders>
            <w:shd w:val="clear" w:color="auto" w:fill="auto"/>
            <w:noWrap/>
            <w:vAlign w:val="bottom"/>
            <w:hideMark/>
          </w:tcPr>
          <w:p w14:paraId="0071A986"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0,18</w:t>
            </w:r>
          </w:p>
        </w:tc>
      </w:tr>
      <w:tr w:rsidR="0067338B" w:rsidRPr="00C64727" w14:paraId="71FB89F9" w14:textId="77777777" w:rsidTr="00AC48C8">
        <w:trPr>
          <w:trHeight w:val="373"/>
        </w:trPr>
        <w:tc>
          <w:tcPr>
            <w:tcW w:w="966" w:type="dxa"/>
            <w:tcBorders>
              <w:top w:val="nil"/>
              <w:left w:val="double" w:sz="6" w:space="0" w:color="auto"/>
              <w:bottom w:val="double" w:sz="6" w:space="0" w:color="auto"/>
              <w:right w:val="double" w:sz="6" w:space="0" w:color="auto"/>
            </w:tcBorders>
            <w:shd w:val="clear" w:color="auto" w:fill="auto"/>
            <w:noWrap/>
            <w:vAlign w:val="bottom"/>
            <w:hideMark/>
          </w:tcPr>
          <w:p w14:paraId="2B7AC28E" w14:textId="77777777" w:rsidR="0067338B" w:rsidRPr="00C64727" w:rsidRDefault="001379D6">
            <w:pPr>
              <w:spacing w:after="0" w:line="240" w:lineRule="auto"/>
              <w:rPr>
                <w:rFonts w:ascii="Times New Roman" w:eastAsia="Times New Roman" w:hAnsi="Times New Roman"/>
                <w:b/>
                <w:bCs/>
                <w:color w:val="000000"/>
                <w:sz w:val="20"/>
                <w:szCs w:val="20"/>
              </w:rPr>
            </w:pPr>
            <w:r w:rsidRPr="00C64727">
              <w:rPr>
                <w:rFonts w:ascii="Times New Roman" w:hAnsi="Times New Roman"/>
                <w:b/>
                <w:bCs/>
                <w:sz w:val="20"/>
                <w:szCs w:val="20"/>
              </w:rPr>
              <w:t>UK</w:t>
            </w:r>
          </w:p>
        </w:tc>
        <w:tc>
          <w:tcPr>
            <w:tcW w:w="853" w:type="dxa"/>
            <w:tcBorders>
              <w:top w:val="nil"/>
              <w:left w:val="nil"/>
              <w:bottom w:val="double" w:sz="6" w:space="0" w:color="auto"/>
              <w:right w:val="double" w:sz="6" w:space="0" w:color="auto"/>
            </w:tcBorders>
            <w:shd w:val="clear" w:color="auto" w:fill="auto"/>
            <w:noWrap/>
            <w:vAlign w:val="bottom"/>
            <w:hideMark/>
          </w:tcPr>
          <w:p w14:paraId="1F868237"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75,74</w:t>
            </w:r>
          </w:p>
        </w:tc>
        <w:tc>
          <w:tcPr>
            <w:tcW w:w="1168" w:type="dxa"/>
            <w:tcBorders>
              <w:top w:val="nil"/>
              <w:left w:val="nil"/>
              <w:bottom w:val="double" w:sz="6" w:space="0" w:color="auto"/>
              <w:right w:val="double" w:sz="6" w:space="0" w:color="auto"/>
            </w:tcBorders>
            <w:shd w:val="clear" w:color="auto" w:fill="auto"/>
            <w:noWrap/>
            <w:vAlign w:val="bottom"/>
            <w:hideMark/>
          </w:tcPr>
          <w:p w14:paraId="063E31CB"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1B08DE40"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409,63</w:t>
            </w:r>
          </w:p>
        </w:tc>
        <w:tc>
          <w:tcPr>
            <w:tcW w:w="1168" w:type="dxa"/>
            <w:tcBorders>
              <w:top w:val="nil"/>
              <w:left w:val="nil"/>
              <w:bottom w:val="double" w:sz="6" w:space="0" w:color="auto"/>
              <w:right w:val="double" w:sz="6" w:space="0" w:color="auto"/>
            </w:tcBorders>
            <w:shd w:val="clear" w:color="auto" w:fill="auto"/>
            <w:noWrap/>
            <w:vAlign w:val="bottom"/>
            <w:hideMark/>
          </w:tcPr>
          <w:p w14:paraId="3E430080"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c>
          <w:tcPr>
            <w:tcW w:w="773" w:type="dxa"/>
            <w:tcBorders>
              <w:top w:val="nil"/>
              <w:left w:val="nil"/>
              <w:bottom w:val="double" w:sz="6" w:space="0" w:color="auto"/>
              <w:right w:val="double" w:sz="6" w:space="0" w:color="auto"/>
            </w:tcBorders>
            <w:shd w:val="clear" w:color="auto" w:fill="auto"/>
            <w:noWrap/>
            <w:vAlign w:val="bottom"/>
            <w:hideMark/>
          </w:tcPr>
          <w:p w14:paraId="2B76F605"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387,42</w:t>
            </w:r>
          </w:p>
        </w:tc>
        <w:tc>
          <w:tcPr>
            <w:tcW w:w="1168" w:type="dxa"/>
            <w:tcBorders>
              <w:top w:val="nil"/>
              <w:left w:val="nil"/>
              <w:bottom w:val="double" w:sz="6" w:space="0" w:color="auto"/>
              <w:right w:val="double" w:sz="6" w:space="0" w:color="auto"/>
            </w:tcBorders>
            <w:shd w:val="clear" w:color="auto" w:fill="auto"/>
            <w:noWrap/>
            <w:vAlign w:val="bottom"/>
            <w:hideMark/>
          </w:tcPr>
          <w:p w14:paraId="0DC8F2F0"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14,08</w:t>
            </w:r>
          </w:p>
        </w:tc>
        <w:tc>
          <w:tcPr>
            <w:tcW w:w="773" w:type="dxa"/>
            <w:tcBorders>
              <w:top w:val="nil"/>
              <w:left w:val="nil"/>
              <w:bottom w:val="double" w:sz="6" w:space="0" w:color="auto"/>
              <w:right w:val="double" w:sz="6" w:space="0" w:color="auto"/>
            </w:tcBorders>
            <w:shd w:val="clear" w:color="auto" w:fill="auto"/>
            <w:noWrap/>
            <w:vAlign w:val="bottom"/>
            <w:hideMark/>
          </w:tcPr>
          <w:p w14:paraId="711CA1D9"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567,72</w:t>
            </w:r>
          </w:p>
        </w:tc>
        <w:tc>
          <w:tcPr>
            <w:tcW w:w="1168" w:type="dxa"/>
            <w:tcBorders>
              <w:top w:val="nil"/>
              <w:left w:val="nil"/>
              <w:bottom w:val="double" w:sz="6" w:space="0" w:color="auto"/>
              <w:right w:val="double" w:sz="6" w:space="0" w:color="auto"/>
            </w:tcBorders>
            <w:shd w:val="clear" w:color="auto" w:fill="auto"/>
            <w:noWrap/>
            <w:vAlign w:val="bottom"/>
            <w:hideMark/>
          </w:tcPr>
          <w:p w14:paraId="7279F8AA"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18,54</w:t>
            </w:r>
          </w:p>
        </w:tc>
        <w:tc>
          <w:tcPr>
            <w:tcW w:w="773" w:type="dxa"/>
            <w:tcBorders>
              <w:top w:val="nil"/>
              <w:left w:val="nil"/>
              <w:bottom w:val="double" w:sz="6" w:space="0" w:color="auto"/>
              <w:right w:val="double" w:sz="6" w:space="0" w:color="auto"/>
            </w:tcBorders>
            <w:shd w:val="clear" w:color="auto" w:fill="auto"/>
            <w:noWrap/>
            <w:vAlign w:val="bottom"/>
            <w:hideMark/>
          </w:tcPr>
          <w:p w14:paraId="4C459542"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418,96</w:t>
            </w:r>
          </w:p>
        </w:tc>
        <w:tc>
          <w:tcPr>
            <w:tcW w:w="1168" w:type="dxa"/>
            <w:tcBorders>
              <w:top w:val="nil"/>
              <w:left w:val="nil"/>
              <w:bottom w:val="double" w:sz="6" w:space="0" w:color="auto"/>
              <w:right w:val="double" w:sz="6" w:space="0" w:color="auto"/>
            </w:tcBorders>
            <w:shd w:val="clear" w:color="auto" w:fill="auto"/>
            <w:noWrap/>
            <w:vAlign w:val="bottom"/>
            <w:hideMark/>
          </w:tcPr>
          <w:p w14:paraId="247BD66D"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5,37</w:t>
            </w:r>
          </w:p>
        </w:tc>
        <w:tc>
          <w:tcPr>
            <w:tcW w:w="873" w:type="dxa"/>
            <w:tcBorders>
              <w:top w:val="nil"/>
              <w:left w:val="nil"/>
              <w:bottom w:val="double" w:sz="6" w:space="0" w:color="auto"/>
              <w:right w:val="double" w:sz="6" w:space="0" w:color="auto"/>
            </w:tcBorders>
            <w:shd w:val="clear" w:color="auto" w:fill="auto"/>
            <w:noWrap/>
            <w:vAlign w:val="bottom"/>
            <w:hideMark/>
          </w:tcPr>
          <w:p w14:paraId="3DDDD815"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604,02</w:t>
            </w:r>
          </w:p>
        </w:tc>
        <w:tc>
          <w:tcPr>
            <w:tcW w:w="1068" w:type="dxa"/>
            <w:tcBorders>
              <w:top w:val="nil"/>
              <w:left w:val="nil"/>
              <w:bottom w:val="double" w:sz="6" w:space="0" w:color="auto"/>
              <w:right w:val="double" w:sz="6" w:space="0" w:color="auto"/>
            </w:tcBorders>
            <w:shd w:val="clear" w:color="auto" w:fill="auto"/>
            <w:noWrap/>
            <w:vAlign w:val="bottom"/>
            <w:hideMark/>
          </w:tcPr>
          <w:p w14:paraId="02B77839"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5,30</w:t>
            </w:r>
          </w:p>
        </w:tc>
        <w:tc>
          <w:tcPr>
            <w:tcW w:w="773" w:type="dxa"/>
            <w:tcBorders>
              <w:top w:val="nil"/>
              <w:left w:val="nil"/>
              <w:bottom w:val="double" w:sz="6" w:space="0" w:color="auto"/>
              <w:right w:val="double" w:sz="6" w:space="0" w:color="auto"/>
            </w:tcBorders>
            <w:shd w:val="clear" w:color="auto" w:fill="auto"/>
            <w:noWrap/>
            <w:vAlign w:val="bottom"/>
            <w:hideMark/>
          </w:tcPr>
          <w:p w14:paraId="538BC6F9"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1607,32</w:t>
            </w:r>
          </w:p>
        </w:tc>
        <w:tc>
          <w:tcPr>
            <w:tcW w:w="1168" w:type="dxa"/>
            <w:tcBorders>
              <w:top w:val="nil"/>
              <w:left w:val="nil"/>
              <w:bottom w:val="double" w:sz="6" w:space="0" w:color="auto"/>
              <w:right w:val="double" w:sz="6" w:space="0" w:color="auto"/>
            </w:tcBorders>
            <w:shd w:val="clear" w:color="auto" w:fill="auto"/>
            <w:noWrap/>
            <w:vAlign w:val="bottom"/>
            <w:hideMark/>
          </w:tcPr>
          <w:p w14:paraId="345D1501" w14:textId="77777777" w:rsidR="0067338B" w:rsidRPr="00C64727" w:rsidRDefault="001379D6">
            <w:pPr>
              <w:spacing w:after="0" w:line="240" w:lineRule="auto"/>
              <w:jc w:val="right"/>
              <w:rPr>
                <w:rFonts w:ascii="Times New Roman" w:eastAsia="Times New Roman" w:hAnsi="Times New Roman"/>
                <w:color w:val="000000"/>
                <w:sz w:val="20"/>
                <w:szCs w:val="20"/>
              </w:rPr>
            </w:pPr>
            <w:r w:rsidRPr="00C64727">
              <w:rPr>
                <w:rFonts w:ascii="Times New Roman" w:hAnsi="Times New Roman"/>
                <w:sz w:val="20"/>
                <w:szCs w:val="20"/>
              </w:rPr>
              <w:t>0,00</w:t>
            </w:r>
          </w:p>
        </w:tc>
      </w:tr>
      <w:tr w:rsidR="0067338B" w:rsidRPr="00C64727" w14:paraId="0D3F8AFB" w14:textId="77777777" w:rsidTr="00AC48C8">
        <w:trPr>
          <w:trHeight w:val="315"/>
        </w:trPr>
        <w:tc>
          <w:tcPr>
            <w:tcW w:w="966" w:type="dxa"/>
            <w:tcBorders>
              <w:top w:val="double" w:sz="4" w:space="0" w:color="auto"/>
              <w:left w:val="double" w:sz="6" w:space="0" w:color="auto"/>
              <w:bottom w:val="double" w:sz="6" w:space="0" w:color="auto"/>
              <w:right w:val="double" w:sz="6" w:space="0" w:color="auto"/>
            </w:tcBorders>
            <w:shd w:val="clear" w:color="auto" w:fill="auto"/>
            <w:noWrap/>
            <w:vAlign w:val="bottom"/>
          </w:tcPr>
          <w:p w14:paraId="59E901A7" w14:textId="77777777" w:rsidR="0067338B" w:rsidRPr="00C64727" w:rsidRDefault="00B014E1">
            <w:pPr>
              <w:spacing w:after="0" w:line="240" w:lineRule="auto"/>
              <w:rPr>
                <w:rFonts w:ascii="Times New Roman" w:eastAsia="Times New Roman" w:hAnsi="Times New Roman"/>
                <w:b/>
                <w:bCs/>
                <w:color w:val="000000"/>
                <w:sz w:val="20"/>
                <w:szCs w:val="20"/>
              </w:rPr>
            </w:pPr>
            <w:r w:rsidRPr="00C64727">
              <w:rPr>
                <w:rFonts w:ascii="Times New Roman" w:hAnsi="Times New Roman"/>
                <w:b/>
                <w:bCs/>
                <w:sz w:val="20"/>
                <w:szCs w:val="20"/>
              </w:rPr>
              <w:t>ÖSSZESEN</w:t>
            </w:r>
          </w:p>
        </w:tc>
        <w:tc>
          <w:tcPr>
            <w:tcW w:w="853" w:type="dxa"/>
            <w:tcBorders>
              <w:top w:val="double" w:sz="4" w:space="0" w:color="auto"/>
              <w:left w:val="nil"/>
              <w:bottom w:val="double" w:sz="6" w:space="0" w:color="auto"/>
              <w:right w:val="double" w:sz="6" w:space="0" w:color="auto"/>
            </w:tcBorders>
            <w:shd w:val="clear" w:color="auto" w:fill="auto"/>
            <w:noWrap/>
            <w:vAlign w:val="bottom"/>
          </w:tcPr>
          <w:p w14:paraId="5AF14898" w14:textId="77777777" w:rsidR="0067338B" w:rsidRPr="00C64727" w:rsidRDefault="00B014E1">
            <w:pPr>
              <w:spacing w:after="0" w:line="240" w:lineRule="auto"/>
              <w:jc w:val="right"/>
              <w:rPr>
                <w:rFonts w:ascii="Times New Roman" w:eastAsia="Times New Roman" w:hAnsi="Times New Roman"/>
                <w:b/>
                <w:color w:val="000000"/>
                <w:sz w:val="20"/>
                <w:szCs w:val="20"/>
              </w:rPr>
            </w:pPr>
            <w:r w:rsidRPr="00C64727">
              <w:rPr>
                <w:rFonts w:ascii="Times New Roman" w:hAnsi="Times New Roman"/>
                <w:b/>
                <w:sz w:val="20"/>
                <w:szCs w:val="20"/>
              </w:rPr>
              <w:t>603,52</w:t>
            </w:r>
          </w:p>
        </w:tc>
        <w:tc>
          <w:tcPr>
            <w:tcW w:w="1168" w:type="dxa"/>
            <w:tcBorders>
              <w:top w:val="double" w:sz="4" w:space="0" w:color="auto"/>
              <w:left w:val="nil"/>
              <w:bottom w:val="double" w:sz="6" w:space="0" w:color="auto"/>
              <w:right w:val="double" w:sz="6" w:space="0" w:color="auto"/>
            </w:tcBorders>
            <w:shd w:val="clear" w:color="auto" w:fill="auto"/>
            <w:noWrap/>
            <w:vAlign w:val="bottom"/>
          </w:tcPr>
          <w:p w14:paraId="757AE2C1" w14:textId="77777777" w:rsidR="0067338B" w:rsidRPr="00C64727" w:rsidRDefault="00AA7749">
            <w:pPr>
              <w:spacing w:after="0" w:line="240" w:lineRule="auto"/>
              <w:jc w:val="right"/>
              <w:rPr>
                <w:rFonts w:ascii="Times New Roman" w:eastAsia="Times New Roman" w:hAnsi="Times New Roman"/>
                <w:b/>
                <w:color w:val="000000"/>
                <w:sz w:val="20"/>
                <w:szCs w:val="20"/>
              </w:rPr>
            </w:pPr>
            <w:r w:rsidRPr="00C64727">
              <w:rPr>
                <w:rFonts w:ascii="Times New Roman" w:hAnsi="Times New Roman"/>
                <w:b/>
                <w:sz w:val="20"/>
                <w:szCs w:val="20"/>
              </w:rPr>
              <w:t>17,53</w:t>
            </w:r>
          </w:p>
        </w:tc>
        <w:tc>
          <w:tcPr>
            <w:tcW w:w="773" w:type="dxa"/>
            <w:tcBorders>
              <w:top w:val="double" w:sz="4" w:space="0" w:color="auto"/>
              <w:left w:val="nil"/>
              <w:bottom w:val="double" w:sz="6" w:space="0" w:color="auto"/>
              <w:right w:val="double" w:sz="6" w:space="0" w:color="auto"/>
            </w:tcBorders>
            <w:shd w:val="clear" w:color="auto" w:fill="auto"/>
            <w:noWrap/>
            <w:vAlign w:val="bottom"/>
          </w:tcPr>
          <w:p w14:paraId="065A09C4" w14:textId="77777777" w:rsidR="0067338B" w:rsidRPr="00C64727" w:rsidRDefault="00B014E1">
            <w:pPr>
              <w:spacing w:after="0" w:line="240" w:lineRule="auto"/>
              <w:jc w:val="right"/>
              <w:rPr>
                <w:rFonts w:ascii="Times New Roman" w:eastAsia="Times New Roman" w:hAnsi="Times New Roman"/>
                <w:b/>
                <w:color w:val="000000"/>
                <w:sz w:val="20"/>
                <w:szCs w:val="20"/>
              </w:rPr>
            </w:pPr>
            <w:r w:rsidRPr="00C64727">
              <w:rPr>
                <w:rFonts w:ascii="Times New Roman" w:hAnsi="Times New Roman"/>
                <w:b/>
                <w:sz w:val="20"/>
                <w:szCs w:val="20"/>
              </w:rPr>
              <w:t>3550,73</w:t>
            </w:r>
          </w:p>
        </w:tc>
        <w:tc>
          <w:tcPr>
            <w:tcW w:w="1168" w:type="dxa"/>
            <w:tcBorders>
              <w:top w:val="double" w:sz="4" w:space="0" w:color="auto"/>
              <w:left w:val="nil"/>
              <w:bottom w:val="double" w:sz="6" w:space="0" w:color="auto"/>
              <w:right w:val="double" w:sz="6" w:space="0" w:color="auto"/>
            </w:tcBorders>
            <w:shd w:val="clear" w:color="auto" w:fill="auto"/>
            <w:noWrap/>
            <w:vAlign w:val="bottom"/>
          </w:tcPr>
          <w:p w14:paraId="47355D39" w14:textId="77777777" w:rsidR="0067338B" w:rsidRPr="00C64727" w:rsidRDefault="00B2073D">
            <w:pPr>
              <w:spacing w:after="0" w:line="240" w:lineRule="auto"/>
              <w:jc w:val="right"/>
              <w:rPr>
                <w:rFonts w:ascii="Times New Roman" w:eastAsia="Times New Roman" w:hAnsi="Times New Roman"/>
                <w:b/>
                <w:color w:val="000000"/>
                <w:sz w:val="20"/>
                <w:szCs w:val="20"/>
              </w:rPr>
            </w:pPr>
            <w:r w:rsidRPr="00C64727">
              <w:rPr>
                <w:rFonts w:ascii="Times New Roman" w:hAnsi="Times New Roman"/>
                <w:b/>
                <w:sz w:val="20"/>
                <w:szCs w:val="20"/>
              </w:rPr>
              <w:t>0,00</w:t>
            </w:r>
          </w:p>
        </w:tc>
        <w:tc>
          <w:tcPr>
            <w:tcW w:w="773" w:type="dxa"/>
            <w:tcBorders>
              <w:top w:val="double" w:sz="4" w:space="0" w:color="auto"/>
              <w:left w:val="nil"/>
              <w:bottom w:val="double" w:sz="6" w:space="0" w:color="auto"/>
              <w:right w:val="double" w:sz="6" w:space="0" w:color="auto"/>
            </w:tcBorders>
            <w:shd w:val="clear" w:color="auto" w:fill="auto"/>
            <w:noWrap/>
            <w:vAlign w:val="bottom"/>
          </w:tcPr>
          <w:p w14:paraId="65463650" w14:textId="77777777" w:rsidR="0067338B" w:rsidRPr="00C64727" w:rsidRDefault="00B014E1">
            <w:pPr>
              <w:spacing w:after="0" w:line="240" w:lineRule="auto"/>
              <w:jc w:val="right"/>
              <w:rPr>
                <w:rFonts w:ascii="Times New Roman" w:eastAsia="Times New Roman" w:hAnsi="Times New Roman"/>
                <w:b/>
                <w:color w:val="000000"/>
                <w:sz w:val="20"/>
                <w:szCs w:val="20"/>
              </w:rPr>
            </w:pPr>
            <w:r w:rsidRPr="00C64727">
              <w:rPr>
                <w:rFonts w:ascii="Times New Roman" w:hAnsi="Times New Roman"/>
                <w:b/>
                <w:sz w:val="20"/>
                <w:szCs w:val="20"/>
              </w:rPr>
              <w:t>3115,11</w:t>
            </w:r>
          </w:p>
        </w:tc>
        <w:tc>
          <w:tcPr>
            <w:tcW w:w="1168" w:type="dxa"/>
            <w:tcBorders>
              <w:top w:val="double" w:sz="4" w:space="0" w:color="auto"/>
              <w:left w:val="nil"/>
              <w:bottom w:val="double" w:sz="6" w:space="0" w:color="auto"/>
              <w:right w:val="double" w:sz="6" w:space="0" w:color="auto"/>
            </w:tcBorders>
            <w:shd w:val="clear" w:color="auto" w:fill="auto"/>
            <w:noWrap/>
            <w:vAlign w:val="bottom"/>
          </w:tcPr>
          <w:p w14:paraId="519E7666" w14:textId="77777777" w:rsidR="0067338B" w:rsidRPr="00C64727" w:rsidRDefault="0008149F">
            <w:pPr>
              <w:spacing w:after="0" w:line="240" w:lineRule="auto"/>
              <w:jc w:val="right"/>
              <w:rPr>
                <w:rFonts w:ascii="Times New Roman" w:eastAsia="Times New Roman" w:hAnsi="Times New Roman"/>
                <w:b/>
                <w:color w:val="000000"/>
                <w:sz w:val="20"/>
                <w:szCs w:val="20"/>
              </w:rPr>
            </w:pPr>
            <w:r w:rsidRPr="00C64727">
              <w:rPr>
                <w:rFonts w:ascii="Times New Roman" w:hAnsi="Times New Roman"/>
                <w:b/>
                <w:sz w:val="20"/>
                <w:szCs w:val="20"/>
              </w:rPr>
              <w:t>53,53</w:t>
            </w:r>
          </w:p>
        </w:tc>
        <w:tc>
          <w:tcPr>
            <w:tcW w:w="773" w:type="dxa"/>
            <w:tcBorders>
              <w:top w:val="double" w:sz="4" w:space="0" w:color="auto"/>
              <w:left w:val="nil"/>
              <w:bottom w:val="double" w:sz="6" w:space="0" w:color="auto"/>
              <w:right w:val="double" w:sz="6" w:space="0" w:color="auto"/>
            </w:tcBorders>
            <w:shd w:val="clear" w:color="auto" w:fill="auto"/>
            <w:noWrap/>
            <w:vAlign w:val="bottom"/>
          </w:tcPr>
          <w:p w14:paraId="47311101" w14:textId="77777777" w:rsidR="0067338B" w:rsidRPr="00C64727" w:rsidRDefault="00B014E1">
            <w:pPr>
              <w:spacing w:after="0" w:line="240" w:lineRule="auto"/>
              <w:jc w:val="right"/>
              <w:rPr>
                <w:rFonts w:ascii="Times New Roman" w:eastAsia="Times New Roman" w:hAnsi="Times New Roman"/>
                <w:b/>
                <w:color w:val="000000"/>
                <w:sz w:val="20"/>
                <w:szCs w:val="20"/>
              </w:rPr>
            </w:pPr>
            <w:r w:rsidRPr="00C64727">
              <w:rPr>
                <w:rFonts w:ascii="Times New Roman" w:hAnsi="Times New Roman"/>
                <w:b/>
                <w:sz w:val="20"/>
                <w:szCs w:val="20"/>
              </w:rPr>
              <w:t>4815,97</w:t>
            </w:r>
          </w:p>
        </w:tc>
        <w:tc>
          <w:tcPr>
            <w:tcW w:w="1168" w:type="dxa"/>
            <w:tcBorders>
              <w:top w:val="double" w:sz="4" w:space="0" w:color="auto"/>
              <w:left w:val="nil"/>
              <w:bottom w:val="double" w:sz="6" w:space="0" w:color="auto"/>
              <w:right w:val="double" w:sz="6" w:space="0" w:color="auto"/>
            </w:tcBorders>
            <w:shd w:val="clear" w:color="auto" w:fill="auto"/>
            <w:noWrap/>
            <w:vAlign w:val="bottom"/>
          </w:tcPr>
          <w:p w14:paraId="4066270F" w14:textId="77777777" w:rsidR="0067338B" w:rsidRPr="00C64727" w:rsidRDefault="0008149F">
            <w:pPr>
              <w:spacing w:after="0" w:line="240" w:lineRule="auto"/>
              <w:jc w:val="right"/>
              <w:rPr>
                <w:rFonts w:ascii="Times New Roman" w:eastAsia="Times New Roman" w:hAnsi="Times New Roman"/>
                <w:b/>
                <w:color w:val="000000"/>
                <w:sz w:val="20"/>
                <w:szCs w:val="20"/>
              </w:rPr>
            </w:pPr>
            <w:r w:rsidRPr="00C64727">
              <w:rPr>
                <w:rFonts w:ascii="Times New Roman" w:hAnsi="Times New Roman"/>
                <w:b/>
                <w:sz w:val="20"/>
                <w:szCs w:val="20"/>
              </w:rPr>
              <w:t>117,26</w:t>
            </w:r>
          </w:p>
        </w:tc>
        <w:tc>
          <w:tcPr>
            <w:tcW w:w="773" w:type="dxa"/>
            <w:tcBorders>
              <w:top w:val="double" w:sz="4" w:space="0" w:color="auto"/>
              <w:left w:val="nil"/>
              <w:bottom w:val="double" w:sz="6" w:space="0" w:color="auto"/>
              <w:right w:val="double" w:sz="6" w:space="0" w:color="auto"/>
            </w:tcBorders>
            <w:shd w:val="clear" w:color="auto" w:fill="auto"/>
            <w:noWrap/>
            <w:vAlign w:val="bottom"/>
          </w:tcPr>
          <w:p w14:paraId="29F5402B" w14:textId="77777777" w:rsidR="0067338B" w:rsidRPr="00C64727" w:rsidRDefault="00B014E1">
            <w:pPr>
              <w:spacing w:after="0" w:line="240" w:lineRule="auto"/>
              <w:jc w:val="right"/>
              <w:rPr>
                <w:rFonts w:ascii="Times New Roman" w:eastAsia="Times New Roman" w:hAnsi="Times New Roman"/>
                <w:b/>
                <w:color w:val="000000"/>
                <w:sz w:val="20"/>
                <w:szCs w:val="20"/>
              </w:rPr>
            </w:pPr>
            <w:r w:rsidRPr="00C64727">
              <w:rPr>
                <w:rFonts w:ascii="Times New Roman" w:hAnsi="Times New Roman"/>
                <w:b/>
                <w:sz w:val="20"/>
                <w:szCs w:val="20"/>
              </w:rPr>
              <w:t>3761,57</w:t>
            </w:r>
          </w:p>
        </w:tc>
        <w:tc>
          <w:tcPr>
            <w:tcW w:w="1168" w:type="dxa"/>
            <w:tcBorders>
              <w:top w:val="double" w:sz="4" w:space="0" w:color="auto"/>
              <w:left w:val="nil"/>
              <w:bottom w:val="double" w:sz="6" w:space="0" w:color="auto"/>
              <w:right w:val="double" w:sz="6" w:space="0" w:color="auto"/>
            </w:tcBorders>
            <w:shd w:val="clear" w:color="auto" w:fill="auto"/>
            <w:noWrap/>
            <w:vAlign w:val="bottom"/>
          </w:tcPr>
          <w:p w14:paraId="40AB83AB" w14:textId="77777777" w:rsidR="0067338B" w:rsidRPr="00C64727" w:rsidRDefault="00103EEF">
            <w:pPr>
              <w:spacing w:after="0" w:line="240" w:lineRule="auto"/>
              <w:jc w:val="right"/>
              <w:rPr>
                <w:rFonts w:ascii="Times New Roman" w:eastAsia="Times New Roman" w:hAnsi="Times New Roman"/>
                <w:b/>
                <w:color w:val="000000"/>
                <w:sz w:val="20"/>
                <w:szCs w:val="20"/>
              </w:rPr>
            </w:pPr>
            <w:r w:rsidRPr="00C64727">
              <w:rPr>
                <w:rFonts w:ascii="Times New Roman" w:hAnsi="Times New Roman"/>
                <w:b/>
                <w:sz w:val="20"/>
                <w:szCs w:val="20"/>
              </w:rPr>
              <w:t>32,28</w:t>
            </w:r>
          </w:p>
        </w:tc>
        <w:tc>
          <w:tcPr>
            <w:tcW w:w="873" w:type="dxa"/>
            <w:tcBorders>
              <w:top w:val="double" w:sz="4" w:space="0" w:color="auto"/>
              <w:left w:val="nil"/>
              <w:bottom w:val="double" w:sz="6" w:space="0" w:color="auto"/>
              <w:right w:val="double" w:sz="6" w:space="0" w:color="auto"/>
            </w:tcBorders>
            <w:shd w:val="clear" w:color="auto" w:fill="auto"/>
            <w:noWrap/>
            <w:vAlign w:val="bottom"/>
          </w:tcPr>
          <w:p w14:paraId="0EE70CFE" w14:textId="77777777" w:rsidR="0067338B" w:rsidRPr="00C64727" w:rsidRDefault="00676CF0">
            <w:pPr>
              <w:spacing w:after="0" w:line="240" w:lineRule="auto"/>
              <w:jc w:val="right"/>
              <w:rPr>
                <w:rFonts w:ascii="Times New Roman" w:eastAsia="Times New Roman" w:hAnsi="Times New Roman"/>
                <w:b/>
                <w:color w:val="000000"/>
                <w:sz w:val="20"/>
                <w:szCs w:val="20"/>
              </w:rPr>
            </w:pPr>
            <w:r w:rsidRPr="00C64727">
              <w:rPr>
                <w:rFonts w:ascii="Times New Roman" w:hAnsi="Times New Roman"/>
                <w:b/>
                <w:sz w:val="20"/>
                <w:szCs w:val="20"/>
              </w:rPr>
              <w:t>5490,60</w:t>
            </w:r>
          </w:p>
        </w:tc>
        <w:tc>
          <w:tcPr>
            <w:tcW w:w="1068" w:type="dxa"/>
            <w:tcBorders>
              <w:top w:val="double" w:sz="4" w:space="0" w:color="auto"/>
              <w:left w:val="nil"/>
              <w:bottom w:val="double" w:sz="6" w:space="0" w:color="auto"/>
              <w:right w:val="double" w:sz="6" w:space="0" w:color="auto"/>
            </w:tcBorders>
            <w:shd w:val="clear" w:color="auto" w:fill="auto"/>
            <w:noWrap/>
            <w:vAlign w:val="bottom"/>
          </w:tcPr>
          <w:p w14:paraId="50EA25E5" w14:textId="77777777" w:rsidR="0067338B" w:rsidRPr="00C64727" w:rsidRDefault="00103EEF">
            <w:pPr>
              <w:spacing w:after="0" w:line="240" w:lineRule="auto"/>
              <w:jc w:val="right"/>
              <w:rPr>
                <w:rFonts w:ascii="Times New Roman" w:eastAsia="Times New Roman" w:hAnsi="Times New Roman"/>
                <w:b/>
                <w:color w:val="000000"/>
                <w:sz w:val="20"/>
                <w:szCs w:val="20"/>
              </w:rPr>
            </w:pPr>
            <w:r w:rsidRPr="00C64727">
              <w:rPr>
                <w:rFonts w:ascii="Times New Roman" w:hAnsi="Times New Roman"/>
                <w:b/>
                <w:sz w:val="20"/>
                <w:szCs w:val="20"/>
              </w:rPr>
              <w:t>34,14</w:t>
            </w:r>
          </w:p>
        </w:tc>
        <w:tc>
          <w:tcPr>
            <w:tcW w:w="773" w:type="dxa"/>
            <w:tcBorders>
              <w:top w:val="double" w:sz="4" w:space="0" w:color="auto"/>
              <w:left w:val="nil"/>
              <w:bottom w:val="double" w:sz="6" w:space="0" w:color="auto"/>
              <w:right w:val="double" w:sz="6" w:space="0" w:color="auto"/>
            </w:tcBorders>
            <w:shd w:val="clear" w:color="auto" w:fill="auto"/>
            <w:noWrap/>
            <w:vAlign w:val="bottom"/>
          </w:tcPr>
          <w:p w14:paraId="41BC8FD1" w14:textId="77777777" w:rsidR="0067338B" w:rsidRPr="00C64727" w:rsidRDefault="00676CF0">
            <w:pPr>
              <w:spacing w:after="0" w:line="240" w:lineRule="auto"/>
              <w:jc w:val="right"/>
              <w:rPr>
                <w:rFonts w:ascii="Times New Roman" w:eastAsia="Times New Roman" w:hAnsi="Times New Roman"/>
                <w:b/>
                <w:color w:val="000000"/>
                <w:sz w:val="20"/>
                <w:szCs w:val="20"/>
              </w:rPr>
            </w:pPr>
            <w:r w:rsidRPr="00C64727">
              <w:rPr>
                <w:rFonts w:ascii="Times New Roman" w:hAnsi="Times New Roman"/>
                <w:b/>
                <w:sz w:val="20"/>
                <w:szCs w:val="20"/>
              </w:rPr>
              <w:t>14090,23</w:t>
            </w:r>
          </w:p>
        </w:tc>
        <w:tc>
          <w:tcPr>
            <w:tcW w:w="1168" w:type="dxa"/>
            <w:tcBorders>
              <w:top w:val="double" w:sz="4" w:space="0" w:color="auto"/>
              <w:left w:val="nil"/>
              <w:bottom w:val="double" w:sz="6" w:space="0" w:color="auto"/>
              <w:right w:val="double" w:sz="6" w:space="0" w:color="auto"/>
            </w:tcBorders>
            <w:shd w:val="clear" w:color="auto" w:fill="auto"/>
            <w:noWrap/>
            <w:vAlign w:val="bottom"/>
          </w:tcPr>
          <w:p w14:paraId="79E625A8" w14:textId="77777777" w:rsidR="0067338B" w:rsidRPr="00C64727" w:rsidRDefault="00103EEF">
            <w:pPr>
              <w:spacing w:after="0" w:line="240" w:lineRule="auto"/>
              <w:jc w:val="right"/>
              <w:rPr>
                <w:rFonts w:ascii="Times New Roman" w:eastAsia="Times New Roman" w:hAnsi="Times New Roman"/>
                <w:b/>
                <w:color w:val="000000"/>
                <w:sz w:val="20"/>
                <w:szCs w:val="20"/>
              </w:rPr>
            </w:pPr>
            <w:r w:rsidRPr="00C64727">
              <w:rPr>
                <w:rFonts w:ascii="Times New Roman" w:hAnsi="Times New Roman"/>
                <w:b/>
                <w:sz w:val="20"/>
                <w:szCs w:val="20"/>
              </w:rPr>
              <w:t>90,27</w:t>
            </w:r>
          </w:p>
        </w:tc>
      </w:tr>
    </w:tbl>
    <w:p w14:paraId="59C376DB" w14:textId="77777777" w:rsidR="0067338B" w:rsidRPr="00C64727" w:rsidRDefault="0067338B">
      <w:pPr>
        <w:rPr>
          <w:rFonts w:ascii="Times New Roman" w:hAnsi="Times New Roman"/>
          <w:b/>
          <w:sz w:val="24"/>
          <w:szCs w:val="24"/>
        </w:rPr>
        <w:sectPr w:rsidR="0067338B" w:rsidRPr="00C64727" w:rsidSect="002802C4">
          <w:headerReference w:type="even" r:id="rId29"/>
          <w:headerReference w:type="default" r:id="rId30"/>
          <w:footerReference w:type="even" r:id="rId31"/>
          <w:footerReference w:type="default" r:id="rId32"/>
          <w:headerReference w:type="first" r:id="rId33"/>
          <w:footerReference w:type="first" r:id="rId34"/>
          <w:pgSz w:w="16838" w:h="11906" w:orient="landscape"/>
          <w:pgMar w:top="1440" w:right="1440" w:bottom="1440" w:left="1440" w:header="709" w:footer="709" w:gutter="0"/>
          <w:cols w:space="720"/>
          <w:docGrid w:linePitch="360"/>
        </w:sectPr>
      </w:pPr>
    </w:p>
    <w:p w14:paraId="3AB387D3" w14:textId="77777777" w:rsidR="0067338B" w:rsidRPr="00C64727" w:rsidRDefault="003A348D">
      <w:pPr>
        <w:rPr>
          <w:rFonts w:ascii="Times New Roman" w:hAnsi="Times New Roman"/>
          <w:b/>
        </w:rPr>
      </w:pPr>
      <w:r w:rsidRPr="00C64727">
        <w:rPr>
          <w:rFonts w:ascii="Times New Roman" w:hAnsi="Times New Roman"/>
          <w:b/>
        </w:rPr>
        <w:t>3. függelék</w:t>
      </w:r>
    </w:p>
    <w:p w14:paraId="146E8272" w14:textId="77777777" w:rsidR="0067338B" w:rsidRPr="00C64727" w:rsidRDefault="00D812BF">
      <w:pPr>
        <w:rPr>
          <w:rFonts w:ascii="Times New Roman" w:hAnsi="Times New Roman"/>
          <w:b/>
          <w:sz w:val="20"/>
          <w:szCs w:val="20"/>
        </w:rPr>
      </w:pPr>
      <w:r w:rsidRPr="00C64727">
        <w:rPr>
          <w:rFonts w:ascii="Times New Roman" w:hAnsi="Times New Roman"/>
          <w:b/>
          <w:sz w:val="20"/>
          <w:szCs w:val="20"/>
        </w:rPr>
        <w:t>31. táblázat: A 2019. június végéig beváltott nemzetközi jóváírások összefoglalása</w:t>
      </w:r>
      <w:r w:rsidRPr="00C64727">
        <w:rPr>
          <w:rStyle w:val="FootnoteReference"/>
          <w:rFonts w:ascii="Times New Roman" w:hAnsi="Times New Roman"/>
          <w:b/>
          <w:sz w:val="20"/>
          <w:szCs w:val="20"/>
        </w:rPr>
        <w:footnoteReference w:id="78"/>
      </w:r>
    </w:p>
    <w:tbl>
      <w:tblPr>
        <w:tblW w:w="4957" w:type="pct"/>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586"/>
        <w:gridCol w:w="1397"/>
        <w:gridCol w:w="1547"/>
        <w:gridCol w:w="1635"/>
        <w:gridCol w:w="1455"/>
        <w:gridCol w:w="1543"/>
      </w:tblGrid>
      <w:tr w:rsidR="0067338B" w:rsidRPr="00C64727" w14:paraId="19942958" w14:textId="77777777" w:rsidTr="00601A28">
        <w:trPr>
          <w:trHeight w:val="238"/>
        </w:trPr>
        <w:tc>
          <w:tcPr>
            <w:tcW w:w="865" w:type="pct"/>
            <w:shd w:val="clear" w:color="auto" w:fill="auto"/>
            <w:noWrap/>
            <w:hideMark/>
          </w:tcPr>
          <w:p w14:paraId="6E8F0C41" w14:textId="77777777" w:rsidR="0067338B" w:rsidRPr="00C64727" w:rsidRDefault="00D812BF">
            <w:pPr>
              <w:spacing w:after="0" w:line="240" w:lineRule="auto"/>
              <w:ind w:right="57"/>
              <w:rPr>
                <w:rFonts w:ascii="Times New Roman" w:eastAsia="Times New Roman" w:hAnsi="Times New Roman"/>
                <w:b/>
                <w:bCs/>
                <w:color w:val="000000"/>
                <w:sz w:val="20"/>
                <w:szCs w:val="20"/>
              </w:rPr>
            </w:pPr>
            <w:r w:rsidRPr="00C64727">
              <w:rPr>
                <w:rFonts w:ascii="Times New Roman" w:hAnsi="Times New Roman"/>
                <w:b/>
                <w:sz w:val="20"/>
                <w:szCs w:val="20"/>
              </w:rPr>
              <w:t>A 2019. június végéig beváltott nemzetközi jóváírások</w:t>
            </w:r>
          </w:p>
        </w:tc>
        <w:tc>
          <w:tcPr>
            <w:tcW w:w="762" w:type="pct"/>
            <w:shd w:val="clear" w:color="auto" w:fill="auto"/>
            <w:noWrap/>
            <w:hideMark/>
          </w:tcPr>
          <w:p w14:paraId="00D60657" w14:textId="77777777" w:rsidR="0067338B" w:rsidRPr="00C64727" w:rsidRDefault="00D812BF">
            <w:pPr>
              <w:spacing w:after="0" w:line="240" w:lineRule="auto"/>
              <w:ind w:right="57"/>
              <w:jc w:val="center"/>
              <w:rPr>
                <w:rFonts w:ascii="Times New Roman" w:eastAsia="Times New Roman" w:hAnsi="Times New Roman"/>
                <w:b/>
                <w:bCs/>
                <w:color w:val="000000"/>
                <w:sz w:val="20"/>
                <w:szCs w:val="20"/>
              </w:rPr>
            </w:pPr>
            <w:r w:rsidRPr="00C64727">
              <w:rPr>
                <w:rFonts w:ascii="Times New Roman" w:hAnsi="Times New Roman"/>
                <w:b/>
                <w:sz w:val="20"/>
                <w:szCs w:val="20"/>
              </w:rPr>
              <w:t>millió</w:t>
            </w:r>
          </w:p>
        </w:tc>
        <w:tc>
          <w:tcPr>
            <w:tcW w:w="844" w:type="pct"/>
            <w:shd w:val="clear" w:color="auto" w:fill="auto"/>
            <w:noWrap/>
            <w:hideMark/>
          </w:tcPr>
          <w:p w14:paraId="2DBDDA4C" w14:textId="77777777" w:rsidR="0067338B" w:rsidRPr="00C64727" w:rsidRDefault="00D812BF">
            <w:pPr>
              <w:spacing w:after="0" w:line="240" w:lineRule="auto"/>
              <w:ind w:right="57"/>
              <w:jc w:val="center"/>
              <w:rPr>
                <w:rFonts w:ascii="Times New Roman" w:eastAsia="Times New Roman" w:hAnsi="Times New Roman"/>
                <w:b/>
                <w:bCs/>
                <w:color w:val="000000"/>
                <w:sz w:val="20"/>
                <w:szCs w:val="20"/>
              </w:rPr>
            </w:pPr>
            <w:r w:rsidRPr="00C64727">
              <w:rPr>
                <w:rFonts w:ascii="Times New Roman" w:hAnsi="Times New Roman"/>
                <w:b/>
                <w:sz w:val="20"/>
                <w:szCs w:val="20"/>
              </w:rPr>
              <w:t>százalék</w:t>
            </w:r>
          </w:p>
        </w:tc>
        <w:tc>
          <w:tcPr>
            <w:tcW w:w="892" w:type="pct"/>
            <w:shd w:val="clear" w:color="auto" w:fill="auto"/>
            <w:noWrap/>
            <w:hideMark/>
          </w:tcPr>
          <w:p w14:paraId="676C7345" w14:textId="77777777" w:rsidR="0067338B" w:rsidRPr="00C64727" w:rsidRDefault="00D812BF">
            <w:pPr>
              <w:spacing w:after="0" w:line="240" w:lineRule="auto"/>
              <w:ind w:right="57"/>
              <w:jc w:val="center"/>
              <w:rPr>
                <w:rFonts w:ascii="Times New Roman" w:eastAsia="Times New Roman" w:hAnsi="Times New Roman"/>
                <w:b/>
                <w:color w:val="000000"/>
                <w:sz w:val="20"/>
                <w:szCs w:val="20"/>
              </w:rPr>
            </w:pPr>
            <w:r w:rsidRPr="00C64727">
              <w:rPr>
                <w:rFonts w:ascii="Times New Roman" w:hAnsi="Times New Roman"/>
                <w:b/>
                <w:sz w:val="20"/>
                <w:szCs w:val="20"/>
              </w:rPr>
              <w:t>A 2019. június végéig beváltott nemzetközi jóváírások</w:t>
            </w:r>
          </w:p>
        </w:tc>
        <w:tc>
          <w:tcPr>
            <w:tcW w:w="794" w:type="pct"/>
            <w:shd w:val="clear" w:color="auto" w:fill="auto"/>
            <w:noWrap/>
            <w:hideMark/>
          </w:tcPr>
          <w:p w14:paraId="468F055B" w14:textId="77777777" w:rsidR="0067338B" w:rsidRPr="00C64727" w:rsidRDefault="00D812BF">
            <w:pPr>
              <w:spacing w:after="0" w:line="240" w:lineRule="auto"/>
              <w:ind w:right="57"/>
              <w:jc w:val="center"/>
              <w:rPr>
                <w:rFonts w:ascii="Times New Roman" w:eastAsia="Times New Roman" w:hAnsi="Times New Roman"/>
                <w:b/>
                <w:color w:val="000000"/>
                <w:sz w:val="20"/>
                <w:szCs w:val="20"/>
              </w:rPr>
            </w:pPr>
            <w:r w:rsidRPr="00C64727">
              <w:rPr>
                <w:rFonts w:ascii="Times New Roman" w:hAnsi="Times New Roman"/>
                <w:b/>
                <w:sz w:val="20"/>
                <w:szCs w:val="20"/>
              </w:rPr>
              <w:t>millió</w:t>
            </w:r>
          </w:p>
        </w:tc>
        <w:tc>
          <w:tcPr>
            <w:tcW w:w="842" w:type="pct"/>
            <w:shd w:val="clear" w:color="auto" w:fill="auto"/>
            <w:noWrap/>
            <w:hideMark/>
          </w:tcPr>
          <w:p w14:paraId="77CD49C6" w14:textId="77777777" w:rsidR="0067338B" w:rsidRPr="00C64727" w:rsidRDefault="00D812BF">
            <w:pPr>
              <w:spacing w:after="0" w:line="240" w:lineRule="auto"/>
              <w:ind w:right="57"/>
              <w:jc w:val="center"/>
              <w:rPr>
                <w:rFonts w:ascii="Times New Roman" w:eastAsia="Times New Roman" w:hAnsi="Times New Roman"/>
                <w:b/>
                <w:color w:val="000000"/>
                <w:sz w:val="20"/>
                <w:szCs w:val="20"/>
              </w:rPr>
            </w:pPr>
            <w:r w:rsidRPr="00C64727">
              <w:rPr>
                <w:rFonts w:ascii="Times New Roman" w:hAnsi="Times New Roman"/>
                <w:b/>
                <w:sz w:val="20"/>
                <w:szCs w:val="20"/>
              </w:rPr>
              <w:t>százalék</w:t>
            </w:r>
          </w:p>
        </w:tc>
      </w:tr>
      <w:tr w:rsidR="0067338B" w:rsidRPr="00C64727" w14:paraId="2DF83359" w14:textId="77777777" w:rsidTr="00601A28">
        <w:trPr>
          <w:trHeight w:val="238"/>
        </w:trPr>
        <w:tc>
          <w:tcPr>
            <w:tcW w:w="865" w:type="pct"/>
            <w:shd w:val="clear" w:color="auto" w:fill="auto"/>
            <w:noWrap/>
            <w:hideMark/>
          </w:tcPr>
          <w:p w14:paraId="6402C48C" w14:textId="77777777" w:rsidR="0067338B" w:rsidRPr="00C64727" w:rsidRDefault="00D812BF">
            <w:pPr>
              <w:spacing w:after="120" w:line="240" w:lineRule="auto"/>
              <w:ind w:right="57"/>
              <w:rPr>
                <w:rFonts w:ascii="Times New Roman" w:eastAsia="Times New Roman" w:hAnsi="Times New Roman"/>
                <w:b/>
                <w:bCs/>
                <w:color w:val="000000"/>
                <w:sz w:val="20"/>
                <w:szCs w:val="20"/>
              </w:rPr>
            </w:pPr>
            <w:r w:rsidRPr="00C64727">
              <w:rPr>
                <w:rFonts w:ascii="Times New Roman" w:hAnsi="Times New Roman"/>
                <w:b/>
                <w:sz w:val="20"/>
                <w:szCs w:val="20"/>
              </w:rPr>
              <w:t>Igazolt kibocsátáscsökkentések</w:t>
            </w:r>
          </w:p>
        </w:tc>
        <w:tc>
          <w:tcPr>
            <w:tcW w:w="762" w:type="pct"/>
            <w:shd w:val="clear" w:color="auto" w:fill="auto"/>
            <w:noWrap/>
            <w:hideMark/>
          </w:tcPr>
          <w:p w14:paraId="593B15CF" w14:textId="77777777" w:rsidR="0067338B" w:rsidRPr="00C64727" w:rsidRDefault="00D812BF">
            <w:pPr>
              <w:spacing w:after="120" w:line="240" w:lineRule="auto"/>
              <w:ind w:right="57"/>
              <w:jc w:val="center"/>
              <w:rPr>
                <w:rFonts w:ascii="Times New Roman" w:eastAsia="Times New Roman" w:hAnsi="Times New Roman"/>
                <w:b/>
                <w:bCs/>
                <w:color w:val="000000"/>
                <w:sz w:val="20"/>
                <w:szCs w:val="20"/>
              </w:rPr>
            </w:pPr>
            <w:r w:rsidRPr="00C64727">
              <w:rPr>
                <w:rFonts w:ascii="Times New Roman" w:hAnsi="Times New Roman"/>
                <w:b/>
                <w:sz w:val="20"/>
                <w:szCs w:val="20"/>
              </w:rPr>
              <w:t xml:space="preserve"> 261,42</w:t>
            </w:r>
          </w:p>
        </w:tc>
        <w:tc>
          <w:tcPr>
            <w:tcW w:w="844" w:type="pct"/>
            <w:shd w:val="clear" w:color="auto" w:fill="auto"/>
            <w:noWrap/>
            <w:hideMark/>
          </w:tcPr>
          <w:p w14:paraId="4AC09611" w14:textId="77777777" w:rsidR="0067338B" w:rsidRPr="00C64727" w:rsidRDefault="00D812BF">
            <w:pPr>
              <w:spacing w:after="120"/>
              <w:jc w:val="center"/>
              <w:rPr>
                <w:rFonts w:ascii="Times New Roman" w:hAnsi="Times New Roman"/>
                <w:b/>
                <w:sz w:val="20"/>
                <w:szCs w:val="20"/>
              </w:rPr>
            </w:pPr>
            <w:r w:rsidRPr="00C64727">
              <w:rPr>
                <w:rFonts w:ascii="Times New Roman" w:hAnsi="Times New Roman"/>
                <w:b/>
                <w:sz w:val="20"/>
                <w:szCs w:val="20"/>
              </w:rPr>
              <w:t>57,65 %</w:t>
            </w:r>
          </w:p>
        </w:tc>
        <w:tc>
          <w:tcPr>
            <w:tcW w:w="892" w:type="pct"/>
            <w:shd w:val="clear" w:color="auto" w:fill="auto"/>
            <w:noWrap/>
            <w:hideMark/>
          </w:tcPr>
          <w:p w14:paraId="5949EB48" w14:textId="77777777" w:rsidR="0067338B" w:rsidRPr="00C64727" w:rsidRDefault="00D812BF">
            <w:pPr>
              <w:spacing w:after="120" w:line="240" w:lineRule="auto"/>
              <w:ind w:right="57"/>
              <w:rPr>
                <w:rFonts w:ascii="Times New Roman" w:eastAsia="Times New Roman" w:hAnsi="Times New Roman"/>
                <w:color w:val="000000"/>
                <w:sz w:val="20"/>
                <w:szCs w:val="20"/>
              </w:rPr>
            </w:pPr>
            <w:r w:rsidRPr="00C64727">
              <w:rPr>
                <w:rFonts w:ascii="Times New Roman" w:hAnsi="Times New Roman"/>
                <w:b/>
                <w:sz w:val="20"/>
                <w:szCs w:val="20"/>
              </w:rPr>
              <w:t>ERU-k</w:t>
            </w:r>
          </w:p>
        </w:tc>
        <w:tc>
          <w:tcPr>
            <w:tcW w:w="794" w:type="pct"/>
            <w:shd w:val="clear" w:color="auto" w:fill="auto"/>
            <w:noWrap/>
            <w:hideMark/>
          </w:tcPr>
          <w:p w14:paraId="03D41296" w14:textId="77777777" w:rsidR="0067338B" w:rsidRPr="00C64727" w:rsidRDefault="00D812BF">
            <w:pPr>
              <w:spacing w:after="120" w:line="240" w:lineRule="auto"/>
              <w:ind w:right="57"/>
              <w:rPr>
                <w:rFonts w:ascii="Times New Roman" w:eastAsia="Times New Roman" w:hAnsi="Times New Roman"/>
                <w:color w:val="000000"/>
                <w:sz w:val="20"/>
                <w:szCs w:val="20"/>
              </w:rPr>
            </w:pPr>
            <w:r w:rsidRPr="00C64727">
              <w:rPr>
                <w:rFonts w:ascii="Times New Roman" w:hAnsi="Times New Roman"/>
                <w:b/>
                <w:sz w:val="20"/>
                <w:szCs w:val="20"/>
              </w:rPr>
              <w:t>192,07</w:t>
            </w:r>
          </w:p>
        </w:tc>
        <w:tc>
          <w:tcPr>
            <w:tcW w:w="842" w:type="pct"/>
            <w:shd w:val="clear" w:color="auto" w:fill="auto"/>
            <w:noWrap/>
            <w:hideMark/>
          </w:tcPr>
          <w:p w14:paraId="79D9A768" w14:textId="77777777" w:rsidR="0067338B" w:rsidRPr="00C64727" w:rsidRDefault="00D812BF">
            <w:pPr>
              <w:spacing w:after="120" w:line="240" w:lineRule="auto"/>
              <w:ind w:right="57"/>
              <w:rPr>
                <w:rFonts w:ascii="Times New Roman" w:eastAsia="Times New Roman" w:hAnsi="Times New Roman"/>
                <w:color w:val="000000"/>
                <w:sz w:val="20"/>
                <w:szCs w:val="20"/>
              </w:rPr>
            </w:pPr>
            <w:r w:rsidRPr="00C64727">
              <w:rPr>
                <w:rFonts w:ascii="Times New Roman" w:hAnsi="Times New Roman"/>
                <w:b/>
                <w:sz w:val="20"/>
                <w:szCs w:val="20"/>
              </w:rPr>
              <w:t>42,35 %</w:t>
            </w:r>
          </w:p>
        </w:tc>
      </w:tr>
      <w:tr w:rsidR="0067338B" w:rsidRPr="00C64727" w14:paraId="334B163A" w14:textId="77777777" w:rsidTr="00601A28">
        <w:trPr>
          <w:trHeight w:val="229"/>
        </w:trPr>
        <w:tc>
          <w:tcPr>
            <w:tcW w:w="865" w:type="pct"/>
            <w:shd w:val="clear" w:color="auto" w:fill="auto"/>
            <w:noWrap/>
            <w:hideMark/>
          </w:tcPr>
          <w:p w14:paraId="25D6ACD5" w14:textId="77777777" w:rsidR="0067338B" w:rsidRPr="00C64727" w:rsidRDefault="00D812BF">
            <w:pPr>
              <w:spacing w:after="120" w:line="240" w:lineRule="auto"/>
              <w:ind w:right="57"/>
              <w:rPr>
                <w:rFonts w:ascii="Times New Roman" w:eastAsia="Times New Roman" w:hAnsi="Times New Roman"/>
                <w:color w:val="000000"/>
                <w:sz w:val="20"/>
                <w:szCs w:val="20"/>
              </w:rPr>
            </w:pPr>
            <w:r w:rsidRPr="00C64727">
              <w:rPr>
                <w:rFonts w:ascii="Times New Roman" w:hAnsi="Times New Roman"/>
                <w:sz w:val="20"/>
                <w:szCs w:val="20"/>
              </w:rPr>
              <w:t>Kína</w:t>
            </w:r>
          </w:p>
        </w:tc>
        <w:tc>
          <w:tcPr>
            <w:tcW w:w="762" w:type="pct"/>
            <w:shd w:val="clear" w:color="auto" w:fill="auto"/>
            <w:noWrap/>
          </w:tcPr>
          <w:p w14:paraId="37B13681" w14:textId="77777777" w:rsidR="0067338B" w:rsidRPr="00C64727" w:rsidRDefault="00D812BF">
            <w:pPr>
              <w:spacing w:after="120" w:line="240" w:lineRule="auto"/>
              <w:ind w:right="57"/>
              <w:jc w:val="center"/>
              <w:rPr>
                <w:rFonts w:ascii="Times New Roman" w:eastAsia="Times New Roman" w:hAnsi="Times New Roman"/>
                <w:sz w:val="20"/>
                <w:szCs w:val="20"/>
              </w:rPr>
            </w:pPr>
            <w:r w:rsidRPr="00C64727">
              <w:rPr>
                <w:rFonts w:ascii="Times New Roman" w:hAnsi="Times New Roman"/>
                <w:sz w:val="20"/>
                <w:szCs w:val="20"/>
              </w:rPr>
              <w:t xml:space="preserve">195,20 </w:t>
            </w:r>
          </w:p>
        </w:tc>
        <w:tc>
          <w:tcPr>
            <w:tcW w:w="844" w:type="pct"/>
            <w:shd w:val="clear" w:color="auto" w:fill="auto"/>
            <w:noWrap/>
          </w:tcPr>
          <w:p w14:paraId="2484C583" w14:textId="77777777" w:rsidR="0067338B" w:rsidRPr="00C64727" w:rsidRDefault="00D812BF">
            <w:pPr>
              <w:spacing w:after="120"/>
              <w:jc w:val="center"/>
              <w:rPr>
                <w:rFonts w:ascii="Times New Roman" w:hAnsi="Times New Roman"/>
                <w:sz w:val="20"/>
                <w:szCs w:val="20"/>
              </w:rPr>
            </w:pPr>
            <w:r w:rsidRPr="00C64727">
              <w:rPr>
                <w:rFonts w:ascii="Times New Roman" w:hAnsi="Times New Roman"/>
                <w:sz w:val="20"/>
                <w:szCs w:val="20"/>
              </w:rPr>
              <w:t xml:space="preserve">74,67 </w:t>
            </w:r>
          </w:p>
        </w:tc>
        <w:tc>
          <w:tcPr>
            <w:tcW w:w="892" w:type="pct"/>
            <w:shd w:val="clear" w:color="auto" w:fill="auto"/>
            <w:noWrap/>
            <w:hideMark/>
          </w:tcPr>
          <w:p w14:paraId="1499F37B" w14:textId="77777777" w:rsidR="0067338B" w:rsidRPr="00C64727" w:rsidRDefault="00D812BF">
            <w:pPr>
              <w:spacing w:after="120" w:line="240" w:lineRule="auto"/>
              <w:ind w:right="57"/>
              <w:rPr>
                <w:rFonts w:ascii="Times New Roman" w:eastAsia="Times New Roman" w:hAnsi="Times New Roman"/>
                <w:color w:val="000000"/>
                <w:sz w:val="20"/>
                <w:szCs w:val="20"/>
              </w:rPr>
            </w:pPr>
            <w:r w:rsidRPr="00C64727">
              <w:rPr>
                <w:rFonts w:ascii="Times New Roman" w:hAnsi="Times New Roman"/>
                <w:sz w:val="20"/>
                <w:szCs w:val="20"/>
              </w:rPr>
              <w:t>Ukrajna</w:t>
            </w:r>
          </w:p>
        </w:tc>
        <w:tc>
          <w:tcPr>
            <w:tcW w:w="794" w:type="pct"/>
            <w:shd w:val="clear" w:color="auto" w:fill="auto"/>
            <w:noWrap/>
            <w:hideMark/>
          </w:tcPr>
          <w:p w14:paraId="711E74B2" w14:textId="77777777" w:rsidR="0067338B" w:rsidRPr="00C64727" w:rsidRDefault="00D812BF">
            <w:pPr>
              <w:spacing w:after="120" w:line="240" w:lineRule="auto"/>
              <w:ind w:right="57"/>
              <w:rPr>
                <w:rFonts w:ascii="Times New Roman" w:eastAsia="Times New Roman" w:hAnsi="Times New Roman"/>
                <w:color w:val="000000"/>
                <w:sz w:val="20"/>
                <w:szCs w:val="20"/>
              </w:rPr>
            </w:pPr>
            <w:r w:rsidRPr="00C64727">
              <w:rPr>
                <w:rFonts w:ascii="Times New Roman" w:hAnsi="Times New Roman"/>
                <w:sz w:val="20"/>
                <w:szCs w:val="20"/>
              </w:rPr>
              <w:t>147,69</w:t>
            </w:r>
          </w:p>
        </w:tc>
        <w:tc>
          <w:tcPr>
            <w:tcW w:w="842" w:type="pct"/>
            <w:shd w:val="clear" w:color="auto" w:fill="auto"/>
            <w:noWrap/>
            <w:hideMark/>
          </w:tcPr>
          <w:p w14:paraId="386FC7A7" w14:textId="77777777" w:rsidR="0067338B" w:rsidRPr="00C64727" w:rsidRDefault="00D812BF">
            <w:pPr>
              <w:spacing w:after="120" w:line="240" w:lineRule="auto"/>
              <w:ind w:right="57"/>
              <w:rPr>
                <w:rFonts w:ascii="Times New Roman" w:eastAsia="Times New Roman" w:hAnsi="Times New Roman"/>
                <w:color w:val="000000"/>
                <w:sz w:val="20"/>
                <w:szCs w:val="20"/>
              </w:rPr>
            </w:pPr>
            <w:r w:rsidRPr="00C64727">
              <w:rPr>
                <w:rFonts w:ascii="Times New Roman" w:hAnsi="Times New Roman"/>
                <w:sz w:val="20"/>
                <w:szCs w:val="20"/>
              </w:rPr>
              <w:t>76,89 %</w:t>
            </w:r>
          </w:p>
        </w:tc>
      </w:tr>
      <w:tr w:rsidR="0067338B" w:rsidRPr="00C64727" w14:paraId="0F2406E9" w14:textId="77777777" w:rsidTr="00601A28">
        <w:trPr>
          <w:trHeight w:val="249"/>
        </w:trPr>
        <w:tc>
          <w:tcPr>
            <w:tcW w:w="865" w:type="pct"/>
            <w:shd w:val="clear" w:color="auto" w:fill="auto"/>
            <w:noWrap/>
            <w:hideMark/>
          </w:tcPr>
          <w:p w14:paraId="62A090A0" w14:textId="77777777" w:rsidR="0067338B" w:rsidRPr="00C64727" w:rsidRDefault="00D812BF">
            <w:pPr>
              <w:spacing w:after="120" w:line="240" w:lineRule="auto"/>
              <w:ind w:right="57"/>
              <w:rPr>
                <w:rFonts w:ascii="Times New Roman" w:eastAsia="Times New Roman" w:hAnsi="Times New Roman"/>
                <w:color w:val="000000"/>
                <w:sz w:val="20"/>
                <w:szCs w:val="20"/>
              </w:rPr>
            </w:pPr>
            <w:r w:rsidRPr="00C64727">
              <w:rPr>
                <w:rFonts w:ascii="Times New Roman" w:hAnsi="Times New Roman"/>
                <w:sz w:val="20"/>
                <w:szCs w:val="20"/>
              </w:rPr>
              <w:t>India</w:t>
            </w:r>
          </w:p>
        </w:tc>
        <w:tc>
          <w:tcPr>
            <w:tcW w:w="762" w:type="pct"/>
            <w:shd w:val="clear" w:color="auto" w:fill="auto"/>
            <w:noWrap/>
          </w:tcPr>
          <w:p w14:paraId="44D936FF" w14:textId="77777777" w:rsidR="0067338B" w:rsidRPr="00C64727" w:rsidRDefault="00D812BF">
            <w:pPr>
              <w:spacing w:after="120" w:line="240" w:lineRule="auto"/>
              <w:ind w:right="57"/>
              <w:jc w:val="center"/>
              <w:rPr>
                <w:rFonts w:ascii="Times New Roman" w:eastAsia="Times New Roman" w:hAnsi="Times New Roman"/>
                <w:sz w:val="20"/>
                <w:szCs w:val="20"/>
              </w:rPr>
            </w:pPr>
            <w:r w:rsidRPr="00C64727">
              <w:rPr>
                <w:rFonts w:ascii="Times New Roman" w:hAnsi="Times New Roman"/>
                <w:sz w:val="20"/>
                <w:szCs w:val="20"/>
              </w:rPr>
              <w:t xml:space="preserve">17,27 </w:t>
            </w:r>
          </w:p>
        </w:tc>
        <w:tc>
          <w:tcPr>
            <w:tcW w:w="844" w:type="pct"/>
            <w:shd w:val="clear" w:color="auto" w:fill="auto"/>
            <w:noWrap/>
          </w:tcPr>
          <w:p w14:paraId="5C1FAB8D" w14:textId="77777777" w:rsidR="0067338B" w:rsidRPr="00C64727" w:rsidRDefault="00D812BF">
            <w:pPr>
              <w:spacing w:after="120"/>
              <w:jc w:val="center"/>
              <w:rPr>
                <w:rFonts w:ascii="Times New Roman" w:hAnsi="Times New Roman"/>
                <w:sz w:val="20"/>
                <w:szCs w:val="20"/>
              </w:rPr>
            </w:pPr>
            <w:r w:rsidRPr="00C64727">
              <w:rPr>
                <w:rFonts w:ascii="Times New Roman" w:hAnsi="Times New Roman"/>
                <w:sz w:val="20"/>
                <w:szCs w:val="20"/>
              </w:rPr>
              <w:t xml:space="preserve">6,61 </w:t>
            </w:r>
          </w:p>
        </w:tc>
        <w:tc>
          <w:tcPr>
            <w:tcW w:w="892" w:type="pct"/>
            <w:shd w:val="clear" w:color="auto" w:fill="auto"/>
            <w:noWrap/>
            <w:hideMark/>
          </w:tcPr>
          <w:p w14:paraId="46053509" w14:textId="77777777" w:rsidR="0067338B" w:rsidRPr="00C64727" w:rsidRDefault="00D812BF">
            <w:pPr>
              <w:spacing w:after="120" w:line="240" w:lineRule="auto"/>
              <w:ind w:right="57"/>
              <w:rPr>
                <w:rFonts w:ascii="Times New Roman" w:eastAsia="Times New Roman" w:hAnsi="Times New Roman"/>
                <w:color w:val="000000"/>
                <w:sz w:val="20"/>
                <w:szCs w:val="20"/>
              </w:rPr>
            </w:pPr>
            <w:r w:rsidRPr="00C64727">
              <w:rPr>
                <w:rFonts w:ascii="Times New Roman" w:hAnsi="Times New Roman"/>
                <w:sz w:val="20"/>
                <w:szCs w:val="20"/>
              </w:rPr>
              <w:t>Oroszország</w:t>
            </w:r>
          </w:p>
        </w:tc>
        <w:tc>
          <w:tcPr>
            <w:tcW w:w="794" w:type="pct"/>
            <w:shd w:val="clear" w:color="auto" w:fill="auto"/>
            <w:noWrap/>
            <w:hideMark/>
          </w:tcPr>
          <w:p w14:paraId="50D07AED" w14:textId="77777777" w:rsidR="0067338B" w:rsidRPr="00C64727" w:rsidRDefault="00D812BF">
            <w:pPr>
              <w:spacing w:after="120" w:line="240" w:lineRule="auto"/>
              <w:ind w:right="57"/>
              <w:rPr>
                <w:rFonts w:ascii="Times New Roman" w:eastAsia="Times New Roman" w:hAnsi="Times New Roman"/>
                <w:color w:val="000000"/>
                <w:sz w:val="20"/>
                <w:szCs w:val="20"/>
              </w:rPr>
            </w:pPr>
            <w:r w:rsidRPr="00C64727">
              <w:rPr>
                <w:rFonts w:ascii="Times New Roman" w:hAnsi="Times New Roman"/>
                <w:sz w:val="20"/>
                <w:szCs w:val="20"/>
              </w:rPr>
              <w:t>32,06</w:t>
            </w:r>
          </w:p>
        </w:tc>
        <w:tc>
          <w:tcPr>
            <w:tcW w:w="842" w:type="pct"/>
            <w:shd w:val="clear" w:color="auto" w:fill="auto"/>
            <w:noWrap/>
            <w:hideMark/>
          </w:tcPr>
          <w:p w14:paraId="6908BC13" w14:textId="77777777" w:rsidR="0067338B" w:rsidRPr="00C64727" w:rsidRDefault="00D812BF">
            <w:pPr>
              <w:spacing w:after="120" w:line="240" w:lineRule="auto"/>
              <w:ind w:right="57"/>
              <w:rPr>
                <w:rFonts w:ascii="Times New Roman" w:eastAsia="Times New Roman" w:hAnsi="Times New Roman"/>
                <w:color w:val="000000"/>
                <w:sz w:val="20"/>
                <w:szCs w:val="20"/>
              </w:rPr>
            </w:pPr>
            <w:r w:rsidRPr="00C64727">
              <w:rPr>
                <w:rFonts w:ascii="Times New Roman" w:hAnsi="Times New Roman"/>
                <w:sz w:val="20"/>
                <w:szCs w:val="20"/>
              </w:rPr>
              <w:t>16,69 %</w:t>
            </w:r>
          </w:p>
        </w:tc>
      </w:tr>
      <w:tr w:rsidR="0067338B" w:rsidRPr="00C64727" w14:paraId="036F045A" w14:textId="77777777" w:rsidTr="00601A28">
        <w:trPr>
          <w:trHeight w:val="249"/>
        </w:trPr>
        <w:tc>
          <w:tcPr>
            <w:tcW w:w="865" w:type="pct"/>
            <w:shd w:val="clear" w:color="auto" w:fill="auto"/>
            <w:noWrap/>
            <w:hideMark/>
          </w:tcPr>
          <w:p w14:paraId="7429E299" w14:textId="77777777" w:rsidR="0067338B" w:rsidRPr="00C64727" w:rsidRDefault="00D812BF">
            <w:pPr>
              <w:spacing w:after="120" w:line="240" w:lineRule="auto"/>
              <w:ind w:right="57"/>
              <w:rPr>
                <w:rFonts w:ascii="Times New Roman" w:eastAsia="Times New Roman" w:hAnsi="Times New Roman"/>
                <w:color w:val="000000"/>
                <w:sz w:val="20"/>
                <w:szCs w:val="20"/>
              </w:rPr>
            </w:pPr>
            <w:r w:rsidRPr="00C64727">
              <w:rPr>
                <w:rFonts w:ascii="Times New Roman" w:hAnsi="Times New Roman"/>
                <w:sz w:val="20"/>
                <w:szCs w:val="20"/>
              </w:rPr>
              <w:t>Üzbegisztán</w:t>
            </w:r>
          </w:p>
        </w:tc>
        <w:tc>
          <w:tcPr>
            <w:tcW w:w="762" w:type="pct"/>
            <w:shd w:val="clear" w:color="auto" w:fill="auto"/>
            <w:noWrap/>
          </w:tcPr>
          <w:p w14:paraId="05E6EC24" w14:textId="77777777" w:rsidR="0067338B" w:rsidRPr="00C64727" w:rsidRDefault="00D812BF">
            <w:pPr>
              <w:spacing w:after="120" w:line="240" w:lineRule="auto"/>
              <w:ind w:right="57"/>
              <w:jc w:val="center"/>
              <w:rPr>
                <w:rFonts w:ascii="Times New Roman" w:eastAsia="Times New Roman" w:hAnsi="Times New Roman"/>
                <w:sz w:val="20"/>
                <w:szCs w:val="20"/>
              </w:rPr>
            </w:pPr>
            <w:r w:rsidRPr="00C64727">
              <w:rPr>
                <w:rFonts w:ascii="Times New Roman" w:hAnsi="Times New Roman"/>
                <w:sz w:val="20"/>
                <w:szCs w:val="20"/>
              </w:rPr>
              <w:t xml:space="preserve">9,89 </w:t>
            </w:r>
          </w:p>
        </w:tc>
        <w:tc>
          <w:tcPr>
            <w:tcW w:w="844" w:type="pct"/>
            <w:shd w:val="clear" w:color="auto" w:fill="auto"/>
            <w:noWrap/>
          </w:tcPr>
          <w:p w14:paraId="06FDCB91" w14:textId="77777777" w:rsidR="0067338B" w:rsidRPr="00C64727" w:rsidRDefault="00D812BF">
            <w:pPr>
              <w:spacing w:after="120"/>
              <w:jc w:val="center"/>
              <w:rPr>
                <w:rFonts w:ascii="Times New Roman" w:hAnsi="Times New Roman"/>
                <w:sz w:val="20"/>
                <w:szCs w:val="20"/>
              </w:rPr>
            </w:pPr>
            <w:r w:rsidRPr="00C64727">
              <w:rPr>
                <w:rFonts w:ascii="Times New Roman" w:hAnsi="Times New Roman"/>
                <w:sz w:val="20"/>
                <w:szCs w:val="20"/>
              </w:rPr>
              <w:t xml:space="preserve">3,79 </w:t>
            </w:r>
          </w:p>
        </w:tc>
        <w:tc>
          <w:tcPr>
            <w:tcW w:w="892" w:type="pct"/>
            <w:shd w:val="clear" w:color="auto" w:fill="auto"/>
            <w:noWrap/>
            <w:hideMark/>
          </w:tcPr>
          <w:p w14:paraId="51772CC7" w14:textId="77777777" w:rsidR="0067338B" w:rsidRPr="00C64727" w:rsidRDefault="00D812BF">
            <w:pPr>
              <w:spacing w:after="120" w:line="240" w:lineRule="auto"/>
              <w:ind w:right="57"/>
              <w:rPr>
                <w:rFonts w:ascii="Times New Roman" w:eastAsia="Times New Roman" w:hAnsi="Times New Roman"/>
                <w:color w:val="000000"/>
                <w:sz w:val="20"/>
                <w:szCs w:val="20"/>
              </w:rPr>
            </w:pPr>
            <w:r w:rsidRPr="00C64727">
              <w:rPr>
                <w:rFonts w:ascii="Times New Roman" w:hAnsi="Times New Roman"/>
                <w:sz w:val="20"/>
                <w:szCs w:val="20"/>
              </w:rPr>
              <w:t>Lengyelország</w:t>
            </w:r>
          </w:p>
        </w:tc>
        <w:tc>
          <w:tcPr>
            <w:tcW w:w="794" w:type="pct"/>
            <w:shd w:val="clear" w:color="auto" w:fill="auto"/>
            <w:noWrap/>
            <w:hideMark/>
          </w:tcPr>
          <w:p w14:paraId="63FDA37C" w14:textId="77777777" w:rsidR="0067338B" w:rsidRPr="00C64727" w:rsidRDefault="00D812BF">
            <w:pPr>
              <w:spacing w:after="120" w:line="240" w:lineRule="auto"/>
              <w:ind w:right="57"/>
              <w:rPr>
                <w:rFonts w:ascii="Times New Roman" w:eastAsia="Times New Roman" w:hAnsi="Times New Roman"/>
                <w:color w:val="000000"/>
                <w:sz w:val="20"/>
                <w:szCs w:val="20"/>
              </w:rPr>
            </w:pPr>
            <w:r w:rsidRPr="00C64727">
              <w:rPr>
                <w:rFonts w:ascii="Times New Roman" w:hAnsi="Times New Roman"/>
                <w:sz w:val="20"/>
                <w:szCs w:val="20"/>
              </w:rPr>
              <w:t>2,82</w:t>
            </w:r>
          </w:p>
        </w:tc>
        <w:tc>
          <w:tcPr>
            <w:tcW w:w="842" w:type="pct"/>
            <w:shd w:val="clear" w:color="auto" w:fill="auto"/>
            <w:noWrap/>
            <w:hideMark/>
          </w:tcPr>
          <w:p w14:paraId="1475BA0B" w14:textId="77777777" w:rsidR="0067338B" w:rsidRPr="00C64727" w:rsidRDefault="00D812BF">
            <w:pPr>
              <w:spacing w:after="120" w:line="240" w:lineRule="auto"/>
              <w:ind w:right="57"/>
              <w:rPr>
                <w:rFonts w:ascii="Times New Roman" w:eastAsia="Times New Roman" w:hAnsi="Times New Roman"/>
                <w:color w:val="000000"/>
                <w:sz w:val="20"/>
                <w:szCs w:val="20"/>
              </w:rPr>
            </w:pPr>
            <w:r w:rsidRPr="00C64727">
              <w:rPr>
                <w:rFonts w:ascii="Times New Roman" w:hAnsi="Times New Roman"/>
                <w:sz w:val="20"/>
                <w:szCs w:val="20"/>
              </w:rPr>
              <w:t>1,46 %</w:t>
            </w:r>
          </w:p>
        </w:tc>
      </w:tr>
      <w:tr w:rsidR="0067338B" w:rsidRPr="00C64727" w14:paraId="528817CD" w14:textId="77777777" w:rsidTr="00601A28">
        <w:trPr>
          <w:trHeight w:val="249"/>
        </w:trPr>
        <w:tc>
          <w:tcPr>
            <w:tcW w:w="865" w:type="pct"/>
            <w:shd w:val="clear" w:color="auto" w:fill="auto"/>
            <w:noWrap/>
            <w:hideMark/>
          </w:tcPr>
          <w:p w14:paraId="5506A7B1" w14:textId="77777777" w:rsidR="0067338B" w:rsidRPr="00C64727" w:rsidRDefault="00D812BF">
            <w:pPr>
              <w:spacing w:after="120" w:line="240" w:lineRule="auto"/>
              <w:ind w:right="57"/>
              <w:rPr>
                <w:rFonts w:ascii="Times New Roman" w:eastAsia="Times New Roman" w:hAnsi="Times New Roman"/>
                <w:color w:val="000000"/>
                <w:sz w:val="20"/>
                <w:szCs w:val="20"/>
              </w:rPr>
            </w:pPr>
            <w:r w:rsidRPr="00C64727">
              <w:rPr>
                <w:rFonts w:ascii="Times New Roman" w:hAnsi="Times New Roman"/>
                <w:sz w:val="20"/>
                <w:szCs w:val="20"/>
              </w:rPr>
              <w:t>Brazília</w:t>
            </w:r>
          </w:p>
        </w:tc>
        <w:tc>
          <w:tcPr>
            <w:tcW w:w="762" w:type="pct"/>
            <w:shd w:val="clear" w:color="auto" w:fill="auto"/>
            <w:noWrap/>
          </w:tcPr>
          <w:p w14:paraId="7B5C1793" w14:textId="77777777" w:rsidR="0067338B" w:rsidRPr="00C64727" w:rsidRDefault="00D812BF">
            <w:pPr>
              <w:spacing w:after="120" w:line="240" w:lineRule="auto"/>
              <w:ind w:right="57"/>
              <w:jc w:val="center"/>
              <w:rPr>
                <w:rFonts w:ascii="Times New Roman" w:eastAsia="Times New Roman" w:hAnsi="Times New Roman"/>
                <w:sz w:val="20"/>
                <w:szCs w:val="20"/>
              </w:rPr>
            </w:pPr>
            <w:r w:rsidRPr="00C64727">
              <w:rPr>
                <w:rFonts w:ascii="Times New Roman" w:hAnsi="Times New Roman"/>
                <w:sz w:val="20"/>
                <w:szCs w:val="20"/>
              </w:rPr>
              <w:t xml:space="preserve">5,43 </w:t>
            </w:r>
          </w:p>
        </w:tc>
        <w:tc>
          <w:tcPr>
            <w:tcW w:w="844" w:type="pct"/>
            <w:shd w:val="clear" w:color="auto" w:fill="auto"/>
            <w:noWrap/>
          </w:tcPr>
          <w:p w14:paraId="17016049" w14:textId="77777777" w:rsidR="0067338B" w:rsidRPr="00C64727" w:rsidRDefault="00D812BF">
            <w:pPr>
              <w:spacing w:after="120"/>
              <w:jc w:val="center"/>
              <w:rPr>
                <w:rFonts w:ascii="Times New Roman" w:hAnsi="Times New Roman"/>
                <w:sz w:val="20"/>
                <w:szCs w:val="20"/>
              </w:rPr>
            </w:pPr>
            <w:r w:rsidRPr="00C64727">
              <w:rPr>
                <w:rFonts w:ascii="Times New Roman" w:hAnsi="Times New Roman"/>
                <w:sz w:val="20"/>
                <w:szCs w:val="20"/>
              </w:rPr>
              <w:t xml:space="preserve">2,08 </w:t>
            </w:r>
          </w:p>
        </w:tc>
        <w:tc>
          <w:tcPr>
            <w:tcW w:w="892" w:type="pct"/>
            <w:shd w:val="clear" w:color="auto" w:fill="auto"/>
            <w:noWrap/>
            <w:hideMark/>
          </w:tcPr>
          <w:p w14:paraId="2AD789FE" w14:textId="77777777" w:rsidR="0067338B" w:rsidRPr="00C64727" w:rsidRDefault="00D812BF">
            <w:pPr>
              <w:spacing w:after="120" w:line="240" w:lineRule="auto"/>
              <w:ind w:right="57"/>
              <w:rPr>
                <w:rFonts w:ascii="Times New Roman" w:eastAsia="Times New Roman" w:hAnsi="Times New Roman"/>
                <w:color w:val="000000"/>
                <w:sz w:val="20"/>
                <w:szCs w:val="20"/>
              </w:rPr>
            </w:pPr>
            <w:r w:rsidRPr="00C64727">
              <w:rPr>
                <w:rFonts w:ascii="Times New Roman" w:hAnsi="Times New Roman"/>
                <w:sz w:val="20"/>
                <w:szCs w:val="20"/>
              </w:rPr>
              <w:t>Németország</w:t>
            </w:r>
          </w:p>
        </w:tc>
        <w:tc>
          <w:tcPr>
            <w:tcW w:w="794" w:type="pct"/>
            <w:shd w:val="clear" w:color="auto" w:fill="auto"/>
            <w:noWrap/>
            <w:hideMark/>
          </w:tcPr>
          <w:p w14:paraId="29D594F7" w14:textId="77777777" w:rsidR="0067338B" w:rsidRPr="00C64727" w:rsidRDefault="00D812BF">
            <w:pPr>
              <w:spacing w:after="120" w:line="240" w:lineRule="auto"/>
              <w:ind w:right="57"/>
              <w:rPr>
                <w:rFonts w:ascii="Times New Roman" w:eastAsia="Times New Roman" w:hAnsi="Times New Roman"/>
                <w:color w:val="000000"/>
                <w:sz w:val="20"/>
                <w:szCs w:val="20"/>
              </w:rPr>
            </w:pPr>
            <w:r w:rsidRPr="00C64727">
              <w:rPr>
                <w:rFonts w:ascii="Times New Roman" w:hAnsi="Times New Roman"/>
                <w:sz w:val="20"/>
                <w:szCs w:val="20"/>
              </w:rPr>
              <w:t>1,65</w:t>
            </w:r>
          </w:p>
        </w:tc>
        <w:tc>
          <w:tcPr>
            <w:tcW w:w="842" w:type="pct"/>
            <w:shd w:val="clear" w:color="auto" w:fill="auto"/>
            <w:noWrap/>
            <w:hideMark/>
          </w:tcPr>
          <w:p w14:paraId="01C08A59" w14:textId="77777777" w:rsidR="0067338B" w:rsidRPr="00C64727" w:rsidRDefault="00D812BF">
            <w:pPr>
              <w:spacing w:after="120" w:line="240" w:lineRule="auto"/>
              <w:ind w:right="57"/>
              <w:rPr>
                <w:rFonts w:ascii="Times New Roman" w:eastAsia="Times New Roman" w:hAnsi="Times New Roman"/>
                <w:color w:val="000000"/>
                <w:sz w:val="20"/>
                <w:szCs w:val="20"/>
              </w:rPr>
            </w:pPr>
            <w:r w:rsidRPr="00C64727">
              <w:rPr>
                <w:rFonts w:ascii="Times New Roman" w:hAnsi="Times New Roman"/>
                <w:sz w:val="20"/>
                <w:szCs w:val="20"/>
              </w:rPr>
              <w:t>0,85 %</w:t>
            </w:r>
          </w:p>
        </w:tc>
      </w:tr>
      <w:tr w:rsidR="0067338B" w:rsidRPr="00C64727" w14:paraId="3C698832" w14:textId="77777777" w:rsidTr="00601A28">
        <w:trPr>
          <w:trHeight w:val="249"/>
        </w:trPr>
        <w:tc>
          <w:tcPr>
            <w:tcW w:w="865" w:type="pct"/>
            <w:shd w:val="clear" w:color="auto" w:fill="auto"/>
            <w:noWrap/>
            <w:hideMark/>
          </w:tcPr>
          <w:p w14:paraId="4A05F867" w14:textId="77777777" w:rsidR="0067338B" w:rsidRPr="00C64727" w:rsidRDefault="00D812BF">
            <w:pPr>
              <w:spacing w:after="120" w:line="240" w:lineRule="auto"/>
              <w:ind w:right="57"/>
              <w:rPr>
                <w:rFonts w:ascii="Times New Roman" w:eastAsia="Times New Roman" w:hAnsi="Times New Roman"/>
                <w:color w:val="000000"/>
                <w:sz w:val="20"/>
                <w:szCs w:val="20"/>
              </w:rPr>
            </w:pPr>
            <w:r w:rsidRPr="00C64727">
              <w:rPr>
                <w:rFonts w:ascii="Times New Roman" w:hAnsi="Times New Roman"/>
                <w:sz w:val="20"/>
                <w:szCs w:val="20"/>
              </w:rPr>
              <w:t>Chile</w:t>
            </w:r>
          </w:p>
        </w:tc>
        <w:tc>
          <w:tcPr>
            <w:tcW w:w="762" w:type="pct"/>
            <w:shd w:val="clear" w:color="auto" w:fill="auto"/>
            <w:noWrap/>
          </w:tcPr>
          <w:p w14:paraId="62176B98" w14:textId="77777777" w:rsidR="0067338B" w:rsidRPr="00C64727" w:rsidRDefault="00D812BF">
            <w:pPr>
              <w:spacing w:after="120" w:line="240" w:lineRule="auto"/>
              <w:ind w:right="57"/>
              <w:jc w:val="center"/>
              <w:rPr>
                <w:rFonts w:ascii="Times New Roman" w:eastAsia="Times New Roman" w:hAnsi="Times New Roman"/>
                <w:sz w:val="20"/>
                <w:szCs w:val="20"/>
              </w:rPr>
            </w:pPr>
            <w:r w:rsidRPr="00C64727">
              <w:rPr>
                <w:rFonts w:ascii="Times New Roman" w:hAnsi="Times New Roman"/>
                <w:sz w:val="20"/>
                <w:szCs w:val="20"/>
              </w:rPr>
              <w:t>3,16</w:t>
            </w:r>
          </w:p>
        </w:tc>
        <w:tc>
          <w:tcPr>
            <w:tcW w:w="844" w:type="pct"/>
            <w:shd w:val="clear" w:color="auto" w:fill="auto"/>
            <w:noWrap/>
          </w:tcPr>
          <w:p w14:paraId="3787A0CD" w14:textId="77777777" w:rsidR="0067338B" w:rsidRPr="00C64727" w:rsidRDefault="00D812BF">
            <w:pPr>
              <w:spacing w:after="120"/>
              <w:jc w:val="center"/>
              <w:rPr>
                <w:rFonts w:ascii="Times New Roman" w:hAnsi="Times New Roman"/>
                <w:sz w:val="20"/>
                <w:szCs w:val="20"/>
              </w:rPr>
            </w:pPr>
            <w:r w:rsidRPr="00C64727">
              <w:rPr>
                <w:rFonts w:ascii="Times New Roman" w:hAnsi="Times New Roman"/>
                <w:sz w:val="20"/>
                <w:szCs w:val="20"/>
              </w:rPr>
              <w:t xml:space="preserve">1,21 </w:t>
            </w:r>
          </w:p>
        </w:tc>
        <w:tc>
          <w:tcPr>
            <w:tcW w:w="892" w:type="pct"/>
            <w:shd w:val="clear" w:color="auto" w:fill="auto"/>
            <w:noWrap/>
            <w:hideMark/>
          </w:tcPr>
          <w:p w14:paraId="6930B89A" w14:textId="77777777" w:rsidR="0067338B" w:rsidRPr="00C64727" w:rsidRDefault="00D812BF">
            <w:pPr>
              <w:spacing w:after="120" w:line="240" w:lineRule="auto"/>
              <w:ind w:right="57"/>
              <w:rPr>
                <w:rFonts w:ascii="Times New Roman" w:eastAsia="Times New Roman" w:hAnsi="Times New Roman"/>
                <w:color w:val="000000"/>
                <w:sz w:val="20"/>
                <w:szCs w:val="20"/>
              </w:rPr>
            </w:pPr>
            <w:r w:rsidRPr="00C64727">
              <w:rPr>
                <w:rFonts w:ascii="Times New Roman" w:hAnsi="Times New Roman"/>
                <w:sz w:val="20"/>
                <w:szCs w:val="20"/>
              </w:rPr>
              <w:t>Franciaország</w:t>
            </w:r>
          </w:p>
        </w:tc>
        <w:tc>
          <w:tcPr>
            <w:tcW w:w="794" w:type="pct"/>
            <w:shd w:val="clear" w:color="auto" w:fill="auto"/>
            <w:noWrap/>
            <w:hideMark/>
          </w:tcPr>
          <w:p w14:paraId="0D26EDE0" w14:textId="77777777" w:rsidR="0067338B" w:rsidRPr="00C64727" w:rsidRDefault="00D812BF">
            <w:pPr>
              <w:spacing w:after="120" w:line="240" w:lineRule="auto"/>
              <w:ind w:right="57"/>
              <w:rPr>
                <w:rFonts w:ascii="Times New Roman" w:eastAsia="Times New Roman" w:hAnsi="Times New Roman"/>
                <w:color w:val="000000"/>
                <w:sz w:val="20"/>
                <w:szCs w:val="20"/>
              </w:rPr>
            </w:pPr>
            <w:r w:rsidRPr="00C64727">
              <w:rPr>
                <w:rFonts w:ascii="Times New Roman" w:hAnsi="Times New Roman"/>
                <w:sz w:val="20"/>
                <w:szCs w:val="20"/>
              </w:rPr>
              <w:t>1,24</w:t>
            </w:r>
          </w:p>
        </w:tc>
        <w:tc>
          <w:tcPr>
            <w:tcW w:w="842" w:type="pct"/>
            <w:shd w:val="clear" w:color="auto" w:fill="auto"/>
            <w:noWrap/>
            <w:hideMark/>
          </w:tcPr>
          <w:p w14:paraId="29805C81" w14:textId="77777777" w:rsidR="0067338B" w:rsidRPr="00C64727" w:rsidRDefault="00D812BF">
            <w:pPr>
              <w:spacing w:after="120" w:line="240" w:lineRule="auto"/>
              <w:ind w:right="57"/>
              <w:rPr>
                <w:rFonts w:ascii="Times New Roman" w:eastAsia="Times New Roman" w:hAnsi="Times New Roman"/>
                <w:color w:val="000000"/>
                <w:sz w:val="20"/>
                <w:szCs w:val="20"/>
              </w:rPr>
            </w:pPr>
            <w:r w:rsidRPr="00C64727">
              <w:rPr>
                <w:rFonts w:ascii="Times New Roman" w:hAnsi="Times New Roman"/>
                <w:sz w:val="20"/>
                <w:szCs w:val="20"/>
              </w:rPr>
              <w:t>0,64 %</w:t>
            </w:r>
          </w:p>
        </w:tc>
      </w:tr>
      <w:tr w:rsidR="0067338B" w:rsidRPr="00C64727" w14:paraId="2737922B" w14:textId="77777777" w:rsidTr="00601A28">
        <w:trPr>
          <w:trHeight w:val="249"/>
        </w:trPr>
        <w:tc>
          <w:tcPr>
            <w:tcW w:w="865" w:type="pct"/>
            <w:shd w:val="clear" w:color="auto" w:fill="auto"/>
            <w:noWrap/>
            <w:hideMark/>
          </w:tcPr>
          <w:p w14:paraId="379ABD02" w14:textId="77777777" w:rsidR="0067338B" w:rsidRPr="00C64727" w:rsidRDefault="00D812BF">
            <w:pPr>
              <w:spacing w:after="120" w:line="240" w:lineRule="auto"/>
              <w:ind w:right="57"/>
              <w:rPr>
                <w:rFonts w:ascii="Times New Roman" w:eastAsia="Times New Roman" w:hAnsi="Times New Roman"/>
                <w:color w:val="000000"/>
                <w:sz w:val="20"/>
                <w:szCs w:val="20"/>
              </w:rPr>
            </w:pPr>
            <w:r w:rsidRPr="00C64727">
              <w:rPr>
                <w:rFonts w:ascii="Times New Roman" w:hAnsi="Times New Roman"/>
                <w:sz w:val="20"/>
                <w:szCs w:val="20"/>
              </w:rPr>
              <w:t>Dél-Korea</w:t>
            </w:r>
          </w:p>
        </w:tc>
        <w:tc>
          <w:tcPr>
            <w:tcW w:w="762" w:type="pct"/>
            <w:shd w:val="clear" w:color="auto" w:fill="auto"/>
            <w:noWrap/>
          </w:tcPr>
          <w:p w14:paraId="4651BD35" w14:textId="77777777" w:rsidR="0067338B" w:rsidRPr="00C64727" w:rsidRDefault="00D812BF">
            <w:pPr>
              <w:spacing w:after="120" w:line="240" w:lineRule="auto"/>
              <w:ind w:right="57"/>
              <w:jc w:val="center"/>
              <w:rPr>
                <w:rFonts w:ascii="Times New Roman" w:eastAsia="Times New Roman" w:hAnsi="Times New Roman"/>
                <w:sz w:val="20"/>
                <w:szCs w:val="20"/>
              </w:rPr>
            </w:pPr>
            <w:r w:rsidRPr="00C64727">
              <w:rPr>
                <w:rFonts w:ascii="Times New Roman" w:hAnsi="Times New Roman"/>
                <w:sz w:val="20"/>
                <w:szCs w:val="20"/>
              </w:rPr>
              <w:t>2,93</w:t>
            </w:r>
          </w:p>
        </w:tc>
        <w:tc>
          <w:tcPr>
            <w:tcW w:w="844" w:type="pct"/>
            <w:shd w:val="clear" w:color="auto" w:fill="auto"/>
            <w:noWrap/>
          </w:tcPr>
          <w:p w14:paraId="48D47F08" w14:textId="77777777" w:rsidR="0067338B" w:rsidRPr="00C64727" w:rsidRDefault="00D812BF">
            <w:pPr>
              <w:spacing w:after="120"/>
              <w:jc w:val="center"/>
              <w:rPr>
                <w:rFonts w:ascii="Times New Roman" w:hAnsi="Times New Roman"/>
                <w:sz w:val="20"/>
                <w:szCs w:val="20"/>
              </w:rPr>
            </w:pPr>
            <w:r w:rsidRPr="00C64727">
              <w:rPr>
                <w:rFonts w:ascii="Times New Roman" w:hAnsi="Times New Roman"/>
                <w:sz w:val="20"/>
                <w:szCs w:val="20"/>
              </w:rPr>
              <w:t xml:space="preserve">1,12 </w:t>
            </w:r>
          </w:p>
        </w:tc>
        <w:tc>
          <w:tcPr>
            <w:tcW w:w="892" w:type="pct"/>
            <w:shd w:val="clear" w:color="auto" w:fill="auto"/>
            <w:noWrap/>
            <w:hideMark/>
          </w:tcPr>
          <w:p w14:paraId="1B1A3B83" w14:textId="77777777" w:rsidR="0067338B" w:rsidRPr="00C64727" w:rsidRDefault="00D812BF">
            <w:pPr>
              <w:spacing w:after="120" w:line="240" w:lineRule="auto"/>
              <w:ind w:right="57"/>
              <w:rPr>
                <w:rFonts w:ascii="Times New Roman" w:eastAsia="Times New Roman" w:hAnsi="Times New Roman"/>
                <w:color w:val="000000"/>
                <w:sz w:val="20"/>
                <w:szCs w:val="20"/>
              </w:rPr>
            </w:pPr>
            <w:r w:rsidRPr="00C64727">
              <w:rPr>
                <w:rFonts w:ascii="Times New Roman" w:hAnsi="Times New Roman"/>
                <w:sz w:val="20"/>
                <w:szCs w:val="20"/>
              </w:rPr>
              <w:t>Bulgária</w:t>
            </w:r>
          </w:p>
        </w:tc>
        <w:tc>
          <w:tcPr>
            <w:tcW w:w="794" w:type="pct"/>
            <w:shd w:val="clear" w:color="auto" w:fill="auto"/>
            <w:noWrap/>
            <w:hideMark/>
          </w:tcPr>
          <w:p w14:paraId="5869CFC1" w14:textId="77777777" w:rsidR="0067338B" w:rsidRPr="00C64727" w:rsidRDefault="00D812BF">
            <w:pPr>
              <w:spacing w:after="120" w:line="240" w:lineRule="auto"/>
              <w:ind w:right="57"/>
              <w:rPr>
                <w:rFonts w:ascii="Times New Roman" w:eastAsia="Times New Roman" w:hAnsi="Times New Roman"/>
                <w:color w:val="000000"/>
                <w:sz w:val="20"/>
                <w:szCs w:val="20"/>
              </w:rPr>
            </w:pPr>
            <w:r w:rsidRPr="00C64727">
              <w:rPr>
                <w:rFonts w:ascii="Times New Roman" w:hAnsi="Times New Roman"/>
                <w:sz w:val="20"/>
                <w:szCs w:val="20"/>
              </w:rPr>
              <w:t>0,50</w:t>
            </w:r>
          </w:p>
        </w:tc>
        <w:tc>
          <w:tcPr>
            <w:tcW w:w="842" w:type="pct"/>
            <w:shd w:val="clear" w:color="auto" w:fill="auto"/>
            <w:noWrap/>
            <w:hideMark/>
          </w:tcPr>
          <w:p w14:paraId="6E53FDAC" w14:textId="77777777" w:rsidR="0067338B" w:rsidRPr="00C64727" w:rsidRDefault="00D812BF">
            <w:pPr>
              <w:spacing w:after="120" w:line="240" w:lineRule="auto"/>
              <w:ind w:right="57"/>
              <w:rPr>
                <w:rFonts w:ascii="Times New Roman" w:eastAsia="Times New Roman" w:hAnsi="Times New Roman"/>
                <w:color w:val="000000"/>
                <w:sz w:val="20"/>
                <w:szCs w:val="20"/>
              </w:rPr>
            </w:pPr>
            <w:r w:rsidRPr="00C64727">
              <w:rPr>
                <w:rFonts w:ascii="Times New Roman" w:hAnsi="Times New Roman"/>
                <w:sz w:val="20"/>
                <w:szCs w:val="20"/>
              </w:rPr>
              <w:t>0,26 %</w:t>
            </w:r>
          </w:p>
        </w:tc>
      </w:tr>
      <w:tr w:rsidR="0067338B" w:rsidRPr="00C64727" w14:paraId="3DAD834C" w14:textId="77777777" w:rsidTr="00601A28">
        <w:trPr>
          <w:trHeight w:val="260"/>
        </w:trPr>
        <w:tc>
          <w:tcPr>
            <w:tcW w:w="865" w:type="pct"/>
            <w:shd w:val="clear" w:color="auto" w:fill="auto"/>
            <w:noWrap/>
            <w:hideMark/>
          </w:tcPr>
          <w:p w14:paraId="19EF37A4" w14:textId="77777777" w:rsidR="0067338B" w:rsidRPr="00C64727" w:rsidRDefault="00D812BF">
            <w:pPr>
              <w:spacing w:after="120" w:line="240" w:lineRule="auto"/>
              <w:ind w:right="57"/>
              <w:rPr>
                <w:rFonts w:ascii="Times New Roman" w:eastAsia="Times New Roman" w:hAnsi="Times New Roman"/>
                <w:color w:val="000000"/>
                <w:sz w:val="20"/>
                <w:szCs w:val="20"/>
              </w:rPr>
            </w:pPr>
            <w:r w:rsidRPr="00C64727">
              <w:rPr>
                <w:rFonts w:ascii="Times New Roman" w:hAnsi="Times New Roman"/>
                <w:sz w:val="20"/>
                <w:szCs w:val="20"/>
              </w:rPr>
              <w:t>Mexikó</w:t>
            </w:r>
          </w:p>
        </w:tc>
        <w:tc>
          <w:tcPr>
            <w:tcW w:w="762" w:type="pct"/>
            <w:shd w:val="clear" w:color="auto" w:fill="auto"/>
            <w:noWrap/>
          </w:tcPr>
          <w:p w14:paraId="09365504" w14:textId="77777777" w:rsidR="0067338B" w:rsidRPr="00C64727" w:rsidRDefault="00D812BF">
            <w:pPr>
              <w:spacing w:after="120" w:line="240" w:lineRule="auto"/>
              <w:ind w:right="57"/>
              <w:jc w:val="center"/>
              <w:rPr>
                <w:rFonts w:ascii="Times New Roman" w:eastAsia="Times New Roman" w:hAnsi="Times New Roman"/>
                <w:sz w:val="20"/>
                <w:szCs w:val="20"/>
              </w:rPr>
            </w:pPr>
            <w:r w:rsidRPr="00C64727">
              <w:rPr>
                <w:rFonts w:ascii="Times New Roman" w:hAnsi="Times New Roman"/>
                <w:sz w:val="20"/>
                <w:szCs w:val="20"/>
              </w:rPr>
              <w:t xml:space="preserve">2,89 </w:t>
            </w:r>
          </w:p>
        </w:tc>
        <w:tc>
          <w:tcPr>
            <w:tcW w:w="844" w:type="pct"/>
            <w:shd w:val="clear" w:color="auto" w:fill="auto"/>
            <w:noWrap/>
          </w:tcPr>
          <w:p w14:paraId="0468240B" w14:textId="77777777" w:rsidR="0067338B" w:rsidRPr="00C64727" w:rsidRDefault="00D812BF">
            <w:pPr>
              <w:spacing w:after="120"/>
              <w:jc w:val="center"/>
              <w:rPr>
                <w:rFonts w:ascii="Times New Roman" w:hAnsi="Times New Roman"/>
                <w:sz w:val="20"/>
                <w:szCs w:val="20"/>
              </w:rPr>
            </w:pPr>
            <w:r w:rsidRPr="00C64727">
              <w:rPr>
                <w:rFonts w:ascii="Times New Roman" w:hAnsi="Times New Roman"/>
                <w:sz w:val="20"/>
                <w:szCs w:val="20"/>
              </w:rPr>
              <w:t xml:space="preserve">1,10 </w:t>
            </w:r>
          </w:p>
        </w:tc>
        <w:tc>
          <w:tcPr>
            <w:tcW w:w="892" w:type="pct"/>
            <w:shd w:val="clear" w:color="auto" w:fill="auto"/>
            <w:noWrap/>
            <w:hideMark/>
          </w:tcPr>
          <w:p w14:paraId="2A3B6635" w14:textId="77777777" w:rsidR="0067338B" w:rsidRPr="00C64727" w:rsidRDefault="00D812BF">
            <w:pPr>
              <w:spacing w:after="120" w:line="240" w:lineRule="auto"/>
              <w:ind w:right="57"/>
              <w:rPr>
                <w:rFonts w:ascii="Times New Roman" w:eastAsia="Times New Roman" w:hAnsi="Times New Roman"/>
                <w:color w:val="000000"/>
                <w:sz w:val="20"/>
                <w:szCs w:val="20"/>
              </w:rPr>
            </w:pPr>
            <w:r w:rsidRPr="00C64727">
              <w:rPr>
                <w:rFonts w:ascii="Times New Roman" w:hAnsi="Times New Roman"/>
                <w:sz w:val="20"/>
                <w:szCs w:val="20"/>
              </w:rPr>
              <w:t>Egyéb résztvevők</w:t>
            </w:r>
          </w:p>
        </w:tc>
        <w:tc>
          <w:tcPr>
            <w:tcW w:w="794" w:type="pct"/>
            <w:shd w:val="clear" w:color="auto" w:fill="auto"/>
            <w:noWrap/>
            <w:hideMark/>
          </w:tcPr>
          <w:p w14:paraId="43CCB92C" w14:textId="77777777" w:rsidR="0067338B" w:rsidRPr="00C64727" w:rsidRDefault="00D812BF">
            <w:pPr>
              <w:spacing w:after="120" w:line="240" w:lineRule="auto"/>
              <w:ind w:right="57"/>
              <w:rPr>
                <w:rFonts w:ascii="Times New Roman" w:eastAsia="Times New Roman" w:hAnsi="Times New Roman"/>
                <w:color w:val="000000"/>
                <w:sz w:val="20"/>
                <w:szCs w:val="20"/>
              </w:rPr>
            </w:pPr>
            <w:r w:rsidRPr="00C64727">
              <w:rPr>
                <w:rFonts w:ascii="Times New Roman" w:hAnsi="Times New Roman"/>
                <w:sz w:val="20"/>
                <w:szCs w:val="20"/>
              </w:rPr>
              <w:t>6,11</w:t>
            </w:r>
          </w:p>
        </w:tc>
        <w:tc>
          <w:tcPr>
            <w:tcW w:w="842" w:type="pct"/>
            <w:shd w:val="clear" w:color="auto" w:fill="auto"/>
            <w:noWrap/>
            <w:hideMark/>
          </w:tcPr>
          <w:p w14:paraId="1FE8B67C" w14:textId="77777777" w:rsidR="0067338B" w:rsidRPr="00C64727" w:rsidRDefault="00D812BF">
            <w:pPr>
              <w:spacing w:after="120" w:line="240" w:lineRule="auto"/>
              <w:ind w:right="57"/>
              <w:rPr>
                <w:rFonts w:ascii="Times New Roman" w:eastAsia="Times New Roman" w:hAnsi="Times New Roman"/>
                <w:color w:val="000000"/>
                <w:sz w:val="20"/>
                <w:szCs w:val="20"/>
              </w:rPr>
            </w:pPr>
            <w:r w:rsidRPr="00C64727">
              <w:rPr>
                <w:rFonts w:ascii="Times New Roman" w:hAnsi="Times New Roman"/>
                <w:sz w:val="20"/>
                <w:szCs w:val="20"/>
              </w:rPr>
              <w:t>3,21 %</w:t>
            </w:r>
          </w:p>
        </w:tc>
      </w:tr>
      <w:tr w:rsidR="0067338B" w:rsidRPr="00C64727" w14:paraId="3C5052DF" w14:textId="77777777" w:rsidTr="00601A28">
        <w:trPr>
          <w:trHeight w:val="260"/>
        </w:trPr>
        <w:tc>
          <w:tcPr>
            <w:tcW w:w="865" w:type="pct"/>
            <w:shd w:val="clear" w:color="auto" w:fill="auto"/>
            <w:noWrap/>
          </w:tcPr>
          <w:p w14:paraId="4492C2B1" w14:textId="77777777" w:rsidR="0067338B" w:rsidRPr="00C64727" w:rsidRDefault="00D812BF">
            <w:pPr>
              <w:spacing w:after="120" w:line="240" w:lineRule="auto"/>
              <w:ind w:right="57"/>
              <w:rPr>
                <w:rFonts w:ascii="Times New Roman" w:eastAsia="Times New Roman" w:hAnsi="Times New Roman"/>
                <w:sz w:val="20"/>
                <w:szCs w:val="20"/>
              </w:rPr>
            </w:pPr>
            <w:r w:rsidRPr="00C64727">
              <w:rPr>
                <w:rFonts w:ascii="Times New Roman" w:hAnsi="Times New Roman"/>
                <w:sz w:val="20"/>
                <w:szCs w:val="20"/>
              </w:rPr>
              <w:t>Egyéb résztvevők</w:t>
            </w:r>
          </w:p>
        </w:tc>
        <w:tc>
          <w:tcPr>
            <w:tcW w:w="762" w:type="pct"/>
            <w:shd w:val="clear" w:color="auto" w:fill="auto"/>
            <w:noWrap/>
          </w:tcPr>
          <w:p w14:paraId="4D43D019" w14:textId="77777777" w:rsidR="0067338B" w:rsidRPr="00C64727" w:rsidRDefault="00D812BF">
            <w:pPr>
              <w:spacing w:after="120" w:line="240" w:lineRule="auto"/>
              <w:ind w:right="57"/>
              <w:jc w:val="center"/>
              <w:rPr>
                <w:rFonts w:ascii="Times New Roman" w:eastAsia="Times New Roman" w:hAnsi="Times New Roman"/>
                <w:sz w:val="20"/>
                <w:szCs w:val="20"/>
              </w:rPr>
            </w:pPr>
            <w:r w:rsidRPr="00C64727">
              <w:rPr>
                <w:rFonts w:ascii="Times New Roman" w:hAnsi="Times New Roman"/>
                <w:sz w:val="20"/>
                <w:szCs w:val="20"/>
              </w:rPr>
              <w:t xml:space="preserve">24,65 </w:t>
            </w:r>
          </w:p>
        </w:tc>
        <w:tc>
          <w:tcPr>
            <w:tcW w:w="844" w:type="pct"/>
            <w:shd w:val="clear" w:color="auto" w:fill="auto"/>
            <w:noWrap/>
          </w:tcPr>
          <w:p w14:paraId="3D933A15" w14:textId="77777777" w:rsidR="0067338B" w:rsidRPr="00C64727" w:rsidRDefault="00D812BF">
            <w:pPr>
              <w:spacing w:after="120"/>
              <w:jc w:val="center"/>
              <w:rPr>
                <w:rFonts w:ascii="Times New Roman" w:hAnsi="Times New Roman"/>
                <w:sz w:val="20"/>
                <w:szCs w:val="20"/>
              </w:rPr>
            </w:pPr>
            <w:r w:rsidRPr="00C64727">
              <w:rPr>
                <w:rFonts w:ascii="Times New Roman" w:hAnsi="Times New Roman"/>
                <w:sz w:val="20"/>
                <w:szCs w:val="20"/>
              </w:rPr>
              <w:t xml:space="preserve">9,43 </w:t>
            </w:r>
          </w:p>
        </w:tc>
        <w:tc>
          <w:tcPr>
            <w:tcW w:w="892" w:type="pct"/>
            <w:shd w:val="clear" w:color="auto" w:fill="auto"/>
            <w:noWrap/>
          </w:tcPr>
          <w:p w14:paraId="5427F9CA" w14:textId="77777777" w:rsidR="0067338B" w:rsidRPr="00C64727" w:rsidRDefault="0067338B">
            <w:pPr>
              <w:spacing w:after="120" w:line="240" w:lineRule="auto"/>
              <w:ind w:right="57"/>
              <w:rPr>
                <w:rFonts w:ascii="Times New Roman" w:eastAsia="Times New Roman" w:hAnsi="Times New Roman"/>
                <w:color w:val="000000"/>
                <w:sz w:val="20"/>
                <w:szCs w:val="20"/>
                <w:highlight w:val="yellow"/>
              </w:rPr>
            </w:pPr>
          </w:p>
        </w:tc>
        <w:tc>
          <w:tcPr>
            <w:tcW w:w="794" w:type="pct"/>
            <w:shd w:val="clear" w:color="auto" w:fill="auto"/>
            <w:noWrap/>
          </w:tcPr>
          <w:p w14:paraId="1CA6A323" w14:textId="77777777" w:rsidR="0067338B" w:rsidRPr="00C64727" w:rsidRDefault="0067338B">
            <w:pPr>
              <w:spacing w:after="120" w:line="240" w:lineRule="auto"/>
              <w:ind w:right="57"/>
              <w:rPr>
                <w:rFonts w:ascii="Times New Roman" w:eastAsia="Times New Roman" w:hAnsi="Times New Roman"/>
                <w:color w:val="000000"/>
                <w:sz w:val="20"/>
                <w:szCs w:val="20"/>
                <w:highlight w:val="yellow"/>
              </w:rPr>
            </w:pPr>
          </w:p>
        </w:tc>
        <w:tc>
          <w:tcPr>
            <w:tcW w:w="842" w:type="pct"/>
            <w:shd w:val="clear" w:color="auto" w:fill="auto"/>
            <w:noWrap/>
          </w:tcPr>
          <w:p w14:paraId="3FCD26A5" w14:textId="77777777" w:rsidR="0067338B" w:rsidRPr="00C64727" w:rsidRDefault="0067338B">
            <w:pPr>
              <w:spacing w:after="120" w:line="240" w:lineRule="auto"/>
              <w:ind w:right="57"/>
              <w:rPr>
                <w:rFonts w:ascii="Times New Roman" w:eastAsia="Times New Roman" w:hAnsi="Times New Roman"/>
                <w:color w:val="000000"/>
                <w:sz w:val="20"/>
                <w:szCs w:val="20"/>
                <w:highlight w:val="yellow"/>
              </w:rPr>
            </w:pPr>
          </w:p>
        </w:tc>
      </w:tr>
      <w:tr w:rsidR="0067338B" w:rsidRPr="00C64727" w14:paraId="3ACA0DB9" w14:textId="77777777" w:rsidTr="00601A28">
        <w:trPr>
          <w:trHeight w:val="260"/>
        </w:trPr>
        <w:tc>
          <w:tcPr>
            <w:tcW w:w="865" w:type="pct"/>
            <w:shd w:val="clear" w:color="auto" w:fill="auto"/>
            <w:noWrap/>
          </w:tcPr>
          <w:p w14:paraId="70880110" w14:textId="77777777" w:rsidR="0067338B" w:rsidRPr="00C64727" w:rsidRDefault="00D812BF">
            <w:pPr>
              <w:spacing w:after="120" w:line="240" w:lineRule="auto"/>
              <w:ind w:right="57"/>
              <w:rPr>
                <w:rFonts w:ascii="Times New Roman" w:eastAsia="Times New Roman" w:hAnsi="Times New Roman"/>
                <w:b/>
                <w:sz w:val="20"/>
                <w:szCs w:val="20"/>
              </w:rPr>
            </w:pPr>
            <w:r w:rsidRPr="00C64727">
              <w:rPr>
                <w:rFonts w:ascii="Times New Roman" w:hAnsi="Times New Roman"/>
                <w:b/>
                <w:sz w:val="20"/>
                <w:szCs w:val="20"/>
              </w:rPr>
              <w:t>Igazolt kibocsátáscsökkentések és ERU-k összesen</w:t>
            </w:r>
          </w:p>
        </w:tc>
        <w:tc>
          <w:tcPr>
            <w:tcW w:w="762" w:type="pct"/>
            <w:shd w:val="clear" w:color="auto" w:fill="auto"/>
            <w:noWrap/>
          </w:tcPr>
          <w:p w14:paraId="2C9DAAAA" w14:textId="77777777" w:rsidR="0067338B" w:rsidRPr="00C64727" w:rsidRDefault="00D812BF">
            <w:pPr>
              <w:spacing w:after="120" w:line="240" w:lineRule="auto"/>
              <w:ind w:right="57"/>
              <w:jc w:val="center"/>
              <w:rPr>
                <w:rFonts w:ascii="Times New Roman" w:eastAsia="Times New Roman" w:hAnsi="Times New Roman"/>
                <w:b/>
                <w:sz w:val="20"/>
                <w:szCs w:val="20"/>
              </w:rPr>
            </w:pPr>
            <w:r w:rsidRPr="00C64727">
              <w:rPr>
                <w:rFonts w:ascii="Times New Roman" w:hAnsi="Times New Roman"/>
                <w:b/>
                <w:sz w:val="20"/>
                <w:szCs w:val="20"/>
              </w:rPr>
              <w:t xml:space="preserve">453,49 </w:t>
            </w:r>
          </w:p>
        </w:tc>
        <w:tc>
          <w:tcPr>
            <w:tcW w:w="844" w:type="pct"/>
            <w:shd w:val="clear" w:color="auto" w:fill="auto"/>
            <w:noWrap/>
          </w:tcPr>
          <w:p w14:paraId="37A90C4E" w14:textId="77777777" w:rsidR="0067338B" w:rsidRPr="00C64727" w:rsidRDefault="00D812BF">
            <w:pPr>
              <w:spacing w:after="120"/>
              <w:jc w:val="center"/>
              <w:rPr>
                <w:rFonts w:ascii="Times New Roman" w:hAnsi="Times New Roman"/>
                <w:b/>
                <w:sz w:val="20"/>
                <w:szCs w:val="20"/>
              </w:rPr>
            </w:pPr>
            <w:r w:rsidRPr="00C64727">
              <w:rPr>
                <w:rFonts w:ascii="Times New Roman" w:hAnsi="Times New Roman"/>
                <w:b/>
                <w:sz w:val="20"/>
                <w:szCs w:val="20"/>
              </w:rPr>
              <w:t>100 %</w:t>
            </w:r>
          </w:p>
        </w:tc>
        <w:tc>
          <w:tcPr>
            <w:tcW w:w="892" w:type="pct"/>
            <w:shd w:val="clear" w:color="auto" w:fill="auto"/>
            <w:noWrap/>
          </w:tcPr>
          <w:p w14:paraId="6B49F04A" w14:textId="77777777" w:rsidR="0067338B" w:rsidRPr="00C64727" w:rsidRDefault="0067338B">
            <w:pPr>
              <w:spacing w:after="120" w:line="240" w:lineRule="auto"/>
              <w:ind w:right="57"/>
              <w:rPr>
                <w:rFonts w:ascii="Times New Roman" w:eastAsia="Times New Roman" w:hAnsi="Times New Roman"/>
                <w:b/>
                <w:color w:val="000000"/>
                <w:sz w:val="20"/>
                <w:szCs w:val="20"/>
              </w:rPr>
            </w:pPr>
          </w:p>
        </w:tc>
        <w:tc>
          <w:tcPr>
            <w:tcW w:w="794" w:type="pct"/>
            <w:shd w:val="clear" w:color="auto" w:fill="auto"/>
            <w:noWrap/>
          </w:tcPr>
          <w:p w14:paraId="0E942C90" w14:textId="77777777" w:rsidR="0067338B" w:rsidRPr="00C64727" w:rsidRDefault="0067338B">
            <w:pPr>
              <w:spacing w:after="120" w:line="240" w:lineRule="auto"/>
              <w:ind w:right="57"/>
              <w:rPr>
                <w:rFonts w:ascii="Times New Roman" w:eastAsia="Times New Roman" w:hAnsi="Times New Roman"/>
                <w:b/>
                <w:color w:val="000000"/>
                <w:sz w:val="20"/>
                <w:szCs w:val="20"/>
              </w:rPr>
            </w:pPr>
          </w:p>
        </w:tc>
        <w:tc>
          <w:tcPr>
            <w:tcW w:w="842" w:type="pct"/>
            <w:shd w:val="clear" w:color="auto" w:fill="auto"/>
            <w:noWrap/>
          </w:tcPr>
          <w:p w14:paraId="657E5685" w14:textId="77777777" w:rsidR="0067338B" w:rsidRPr="00C64727" w:rsidRDefault="0067338B">
            <w:pPr>
              <w:spacing w:after="120" w:line="240" w:lineRule="auto"/>
              <w:ind w:right="57"/>
              <w:rPr>
                <w:rFonts w:ascii="Times New Roman" w:eastAsia="Times New Roman" w:hAnsi="Times New Roman"/>
                <w:b/>
                <w:color w:val="000000"/>
                <w:sz w:val="20"/>
                <w:szCs w:val="20"/>
              </w:rPr>
            </w:pPr>
          </w:p>
        </w:tc>
      </w:tr>
    </w:tbl>
    <w:p w14:paraId="747D5123" w14:textId="77777777" w:rsidR="0067338B" w:rsidRPr="00C64727" w:rsidRDefault="00626D3C">
      <w:pPr>
        <w:rPr>
          <w:rFonts w:ascii="Times New Roman" w:hAnsi="Times New Roman"/>
          <w:b/>
          <w:sz w:val="18"/>
          <w:szCs w:val="18"/>
        </w:rPr>
      </w:pPr>
      <w:r w:rsidRPr="00C64727">
        <w:rPr>
          <w:rFonts w:ascii="Times New Roman" w:hAnsi="Times New Roman"/>
          <w:b/>
          <w:sz w:val="18"/>
          <w:szCs w:val="18"/>
        </w:rPr>
        <w:t>Forrás: EUTL</w:t>
      </w:r>
    </w:p>
    <w:p w14:paraId="069EB13E" w14:textId="77777777" w:rsidR="0067338B" w:rsidRPr="00C64727" w:rsidRDefault="00D812BF">
      <w:pPr>
        <w:rPr>
          <w:rFonts w:ascii="Times New Roman" w:hAnsi="Times New Roman"/>
          <w:b/>
          <w:sz w:val="20"/>
          <w:szCs w:val="20"/>
        </w:rPr>
      </w:pPr>
      <w:r w:rsidRPr="00C64727">
        <w:rPr>
          <w:rFonts w:ascii="Times New Roman" w:hAnsi="Times New Roman"/>
          <w:b/>
          <w:sz w:val="20"/>
          <w:szCs w:val="20"/>
        </w:rPr>
        <w:t xml:space="preserve">3.2. táblázat: A 2019. június végéig beváltott nemzetközi jóváírások összefoglalása létesítménytípusonként </w:t>
      </w:r>
    </w:p>
    <w:tbl>
      <w:tblPr>
        <w:tblW w:w="4111" w:type="pct"/>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533"/>
        <w:gridCol w:w="2534"/>
        <w:gridCol w:w="2532"/>
      </w:tblGrid>
      <w:tr w:rsidR="0067338B" w:rsidRPr="00C64727" w14:paraId="05A592FA" w14:textId="77777777" w:rsidTr="00E72EF9">
        <w:trPr>
          <w:trHeight w:val="247"/>
        </w:trPr>
        <w:tc>
          <w:tcPr>
            <w:tcW w:w="1667" w:type="pct"/>
            <w:shd w:val="clear" w:color="auto" w:fill="auto"/>
            <w:noWrap/>
            <w:hideMark/>
          </w:tcPr>
          <w:p w14:paraId="11023F04" w14:textId="77777777" w:rsidR="0067338B" w:rsidRPr="00C64727" w:rsidRDefault="00D812BF">
            <w:pPr>
              <w:spacing w:after="0" w:line="240" w:lineRule="auto"/>
              <w:ind w:right="57"/>
              <w:rPr>
                <w:rFonts w:ascii="Times New Roman" w:eastAsia="Times New Roman" w:hAnsi="Times New Roman"/>
                <w:b/>
                <w:bCs/>
                <w:color w:val="000000"/>
                <w:sz w:val="20"/>
                <w:szCs w:val="20"/>
              </w:rPr>
            </w:pPr>
            <w:r w:rsidRPr="00C64727">
              <w:rPr>
                <w:rFonts w:ascii="Times New Roman" w:hAnsi="Times New Roman"/>
                <w:b/>
                <w:sz w:val="20"/>
                <w:szCs w:val="20"/>
              </w:rPr>
              <w:t>A 2019. június végéig beváltott nemzetközi jóváírások az alábbiak alapján:</w:t>
            </w:r>
          </w:p>
        </w:tc>
        <w:tc>
          <w:tcPr>
            <w:tcW w:w="1667" w:type="pct"/>
            <w:shd w:val="clear" w:color="auto" w:fill="auto"/>
            <w:noWrap/>
            <w:hideMark/>
          </w:tcPr>
          <w:p w14:paraId="1E38255E" w14:textId="77777777" w:rsidR="0067338B" w:rsidRPr="00C64727" w:rsidRDefault="00D812BF">
            <w:pPr>
              <w:spacing w:after="0" w:line="240" w:lineRule="auto"/>
              <w:ind w:right="57"/>
              <w:jc w:val="center"/>
              <w:rPr>
                <w:rFonts w:ascii="Times New Roman" w:eastAsia="Times New Roman" w:hAnsi="Times New Roman"/>
                <w:b/>
                <w:sz w:val="20"/>
                <w:szCs w:val="20"/>
              </w:rPr>
            </w:pPr>
            <w:r w:rsidRPr="00C64727">
              <w:rPr>
                <w:rFonts w:ascii="Times New Roman" w:hAnsi="Times New Roman"/>
                <w:b/>
                <w:sz w:val="20"/>
                <w:szCs w:val="20"/>
              </w:rPr>
              <w:t>Igazolt kibocsátáscsökkentések</w:t>
            </w:r>
          </w:p>
          <w:p w14:paraId="6AFE415E" w14:textId="77777777" w:rsidR="0067338B" w:rsidRPr="00C64727" w:rsidRDefault="00D812BF">
            <w:pPr>
              <w:spacing w:after="0" w:line="240" w:lineRule="auto"/>
              <w:ind w:right="57"/>
              <w:jc w:val="center"/>
              <w:rPr>
                <w:rFonts w:ascii="Times New Roman" w:eastAsia="Times New Roman" w:hAnsi="Times New Roman"/>
                <w:b/>
                <w:bCs/>
                <w:color w:val="000000"/>
                <w:sz w:val="20"/>
                <w:szCs w:val="20"/>
              </w:rPr>
            </w:pPr>
            <w:r w:rsidRPr="00C64727">
              <w:rPr>
                <w:rFonts w:ascii="Times New Roman" w:hAnsi="Times New Roman"/>
                <w:b/>
                <w:sz w:val="20"/>
                <w:szCs w:val="20"/>
              </w:rPr>
              <w:t xml:space="preserve">millió  </w:t>
            </w:r>
          </w:p>
        </w:tc>
        <w:tc>
          <w:tcPr>
            <w:tcW w:w="1666" w:type="pct"/>
            <w:shd w:val="clear" w:color="auto" w:fill="auto"/>
            <w:noWrap/>
            <w:hideMark/>
          </w:tcPr>
          <w:p w14:paraId="371E9229" w14:textId="77777777" w:rsidR="0067338B" w:rsidRPr="00C64727" w:rsidRDefault="00D812BF">
            <w:pPr>
              <w:spacing w:after="0" w:line="240" w:lineRule="auto"/>
              <w:ind w:right="57"/>
              <w:jc w:val="center"/>
              <w:rPr>
                <w:rFonts w:ascii="Times New Roman" w:eastAsia="Times New Roman" w:hAnsi="Times New Roman"/>
                <w:b/>
                <w:sz w:val="20"/>
                <w:szCs w:val="20"/>
              </w:rPr>
            </w:pPr>
            <w:r w:rsidRPr="00C64727">
              <w:rPr>
                <w:rFonts w:ascii="Times New Roman" w:hAnsi="Times New Roman"/>
                <w:b/>
                <w:sz w:val="20"/>
                <w:szCs w:val="20"/>
              </w:rPr>
              <w:t>ERU-k</w:t>
            </w:r>
          </w:p>
          <w:p w14:paraId="2AD9EEA9" w14:textId="77777777" w:rsidR="0067338B" w:rsidRPr="00C64727" w:rsidRDefault="00D812BF">
            <w:pPr>
              <w:spacing w:after="0" w:line="240" w:lineRule="auto"/>
              <w:ind w:right="57"/>
              <w:jc w:val="center"/>
              <w:rPr>
                <w:rFonts w:ascii="Times New Roman" w:eastAsia="Times New Roman" w:hAnsi="Times New Roman"/>
                <w:b/>
                <w:bCs/>
                <w:color w:val="000000"/>
                <w:sz w:val="20"/>
                <w:szCs w:val="20"/>
              </w:rPr>
            </w:pPr>
            <w:r w:rsidRPr="00C64727">
              <w:rPr>
                <w:rFonts w:ascii="Times New Roman" w:hAnsi="Times New Roman"/>
                <w:b/>
                <w:sz w:val="20"/>
                <w:szCs w:val="20"/>
              </w:rPr>
              <w:t xml:space="preserve">millió </w:t>
            </w:r>
          </w:p>
        </w:tc>
      </w:tr>
      <w:tr w:rsidR="0067338B" w:rsidRPr="00C64727" w14:paraId="6865279C" w14:textId="77777777" w:rsidTr="00E72EF9">
        <w:trPr>
          <w:trHeight w:val="247"/>
        </w:trPr>
        <w:tc>
          <w:tcPr>
            <w:tcW w:w="1667" w:type="pct"/>
            <w:shd w:val="clear" w:color="auto" w:fill="auto"/>
            <w:noWrap/>
            <w:hideMark/>
          </w:tcPr>
          <w:p w14:paraId="3C044288" w14:textId="77777777" w:rsidR="0067338B" w:rsidRPr="00C64727" w:rsidRDefault="00D812BF">
            <w:pPr>
              <w:spacing w:after="120" w:line="240" w:lineRule="auto"/>
              <w:ind w:right="57"/>
              <w:rPr>
                <w:rFonts w:ascii="Times New Roman" w:eastAsia="Times New Roman" w:hAnsi="Times New Roman"/>
                <w:bCs/>
                <w:color w:val="000000"/>
                <w:sz w:val="20"/>
                <w:szCs w:val="20"/>
              </w:rPr>
            </w:pPr>
            <w:r w:rsidRPr="00C64727">
              <w:rPr>
                <w:rFonts w:ascii="Times New Roman" w:hAnsi="Times New Roman"/>
                <w:sz w:val="20"/>
                <w:szCs w:val="20"/>
              </w:rPr>
              <w:t>Helyhez kötött létesítmények</w:t>
            </w:r>
          </w:p>
        </w:tc>
        <w:tc>
          <w:tcPr>
            <w:tcW w:w="1667" w:type="pct"/>
            <w:shd w:val="clear" w:color="auto" w:fill="auto"/>
            <w:noWrap/>
            <w:hideMark/>
          </w:tcPr>
          <w:p w14:paraId="0A7940B7" w14:textId="77777777" w:rsidR="0067338B" w:rsidRPr="00C64727" w:rsidRDefault="00D812BF">
            <w:pPr>
              <w:spacing w:after="120" w:line="240" w:lineRule="auto"/>
              <w:ind w:right="57"/>
              <w:jc w:val="center"/>
              <w:rPr>
                <w:rFonts w:ascii="Times New Roman" w:eastAsia="Times New Roman" w:hAnsi="Times New Roman"/>
                <w:bCs/>
                <w:color w:val="000000"/>
                <w:sz w:val="20"/>
                <w:szCs w:val="20"/>
              </w:rPr>
            </w:pPr>
            <w:r w:rsidRPr="00C64727">
              <w:rPr>
                <w:rFonts w:ascii="Times New Roman" w:hAnsi="Times New Roman"/>
                <w:sz w:val="20"/>
                <w:szCs w:val="20"/>
              </w:rPr>
              <w:t>256,46</w:t>
            </w:r>
          </w:p>
        </w:tc>
        <w:tc>
          <w:tcPr>
            <w:tcW w:w="1666" w:type="pct"/>
            <w:shd w:val="clear" w:color="auto" w:fill="auto"/>
            <w:noWrap/>
            <w:hideMark/>
          </w:tcPr>
          <w:p w14:paraId="68B44FC5" w14:textId="77777777" w:rsidR="0067338B" w:rsidRPr="00C64727" w:rsidRDefault="00D812BF">
            <w:pPr>
              <w:spacing w:after="120"/>
              <w:jc w:val="center"/>
              <w:rPr>
                <w:rFonts w:ascii="Times New Roman" w:hAnsi="Times New Roman"/>
                <w:sz w:val="20"/>
                <w:szCs w:val="20"/>
              </w:rPr>
            </w:pPr>
            <w:r w:rsidRPr="00C64727">
              <w:rPr>
                <w:rFonts w:ascii="Times New Roman" w:hAnsi="Times New Roman"/>
                <w:sz w:val="20"/>
                <w:szCs w:val="20"/>
              </w:rPr>
              <w:t>191,25</w:t>
            </w:r>
          </w:p>
        </w:tc>
      </w:tr>
      <w:tr w:rsidR="0067338B" w:rsidRPr="00C64727" w14:paraId="1A0E4308" w14:textId="77777777" w:rsidTr="00E72EF9">
        <w:trPr>
          <w:trHeight w:val="237"/>
        </w:trPr>
        <w:tc>
          <w:tcPr>
            <w:tcW w:w="1667" w:type="pct"/>
            <w:shd w:val="clear" w:color="auto" w:fill="auto"/>
            <w:noWrap/>
            <w:hideMark/>
          </w:tcPr>
          <w:p w14:paraId="0BAD6CDB" w14:textId="77777777" w:rsidR="0067338B" w:rsidRPr="00C64727" w:rsidRDefault="00D812BF">
            <w:pPr>
              <w:spacing w:after="120" w:line="240" w:lineRule="auto"/>
              <w:ind w:right="57"/>
              <w:rPr>
                <w:rFonts w:ascii="Times New Roman" w:eastAsia="Times New Roman" w:hAnsi="Times New Roman"/>
                <w:color w:val="000000"/>
                <w:sz w:val="20"/>
                <w:szCs w:val="20"/>
              </w:rPr>
            </w:pPr>
            <w:r w:rsidRPr="00C64727">
              <w:rPr>
                <w:rFonts w:ascii="Times New Roman" w:hAnsi="Times New Roman"/>
                <w:sz w:val="20"/>
                <w:szCs w:val="20"/>
              </w:rPr>
              <w:t xml:space="preserve">Légijármű-üzemeltetők </w:t>
            </w:r>
          </w:p>
        </w:tc>
        <w:tc>
          <w:tcPr>
            <w:tcW w:w="1667" w:type="pct"/>
            <w:shd w:val="clear" w:color="auto" w:fill="auto"/>
            <w:noWrap/>
          </w:tcPr>
          <w:p w14:paraId="1735D797" w14:textId="77777777" w:rsidR="0067338B" w:rsidRPr="00C64727" w:rsidRDefault="00D812BF">
            <w:pPr>
              <w:spacing w:after="120" w:line="240" w:lineRule="auto"/>
              <w:ind w:right="57"/>
              <w:jc w:val="center"/>
              <w:rPr>
                <w:rFonts w:ascii="Times New Roman" w:eastAsia="Times New Roman" w:hAnsi="Times New Roman"/>
                <w:sz w:val="20"/>
                <w:szCs w:val="20"/>
              </w:rPr>
            </w:pPr>
            <w:r w:rsidRPr="00C64727">
              <w:rPr>
                <w:rFonts w:ascii="Times New Roman" w:hAnsi="Times New Roman"/>
                <w:sz w:val="20"/>
                <w:szCs w:val="20"/>
              </w:rPr>
              <w:t>4,96</w:t>
            </w:r>
          </w:p>
        </w:tc>
        <w:tc>
          <w:tcPr>
            <w:tcW w:w="1666" w:type="pct"/>
            <w:shd w:val="clear" w:color="auto" w:fill="auto"/>
            <w:noWrap/>
          </w:tcPr>
          <w:p w14:paraId="079C8105" w14:textId="77777777" w:rsidR="0067338B" w:rsidRPr="00C64727" w:rsidRDefault="00D812BF">
            <w:pPr>
              <w:spacing w:after="120"/>
              <w:jc w:val="center"/>
              <w:rPr>
                <w:rFonts w:ascii="Times New Roman" w:hAnsi="Times New Roman"/>
                <w:sz w:val="20"/>
                <w:szCs w:val="20"/>
              </w:rPr>
            </w:pPr>
            <w:r w:rsidRPr="00C64727">
              <w:rPr>
                <w:rFonts w:ascii="Times New Roman" w:hAnsi="Times New Roman"/>
                <w:sz w:val="20"/>
                <w:szCs w:val="20"/>
              </w:rPr>
              <w:t>0,82</w:t>
            </w:r>
          </w:p>
        </w:tc>
      </w:tr>
      <w:tr w:rsidR="0067338B" w:rsidRPr="00C64727" w14:paraId="49FD20B1" w14:textId="77777777" w:rsidTr="00E72EF9">
        <w:trPr>
          <w:trHeight w:val="269"/>
        </w:trPr>
        <w:tc>
          <w:tcPr>
            <w:tcW w:w="1667" w:type="pct"/>
            <w:shd w:val="clear" w:color="auto" w:fill="auto"/>
            <w:noWrap/>
          </w:tcPr>
          <w:p w14:paraId="302E55CF" w14:textId="77777777" w:rsidR="0067338B" w:rsidRPr="00C64727" w:rsidRDefault="00D812BF">
            <w:pPr>
              <w:spacing w:after="120" w:line="240" w:lineRule="auto"/>
              <w:ind w:right="57"/>
              <w:rPr>
                <w:rFonts w:ascii="Times New Roman" w:eastAsia="Times New Roman" w:hAnsi="Times New Roman"/>
                <w:b/>
                <w:sz w:val="20"/>
                <w:szCs w:val="20"/>
              </w:rPr>
            </w:pPr>
            <w:r w:rsidRPr="00C64727">
              <w:rPr>
                <w:rFonts w:ascii="Times New Roman" w:hAnsi="Times New Roman"/>
                <w:b/>
                <w:sz w:val="20"/>
                <w:szCs w:val="20"/>
              </w:rPr>
              <w:t>ÖSSZESEN</w:t>
            </w:r>
          </w:p>
        </w:tc>
        <w:tc>
          <w:tcPr>
            <w:tcW w:w="1667" w:type="pct"/>
            <w:shd w:val="clear" w:color="auto" w:fill="auto"/>
            <w:noWrap/>
          </w:tcPr>
          <w:p w14:paraId="7C9EC01C" w14:textId="77777777" w:rsidR="0067338B" w:rsidRPr="00C64727" w:rsidRDefault="00D812BF">
            <w:pPr>
              <w:spacing w:after="120" w:line="240" w:lineRule="auto"/>
              <w:ind w:right="57"/>
              <w:jc w:val="center"/>
              <w:rPr>
                <w:rFonts w:ascii="Times New Roman" w:eastAsia="Times New Roman" w:hAnsi="Times New Roman"/>
                <w:b/>
                <w:sz w:val="20"/>
                <w:szCs w:val="20"/>
              </w:rPr>
            </w:pPr>
            <w:r w:rsidRPr="00C64727">
              <w:rPr>
                <w:rFonts w:ascii="Times New Roman" w:hAnsi="Times New Roman"/>
                <w:b/>
                <w:sz w:val="20"/>
                <w:szCs w:val="20"/>
              </w:rPr>
              <w:t>261,42</w:t>
            </w:r>
          </w:p>
        </w:tc>
        <w:tc>
          <w:tcPr>
            <w:tcW w:w="1666" w:type="pct"/>
            <w:shd w:val="clear" w:color="auto" w:fill="auto"/>
            <w:noWrap/>
          </w:tcPr>
          <w:p w14:paraId="713CF12C" w14:textId="77777777" w:rsidR="0067338B" w:rsidRPr="00C64727" w:rsidRDefault="00D812BF">
            <w:pPr>
              <w:spacing w:after="120"/>
              <w:jc w:val="center"/>
              <w:rPr>
                <w:rFonts w:ascii="Times New Roman" w:hAnsi="Times New Roman"/>
                <w:b/>
                <w:sz w:val="20"/>
                <w:szCs w:val="20"/>
              </w:rPr>
            </w:pPr>
            <w:r w:rsidRPr="00C64727">
              <w:rPr>
                <w:rFonts w:ascii="Times New Roman" w:hAnsi="Times New Roman"/>
                <w:b/>
                <w:sz w:val="20"/>
                <w:szCs w:val="20"/>
              </w:rPr>
              <w:t>192,07</w:t>
            </w:r>
          </w:p>
        </w:tc>
      </w:tr>
    </w:tbl>
    <w:p w14:paraId="0EDBFBF2" w14:textId="77777777" w:rsidR="0067338B" w:rsidRPr="00C64727" w:rsidRDefault="00626D3C">
      <w:pPr>
        <w:rPr>
          <w:rFonts w:ascii="Times New Roman" w:hAnsi="Times New Roman"/>
          <w:b/>
          <w:sz w:val="18"/>
          <w:szCs w:val="18"/>
        </w:rPr>
      </w:pPr>
      <w:r w:rsidRPr="00C64727">
        <w:rPr>
          <w:rFonts w:ascii="Times New Roman" w:hAnsi="Times New Roman"/>
          <w:b/>
          <w:sz w:val="18"/>
          <w:szCs w:val="18"/>
        </w:rPr>
        <w:t>Forrás: EUTL</w:t>
      </w:r>
    </w:p>
    <w:p w14:paraId="285D3DFE" w14:textId="6B85208B" w:rsidR="0067338B" w:rsidRDefault="0067338B">
      <w:pPr>
        <w:rPr>
          <w:rFonts w:ascii="Times New Roman" w:hAnsi="Times New Roman"/>
          <w:b/>
          <w:sz w:val="24"/>
          <w:szCs w:val="24"/>
        </w:rPr>
      </w:pPr>
    </w:p>
    <w:p w14:paraId="6D3E5C58" w14:textId="77777777" w:rsidR="00C64727" w:rsidRPr="00C64727" w:rsidRDefault="00C64727">
      <w:pPr>
        <w:rPr>
          <w:rFonts w:ascii="Times New Roman" w:hAnsi="Times New Roman"/>
          <w:b/>
          <w:sz w:val="24"/>
          <w:szCs w:val="24"/>
        </w:rPr>
      </w:pPr>
    </w:p>
    <w:p w14:paraId="1C201344" w14:textId="77777777" w:rsidR="0067338B" w:rsidRPr="00C64727" w:rsidRDefault="001F1235">
      <w:pPr>
        <w:rPr>
          <w:rFonts w:ascii="Times New Roman" w:hAnsi="Times New Roman"/>
          <w:b/>
        </w:rPr>
      </w:pPr>
      <w:r w:rsidRPr="00C64727">
        <w:rPr>
          <w:rFonts w:ascii="Times New Roman" w:hAnsi="Times New Roman"/>
          <w:b/>
        </w:rPr>
        <w:t>4. függelék</w:t>
      </w:r>
    </w:p>
    <w:p w14:paraId="158FD0F4" w14:textId="77777777" w:rsidR="0067338B" w:rsidRPr="00C64727" w:rsidRDefault="001F1235">
      <w:pPr>
        <w:pStyle w:val="Caption"/>
        <w:keepNext/>
        <w:rPr>
          <w:rFonts w:ascii="Times New Roman" w:hAnsi="Times New Roman"/>
        </w:rPr>
      </w:pPr>
      <w:r w:rsidRPr="00C64727">
        <w:rPr>
          <w:rFonts w:ascii="Times New Roman" w:hAnsi="Times New Roman"/>
        </w:rPr>
        <w:t>4.1. táblázat: A kibocsátáskereskedelmi rendszer kínálati és keresleti elemei</w:t>
      </w:r>
    </w:p>
    <w:tbl>
      <w:tblPr>
        <w:tblW w:w="5000" w:type="pct"/>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54"/>
        <w:gridCol w:w="1081"/>
        <w:gridCol w:w="2126"/>
        <w:gridCol w:w="4281"/>
      </w:tblGrid>
      <w:tr w:rsidR="0067338B" w:rsidRPr="00C64727" w14:paraId="7AB6F662" w14:textId="77777777" w:rsidTr="00601A28">
        <w:trPr>
          <w:trHeight w:val="458"/>
        </w:trPr>
        <w:tc>
          <w:tcPr>
            <w:tcW w:w="949" w:type="pct"/>
            <w:shd w:val="clear" w:color="auto" w:fill="auto"/>
            <w:vAlign w:val="center"/>
          </w:tcPr>
          <w:p w14:paraId="494FCB6D" w14:textId="77777777" w:rsidR="0067338B" w:rsidRPr="00C64727" w:rsidRDefault="001F1235">
            <w:pPr>
              <w:spacing w:after="0" w:line="240" w:lineRule="auto"/>
              <w:rPr>
                <w:rFonts w:ascii="Times New Roman" w:hAnsi="Times New Roman"/>
                <w:b/>
                <w:sz w:val="20"/>
                <w:szCs w:val="20"/>
              </w:rPr>
            </w:pPr>
            <w:r w:rsidRPr="00C64727">
              <w:rPr>
                <w:rFonts w:ascii="Times New Roman" w:hAnsi="Times New Roman"/>
                <w:b/>
                <w:sz w:val="20"/>
                <w:szCs w:val="20"/>
              </w:rPr>
              <w:t>Elem</w:t>
            </w:r>
          </w:p>
        </w:tc>
        <w:tc>
          <w:tcPr>
            <w:tcW w:w="0" w:type="auto"/>
            <w:shd w:val="clear" w:color="auto" w:fill="auto"/>
            <w:vAlign w:val="center"/>
          </w:tcPr>
          <w:p w14:paraId="153BE393" w14:textId="77777777" w:rsidR="0067338B" w:rsidRPr="00C64727" w:rsidRDefault="001F1235">
            <w:pPr>
              <w:spacing w:after="0" w:line="240" w:lineRule="auto"/>
              <w:rPr>
                <w:rFonts w:ascii="Times New Roman" w:hAnsi="Times New Roman"/>
                <w:b/>
                <w:sz w:val="20"/>
                <w:szCs w:val="20"/>
              </w:rPr>
            </w:pPr>
            <w:r w:rsidRPr="00C64727">
              <w:rPr>
                <w:rFonts w:ascii="Times New Roman" w:hAnsi="Times New Roman"/>
                <w:b/>
                <w:sz w:val="20"/>
                <w:szCs w:val="20"/>
              </w:rPr>
              <w:t>Kereslet vagy kínálat?</w:t>
            </w:r>
          </w:p>
        </w:tc>
        <w:tc>
          <w:tcPr>
            <w:tcW w:w="0" w:type="auto"/>
            <w:shd w:val="clear" w:color="auto" w:fill="auto"/>
            <w:vAlign w:val="center"/>
          </w:tcPr>
          <w:p w14:paraId="3596431D" w14:textId="77777777" w:rsidR="0067338B" w:rsidRPr="00C64727" w:rsidRDefault="001F1235">
            <w:pPr>
              <w:spacing w:after="0" w:line="240" w:lineRule="auto"/>
              <w:rPr>
                <w:rFonts w:ascii="Times New Roman" w:hAnsi="Times New Roman"/>
                <w:b/>
                <w:sz w:val="20"/>
                <w:szCs w:val="20"/>
              </w:rPr>
            </w:pPr>
            <w:r w:rsidRPr="00C64727">
              <w:rPr>
                <w:rFonts w:ascii="Times New Roman" w:hAnsi="Times New Roman"/>
                <w:b/>
                <w:sz w:val="20"/>
                <w:szCs w:val="20"/>
              </w:rPr>
              <w:t>Közzététel</w:t>
            </w:r>
          </w:p>
        </w:tc>
        <w:tc>
          <w:tcPr>
            <w:tcW w:w="0" w:type="auto"/>
            <w:shd w:val="clear" w:color="auto" w:fill="auto"/>
            <w:vAlign w:val="center"/>
          </w:tcPr>
          <w:p w14:paraId="609978AA" w14:textId="77777777" w:rsidR="0067338B" w:rsidRPr="00C64727" w:rsidRDefault="001F1235">
            <w:pPr>
              <w:spacing w:after="0" w:line="240" w:lineRule="auto"/>
              <w:rPr>
                <w:rFonts w:ascii="Times New Roman" w:hAnsi="Times New Roman"/>
                <w:b/>
                <w:sz w:val="20"/>
                <w:szCs w:val="20"/>
              </w:rPr>
            </w:pPr>
            <w:r w:rsidRPr="00C64727">
              <w:rPr>
                <w:rFonts w:ascii="Times New Roman" w:hAnsi="Times New Roman"/>
                <w:b/>
                <w:sz w:val="20"/>
                <w:szCs w:val="20"/>
              </w:rPr>
              <w:t>Frissítés és bizonytalanság</w:t>
            </w:r>
          </w:p>
        </w:tc>
      </w:tr>
      <w:tr w:rsidR="0067338B" w:rsidRPr="00C64727" w14:paraId="08D4B096" w14:textId="77777777" w:rsidTr="00601A28">
        <w:trPr>
          <w:trHeight w:val="458"/>
        </w:trPr>
        <w:tc>
          <w:tcPr>
            <w:tcW w:w="949" w:type="pct"/>
            <w:shd w:val="clear" w:color="auto" w:fill="auto"/>
          </w:tcPr>
          <w:p w14:paraId="58170BA1" w14:textId="77777777" w:rsidR="0067338B" w:rsidRPr="00C64727" w:rsidRDefault="001F1235">
            <w:pPr>
              <w:spacing w:after="0" w:line="240" w:lineRule="auto"/>
              <w:rPr>
                <w:rFonts w:ascii="Times New Roman" w:hAnsi="Times New Roman"/>
                <w:b/>
                <w:sz w:val="20"/>
                <w:szCs w:val="20"/>
              </w:rPr>
            </w:pPr>
            <w:r w:rsidRPr="00C64727">
              <w:rPr>
                <w:rFonts w:ascii="Times New Roman" w:hAnsi="Times New Roman"/>
                <w:b/>
                <w:sz w:val="20"/>
                <w:szCs w:val="20"/>
              </w:rPr>
              <w:t>A 2. időszak főösszege</w:t>
            </w:r>
          </w:p>
        </w:tc>
        <w:tc>
          <w:tcPr>
            <w:tcW w:w="0" w:type="auto"/>
            <w:shd w:val="clear" w:color="auto" w:fill="auto"/>
          </w:tcPr>
          <w:p w14:paraId="07260D69" w14:textId="77777777" w:rsidR="0067338B" w:rsidRPr="00C64727" w:rsidRDefault="001F1235">
            <w:pPr>
              <w:spacing w:after="0" w:line="240" w:lineRule="auto"/>
              <w:rPr>
                <w:rFonts w:ascii="Times New Roman" w:hAnsi="Times New Roman"/>
                <w:sz w:val="20"/>
                <w:szCs w:val="20"/>
              </w:rPr>
            </w:pPr>
            <w:r w:rsidRPr="00C64727">
              <w:rPr>
                <w:rFonts w:ascii="Times New Roman" w:hAnsi="Times New Roman"/>
                <w:sz w:val="20"/>
                <w:szCs w:val="20"/>
              </w:rPr>
              <w:t>Kínálat</w:t>
            </w:r>
          </w:p>
        </w:tc>
        <w:tc>
          <w:tcPr>
            <w:tcW w:w="0" w:type="auto"/>
            <w:shd w:val="clear" w:color="auto" w:fill="auto"/>
          </w:tcPr>
          <w:p w14:paraId="59DD3A87" w14:textId="77777777" w:rsidR="0067338B" w:rsidRPr="00C64727" w:rsidRDefault="001F1235">
            <w:pPr>
              <w:spacing w:after="0" w:line="240" w:lineRule="auto"/>
              <w:rPr>
                <w:rFonts w:ascii="Times New Roman" w:hAnsi="Times New Roman"/>
                <w:sz w:val="20"/>
                <w:szCs w:val="20"/>
              </w:rPr>
            </w:pPr>
            <w:r w:rsidRPr="00C64727">
              <w:rPr>
                <w:rFonts w:ascii="Times New Roman" w:hAnsi="Times New Roman"/>
                <w:sz w:val="20"/>
                <w:szCs w:val="20"/>
              </w:rPr>
              <w:t>Szén-dioxid-piaci jelentés</w:t>
            </w:r>
          </w:p>
        </w:tc>
        <w:tc>
          <w:tcPr>
            <w:tcW w:w="0" w:type="auto"/>
            <w:shd w:val="clear" w:color="auto" w:fill="auto"/>
          </w:tcPr>
          <w:p w14:paraId="171B2E87" w14:textId="77777777" w:rsidR="0067338B" w:rsidRPr="00C64727" w:rsidRDefault="001F1235">
            <w:pPr>
              <w:pStyle w:val="ListParagraph"/>
              <w:spacing w:after="0" w:line="240" w:lineRule="auto"/>
              <w:ind w:left="0"/>
              <w:rPr>
                <w:rFonts w:ascii="Times New Roman" w:hAnsi="Times New Roman"/>
                <w:sz w:val="20"/>
                <w:szCs w:val="20"/>
              </w:rPr>
            </w:pPr>
            <w:r w:rsidRPr="00C64727">
              <w:rPr>
                <w:rFonts w:ascii="Times New Roman" w:hAnsi="Times New Roman"/>
                <w:sz w:val="20"/>
                <w:szCs w:val="20"/>
              </w:rPr>
              <w:t xml:space="preserve">Frissítés nem várható, mivel a 2. időszak lezárult. Végleges számadat. </w:t>
            </w:r>
          </w:p>
        </w:tc>
      </w:tr>
      <w:tr w:rsidR="0067338B" w:rsidRPr="00C64727" w14:paraId="52C2E3F1" w14:textId="77777777" w:rsidTr="00601A28">
        <w:trPr>
          <w:trHeight w:val="687"/>
        </w:trPr>
        <w:tc>
          <w:tcPr>
            <w:tcW w:w="949" w:type="pct"/>
            <w:shd w:val="clear" w:color="auto" w:fill="auto"/>
          </w:tcPr>
          <w:p w14:paraId="62871F2A" w14:textId="77777777" w:rsidR="0067338B" w:rsidRPr="00C64727" w:rsidRDefault="001F1235">
            <w:pPr>
              <w:spacing w:after="0" w:line="240" w:lineRule="auto"/>
              <w:rPr>
                <w:rFonts w:ascii="Times New Roman" w:hAnsi="Times New Roman"/>
                <w:b/>
                <w:sz w:val="20"/>
                <w:szCs w:val="20"/>
              </w:rPr>
            </w:pPr>
            <w:r w:rsidRPr="00C64727">
              <w:rPr>
                <w:rFonts w:ascii="Times New Roman" w:hAnsi="Times New Roman"/>
                <w:b/>
                <w:sz w:val="20"/>
                <w:szCs w:val="20"/>
              </w:rPr>
              <w:t xml:space="preserve">A 3. időszak kezdetének árverései </w:t>
            </w:r>
          </w:p>
        </w:tc>
        <w:tc>
          <w:tcPr>
            <w:tcW w:w="0" w:type="auto"/>
            <w:shd w:val="clear" w:color="auto" w:fill="auto"/>
          </w:tcPr>
          <w:p w14:paraId="74C382B2" w14:textId="77777777" w:rsidR="0067338B" w:rsidRPr="00C64727" w:rsidRDefault="001F1235">
            <w:pPr>
              <w:spacing w:after="0" w:line="240" w:lineRule="auto"/>
              <w:rPr>
                <w:rFonts w:ascii="Times New Roman" w:hAnsi="Times New Roman"/>
                <w:sz w:val="20"/>
                <w:szCs w:val="20"/>
              </w:rPr>
            </w:pPr>
            <w:r w:rsidRPr="00C64727">
              <w:rPr>
                <w:rFonts w:ascii="Times New Roman" w:hAnsi="Times New Roman"/>
                <w:sz w:val="20"/>
                <w:szCs w:val="20"/>
              </w:rPr>
              <w:t>Kínálat</w:t>
            </w:r>
          </w:p>
        </w:tc>
        <w:tc>
          <w:tcPr>
            <w:tcW w:w="0" w:type="auto"/>
            <w:shd w:val="clear" w:color="auto" w:fill="auto"/>
          </w:tcPr>
          <w:p w14:paraId="0B79CAD9" w14:textId="77777777" w:rsidR="0067338B" w:rsidRPr="00C64727" w:rsidRDefault="001F1235">
            <w:pPr>
              <w:spacing w:after="0" w:line="240" w:lineRule="auto"/>
              <w:rPr>
                <w:rFonts w:ascii="Times New Roman" w:hAnsi="Times New Roman"/>
                <w:sz w:val="20"/>
                <w:szCs w:val="20"/>
              </w:rPr>
            </w:pPr>
            <w:r w:rsidRPr="00C64727">
              <w:rPr>
                <w:rFonts w:ascii="Times New Roman" w:hAnsi="Times New Roman"/>
                <w:sz w:val="20"/>
                <w:szCs w:val="20"/>
              </w:rPr>
              <w:t>Az Éghajlatpolitikai Főigazgatóság honlapja, az EEX és az ICE honlapja</w:t>
            </w:r>
          </w:p>
        </w:tc>
        <w:tc>
          <w:tcPr>
            <w:tcW w:w="0" w:type="auto"/>
            <w:shd w:val="clear" w:color="auto" w:fill="auto"/>
          </w:tcPr>
          <w:p w14:paraId="5A6794C3" w14:textId="77777777" w:rsidR="0067338B" w:rsidRPr="00C64727" w:rsidRDefault="001F1235">
            <w:pPr>
              <w:pStyle w:val="ListParagraph"/>
              <w:spacing w:after="0" w:line="240" w:lineRule="auto"/>
              <w:ind w:left="0"/>
              <w:rPr>
                <w:rFonts w:ascii="Times New Roman" w:hAnsi="Times New Roman"/>
                <w:sz w:val="20"/>
                <w:szCs w:val="20"/>
              </w:rPr>
            </w:pPr>
            <w:r w:rsidRPr="00C64727">
              <w:rPr>
                <w:rFonts w:ascii="Times New Roman" w:hAnsi="Times New Roman"/>
                <w:sz w:val="20"/>
                <w:szCs w:val="20"/>
              </w:rPr>
              <w:t>Nem része a 2. időszak főösszegének. Végleges adatok.</w:t>
            </w:r>
          </w:p>
        </w:tc>
      </w:tr>
      <w:tr w:rsidR="0067338B" w:rsidRPr="00C64727" w14:paraId="385F9E67" w14:textId="77777777" w:rsidTr="00601A28">
        <w:trPr>
          <w:trHeight w:val="458"/>
        </w:trPr>
        <w:tc>
          <w:tcPr>
            <w:tcW w:w="949" w:type="pct"/>
            <w:shd w:val="clear" w:color="auto" w:fill="auto"/>
          </w:tcPr>
          <w:p w14:paraId="19AF6BFF" w14:textId="77777777" w:rsidR="0067338B" w:rsidRPr="00C64727" w:rsidRDefault="001F1235">
            <w:pPr>
              <w:spacing w:after="0" w:line="240" w:lineRule="auto"/>
              <w:rPr>
                <w:rFonts w:ascii="Times New Roman" w:hAnsi="Times New Roman"/>
                <w:b/>
                <w:sz w:val="20"/>
                <w:szCs w:val="20"/>
              </w:rPr>
            </w:pPr>
            <w:r w:rsidRPr="00C64727">
              <w:rPr>
                <w:rFonts w:ascii="Times New Roman" w:hAnsi="Times New Roman"/>
                <w:b/>
                <w:sz w:val="20"/>
                <w:szCs w:val="20"/>
              </w:rPr>
              <w:t>Kibocsátási egységek a NER 300 program számára</w:t>
            </w:r>
          </w:p>
        </w:tc>
        <w:tc>
          <w:tcPr>
            <w:tcW w:w="0" w:type="auto"/>
            <w:shd w:val="clear" w:color="auto" w:fill="auto"/>
          </w:tcPr>
          <w:p w14:paraId="79CEC823" w14:textId="77777777" w:rsidR="0067338B" w:rsidRPr="00C64727" w:rsidRDefault="001F1235">
            <w:pPr>
              <w:spacing w:after="0" w:line="240" w:lineRule="auto"/>
              <w:rPr>
                <w:rFonts w:ascii="Times New Roman" w:hAnsi="Times New Roman"/>
                <w:sz w:val="20"/>
                <w:szCs w:val="20"/>
              </w:rPr>
            </w:pPr>
            <w:r w:rsidRPr="00C64727">
              <w:rPr>
                <w:rFonts w:ascii="Times New Roman" w:hAnsi="Times New Roman"/>
                <w:sz w:val="20"/>
                <w:szCs w:val="20"/>
              </w:rPr>
              <w:t>Kínálat</w:t>
            </w:r>
          </w:p>
        </w:tc>
        <w:tc>
          <w:tcPr>
            <w:tcW w:w="0" w:type="auto"/>
            <w:shd w:val="clear" w:color="auto" w:fill="auto"/>
          </w:tcPr>
          <w:p w14:paraId="0CE0D0E4" w14:textId="77777777" w:rsidR="0067338B" w:rsidRPr="00C64727" w:rsidRDefault="001F1235">
            <w:pPr>
              <w:spacing w:after="0" w:line="240" w:lineRule="auto"/>
              <w:rPr>
                <w:rFonts w:ascii="Times New Roman" w:hAnsi="Times New Roman"/>
                <w:sz w:val="20"/>
                <w:szCs w:val="20"/>
              </w:rPr>
            </w:pPr>
            <w:r w:rsidRPr="00C64727">
              <w:rPr>
                <w:rFonts w:ascii="Times New Roman" w:hAnsi="Times New Roman"/>
                <w:sz w:val="20"/>
                <w:szCs w:val="20"/>
              </w:rPr>
              <w:t>Az EBB honlapja</w:t>
            </w:r>
          </w:p>
        </w:tc>
        <w:tc>
          <w:tcPr>
            <w:tcW w:w="0" w:type="auto"/>
            <w:shd w:val="clear" w:color="auto" w:fill="auto"/>
          </w:tcPr>
          <w:p w14:paraId="27BA7D24" w14:textId="77777777" w:rsidR="0067338B" w:rsidRPr="00C64727" w:rsidRDefault="001F1235">
            <w:pPr>
              <w:pStyle w:val="ListParagraph"/>
              <w:spacing w:after="0" w:line="240" w:lineRule="auto"/>
              <w:ind w:left="0"/>
              <w:rPr>
                <w:rFonts w:ascii="Times New Roman" w:hAnsi="Times New Roman"/>
                <w:sz w:val="20"/>
                <w:szCs w:val="20"/>
              </w:rPr>
            </w:pPr>
            <w:r w:rsidRPr="00C64727">
              <w:rPr>
                <w:rFonts w:ascii="Times New Roman" w:hAnsi="Times New Roman"/>
                <w:sz w:val="20"/>
                <w:szCs w:val="20"/>
              </w:rPr>
              <w:t>2012 és 2014 között 300 millió kibocsátási egység értékesítésére került sor. Végleges számadatok.</w:t>
            </w:r>
          </w:p>
        </w:tc>
      </w:tr>
      <w:tr w:rsidR="0067338B" w:rsidRPr="00C64727" w14:paraId="5A53AF73" w14:textId="77777777" w:rsidTr="00601A28">
        <w:trPr>
          <w:trHeight w:val="915"/>
        </w:trPr>
        <w:tc>
          <w:tcPr>
            <w:tcW w:w="949" w:type="pct"/>
            <w:shd w:val="clear" w:color="auto" w:fill="auto"/>
          </w:tcPr>
          <w:p w14:paraId="474CA478" w14:textId="77777777" w:rsidR="0067338B" w:rsidRPr="00C64727" w:rsidRDefault="001F1235">
            <w:pPr>
              <w:spacing w:after="0" w:line="240" w:lineRule="auto"/>
              <w:rPr>
                <w:rFonts w:ascii="Times New Roman" w:hAnsi="Times New Roman"/>
                <w:b/>
                <w:sz w:val="20"/>
                <w:szCs w:val="20"/>
              </w:rPr>
            </w:pPr>
            <w:r w:rsidRPr="00C64727">
              <w:rPr>
                <w:rFonts w:ascii="Times New Roman" w:hAnsi="Times New Roman"/>
                <w:b/>
                <w:sz w:val="20"/>
                <w:szCs w:val="20"/>
              </w:rPr>
              <w:t>A légiközlekedési kibocsátások árverései</w:t>
            </w:r>
          </w:p>
        </w:tc>
        <w:tc>
          <w:tcPr>
            <w:tcW w:w="0" w:type="auto"/>
            <w:shd w:val="clear" w:color="auto" w:fill="auto"/>
          </w:tcPr>
          <w:p w14:paraId="624E5B45" w14:textId="77777777" w:rsidR="0067338B" w:rsidRPr="00C64727" w:rsidRDefault="001F1235">
            <w:pPr>
              <w:spacing w:after="0" w:line="240" w:lineRule="auto"/>
              <w:rPr>
                <w:rFonts w:ascii="Times New Roman" w:hAnsi="Times New Roman"/>
                <w:sz w:val="20"/>
                <w:szCs w:val="20"/>
              </w:rPr>
            </w:pPr>
            <w:r w:rsidRPr="00C64727">
              <w:rPr>
                <w:rFonts w:ascii="Times New Roman" w:hAnsi="Times New Roman"/>
                <w:sz w:val="20"/>
                <w:szCs w:val="20"/>
              </w:rPr>
              <w:t>Kínálat</w:t>
            </w:r>
          </w:p>
        </w:tc>
        <w:tc>
          <w:tcPr>
            <w:tcW w:w="0" w:type="auto"/>
            <w:shd w:val="clear" w:color="auto" w:fill="auto"/>
          </w:tcPr>
          <w:p w14:paraId="73105170" w14:textId="77777777" w:rsidR="0067338B" w:rsidRPr="00C64727" w:rsidRDefault="001F1235">
            <w:pPr>
              <w:spacing w:after="0" w:line="240" w:lineRule="auto"/>
              <w:rPr>
                <w:rFonts w:ascii="Times New Roman" w:hAnsi="Times New Roman"/>
                <w:sz w:val="20"/>
                <w:szCs w:val="20"/>
              </w:rPr>
            </w:pPr>
            <w:r w:rsidRPr="00C64727">
              <w:rPr>
                <w:rFonts w:ascii="Times New Roman" w:hAnsi="Times New Roman"/>
                <w:sz w:val="20"/>
                <w:szCs w:val="20"/>
              </w:rPr>
              <w:t>Az Éghajlatpolitikai Főigazgatóság honlapja, az EEX és az ICE honlapja</w:t>
            </w:r>
          </w:p>
        </w:tc>
        <w:tc>
          <w:tcPr>
            <w:tcW w:w="0" w:type="auto"/>
            <w:shd w:val="clear" w:color="auto" w:fill="auto"/>
          </w:tcPr>
          <w:p w14:paraId="54111AB1" w14:textId="77777777" w:rsidR="0067338B" w:rsidRPr="00C64727" w:rsidRDefault="001F1235">
            <w:pPr>
              <w:pStyle w:val="ListParagraph"/>
              <w:spacing w:after="0" w:line="240" w:lineRule="auto"/>
              <w:ind w:left="0"/>
              <w:rPr>
                <w:rFonts w:ascii="Times New Roman" w:hAnsi="Times New Roman"/>
                <w:sz w:val="20"/>
                <w:szCs w:val="20"/>
              </w:rPr>
            </w:pPr>
            <w:r w:rsidRPr="00C64727">
              <w:rPr>
                <w:rFonts w:ascii="Times New Roman" w:hAnsi="Times New Roman"/>
                <w:sz w:val="20"/>
                <w:szCs w:val="20"/>
              </w:rPr>
              <w:t>Nem – a kiigazításokat a következő évre vonatkozó mennyiségek tükrözik.</w:t>
            </w:r>
          </w:p>
          <w:p w14:paraId="2F39CC72" w14:textId="77777777" w:rsidR="0067338B" w:rsidRPr="00C64727" w:rsidRDefault="0067338B">
            <w:pPr>
              <w:pStyle w:val="ListParagraph"/>
              <w:spacing w:after="0" w:line="240" w:lineRule="auto"/>
              <w:ind w:left="0"/>
              <w:rPr>
                <w:rFonts w:ascii="Times New Roman" w:hAnsi="Times New Roman"/>
                <w:sz w:val="20"/>
                <w:szCs w:val="20"/>
              </w:rPr>
            </w:pPr>
          </w:p>
          <w:p w14:paraId="57650A94" w14:textId="77777777" w:rsidR="0067338B" w:rsidRPr="00C64727" w:rsidRDefault="001F1235">
            <w:pPr>
              <w:pStyle w:val="ListParagraph"/>
              <w:spacing w:after="0" w:line="240" w:lineRule="auto"/>
              <w:ind w:left="0"/>
              <w:rPr>
                <w:rFonts w:ascii="Times New Roman" w:hAnsi="Times New Roman"/>
                <w:sz w:val="20"/>
                <w:szCs w:val="20"/>
              </w:rPr>
            </w:pPr>
            <w:r w:rsidRPr="00C64727">
              <w:rPr>
                <w:rFonts w:ascii="Times New Roman" w:hAnsi="Times New Roman"/>
                <w:sz w:val="20"/>
                <w:szCs w:val="20"/>
              </w:rPr>
              <w:t>A 2013. és a 2014. évre tervezett árverésekre 2015-ben került sor.</w:t>
            </w:r>
          </w:p>
        </w:tc>
      </w:tr>
      <w:tr w:rsidR="0067338B" w:rsidRPr="00C64727" w14:paraId="1EE03035" w14:textId="77777777" w:rsidTr="00601A28">
        <w:trPr>
          <w:trHeight w:val="1145"/>
        </w:trPr>
        <w:tc>
          <w:tcPr>
            <w:tcW w:w="949" w:type="pct"/>
            <w:shd w:val="clear" w:color="auto" w:fill="auto"/>
          </w:tcPr>
          <w:p w14:paraId="577EA6E4" w14:textId="77777777" w:rsidR="0067338B" w:rsidRPr="00C64727" w:rsidRDefault="001F1235">
            <w:pPr>
              <w:spacing w:after="0" w:line="240" w:lineRule="auto"/>
              <w:rPr>
                <w:rFonts w:ascii="Times New Roman" w:hAnsi="Times New Roman"/>
                <w:b/>
                <w:sz w:val="20"/>
                <w:szCs w:val="20"/>
              </w:rPr>
            </w:pPr>
            <w:r w:rsidRPr="00C64727">
              <w:rPr>
                <w:rFonts w:ascii="Times New Roman" w:hAnsi="Times New Roman"/>
                <w:b/>
                <w:sz w:val="20"/>
                <w:szCs w:val="20"/>
              </w:rPr>
              <w:t>A 3. szakasz árverései</w:t>
            </w:r>
          </w:p>
        </w:tc>
        <w:tc>
          <w:tcPr>
            <w:tcW w:w="0" w:type="auto"/>
            <w:shd w:val="clear" w:color="auto" w:fill="auto"/>
          </w:tcPr>
          <w:p w14:paraId="30D56A0C" w14:textId="77777777" w:rsidR="0067338B" w:rsidRPr="00C64727" w:rsidRDefault="001F1235">
            <w:pPr>
              <w:spacing w:after="0" w:line="240" w:lineRule="auto"/>
              <w:rPr>
                <w:rFonts w:ascii="Times New Roman" w:hAnsi="Times New Roman"/>
                <w:sz w:val="20"/>
                <w:szCs w:val="20"/>
              </w:rPr>
            </w:pPr>
            <w:r w:rsidRPr="00C64727">
              <w:rPr>
                <w:rFonts w:ascii="Times New Roman" w:hAnsi="Times New Roman"/>
                <w:sz w:val="20"/>
                <w:szCs w:val="20"/>
              </w:rPr>
              <w:t>Kínálat</w:t>
            </w:r>
          </w:p>
        </w:tc>
        <w:tc>
          <w:tcPr>
            <w:tcW w:w="0" w:type="auto"/>
            <w:shd w:val="clear" w:color="auto" w:fill="auto"/>
          </w:tcPr>
          <w:p w14:paraId="06521372" w14:textId="77777777" w:rsidR="0067338B" w:rsidRPr="00C64727" w:rsidRDefault="001F1235">
            <w:pPr>
              <w:spacing w:after="0" w:line="240" w:lineRule="auto"/>
              <w:rPr>
                <w:rFonts w:ascii="Times New Roman" w:hAnsi="Times New Roman"/>
                <w:sz w:val="20"/>
                <w:szCs w:val="20"/>
              </w:rPr>
            </w:pPr>
            <w:r w:rsidRPr="00C64727">
              <w:rPr>
                <w:rFonts w:ascii="Times New Roman" w:hAnsi="Times New Roman"/>
                <w:sz w:val="20"/>
                <w:szCs w:val="20"/>
              </w:rPr>
              <w:t>Az Éghajlatpolitikai Főigazgatóság honlapja, az EEX és az ICE honlapja</w:t>
            </w:r>
          </w:p>
        </w:tc>
        <w:tc>
          <w:tcPr>
            <w:tcW w:w="0" w:type="auto"/>
            <w:shd w:val="clear" w:color="auto" w:fill="auto"/>
          </w:tcPr>
          <w:p w14:paraId="15C0C206" w14:textId="77777777" w:rsidR="0067338B" w:rsidRPr="00C64727" w:rsidRDefault="001F1235">
            <w:pPr>
              <w:pStyle w:val="ListParagraph"/>
              <w:spacing w:after="0" w:line="240" w:lineRule="auto"/>
              <w:ind w:left="0"/>
              <w:rPr>
                <w:rFonts w:ascii="Times New Roman" w:hAnsi="Times New Roman"/>
                <w:sz w:val="20"/>
                <w:szCs w:val="20"/>
              </w:rPr>
            </w:pPr>
            <w:r w:rsidRPr="00C64727">
              <w:rPr>
                <w:rFonts w:ascii="Times New Roman" w:hAnsi="Times New Roman"/>
                <w:sz w:val="20"/>
                <w:szCs w:val="20"/>
              </w:rPr>
              <w:t>Nem – ez a számadat nem lesz felülvizsgálva. Ennek ellenére (pl. egyes tagállamok esetében az árverések késedelmes megkezdése miatt és például az EGT-tag EFTA-államok esetében) az árverésről visszatartott kibocsátási egységeket a későbbi években árverésre lehet bocsátani.</w:t>
            </w:r>
          </w:p>
        </w:tc>
      </w:tr>
      <w:tr w:rsidR="0067338B" w:rsidRPr="00C64727" w14:paraId="545F4A15" w14:textId="77777777" w:rsidTr="00601A28">
        <w:trPr>
          <w:trHeight w:val="1354"/>
        </w:trPr>
        <w:tc>
          <w:tcPr>
            <w:tcW w:w="949" w:type="pct"/>
            <w:shd w:val="clear" w:color="auto" w:fill="auto"/>
          </w:tcPr>
          <w:p w14:paraId="19A6146F" w14:textId="77777777" w:rsidR="0067338B" w:rsidRPr="00C64727" w:rsidRDefault="001F1235">
            <w:pPr>
              <w:spacing w:after="0" w:line="240" w:lineRule="auto"/>
              <w:rPr>
                <w:rFonts w:ascii="Times New Roman" w:hAnsi="Times New Roman"/>
                <w:b/>
                <w:sz w:val="20"/>
                <w:szCs w:val="20"/>
              </w:rPr>
            </w:pPr>
            <w:r w:rsidRPr="00C64727">
              <w:rPr>
                <w:rFonts w:ascii="Times New Roman" w:hAnsi="Times New Roman"/>
                <w:b/>
                <w:sz w:val="20"/>
                <w:szCs w:val="20"/>
              </w:rPr>
              <w:t>Ingyenes kiosztás (nemzeti végrehajtási intézkedések)</w:t>
            </w:r>
          </w:p>
        </w:tc>
        <w:tc>
          <w:tcPr>
            <w:tcW w:w="0" w:type="auto"/>
            <w:shd w:val="clear" w:color="auto" w:fill="auto"/>
          </w:tcPr>
          <w:p w14:paraId="136A9C20" w14:textId="77777777" w:rsidR="0067338B" w:rsidRPr="00C64727" w:rsidRDefault="001F1235">
            <w:pPr>
              <w:spacing w:after="0" w:line="240" w:lineRule="auto"/>
              <w:rPr>
                <w:rFonts w:ascii="Times New Roman" w:hAnsi="Times New Roman"/>
                <w:sz w:val="20"/>
                <w:szCs w:val="20"/>
              </w:rPr>
            </w:pPr>
            <w:r w:rsidRPr="00C64727">
              <w:rPr>
                <w:rFonts w:ascii="Times New Roman" w:hAnsi="Times New Roman"/>
                <w:sz w:val="20"/>
                <w:szCs w:val="20"/>
              </w:rPr>
              <w:t>Kínálat</w:t>
            </w:r>
          </w:p>
        </w:tc>
        <w:tc>
          <w:tcPr>
            <w:tcW w:w="0" w:type="auto"/>
            <w:shd w:val="clear" w:color="auto" w:fill="auto"/>
          </w:tcPr>
          <w:p w14:paraId="7BF43B22" w14:textId="77777777" w:rsidR="0067338B" w:rsidRPr="00C64727" w:rsidRDefault="001F1235">
            <w:pPr>
              <w:spacing w:after="0" w:line="240" w:lineRule="auto"/>
              <w:rPr>
                <w:rFonts w:ascii="Times New Roman" w:hAnsi="Times New Roman"/>
                <w:sz w:val="20"/>
                <w:szCs w:val="20"/>
              </w:rPr>
            </w:pPr>
            <w:r w:rsidRPr="00C64727">
              <w:rPr>
                <w:rFonts w:ascii="Times New Roman" w:hAnsi="Times New Roman"/>
                <w:sz w:val="20"/>
                <w:szCs w:val="20"/>
              </w:rPr>
              <w:t>EUTL, táblázatok</w:t>
            </w:r>
          </w:p>
        </w:tc>
        <w:tc>
          <w:tcPr>
            <w:tcW w:w="0" w:type="auto"/>
            <w:vMerge w:val="restart"/>
            <w:shd w:val="clear" w:color="auto" w:fill="auto"/>
          </w:tcPr>
          <w:p w14:paraId="638D7A71" w14:textId="77777777" w:rsidR="0067338B" w:rsidRPr="00C64727" w:rsidRDefault="001F1235">
            <w:pPr>
              <w:pStyle w:val="ListParagraph"/>
              <w:spacing w:after="0" w:line="240" w:lineRule="auto"/>
              <w:ind w:left="0"/>
              <w:rPr>
                <w:rFonts w:ascii="Times New Roman" w:hAnsi="Times New Roman"/>
                <w:sz w:val="20"/>
                <w:szCs w:val="20"/>
              </w:rPr>
            </w:pPr>
            <w:r w:rsidRPr="00C64727">
              <w:rPr>
                <w:rFonts w:ascii="Times New Roman" w:hAnsi="Times New Roman"/>
                <w:sz w:val="20"/>
                <w:szCs w:val="20"/>
              </w:rPr>
              <w:t xml:space="preserve">Ezeket a számadatokat folyamatosan frissítik az év során. </w:t>
            </w:r>
          </w:p>
          <w:p w14:paraId="459F1AE4" w14:textId="77777777" w:rsidR="0067338B" w:rsidRPr="00C64727" w:rsidRDefault="0067338B">
            <w:pPr>
              <w:pStyle w:val="ListParagraph"/>
              <w:spacing w:after="0" w:line="240" w:lineRule="auto"/>
              <w:ind w:left="0"/>
              <w:rPr>
                <w:rFonts w:ascii="Times New Roman" w:hAnsi="Times New Roman"/>
                <w:sz w:val="20"/>
                <w:szCs w:val="20"/>
              </w:rPr>
            </w:pPr>
          </w:p>
          <w:p w14:paraId="03D76E81" w14:textId="77777777" w:rsidR="0067338B" w:rsidRPr="00C64727" w:rsidRDefault="001F1235">
            <w:pPr>
              <w:pStyle w:val="ListParagraph"/>
              <w:spacing w:after="0" w:line="240" w:lineRule="auto"/>
              <w:ind w:left="0"/>
              <w:rPr>
                <w:rFonts w:ascii="Times New Roman" w:hAnsi="Times New Roman"/>
                <w:sz w:val="20"/>
                <w:szCs w:val="20"/>
              </w:rPr>
            </w:pPr>
            <w:r w:rsidRPr="00C64727">
              <w:rPr>
                <w:rFonts w:ascii="Times New Roman" w:hAnsi="Times New Roman"/>
                <w:sz w:val="20"/>
                <w:szCs w:val="20"/>
              </w:rPr>
              <w:t xml:space="preserve">– A tagállamok benyújthatnak az előző évekre vonatkozó késedelmes adatszolgáltatást, illetve előfordulhat, hogy a tényleges kiosztás alacsonyabb az eredetileg előirányzott mennyiségnél. </w:t>
            </w:r>
          </w:p>
          <w:p w14:paraId="7AB6FDE3" w14:textId="77777777" w:rsidR="0067338B" w:rsidRPr="00C64727" w:rsidRDefault="0067338B">
            <w:pPr>
              <w:pStyle w:val="ListParagraph"/>
              <w:spacing w:after="0" w:line="240" w:lineRule="auto"/>
              <w:ind w:left="0"/>
              <w:rPr>
                <w:rFonts w:ascii="Times New Roman" w:hAnsi="Times New Roman"/>
                <w:sz w:val="20"/>
                <w:szCs w:val="20"/>
              </w:rPr>
            </w:pPr>
          </w:p>
          <w:p w14:paraId="5936E20D" w14:textId="77777777" w:rsidR="0067338B" w:rsidRPr="00C64727" w:rsidRDefault="001F1235">
            <w:pPr>
              <w:pStyle w:val="ListParagraph"/>
              <w:spacing w:after="0" w:line="240" w:lineRule="auto"/>
              <w:ind w:left="0"/>
              <w:rPr>
                <w:rFonts w:ascii="Times New Roman" w:hAnsi="Times New Roman"/>
                <w:sz w:val="20"/>
                <w:szCs w:val="20"/>
              </w:rPr>
            </w:pPr>
            <w:r w:rsidRPr="00C64727">
              <w:rPr>
                <w:rFonts w:ascii="Times New Roman" w:hAnsi="Times New Roman"/>
                <w:sz w:val="20"/>
                <w:szCs w:val="20"/>
              </w:rPr>
              <w:t>Az EUTL pontos adatokat szolgáltat a tényleges kiosztások állásáról.</w:t>
            </w:r>
          </w:p>
          <w:p w14:paraId="298AFED7" w14:textId="77777777" w:rsidR="0067338B" w:rsidRPr="00C64727" w:rsidRDefault="0067338B">
            <w:pPr>
              <w:pStyle w:val="ListParagraph"/>
              <w:spacing w:after="0" w:line="240" w:lineRule="auto"/>
              <w:ind w:left="0"/>
              <w:rPr>
                <w:rFonts w:ascii="Times New Roman" w:hAnsi="Times New Roman"/>
                <w:sz w:val="20"/>
                <w:szCs w:val="20"/>
              </w:rPr>
            </w:pPr>
          </w:p>
        </w:tc>
      </w:tr>
      <w:tr w:rsidR="0067338B" w:rsidRPr="00C64727" w14:paraId="64CBBE80" w14:textId="77777777" w:rsidTr="00601A28">
        <w:trPr>
          <w:trHeight w:val="458"/>
        </w:trPr>
        <w:tc>
          <w:tcPr>
            <w:tcW w:w="949" w:type="pct"/>
            <w:shd w:val="clear" w:color="auto" w:fill="auto"/>
          </w:tcPr>
          <w:p w14:paraId="66A9E882" w14:textId="77777777" w:rsidR="0067338B" w:rsidRPr="00C64727" w:rsidRDefault="001F1235">
            <w:pPr>
              <w:spacing w:after="0" w:line="240" w:lineRule="auto"/>
              <w:rPr>
                <w:rFonts w:ascii="Times New Roman" w:hAnsi="Times New Roman"/>
                <w:b/>
                <w:sz w:val="20"/>
                <w:szCs w:val="20"/>
              </w:rPr>
            </w:pPr>
            <w:r w:rsidRPr="00C64727">
              <w:rPr>
                <w:rFonts w:ascii="Times New Roman" w:hAnsi="Times New Roman"/>
                <w:b/>
                <w:sz w:val="20"/>
                <w:szCs w:val="20"/>
              </w:rPr>
              <w:t>Ingyenes kiosztás (NER)</w:t>
            </w:r>
          </w:p>
        </w:tc>
        <w:tc>
          <w:tcPr>
            <w:tcW w:w="0" w:type="auto"/>
            <w:shd w:val="clear" w:color="auto" w:fill="auto"/>
          </w:tcPr>
          <w:p w14:paraId="1F49BE1C" w14:textId="77777777" w:rsidR="0067338B" w:rsidRPr="00C64727" w:rsidRDefault="001F1235">
            <w:pPr>
              <w:spacing w:after="0" w:line="240" w:lineRule="auto"/>
              <w:rPr>
                <w:rFonts w:ascii="Times New Roman" w:hAnsi="Times New Roman"/>
                <w:sz w:val="20"/>
                <w:szCs w:val="20"/>
              </w:rPr>
            </w:pPr>
            <w:r w:rsidRPr="00C64727">
              <w:rPr>
                <w:rFonts w:ascii="Times New Roman" w:hAnsi="Times New Roman"/>
                <w:sz w:val="20"/>
                <w:szCs w:val="20"/>
              </w:rPr>
              <w:t>Kínálat</w:t>
            </w:r>
          </w:p>
        </w:tc>
        <w:tc>
          <w:tcPr>
            <w:tcW w:w="0" w:type="auto"/>
            <w:shd w:val="clear" w:color="auto" w:fill="auto"/>
          </w:tcPr>
          <w:p w14:paraId="6B0F0DD0" w14:textId="77777777" w:rsidR="0067338B" w:rsidRPr="00C64727" w:rsidRDefault="001F1235">
            <w:pPr>
              <w:spacing w:after="0" w:line="240" w:lineRule="auto"/>
              <w:rPr>
                <w:rFonts w:ascii="Times New Roman" w:hAnsi="Times New Roman"/>
                <w:sz w:val="20"/>
                <w:szCs w:val="20"/>
              </w:rPr>
            </w:pPr>
            <w:r w:rsidRPr="00C64727">
              <w:rPr>
                <w:rFonts w:ascii="Times New Roman" w:hAnsi="Times New Roman"/>
                <w:sz w:val="20"/>
                <w:szCs w:val="20"/>
              </w:rPr>
              <w:t>EUTL, táblázatok</w:t>
            </w:r>
          </w:p>
        </w:tc>
        <w:tc>
          <w:tcPr>
            <w:tcW w:w="0" w:type="auto"/>
            <w:vMerge/>
            <w:shd w:val="clear" w:color="auto" w:fill="auto"/>
          </w:tcPr>
          <w:p w14:paraId="3B91D601" w14:textId="77777777" w:rsidR="0067338B" w:rsidRPr="00C64727" w:rsidRDefault="0067338B">
            <w:pPr>
              <w:pStyle w:val="ListParagraph"/>
              <w:spacing w:after="0" w:line="240" w:lineRule="auto"/>
              <w:ind w:left="0"/>
              <w:rPr>
                <w:rFonts w:ascii="Times New Roman" w:hAnsi="Times New Roman"/>
                <w:sz w:val="20"/>
                <w:szCs w:val="20"/>
              </w:rPr>
            </w:pPr>
          </w:p>
        </w:tc>
      </w:tr>
      <w:tr w:rsidR="0067338B" w:rsidRPr="00C64727" w14:paraId="3EE62C25" w14:textId="77777777" w:rsidTr="00601A28">
        <w:trPr>
          <w:trHeight w:val="687"/>
        </w:trPr>
        <w:tc>
          <w:tcPr>
            <w:tcW w:w="949" w:type="pct"/>
            <w:shd w:val="clear" w:color="auto" w:fill="auto"/>
          </w:tcPr>
          <w:p w14:paraId="7758220B" w14:textId="77777777" w:rsidR="0067338B" w:rsidRPr="00C64727" w:rsidRDefault="001F1235">
            <w:pPr>
              <w:spacing w:after="0" w:line="240" w:lineRule="auto"/>
              <w:rPr>
                <w:rFonts w:ascii="Times New Roman" w:hAnsi="Times New Roman"/>
                <w:b/>
                <w:sz w:val="20"/>
                <w:szCs w:val="20"/>
              </w:rPr>
            </w:pPr>
            <w:r w:rsidRPr="00C64727">
              <w:rPr>
                <w:rFonts w:ascii="Times New Roman" w:hAnsi="Times New Roman"/>
                <w:b/>
                <w:sz w:val="20"/>
                <w:szCs w:val="20"/>
              </w:rPr>
              <w:t>Ingyenes kiosztás</w:t>
            </w:r>
          </w:p>
          <w:p w14:paraId="0B1EEF45" w14:textId="77777777" w:rsidR="0067338B" w:rsidRPr="00C64727" w:rsidRDefault="001F1235">
            <w:pPr>
              <w:spacing w:after="0" w:line="240" w:lineRule="auto"/>
              <w:rPr>
                <w:rFonts w:ascii="Times New Roman" w:hAnsi="Times New Roman"/>
                <w:b/>
                <w:sz w:val="20"/>
                <w:szCs w:val="20"/>
              </w:rPr>
            </w:pPr>
            <w:r w:rsidRPr="00C64727">
              <w:rPr>
                <w:rFonts w:ascii="Times New Roman" w:hAnsi="Times New Roman"/>
                <w:b/>
                <w:sz w:val="20"/>
                <w:szCs w:val="20"/>
              </w:rPr>
              <w:t>(légi közlekedés)</w:t>
            </w:r>
          </w:p>
        </w:tc>
        <w:tc>
          <w:tcPr>
            <w:tcW w:w="0" w:type="auto"/>
            <w:shd w:val="clear" w:color="auto" w:fill="auto"/>
          </w:tcPr>
          <w:p w14:paraId="3CCDD381" w14:textId="77777777" w:rsidR="0067338B" w:rsidRPr="00C64727" w:rsidRDefault="001F1235">
            <w:pPr>
              <w:spacing w:after="0" w:line="240" w:lineRule="auto"/>
              <w:rPr>
                <w:rFonts w:ascii="Times New Roman" w:hAnsi="Times New Roman"/>
                <w:sz w:val="20"/>
                <w:szCs w:val="20"/>
              </w:rPr>
            </w:pPr>
            <w:r w:rsidRPr="00C64727">
              <w:rPr>
                <w:rFonts w:ascii="Times New Roman" w:hAnsi="Times New Roman"/>
                <w:sz w:val="20"/>
                <w:szCs w:val="20"/>
              </w:rPr>
              <w:t>Kínálat</w:t>
            </w:r>
          </w:p>
        </w:tc>
        <w:tc>
          <w:tcPr>
            <w:tcW w:w="0" w:type="auto"/>
            <w:shd w:val="clear" w:color="auto" w:fill="auto"/>
          </w:tcPr>
          <w:p w14:paraId="3F37C07F" w14:textId="77777777" w:rsidR="0067338B" w:rsidRPr="00C64727" w:rsidRDefault="001F1235">
            <w:pPr>
              <w:spacing w:after="0" w:line="240" w:lineRule="auto"/>
              <w:rPr>
                <w:rFonts w:ascii="Times New Roman" w:hAnsi="Times New Roman"/>
                <w:sz w:val="20"/>
                <w:szCs w:val="20"/>
              </w:rPr>
            </w:pPr>
            <w:r w:rsidRPr="00C64727">
              <w:rPr>
                <w:rFonts w:ascii="Times New Roman" w:hAnsi="Times New Roman"/>
                <w:sz w:val="20"/>
                <w:szCs w:val="20"/>
              </w:rPr>
              <w:t>EUTL, a tagállamok által közzétett kiosztási táblázatok</w:t>
            </w:r>
          </w:p>
        </w:tc>
        <w:tc>
          <w:tcPr>
            <w:tcW w:w="0" w:type="auto"/>
            <w:vMerge/>
            <w:shd w:val="clear" w:color="auto" w:fill="auto"/>
          </w:tcPr>
          <w:p w14:paraId="58E0B0A9" w14:textId="77777777" w:rsidR="0067338B" w:rsidRPr="00C64727" w:rsidRDefault="0067338B">
            <w:pPr>
              <w:pStyle w:val="ListParagraph"/>
              <w:spacing w:after="0" w:line="240" w:lineRule="auto"/>
              <w:ind w:left="0"/>
              <w:rPr>
                <w:rFonts w:ascii="Times New Roman" w:hAnsi="Times New Roman"/>
                <w:sz w:val="20"/>
                <w:szCs w:val="20"/>
              </w:rPr>
            </w:pPr>
          </w:p>
        </w:tc>
      </w:tr>
      <w:tr w:rsidR="0067338B" w:rsidRPr="00C64727" w14:paraId="755A01D7" w14:textId="77777777" w:rsidTr="00601A28">
        <w:trPr>
          <w:trHeight w:val="458"/>
        </w:trPr>
        <w:tc>
          <w:tcPr>
            <w:tcW w:w="949" w:type="pct"/>
            <w:shd w:val="clear" w:color="auto" w:fill="auto"/>
          </w:tcPr>
          <w:p w14:paraId="1F385EBC" w14:textId="77777777" w:rsidR="0067338B" w:rsidRPr="00C64727" w:rsidRDefault="001F1235">
            <w:pPr>
              <w:spacing w:after="0" w:line="240" w:lineRule="auto"/>
              <w:rPr>
                <w:rFonts w:ascii="Times New Roman" w:hAnsi="Times New Roman"/>
                <w:b/>
                <w:sz w:val="20"/>
                <w:szCs w:val="20"/>
              </w:rPr>
            </w:pPr>
            <w:r w:rsidRPr="00C64727">
              <w:rPr>
                <w:rFonts w:ascii="Times New Roman" w:hAnsi="Times New Roman"/>
                <w:b/>
                <w:sz w:val="20"/>
                <w:szCs w:val="20"/>
              </w:rPr>
              <w:t>Ingyenes kiosztás</w:t>
            </w:r>
          </w:p>
          <w:p w14:paraId="50971D39" w14:textId="77777777" w:rsidR="0067338B" w:rsidRPr="00C64727" w:rsidRDefault="001F1235">
            <w:pPr>
              <w:spacing w:after="0" w:line="240" w:lineRule="auto"/>
              <w:rPr>
                <w:rFonts w:ascii="Times New Roman" w:hAnsi="Times New Roman"/>
                <w:b/>
                <w:sz w:val="20"/>
                <w:szCs w:val="20"/>
              </w:rPr>
            </w:pPr>
            <w:r w:rsidRPr="00C64727">
              <w:rPr>
                <w:rFonts w:ascii="Times New Roman" w:hAnsi="Times New Roman"/>
                <w:b/>
                <w:sz w:val="20"/>
                <w:szCs w:val="20"/>
              </w:rPr>
              <w:t>(10c. cikk)</w:t>
            </w:r>
          </w:p>
        </w:tc>
        <w:tc>
          <w:tcPr>
            <w:tcW w:w="0" w:type="auto"/>
            <w:shd w:val="clear" w:color="auto" w:fill="auto"/>
          </w:tcPr>
          <w:p w14:paraId="5049061F" w14:textId="77777777" w:rsidR="0067338B" w:rsidRPr="00C64727" w:rsidRDefault="001F1235">
            <w:pPr>
              <w:spacing w:after="0" w:line="240" w:lineRule="auto"/>
              <w:rPr>
                <w:rFonts w:ascii="Times New Roman" w:hAnsi="Times New Roman"/>
                <w:sz w:val="20"/>
                <w:szCs w:val="20"/>
              </w:rPr>
            </w:pPr>
            <w:r w:rsidRPr="00C64727">
              <w:rPr>
                <w:rFonts w:ascii="Times New Roman" w:hAnsi="Times New Roman"/>
                <w:sz w:val="20"/>
                <w:szCs w:val="20"/>
              </w:rPr>
              <w:t>Kínálat</w:t>
            </w:r>
          </w:p>
        </w:tc>
        <w:tc>
          <w:tcPr>
            <w:tcW w:w="0" w:type="auto"/>
            <w:shd w:val="clear" w:color="auto" w:fill="auto"/>
          </w:tcPr>
          <w:p w14:paraId="1C7CBB1D" w14:textId="77777777" w:rsidR="0067338B" w:rsidRPr="00C64727" w:rsidRDefault="001F1235">
            <w:pPr>
              <w:spacing w:after="0" w:line="240" w:lineRule="auto"/>
              <w:rPr>
                <w:rFonts w:ascii="Times New Roman" w:hAnsi="Times New Roman"/>
                <w:sz w:val="20"/>
                <w:szCs w:val="20"/>
              </w:rPr>
            </w:pPr>
            <w:r w:rsidRPr="00C64727">
              <w:rPr>
                <w:rFonts w:ascii="Times New Roman" w:hAnsi="Times New Roman"/>
                <w:sz w:val="20"/>
                <w:szCs w:val="20"/>
              </w:rPr>
              <w:t>EUTL, státusztáblázat</w:t>
            </w:r>
          </w:p>
        </w:tc>
        <w:tc>
          <w:tcPr>
            <w:tcW w:w="0" w:type="auto"/>
            <w:vMerge/>
            <w:shd w:val="clear" w:color="auto" w:fill="auto"/>
          </w:tcPr>
          <w:p w14:paraId="782317EE" w14:textId="77777777" w:rsidR="0067338B" w:rsidRPr="00C64727" w:rsidRDefault="0067338B">
            <w:pPr>
              <w:pStyle w:val="ListParagraph"/>
              <w:spacing w:after="0" w:line="240" w:lineRule="auto"/>
              <w:ind w:left="0"/>
              <w:rPr>
                <w:rFonts w:ascii="Times New Roman" w:hAnsi="Times New Roman"/>
                <w:sz w:val="20"/>
                <w:szCs w:val="20"/>
              </w:rPr>
            </w:pPr>
          </w:p>
        </w:tc>
      </w:tr>
      <w:tr w:rsidR="0067338B" w:rsidRPr="00C64727" w14:paraId="310B2536" w14:textId="77777777" w:rsidTr="00601A28">
        <w:trPr>
          <w:trHeight w:val="1156"/>
        </w:trPr>
        <w:tc>
          <w:tcPr>
            <w:tcW w:w="949" w:type="pct"/>
            <w:shd w:val="clear" w:color="auto" w:fill="auto"/>
          </w:tcPr>
          <w:p w14:paraId="19058307" w14:textId="77777777" w:rsidR="0067338B" w:rsidRPr="00C64727" w:rsidRDefault="001F1235">
            <w:pPr>
              <w:spacing w:after="0" w:line="240" w:lineRule="auto"/>
              <w:rPr>
                <w:rFonts w:ascii="Times New Roman" w:hAnsi="Times New Roman"/>
                <w:b/>
                <w:sz w:val="20"/>
                <w:szCs w:val="20"/>
              </w:rPr>
            </w:pPr>
            <w:r w:rsidRPr="00C64727">
              <w:rPr>
                <w:rFonts w:ascii="Times New Roman" w:hAnsi="Times New Roman"/>
                <w:b/>
                <w:sz w:val="20"/>
                <w:szCs w:val="20"/>
              </w:rPr>
              <w:t>Kibocsátások (helyhez kötött létesítmények)</w:t>
            </w:r>
          </w:p>
        </w:tc>
        <w:tc>
          <w:tcPr>
            <w:tcW w:w="0" w:type="auto"/>
            <w:shd w:val="clear" w:color="auto" w:fill="auto"/>
          </w:tcPr>
          <w:p w14:paraId="03806901" w14:textId="77777777" w:rsidR="0067338B" w:rsidRPr="00C64727" w:rsidRDefault="001F1235">
            <w:pPr>
              <w:spacing w:after="0" w:line="240" w:lineRule="auto"/>
              <w:jc w:val="both"/>
              <w:rPr>
                <w:rFonts w:ascii="Times New Roman" w:hAnsi="Times New Roman"/>
                <w:sz w:val="20"/>
                <w:szCs w:val="20"/>
              </w:rPr>
            </w:pPr>
            <w:r w:rsidRPr="00C64727">
              <w:rPr>
                <w:rFonts w:ascii="Times New Roman" w:hAnsi="Times New Roman"/>
                <w:sz w:val="20"/>
                <w:szCs w:val="20"/>
              </w:rPr>
              <w:t>Kereslet</w:t>
            </w:r>
          </w:p>
        </w:tc>
        <w:tc>
          <w:tcPr>
            <w:tcW w:w="0" w:type="auto"/>
            <w:shd w:val="clear" w:color="auto" w:fill="auto"/>
          </w:tcPr>
          <w:p w14:paraId="70490D73" w14:textId="77777777" w:rsidR="0067338B" w:rsidRPr="00C64727" w:rsidRDefault="001F1235">
            <w:pPr>
              <w:spacing w:after="0" w:line="240" w:lineRule="auto"/>
              <w:jc w:val="both"/>
              <w:rPr>
                <w:rFonts w:ascii="Times New Roman" w:hAnsi="Times New Roman"/>
                <w:sz w:val="20"/>
                <w:szCs w:val="20"/>
              </w:rPr>
            </w:pPr>
            <w:r w:rsidRPr="00C64727">
              <w:rPr>
                <w:rFonts w:ascii="Times New Roman" w:hAnsi="Times New Roman"/>
                <w:sz w:val="20"/>
                <w:szCs w:val="20"/>
              </w:rPr>
              <w:t>EUTL, megfelelési adatok</w:t>
            </w:r>
          </w:p>
        </w:tc>
        <w:tc>
          <w:tcPr>
            <w:tcW w:w="0" w:type="auto"/>
            <w:shd w:val="clear" w:color="auto" w:fill="auto"/>
          </w:tcPr>
          <w:p w14:paraId="3D95D68F" w14:textId="77777777" w:rsidR="0067338B" w:rsidRPr="00C64727" w:rsidRDefault="001F1235">
            <w:pPr>
              <w:spacing w:after="0" w:line="240" w:lineRule="auto"/>
              <w:jc w:val="both"/>
              <w:rPr>
                <w:rFonts w:ascii="Times New Roman" w:hAnsi="Times New Roman"/>
                <w:sz w:val="20"/>
                <w:szCs w:val="20"/>
              </w:rPr>
            </w:pPr>
            <w:r w:rsidRPr="00C64727">
              <w:rPr>
                <w:rFonts w:ascii="Times New Roman" w:hAnsi="Times New Roman"/>
                <w:sz w:val="20"/>
                <w:szCs w:val="20"/>
              </w:rPr>
              <w:t>A május 1-jén közzétett megfelelési adatok az előírásoknak megfelelő (azaz valamennyi érintett évre vonatkozóan jelentést benyújtó) létesítmények kibocsátásait és leadott kibocsátási egységeit tartalmazzák</w:t>
            </w:r>
            <w:r w:rsidRPr="00C64727">
              <w:rPr>
                <w:rStyle w:val="FootnoteReference"/>
                <w:rFonts w:ascii="Times New Roman" w:hAnsi="Times New Roman"/>
                <w:sz w:val="20"/>
                <w:szCs w:val="20"/>
              </w:rPr>
              <w:footnoteReference w:id="79"/>
            </w:r>
            <w:r w:rsidRPr="00C64727">
              <w:rPr>
                <w:rFonts w:ascii="Times New Roman" w:hAnsi="Times New Roman"/>
                <w:sz w:val="20"/>
                <w:szCs w:val="20"/>
              </w:rPr>
              <w:t>.</w:t>
            </w:r>
          </w:p>
          <w:p w14:paraId="38550770" w14:textId="77777777" w:rsidR="0067338B" w:rsidRPr="00C64727" w:rsidRDefault="0067338B">
            <w:pPr>
              <w:spacing w:after="0" w:line="240" w:lineRule="auto"/>
              <w:jc w:val="both"/>
              <w:rPr>
                <w:rFonts w:ascii="Times New Roman" w:hAnsi="Times New Roman"/>
                <w:sz w:val="20"/>
                <w:szCs w:val="20"/>
              </w:rPr>
            </w:pPr>
          </w:p>
        </w:tc>
      </w:tr>
      <w:tr w:rsidR="0067338B" w:rsidRPr="00C64727" w14:paraId="4E8F3C5F" w14:textId="77777777" w:rsidTr="00601A28">
        <w:trPr>
          <w:trHeight w:val="469"/>
        </w:trPr>
        <w:tc>
          <w:tcPr>
            <w:tcW w:w="949" w:type="pct"/>
            <w:shd w:val="clear" w:color="auto" w:fill="auto"/>
          </w:tcPr>
          <w:p w14:paraId="139F5413" w14:textId="77777777" w:rsidR="0067338B" w:rsidRPr="00C64727" w:rsidRDefault="001F1235">
            <w:pPr>
              <w:spacing w:after="0" w:line="240" w:lineRule="auto"/>
              <w:rPr>
                <w:rFonts w:ascii="Times New Roman" w:hAnsi="Times New Roman"/>
                <w:b/>
                <w:sz w:val="20"/>
                <w:szCs w:val="20"/>
              </w:rPr>
            </w:pPr>
            <w:r w:rsidRPr="00C64727">
              <w:rPr>
                <w:rFonts w:ascii="Times New Roman" w:hAnsi="Times New Roman"/>
                <w:b/>
                <w:sz w:val="20"/>
                <w:szCs w:val="20"/>
              </w:rPr>
              <w:t>Kibocsátás (légi közlekedés)</w:t>
            </w:r>
          </w:p>
        </w:tc>
        <w:tc>
          <w:tcPr>
            <w:tcW w:w="0" w:type="auto"/>
            <w:shd w:val="clear" w:color="auto" w:fill="auto"/>
          </w:tcPr>
          <w:p w14:paraId="62690D01" w14:textId="77777777" w:rsidR="0067338B" w:rsidRPr="00C64727" w:rsidRDefault="001F1235">
            <w:pPr>
              <w:spacing w:after="0" w:line="240" w:lineRule="auto"/>
              <w:jc w:val="both"/>
              <w:rPr>
                <w:rFonts w:ascii="Times New Roman" w:hAnsi="Times New Roman"/>
                <w:sz w:val="20"/>
                <w:szCs w:val="20"/>
              </w:rPr>
            </w:pPr>
            <w:r w:rsidRPr="00C64727">
              <w:rPr>
                <w:rFonts w:ascii="Times New Roman" w:hAnsi="Times New Roman"/>
                <w:sz w:val="20"/>
                <w:szCs w:val="20"/>
              </w:rPr>
              <w:t>Kereslet</w:t>
            </w:r>
          </w:p>
        </w:tc>
        <w:tc>
          <w:tcPr>
            <w:tcW w:w="0" w:type="auto"/>
            <w:shd w:val="clear" w:color="auto" w:fill="auto"/>
          </w:tcPr>
          <w:p w14:paraId="7324D0BA" w14:textId="77777777" w:rsidR="0067338B" w:rsidRPr="00C64727" w:rsidRDefault="0067338B">
            <w:pPr>
              <w:spacing w:after="0" w:line="240" w:lineRule="auto"/>
              <w:jc w:val="both"/>
              <w:rPr>
                <w:rFonts w:ascii="Times New Roman" w:hAnsi="Times New Roman"/>
                <w:sz w:val="20"/>
                <w:szCs w:val="20"/>
              </w:rPr>
            </w:pPr>
          </w:p>
        </w:tc>
        <w:tc>
          <w:tcPr>
            <w:tcW w:w="0" w:type="auto"/>
            <w:shd w:val="clear" w:color="auto" w:fill="auto"/>
          </w:tcPr>
          <w:p w14:paraId="666868F4" w14:textId="77777777" w:rsidR="0067338B" w:rsidRPr="00C64727" w:rsidRDefault="001F1235">
            <w:pPr>
              <w:spacing w:after="0" w:line="240" w:lineRule="auto"/>
              <w:jc w:val="both"/>
              <w:rPr>
                <w:rFonts w:ascii="Times New Roman" w:hAnsi="Times New Roman"/>
                <w:sz w:val="20"/>
                <w:szCs w:val="20"/>
              </w:rPr>
            </w:pPr>
            <w:r w:rsidRPr="00C64727">
              <w:rPr>
                <w:rFonts w:ascii="Times New Roman" w:hAnsi="Times New Roman"/>
                <w:sz w:val="20"/>
                <w:szCs w:val="20"/>
              </w:rPr>
              <w:t>A légijármű-üzemeltetők 2015-ben teljesítették a megfelelési előírást mind 2013-ra, mind 2014-re vonatkozóan.</w:t>
            </w:r>
          </w:p>
        </w:tc>
      </w:tr>
      <w:tr w:rsidR="0067338B" w:rsidRPr="00C64727" w14:paraId="20548487" w14:textId="77777777" w:rsidTr="00601A28">
        <w:trPr>
          <w:trHeight w:val="469"/>
        </w:trPr>
        <w:tc>
          <w:tcPr>
            <w:tcW w:w="949" w:type="pct"/>
            <w:shd w:val="clear" w:color="auto" w:fill="auto"/>
          </w:tcPr>
          <w:p w14:paraId="680BD948" w14:textId="77777777" w:rsidR="0067338B" w:rsidRPr="00C64727" w:rsidRDefault="001F1235">
            <w:pPr>
              <w:spacing w:after="0" w:line="240" w:lineRule="auto"/>
              <w:rPr>
                <w:rFonts w:ascii="Times New Roman" w:hAnsi="Times New Roman"/>
                <w:b/>
                <w:sz w:val="20"/>
                <w:szCs w:val="20"/>
              </w:rPr>
            </w:pPr>
            <w:r w:rsidRPr="00C64727">
              <w:rPr>
                <w:rFonts w:ascii="Times New Roman" w:hAnsi="Times New Roman"/>
                <w:b/>
                <w:sz w:val="20"/>
                <w:szCs w:val="20"/>
              </w:rPr>
              <w:t>Törölt kibocsátási egységek</w:t>
            </w:r>
          </w:p>
        </w:tc>
        <w:tc>
          <w:tcPr>
            <w:tcW w:w="0" w:type="auto"/>
            <w:shd w:val="clear" w:color="auto" w:fill="auto"/>
          </w:tcPr>
          <w:p w14:paraId="299B9804" w14:textId="77777777" w:rsidR="0067338B" w:rsidRPr="00C64727" w:rsidRDefault="001F1235">
            <w:pPr>
              <w:spacing w:after="0" w:line="240" w:lineRule="auto"/>
              <w:jc w:val="both"/>
              <w:rPr>
                <w:rFonts w:ascii="Times New Roman" w:hAnsi="Times New Roman"/>
                <w:sz w:val="20"/>
                <w:szCs w:val="20"/>
              </w:rPr>
            </w:pPr>
            <w:r w:rsidRPr="00C64727">
              <w:rPr>
                <w:rFonts w:ascii="Times New Roman" w:hAnsi="Times New Roman"/>
                <w:sz w:val="20"/>
                <w:szCs w:val="20"/>
              </w:rPr>
              <w:t>Kereslet</w:t>
            </w:r>
          </w:p>
        </w:tc>
        <w:tc>
          <w:tcPr>
            <w:tcW w:w="0" w:type="auto"/>
            <w:shd w:val="clear" w:color="auto" w:fill="auto"/>
          </w:tcPr>
          <w:p w14:paraId="5123AAC4" w14:textId="77777777" w:rsidR="0067338B" w:rsidRPr="00C64727" w:rsidRDefault="0067338B">
            <w:pPr>
              <w:spacing w:after="0" w:line="240" w:lineRule="auto"/>
              <w:jc w:val="both"/>
              <w:rPr>
                <w:rFonts w:ascii="Times New Roman" w:hAnsi="Times New Roman"/>
                <w:sz w:val="20"/>
                <w:szCs w:val="20"/>
              </w:rPr>
            </w:pPr>
          </w:p>
        </w:tc>
        <w:tc>
          <w:tcPr>
            <w:tcW w:w="0" w:type="auto"/>
            <w:shd w:val="clear" w:color="auto" w:fill="auto"/>
          </w:tcPr>
          <w:p w14:paraId="605B0ED2" w14:textId="77777777" w:rsidR="0067338B" w:rsidRPr="00C64727" w:rsidRDefault="001F1235">
            <w:pPr>
              <w:spacing w:after="0" w:line="240" w:lineRule="auto"/>
              <w:jc w:val="both"/>
              <w:rPr>
                <w:rFonts w:ascii="Times New Roman" w:hAnsi="Times New Roman"/>
                <w:sz w:val="20"/>
                <w:szCs w:val="20"/>
              </w:rPr>
            </w:pPr>
            <w:r w:rsidRPr="00C64727">
              <w:rPr>
                <w:rFonts w:ascii="Times New Roman" w:hAnsi="Times New Roman"/>
                <w:sz w:val="20"/>
                <w:szCs w:val="20"/>
              </w:rPr>
              <w:t>Szén-dioxid-piaci jelentés</w:t>
            </w:r>
          </w:p>
        </w:tc>
      </w:tr>
    </w:tbl>
    <w:p w14:paraId="656CFAA5" w14:textId="77777777" w:rsidR="0067338B" w:rsidRPr="00C64727" w:rsidRDefault="0067338B">
      <w:pPr>
        <w:pStyle w:val="Caption"/>
        <w:keepNext/>
        <w:rPr>
          <w:rFonts w:ascii="Times New Roman" w:hAnsi="Times New Roman"/>
          <w:sz w:val="24"/>
          <w:szCs w:val="24"/>
        </w:rPr>
      </w:pPr>
    </w:p>
    <w:p w14:paraId="20D87059" w14:textId="77777777" w:rsidR="0067338B" w:rsidRPr="00C64727" w:rsidRDefault="001F1235">
      <w:pPr>
        <w:pStyle w:val="Caption"/>
        <w:keepNext/>
        <w:rPr>
          <w:rFonts w:ascii="Times New Roman" w:hAnsi="Times New Roman"/>
          <w:sz w:val="22"/>
          <w:szCs w:val="22"/>
        </w:rPr>
      </w:pPr>
      <w:r w:rsidRPr="00C64727">
        <w:rPr>
          <w:rFonts w:ascii="Times New Roman" w:hAnsi="Times New Roman"/>
          <w:sz w:val="22"/>
          <w:szCs w:val="22"/>
        </w:rPr>
        <w:t xml:space="preserve">4.2. táblázat: Az adatok közzétételére vonatkozó ütemezés </w:t>
      </w:r>
    </w:p>
    <w:tbl>
      <w:tblPr>
        <w:tblW w:w="8438"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72"/>
        <w:gridCol w:w="3150"/>
        <w:gridCol w:w="2916"/>
      </w:tblGrid>
      <w:tr w:rsidR="0067338B" w:rsidRPr="00C64727" w14:paraId="05897E16" w14:textId="77777777" w:rsidTr="00601A28">
        <w:trPr>
          <w:trHeight w:val="375"/>
        </w:trPr>
        <w:tc>
          <w:tcPr>
            <w:tcW w:w="2372" w:type="dxa"/>
            <w:shd w:val="clear" w:color="auto" w:fill="auto"/>
            <w:vAlign w:val="center"/>
          </w:tcPr>
          <w:p w14:paraId="2A5AC918" w14:textId="77777777" w:rsidR="0067338B" w:rsidRPr="00C64727" w:rsidRDefault="001F1235">
            <w:pPr>
              <w:rPr>
                <w:rFonts w:ascii="Times New Roman" w:hAnsi="Times New Roman"/>
                <w:b/>
                <w:sz w:val="20"/>
                <w:szCs w:val="20"/>
              </w:rPr>
            </w:pPr>
            <w:r w:rsidRPr="00C64727">
              <w:rPr>
                <w:rFonts w:ascii="Times New Roman" w:hAnsi="Times New Roman"/>
                <w:b/>
                <w:sz w:val="20"/>
                <w:szCs w:val="20"/>
              </w:rPr>
              <w:t>Ütemezés</w:t>
            </w:r>
          </w:p>
        </w:tc>
        <w:tc>
          <w:tcPr>
            <w:tcW w:w="3150" w:type="dxa"/>
            <w:shd w:val="clear" w:color="auto" w:fill="auto"/>
            <w:vAlign w:val="center"/>
          </w:tcPr>
          <w:p w14:paraId="77E1717C" w14:textId="77777777" w:rsidR="0067338B" w:rsidRPr="00C64727" w:rsidRDefault="001F1235">
            <w:pPr>
              <w:rPr>
                <w:rFonts w:ascii="Times New Roman" w:hAnsi="Times New Roman"/>
                <w:b/>
                <w:sz w:val="20"/>
                <w:szCs w:val="20"/>
              </w:rPr>
            </w:pPr>
            <w:r w:rsidRPr="00C64727">
              <w:rPr>
                <w:rFonts w:ascii="Times New Roman" w:hAnsi="Times New Roman"/>
                <w:b/>
                <w:sz w:val="20"/>
                <w:szCs w:val="20"/>
              </w:rPr>
              <w:t>Adatok</w:t>
            </w:r>
          </w:p>
        </w:tc>
        <w:tc>
          <w:tcPr>
            <w:tcW w:w="2916" w:type="dxa"/>
            <w:shd w:val="clear" w:color="auto" w:fill="auto"/>
            <w:vAlign w:val="center"/>
          </w:tcPr>
          <w:p w14:paraId="1ECBA519" w14:textId="77777777" w:rsidR="0067338B" w:rsidRPr="00C64727" w:rsidRDefault="001F1235">
            <w:pPr>
              <w:rPr>
                <w:rFonts w:ascii="Times New Roman" w:hAnsi="Times New Roman"/>
                <w:b/>
                <w:sz w:val="20"/>
                <w:szCs w:val="20"/>
              </w:rPr>
            </w:pPr>
            <w:r w:rsidRPr="00C64727">
              <w:rPr>
                <w:rFonts w:ascii="Times New Roman" w:hAnsi="Times New Roman"/>
                <w:b/>
                <w:sz w:val="20"/>
                <w:szCs w:val="20"/>
              </w:rPr>
              <w:t>Alkalmazási kör</w:t>
            </w:r>
          </w:p>
        </w:tc>
      </w:tr>
      <w:tr w:rsidR="0067338B" w:rsidRPr="00C64727" w14:paraId="3856F012" w14:textId="77777777" w:rsidTr="00601A28">
        <w:trPr>
          <w:trHeight w:val="594"/>
        </w:trPr>
        <w:tc>
          <w:tcPr>
            <w:tcW w:w="2372" w:type="dxa"/>
            <w:shd w:val="clear" w:color="auto" w:fill="auto"/>
          </w:tcPr>
          <w:p w14:paraId="06B6C8D8" w14:textId="77777777" w:rsidR="0067338B" w:rsidRPr="00C64727" w:rsidRDefault="001F1235">
            <w:pPr>
              <w:rPr>
                <w:rFonts w:ascii="Times New Roman" w:hAnsi="Times New Roman"/>
                <w:sz w:val="20"/>
                <w:szCs w:val="20"/>
              </w:rPr>
            </w:pPr>
            <w:r w:rsidRPr="00C64727">
              <w:rPr>
                <w:rFonts w:ascii="Times New Roman" w:hAnsi="Times New Roman"/>
                <w:sz w:val="20"/>
                <w:szCs w:val="20"/>
              </w:rPr>
              <w:t>x év január 1. – április 30.</w:t>
            </w:r>
          </w:p>
        </w:tc>
        <w:tc>
          <w:tcPr>
            <w:tcW w:w="3150" w:type="dxa"/>
            <w:shd w:val="clear" w:color="auto" w:fill="auto"/>
          </w:tcPr>
          <w:p w14:paraId="2D43B873" w14:textId="77777777" w:rsidR="0067338B" w:rsidRPr="00C64727" w:rsidRDefault="001F1235">
            <w:pPr>
              <w:rPr>
                <w:rFonts w:ascii="Times New Roman" w:hAnsi="Times New Roman"/>
                <w:sz w:val="20"/>
                <w:szCs w:val="20"/>
              </w:rPr>
            </w:pPr>
            <w:r w:rsidRPr="00C64727">
              <w:rPr>
                <w:rFonts w:ascii="Times New Roman" w:hAnsi="Times New Roman"/>
                <w:sz w:val="20"/>
                <w:szCs w:val="20"/>
              </w:rPr>
              <w:t>A villamosenergia- és hőtermelés számára ingyenesen kiosztott kibocsátási egységekre vonatkozó adatok frissítése (10c. cikk)</w:t>
            </w:r>
          </w:p>
        </w:tc>
        <w:tc>
          <w:tcPr>
            <w:tcW w:w="2916" w:type="dxa"/>
            <w:shd w:val="clear" w:color="auto" w:fill="auto"/>
          </w:tcPr>
          <w:p w14:paraId="1A07CD2D" w14:textId="77777777" w:rsidR="0067338B" w:rsidRPr="00C64727" w:rsidRDefault="001F1235">
            <w:pPr>
              <w:rPr>
                <w:rFonts w:ascii="Times New Roman" w:hAnsi="Times New Roman"/>
                <w:sz w:val="20"/>
                <w:szCs w:val="20"/>
              </w:rPr>
            </w:pPr>
            <w:r w:rsidRPr="00C64727">
              <w:rPr>
                <w:rFonts w:ascii="Times New Roman" w:hAnsi="Times New Roman"/>
                <w:sz w:val="20"/>
                <w:szCs w:val="20"/>
              </w:rPr>
              <w:t>x–1. év</w:t>
            </w:r>
          </w:p>
        </w:tc>
      </w:tr>
      <w:tr w:rsidR="0067338B" w:rsidRPr="00C64727" w14:paraId="42ED03B0" w14:textId="77777777" w:rsidTr="00601A28">
        <w:trPr>
          <w:trHeight w:val="969"/>
        </w:trPr>
        <w:tc>
          <w:tcPr>
            <w:tcW w:w="2372" w:type="dxa"/>
            <w:shd w:val="clear" w:color="auto" w:fill="auto"/>
          </w:tcPr>
          <w:p w14:paraId="7A44A945" w14:textId="77777777" w:rsidR="0067338B" w:rsidRPr="00C64727" w:rsidRDefault="001F1235">
            <w:pPr>
              <w:rPr>
                <w:rFonts w:ascii="Times New Roman" w:hAnsi="Times New Roman"/>
                <w:sz w:val="20"/>
                <w:szCs w:val="20"/>
              </w:rPr>
            </w:pPr>
            <w:r w:rsidRPr="00C64727">
              <w:rPr>
                <w:rFonts w:ascii="Times New Roman" w:hAnsi="Times New Roman"/>
                <w:sz w:val="20"/>
                <w:szCs w:val="20"/>
              </w:rPr>
              <w:t>x. év április 1.</w:t>
            </w:r>
          </w:p>
        </w:tc>
        <w:tc>
          <w:tcPr>
            <w:tcW w:w="3150" w:type="dxa"/>
            <w:shd w:val="clear" w:color="auto" w:fill="auto"/>
          </w:tcPr>
          <w:p w14:paraId="371EA7E4" w14:textId="77777777" w:rsidR="0067338B" w:rsidRPr="00C64727" w:rsidRDefault="001F1235">
            <w:pPr>
              <w:rPr>
                <w:rFonts w:ascii="Times New Roman" w:hAnsi="Times New Roman"/>
                <w:sz w:val="20"/>
                <w:szCs w:val="20"/>
              </w:rPr>
            </w:pPr>
            <w:r w:rsidRPr="00C64727">
              <w:rPr>
                <w:rFonts w:ascii="Times New Roman" w:hAnsi="Times New Roman"/>
                <w:sz w:val="20"/>
                <w:szCs w:val="20"/>
              </w:rPr>
              <w:t>Hitelesített kibocsátások</w:t>
            </w:r>
          </w:p>
          <w:p w14:paraId="2E1B97FE" w14:textId="77777777" w:rsidR="0067338B" w:rsidRPr="00C64727" w:rsidRDefault="001F1235">
            <w:pPr>
              <w:rPr>
                <w:rFonts w:ascii="Times New Roman" w:hAnsi="Times New Roman"/>
                <w:sz w:val="20"/>
                <w:szCs w:val="20"/>
              </w:rPr>
            </w:pPr>
            <w:r w:rsidRPr="00C64727">
              <w:rPr>
                <w:rFonts w:ascii="Times New Roman" w:hAnsi="Times New Roman"/>
                <w:sz w:val="20"/>
                <w:szCs w:val="20"/>
              </w:rPr>
              <w:t>Ingyenes kiosztás (a 10a. cikk (5) bekezdése – nemzeti végrehajtási intézkedések)</w:t>
            </w:r>
          </w:p>
        </w:tc>
        <w:tc>
          <w:tcPr>
            <w:tcW w:w="2916" w:type="dxa"/>
            <w:shd w:val="clear" w:color="auto" w:fill="auto"/>
          </w:tcPr>
          <w:p w14:paraId="73A2ADA8" w14:textId="77777777" w:rsidR="0067338B" w:rsidRPr="00C64727" w:rsidRDefault="001F1235">
            <w:pPr>
              <w:rPr>
                <w:rFonts w:ascii="Times New Roman" w:hAnsi="Times New Roman"/>
                <w:sz w:val="20"/>
                <w:szCs w:val="20"/>
              </w:rPr>
            </w:pPr>
            <w:r w:rsidRPr="00C64727">
              <w:rPr>
                <w:rFonts w:ascii="Times New Roman" w:hAnsi="Times New Roman"/>
                <w:sz w:val="20"/>
                <w:szCs w:val="20"/>
              </w:rPr>
              <w:t>x–1. év</w:t>
            </w:r>
          </w:p>
        </w:tc>
      </w:tr>
      <w:tr w:rsidR="0067338B" w:rsidRPr="00C64727" w14:paraId="48C83F57" w14:textId="77777777" w:rsidTr="00601A28">
        <w:trPr>
          <w:trHeight w:val="814"/>
        </w:trPr>
        <w:tc>
          <w:tcPr>
            <w:tcW w:w="2372" w:type="dxa"/>
            <w:shd w:val="clear" w:color="auto" w:fill="auto"/>
          </w:tcPr>
          <w:p w14:paraId="19B341F2" w14:textId="77777777" w:rsidR="0067338B" w:rsidRPr="00C64727" w:rsidRDefault="001F1235">
            <w:pPr>
              <w:rPr>
                <w:rFonts w:ascii="Times New Roman" w:hAnsi="Times New Roman"/>
                <w:sz w:val="20"/>
                <w:szCs w:val="20"/>
              </w:rPr>
            </w:pPr>
            <w:r w:rsidRPr="00C64727">
              <w:rPr>
                <w:rFonts w:ascii="Times New Roman" w:hAnsi="Times New Roman"/>
                <w:sz w:val="20"/>
                <w:szCs w:val="20"/>
              </w:rPr>
              <w:t>x. év május 1.</w:t>
            </w:r>
          </w:p>
        </w:tc>
        <w:tc>
          <w:tcPr>
            <w:tcW w:w="3150" w:type="dxa"/>
            <w:shd w:val="clear" w:color="auto" w:fill="auto"/>
          </w:tcPr>
          <w:p w14:paraId="0CF58D93" w14:textId="77777777" w:rsidR="0067338B" w:rsidRPr="00C64727" w:rsidRDefault="001F1235">
            <w:pPr>
              <w:rPr>
                <w:rFonts w:ascii="Times New Roman" w:hAnsi="Times New Roman"/>
                <w:sz w:val="20"/>
                <w:szCs w:val="20"/>
              </w:rPr>
            </w:pPr>
            <w:r w:rsidRPr="00C64727">
              <w:rPr>
                <w:rFonts w:ascii="Times New Roman" w:hAnsi="Times New Roman"/>
                <w:sz w:val="20"/>
                <w:szCs w:val="20"/>
              </w:rPr>
              <w:t>A megfelelésre vonatkozó határidő: hitelesített kibocsátások és leadott kibocsátási egységek</w:t>
            </w:r>
          </w:p>
        </w:tc>
        <w:tc>
          <w:tcPr>
            <w:tcW w:w="2916" w:type="dxa"/>
            <w:shd w:val="clear" w:color="auto" w:fill="auto"/>
          </w:tcPr>
          <w:p w14:paraId="4344FDC5" w14:textId="77777777" w:rsidR="0067338B" w:rsidRPr="00C64727" w:rsidRDefault="001F1235">
            <w:pPr>
              <w:rPr>
                <w:rFonts w:ascii="Times New Roman" w:hAnsi="Times New Roman"/>
                <w:sz w:val="20"/>
                <w:szCs w:val="20"/>
              </w:rPr>
            </w:pPr>
            <w:r w:rsidRPr="00C64727">
              <w:rPr>
                <w:rFonts w:ascii="Times New Roman" w:hAnsi="Times New Roman"/>
                <w:sz w:val="20"/>
                <w:szCs w:val="20"/>
              </w:rPr>
              <w:t>x–1. év</w:t>
            </w:r>
          </w:p>
        </w:tc>
      </w:tr>
      <w:tr w:rsidR="0067338B" w:rsidRPr="00C64727" w14:paraId="7FF377F4" w14:textId="77777777" w:rsidTr="00601A28">
        <w:trPr>
          <w:trHeight w:val="375"/>
        </w:trPr>
        <w:tc>
          <w:tcPr>
            <w:tcW w:w="2372" w:type="dxa"/>
            <w:shd w:val="clear" w:color="auto" w:fill="auto"/>
          </w:tcPr>
          <w:p w14:paraId="4532BF1A" w14:textId="77777777" w:rsidR="0067338B" w:rsidRPr="00C64727" w:rsidRDefault="001F1235">
            <w:pPr>
              <w:rPr>
                <w:rFonts w:ascii="Times New Roman" w:hAnsi="Times New Roman"/>
                <w:sz w:val="20"/>
                <w:szCs w:val="20"/>
              </w:rPr>
            </w:pPr>
            <w:r w:rsidRPr="00C64727">
              <w:rPr>
                <w:rFonts w:ascii="Times New Roman" w:hAnsi="Times New Roman"/>
                <w:sz w:val="20"/>
                <w:szCs w:val="20"/>
              </w:rPr>
              <w:t>x. év május/október</w:t>
            </w:r>
          </w:p>
        </w:tc>
        <w:tc>
          <w:tcPr>
            <w:tcW w:w="3150" w:type="dxa"/>
            <w:shd w:val="clear" w:color="auto" w:fill="auto"/>
          </w:tcPr>
          <w:p w14:paraId="46DA21C2" w14:textId="77777777" w:rsidR="0067338B" w:rsidRPr="00C64727" w:rsidRDefault="001F1235">
            <w:pPr>
              <w:rPr>
                <w:rFonts w:ascii="Times New Roman" w:hAnsi="Times New Roman"/>
                <w:sz w:val="20"/>
                <w:szCs w:val="20"/>
              </w:rPr>
            </w:pPr>
            <w:r w:rsidRPr="00C64727">
              <w:rPr>
                <w:rFonts w:ascii="Times New Roman" w:hAnsi="Times New Roman"/>
                <w:sz w:val="20"/>
                <w:szCs w:val="20"/>
              </w:rPr>
              <w:t>Beváltott nemzetközi jóváírások</w:t>
            </w:r>
          </w:p>
        </w:tc>
        <w:tc>
          <w:tcPr>
            <w:tcW w:w="2916" w:type="dxa"/>
            <w:shd w:val="clear" w:color="auto" w:fill="auto"/>
          </w:tcPr>
          <w:p w14:paraId="394DFD19" w14:textId="77777777" w:rsidR="0067338B" w:rsidRPr="00C64727" w:rsidRDefault="0067338B">
            <w:pPr>
              <w:rPr>
                <w:rFonts w:ascii="Times New Roman" w:hAnsi="Times New Roman"/>
                <w:sz w:val="20"/>
                <w:szCs w:val="20"/>
              </w:rPr>
            </w:pPr>
          </w:p>
        </w:tc>
      </w:tr>
      <w:tr w:rsidR="0067338B" w:rsidRPr="00C64727" w14:paraId="5F9DDA2F" w14:textId="77777777" w:rsidTr="00601A28">
        <w:trPr>
          <w:trHeight w:val="366"/>
        </w:trPr>
        <w:tc>
          <w:tcPr>
            <w:tcW w:w="2372" w:type="dxa"/>
            <w:shd w:val="clear" w:color="auto" w:fill="auto"/>
          </w:tcPr>
          <w:p w14:paraId="3A4DBD9B" w14:textId="77777777" w:rsidR="0067338B" w:rsidRPr="00C64727" w:rsidRDefault="001F1235">
            <w:pPr>
              <w:rPr>
                <w:rFonts w:ascii="Times New Roman" w:hAnsi="Times New Roman"/>
                <w:sz w:val="20"/>
                <w:szCs w:val="20"/>
              </w:rPr>
            </w:pPr>
            <w:r w:rsidRPr="00C64727">
              <w:rPr>
                <w:rFonts w:ascii="Times New Roman" w:hAnsi="Times New Roman"/>
                <w:sz w:val="20"/>
                <w:szCs w:val="20"/>
              </w:rPr>
              <w:t>x. év utolsó negyedéve</w:t>
            </w:r>
          </w:p>
        </w:tc>
        <w:tc>
          <w:tcPr>
            <w:tcW w:w="3150" w:type="dxa"/>
            <w:shd w:val="clear" w:color="auto" w:fill="auto"/>
          </w:tcPr>
          <w:p w14:paraId="536FC7C9" w14:textId="77777777" w:rsidR="0067338B" w:rsidRPr="00C64727" w:rsidRDefault="001F1235">
            <w:pPr>
              <w:rPr>
                <w:rFonts w:ascii="Times New Roman" w:hAnsi="Times New Roman"/>
                <w:sz w:val="20"/>
                <w:szCs w:val="20"/>
              </w:rPr>
            </w:pPr>
            <w:r w:rsidRPr="00C64727">
              <w:rPr>
                <w:rFonts w:ascii="Times New Roman" w:hAnsi="Times New Roman"/>
                <w:sz w:val="20"/>
                <w:szCs w:val="20"/>
              </w:rPr>
              <w:t>Szén-dioxid-piaci jelentés</w:t>
            </w:r>
          </w:p>
        </w:tc>
        <w:tc>
          <w:tcPr>
            <w:tcW w:w="2916" w:type="dxa"/>
            <w:shd w:val="clear" w:color="auto" w:fill="auto"/>
          </w:tcPr>
          <w:p w14:paraId="02505A1E" w14:textId="77777777" w:rsidR="0067338B" w:rsidRPr="00C64727" w:rsidRDefault="001F1235">
            <w:pPr>
              <w:rPr>
                <w:rFonts w:ascii="Times New Roman" w:hAnsi="Times New Roman"/>
                <w:sz w:val="20"/>
                <w:szCs w:val="20"/>
              </w:rPr>
            </w:pPr>
            <w:r w:rsidRPr="00C64727">
              <w:rPr>
                <w:rFonts w:ascii="Times New Roman" w:hAnsi="Times New Roman"/>
                <w:sz w:val="20"/>
                <w:szCs w:val="20"/>
              </w:rPr>
              <w:t>x–1. év</w:t>
            </w:r>
          </w:p>
        </w:tc>
      </w:tr>
      <w:tr w:rsidR="0067338B" w:rsidRPr="00C64727" w14:paraId="2C1CF353" w14:textId="77777777" w:rsidTr="00601A28">
        <w:trPr>
          <w:trHeight w:val="594"/>
        </w:trPr>
        <w:tc>
          <w:tcPr>
            <w:tcW w:w="2372" w:type="dxa"/>
            <w:shd w:val="clear" w:color="auto" w:fill="auto"/>
          </w:tcPr>
          <w:p w14:paraId="45C81A23" w14:textId="77777777" w:rsidR="0067338B" w:rsidRPr="00C64727" w:rsidRDefault="001F1235">
            <w:pPr>
              <w:rPr>
                <w:rFonts w:ascii="Times New Roman" w:hAnsi="Times New Roman"/>
                <w:sz w:val="20"/>
                <w:szCs w:val="20"/>
              </w:rPr>
            </w:pPr>
            <w:r w:rsidRPr="00C64727">
              <w:rPr>
                <w:rFonts w:ascii="Times New Roman" w:hAnsi="Times New Roman"/>
                <w:sz w:val="20"/>
                <w:szCs w:val="20"/>
              </w:rPr>
              <w:t>x. év január/július</w:t>
            </w:r>
          </w:p>
        </w:tc>
        <w:tc>
          <w:tcPr>
            <w:tcW w:w="3150" w:type="dxa"/>
            <w:shd w:val="clear" w:color="auto" w:fill="auto"/>
          </w:tcPr>
          <w:p w14:paraId="289F9220" w14:textId="77777777" w:rsidR="0067338B" w:rsidRPr="00C64727" w:rsidRDefault="001F1235">
            <w:pPr>
              <w:rPr>
                <w:rFonts w:ascii="Times New Roman" w:hAnsi="Times New Roman"/>
                <w:sz w:val="20"/>
                <w:szCs w:val="20"/>
              </w:rPr>
            </w:pPr>
            <w:r w:rsidRPr="00C64727">
              <w:rPr>
                <w:rFonts w:ascii="Times New Roman" w:hAnsi="Times New Roman"/>
                <w:sz w:val="20"/>
                <w:szCs w:val="20"/>
              </w:rPr>
              <w:t>Az új belépők részére fenntartott tartalék helyzete – NER-táblázat</w:t>
            </w:r>
          </w:p>
        </w:tc>
        <w:tc>
          <w:tcPr>
            <w:tcW w:w="2916" w:type="dxa"/>
            <w:shd w:val="clear" w:color="auto" w:fill="auto"/>
          </w:tcPr>
          <w:p w14:paraId="0CB58E33" w14:textId="77777777" w:rsidR="0067338B" w:rsidRPr="00C64727" w:rsidRDefault="0067338B">
            <w:pPr>
              <w:rPr>
                <w:rFonts w:ascii="Times New Roman" w:hAnsi="Times New Roman"/>
                <w:sz w:val="20"/>
                <w:szCs w:val="20"/>
                <w:highlight w:val="yellow"/>
              </w:rPr>
            </w:pPr>
          </w:p>
        </w:tc>
      </w:tr>
      <w:tr w:rsidR="0067338B" w:rsidRPr="00C64727" w14:paraId="76F0BFB6" w14:textId="77777777" w:rsidTr="00601A28">
        <w:trPr>
          <w:trHeight w:val="603"/>
        </w:trPr>
        <w:tc>
          <w:tcPr>
            <w:tcW w:w="2372" w:type="dxa"/>
            <w:shd w:val="clear" w:color="auto" w:fill="auto"/>
          </w:tcPr>
          <w:p w14:paraId="6DAF84DA" w14:textId="77777777" w:rsidR="0067338B" w:rsidRPr="00C64727" w:rsidRDefault="001F1235">
            <w:pPr>
              <w:rPr>
                <w:rFonts w:ascii="Times New Roman" w:hAnsi="Times New Roman"/>
                <w:sz w:val="20"/>
                <w:szCs w:val="20"/>
              </w:rPr>
            </w:pPr>
            <w:r w:rsidRPr="00C64727">
              <w:rPr>
                <w:rFonts w:ascii="Times New Roman" w:hAnsi="Times New Roman"/>
                <w:sz w:val="20"/>
                <w:szCs w:val="20"/>
              </w:rPr>
              <w:t>Uniós szinten nem teszik közzé</w:t>
            </w:r>
          </w:p>
        </w:tc>
        <w:tc>
          <w:tcPr>
            <w:tcW w:w="3150" w:type="dxa"/>
            <w:shd w:val="clear" w:color="auto" w:fill="auto"/>
          </w:tcPr>
          <w:p w14:paraId="018886E6" w14:textId="77777777" w:rsidR="0067338B" w:rsidRPr="00C64727" w:rsidRDefault="001F1235">
            <w:pPr>
              <w:rPr>
                <w:rFonts w:ascii="Times New Roman" w:hAnsi="Times New Roman"/>
                <w:sz w:val="20"/>
                <w:szCs w:val="20"/>
              </w:rPr>
            </w:pPr>
            <w:r w:rsidRPr="00C64727">
              <w:rPr>
                <w:rFonts w:ascii="Times New Roman" w:hAnsi="Times New Roman"/>
                <w:sz w:val="20"/>
                <w:szCs w:val="20"/>
              </w:rPr>
              <w:t>A légi közlekedés számára történő ingyenes kiosztás, tagállami szinten közzétéve</w:t>
            </w:r>
          </w:p>
        </w:tc>
        <w:tc>
          <w:tcPr>
            <w:tcW w:w="2916" w:type="dxa"/>
            <w:shd w:val="clear" w:color="auto" w:fill="auto"/>
          </w:tcPr>
          <w:p w14:paraId="6DABE803" w14:textId="77777777" w:rsidR="0067338B" w:rsidRPr="00C64727" w:rsidRDefault="0067338B">
            <w:pPr>
              <w:rPr>
                <w:rFonts w:ascii="Times New Roman" w:hAnsi="Times New Roman"/>
                <w:sz w:val="20"/>
                <w:szCs w:val="20"/>
              </w:rPr>
            </w:pPr>
          </w:p>
        </w:tc>
      </w:tr>
    </w:tbl>
    <w:p w14:paraId="0CF7A1D5" w14:textId="77777777" w:rsidR="0067338B" w:rsidRPr="00C64727" w:rsidRDefault="0067338B">
      <w:pPr>
        <w:rPr>
          <w:rFonts w:ascii="Times New Roman" w:hAnsi="Times New Roman"/>
          <w:b/>
          <w:sz w:val="24"/>
          <w:szCs w:val="24"/>
          <w:highlight w:val="yellow"/>
        </w:rPr>
      </w:pPr>
    </w:p>
    <w:p w14:paraId="13080D79" w14:textId="77777777" w:rsidR="0067338B" w:rsidRPr="00C64727" w:rsidRDefault="0057434D">
      <w:pPr>
        <w:rPr>
          <w:rFonts w:ascii="Times New Roman" w:hAnsi="Times New Roman"/>
          <w:b/>
        </w:rPr>
      </w:pPr>
      <w:r w:rsidRPr="00C64727">
        <w:rPr>
          <w:rFonts w:ascii="Times New Roman" w:hAnsi="Times New Roman"/>
          <w:b/>
        </w:rPr>
        <w:t>5. függelék</w:t>
      </w:r>
    </w:p>
    <w:p w14:paraId="36F98B10" w14:textId="77777777" w:rsidR="0067338B" w:rsidRPr="00C64727" w:rsidRDefault="00E9293A">
      <w:pPr>
        <w:rPr>
          <w:rFonts w:ascii="Times New Roman" w:hAnsi="Times New Roman"/>
          <w:b/>
          <w:sz w:val="20"/>
          <w:szCs w:val="20"/>
        </w:rPr>
      </w:pPr>
      <w:r w:rsidRPr="00C64727">
        <w:rPr>
          <w:rFonts w:ascii="Times New Roman" w:hAnsi="Times New Roman"/>
          <w:b/>
          <w:sz w:val="20"/>
          <w:szCs w:val="20"/>
        </w:rPr>
        <w:t xml:space="preserve">5.1. táblázat: létesítményekből származó ETS hitelesített </w:t>
      </w:r>
      <w:r w:rsidRPr="00C64727">
        <w:rPr>
          <w:rFonts w:ascii="Times New Roman" w:hAnsi="Times New Roman"/>
          <w:b/>
          <w:bCs/>
          <w:color w:val="262626"/>
          <w:sz w:val="20"/>
          <w:szCs w:val="20"/>
        </w:rPr>
        <w:t>CO</w:t>
      </w:r>
      <w:r w:rsidRPr="00C64727">
        <w:rPr>
          <w:rFonts w:ascii="Times New Roman" w:hAnsi="Times New Roman"/>
          <w:b/>
          <w:bCs/>
          <w:color w:val="262626"/>
          <w:sz w:val="20"/>
          <w:szCs w:val="20"/>
          <w:bdr w:val="none" w:sz="0" w:space="0" w:color="auto" w:frame="1"/>
          <w:vertAlign w:val="subscript"/>
        </w:rPr>
        <w:t>2</w:t>
      </w:r>
      <w:r w:rsidRPr="00C64727">
        <w:rPr>
          <w:rFonts w:ascii="Times New Roman" w:hAnsi="Times New Roman"/>
          <w:b/>
          <w:sz w:val="20"/>
          <w:szCs w:val="20"/>
        </w:rPr>
        <w:t>-kibocsátástól eltérő kibocsátások üvegházhatású gázok szerint 2013 és 2018 között (millió tonna)</w:t>
      </w:r>
      <w:r w:rsidRPr="00C64727">
        <w:rPr>
          <w:rFonts w:ascii="Times New Roman" w:hAnsi="Times New Roman"/>
          <w:b/>
          <w:sz w:val="20"/>
          <w:szCs w:val="20"/>
        </w:rPr>
        <w:fldChar w:fldCharType="begin"/>
      </w:r>
      <w:r w:rsidRPr="00C64727">
        <w:rPr>
          <w:rFonts w:ascii="Times New Roman" w:hAnsi="Times New Roman"/>
          <w:b/>
          <w:sz w:val="20"/>
          <w:szCs w:val="20"/>
        </w:rPr>
        <w:instrText xml:space="preserve"> LINK Excel.Sheet.12 "\\\\net1.cec.eu.int\\CLIMA\\B\\1\\23.01 General\\23.01-7.6 Carbon market reports\\2019\\Copy of Report emissions_N2O_PFC_CO2.xlsx" Sheet1!R20C1:R24C9 \a \f 5 \h  \* MERGEFORMAT </w:instrText>
      </w:r>
      <w:r w:rsidRPr="00C64727">
        <w:rPr>
          <w:rFonts w:ascii="Times New Roman" w:hAnsi="Times New Roman"/>
          <w:b/>
          <w:sz w:val="20"/>
          <w:szCs w:val="20"/>
        </w:rPr>
        <w:fldChar w:fldCharType="separate"/>
      </w:r>
    </w:p>
    <w:tbl>
      <w:tblPr>
        <w:tblStyle w:val="TableGrid"/>
        <w:tblW w:w="680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72"/>
        <w:gridCol w:w="973"/>
        <w:gridCol w:w="972"/>
        <w:gridCol w:w="973"/>
        <w:gridCol w:w="973"/>
        <w:gridCol w:w="973"/>
        <w:gridCol w:w="973"/>
      </w:tblGrid>
      <w:tr w:rsidR="0067338B" w:rsidRPr="00C64727" w14:paraId="3E6D9B55" w14:textId="77777777" w:rsidTr="007F5B1E">
        <w:trPr>
          <w:trHeight w:val="506"/>
        </w:trPr>
        <w:tc>
          <w:tcPr>
            <w:tcW w:w="972" w:type="dxa"/>
            <w:noWrap/>
            <w:vAlign w:val="center"/>
            <w:hideMark/>
          </w:tcPr>
          <w:p w14:paraId="1E58AFD1" w14:textId="77777777" w:rsidR="0067338B" w:rsidRPr="00C64727" w:rsidRDefault="0067338B">
            <w:pPr>
              <w:rPr>
                <w:rFonts w:ascii="Times New Roman" w:hAnsi="Times New Roman"/>
              </w:rPr>
            </w:pPr>
          </w:p>
        </w:tc>
        <w:tc>
          <w:tcPr>
            <w:tcW w:w="973" w:type="dxa"/>
            <w:noWrap/>
            <w:vAlign w:val="center"/>
            <w:hideMark/>
          </w:tcPr>
          <w:p w14:paraId="4B5DB7F2" w14:textId="77777777" w:rsidR="0067338B" w:rsidRPr="00C64727" w:rsidRDefault="00E9293A">
            <w:pPr>
              <w:jc w:val="center"/>
              <w:rPr>
                <w:rFonts w:ascii="Times New Roman" w:hAnsi="Times New Roman"/>
                <w:b/>
              </w:rPr>
            </w:pPr>
            <w:r w:rsidRPr="00C64727">
              <w:rPr>
                <w:rFonts w:ascii="Times New Roman" w:hAnsi="Times New Roman"/>
                <w:b/>
              </w:rPr>
              <w:t>2013</w:t>
            </w:r>
          </w:p>
        </w:tc>
        <w:tc>
          <w:tcPr>
            <w:tcW w:w="972" w:type="dxa"/>
            <w:noWrap/>
            <w:vAlign w:val="center"/>
            <w:hideMark/>
          </w:tcPr>
          <w:p w14:paraId="6566A2A4" w14:textId="77777777" w:rsidR="0067338B" w:rsidRPr="00C64727" w:rsidRDefault="00E9293A">
            <w:pPr>
              <w:jc w:val="center"/>
              <w:rPr>
                <w:rFonts w:ascii="Times New Roman" w:hAnsi="Times New Roman"/>
                <w:b/>
              </w:rPr>
            </w:pPr>
            <w:r w:rsidRPr="00C64727">
              <w:rPr>
                <w:rFonts w:ascii="Times New Roman" w:hAnsi="Times New Roman"/>
                <w:b/>
              </w:rPr>
              <w:t>2014</w:t>
            </w:r>
          </w:p>
        </w:tc>
        <w:tc>
          <w:tcPr>
            <w:tcW w:w="973" w:type="dxa"/>
            <w:noWrap/>
            <w:vAlign w:val="center"/>
            <w:hideMark/>
          </w:tcPr>
          <w:p w14:paraId="2D7A64B7" w14:textId="77777777" w:rsidR="0067338B" w:rsidRPr="00C64727" w:rsidRDefault="00E9293A">
            <w:pPr>
              <w:jc w:val="center"/>
              <w:rPr>
                <w:rFonts w:ascii="Times New Roman" w:hAnsi="Times New Roman"/>
                <w:b/>
              </w:rPr>
            </w:pPr>
            <w:r w:rsidRPr="00C64727">
              <w:rPr>
                <w:rFonts w:ascii="Times New Roman" w:hAnsi="Times New Roman"/>
                <w:b/>
              </w:rPr>
              <w:t>2015</w:t>
            </w:r>
          </w:p>
        </w:tc>
        <w:tc>
          <w:tcPr>
            <w:tcW w:w="973" w:type="dxa"/>
            <w:noWrap/>
            <w:vAlign w:val="center"/>
            <w:hideMark/>
          </w:tcPr>
          <w:p w14:paraId="4B7692FA" w14:textId="77777777" w:rsidR="0067338B" w:rsidRPr="00C64727" w:rsidRDefault="00E9293A">
            <w:pPr>
              <w:jc w:val="center"/>
              <w:rPr>
                <w:rFonts w:ascii="Times New Roman" w:hAnsi="Times New Roman"/>
                <w:b/>
              </w:rPr>
            </w:pPr>
            <w:r w:rsidRPr="00C64727">
              <w:rPr>
                <w:rFonts w:ascii="Times New Roman" w:hAnsi="Times New Roman"/>
                <w:b/>
              </w:rPr>
              <w:t>2016</w:t>
            </w:r>
          </w:p>
        </w:tc>
        <w:tc>
          <w:tcPr>
            <w:tcW w:w="973" w:type="dxa"/>
            <w:noWrap/>
            <w:vAlign w:val="center"/>
            <w:hideMark/>
          </w:tcPr>
          <w:p w14:paraId="1EF15A23" w14:textId="77777777" w:rsidR="0067338B" w:rsidRPr="00C64727" w:rsidRDefault="00E9293A">
            <w:pPr>
              <w:jc w:val="center"/>
              <w:rPr>
                <w:rFonts w:ascii="Times New Roman" w:hAnsi="Times New Roman"/>
                <w:b/>
              </w:rPr>
            </w:pPr>
            <w:r w:rsidRPr="00C64727">
              <w:rPr>
                <w:rFonts w:ascii="Times New Roman" w:hAnsi="Times New Roman"/>
                <w:b/>
              </w:rPr>
              <w:t>2017</w:t>
            </w:r>
          </w:p>
        </w:tc>
        <w:tc>
          <w:tcPr>
            <w:tcW w:w="973" w:type="dxa"/>
            <w:noWrap/>
            <w:vAlign w:val="center"/>
            <w:hideMark/>
          </w:tcPr>
          <w:p w14:paraId="2C1BB7F9" w14:textId="77777777" w:rsidR="0067338B" w:rsidRPr="00C64727" w:rsidRDefault="00E9293A">
            <w:pPr>
              <w:jc w:val="center"/>
              <w:rPr>
                <w:rFonts w:ascii="Times New Roman" w:hAnsi="Times New Roman"/>
                <w:b/>
              </w:rPr>
            </w:pPr>
            <w:r w:rsidRPr="00C64727">
              <w:rPr>
                <w:rFonts w:ascii="Times New Roman" w:hAnsi="Times New Roman"/>
                <w:b/>
              </w:rPr>
              <w:t>2018</w:t>
            </w:r>
          </w:p>
        </w:tc>
      </w:tr>
      <w:tr w:rsidR="0067338B" w:rsidRPr="00C64727" w14:paraId="37A0761C" w14:textId="77777777" w:rsidTr="007F5B1E">
        <w:trPr>
          <w:trHeight w:val="506"/>
        </w:trPr>
        <w:tc>
          <w:tcPr>
            <w:tcW w:w="972" w:type="dxa"/>
            <w:noWrap/>
            <w:vAlign w:val="center"/>
            <w:hideMark/>
          </w:tcPr>
          <w:p w14:paraId="0DECD77C" w14:textId="77777777" w:rsidR="0067338B" w:rsidRPr="00C64727" w:rsidRDefault="00E9293A">
            <w:pPr>
              <w:rPr>
                <w:rFonts w:ascii="Times New Roman" w:hAnsi="Times New Roman"/>
                <w:b/>
              </w:rPr>
            </w:pPr>
            <w:r w:rsidRPr="00C64727">
              <w:rPr>
                <w:rFonts w:ascii="Times New Roman" w:hAnsi="Times New Roman"/>
                <w:b/>
              </w:rPr>
              <w:t>PFCs</w:t>
            </w:r>
          </w:p>
        </w:tc>
        <w:tc>
          <w:tcPr>
            <w:tcW w:w="973" w:type="dxa"/>
            <w:noWrap/>
            <w:vAlign w:val="center"/>
            <w:hideMark/>
          </w:tcPr>
          <w:p w14:paraId="52136E16" w14:textId="77777777" w:rsidR="0067338B" w:rsidRPr="00C64727" w:rsidRDefault="00E9293A">
            <w:pPr>
              <w:jc w:val="center"/>
              <w:rPr>
                <w:rFonts w:ascii="Times New Roman" w:hAnsi="Times New Roman"/>
              </w:rPr>
            </w:pPr>
            <w:r w:rsidRPr="00C64727">
              <w:rPr>
                <w:rFonts w:ascii="Times New Roman" w:hAnsi="Times New Roman"/>
              </w:rPr>
              <w:t>0,40</w:t>
            </w:r>
          </w:p>
        </w:tc>
        <w:tc>
          <w:tcPr>
            <w:tcW w:w="972" w:type="dxa"/>
            <w:noWrap/>
            <w:vAlign w:val="center"/>
            <w:hideMark/>
          </w:tcPr>
          <w:p w14:paraId="4E732B1E" w14:textId="77777777" w:rsidR="0067338B" w:rsidRPr="00C64727" w:rsidRDefault="00E9293A">
            <w:pPr>
              <w:jc w:val="center"/>
              <w:rPr>
                <w:rFonts w:ascii="Times New Roman" w:hAnsi="Times New Roman"/>
              </w:rPr>
            </w:pPr>
            <w:r w:rsidRPr="00C64727">
              <w:rPr>
                <w:rFonts w:ascii="Times New Roman" w:hAnsi="Times New Roman"/>
              </w:rPr>
              <w:t>0,74</w:t>
            </w:r>
          </w:p>
        </w:tc>
        <w:tc>
          <w:tcPr>
            <w:tcW w:w="973" w:type="dxa"/>
            <w:noWrap/>
            <w:vAlign w:val="center"/>
            <w:hideMark/>
          </w:tcPr>
          <w:p w14:paraId="3349F1AB" w14:textId="77777777" w:rsidR="0067338B" w:rsidRPr="00C64727" w:rsidRDefault="00E9293A">
            <w:pPr>
              <w:jc w:val="center"/>
              <w:rPr>
                <w:rFonts w:ascii="Times New Roman" w:hAnsi="Times New Roman"/>
              </w:rPr>
            </w:pPr>
            <w:r w:rsidRPr="00C64727">
              <w:rPr>
                <w:rFonts w:ascii="Times New Roman" w:hAnsi="Times New Roman"/>
              </w:rPr>
              <w:t>0,58</w:t>
            </w:r>
          </w:p>
        </w:tc>
        <w:tc>
          <w:tcPr>
            <w:tcW w:w="973" w:type="dxa"/>
            <w:noWrap/>
            <w:vAlign w:val="center"/>
            <w:hideMark/>
          </w:tcPr>
          <w:p w14:paraId="36C909CF" w14:textId="77777777" w:rsidR="0067338B" w:rsidRPr="00C64727" w:rsidRDefault="00E9293A">
            <w:pPr>
              <w:jc w:val="center"/>
              <w:rPr>
                <w:rFonts w:ascii="Times New Roman" w:hAnsi="Times New Roman"/>
              </w:rPr>
            </w:pPr>
            <w:r w:rsidRPr="00C64727">
              <w:rPr>
                <w:rFonts w:ascii="Times New Roman" w:hAnsi="Times New Roman"/>
              </w:rPr>
              <w:t>0,64</w:t>
            </w:r>
          </w:p>
        </w:tc>
        <w:tc>
          <w:tcPr>
            <w:tcW w:w="973" w:type="dxa"/>
            <w:noWrap/>
            <w:vAlign w:val="center"/>
            <w:hideMark/>
          </w:tcPr>
          <w:p w14:paraId="598A1820" w14:textId="77777777" w:rsidR="0067338B" w:rsidRPr="00C64727" w:rsidRDefault="00E9293A">
            <w:pPr>
              <w:jc w:val="center"/>
              <w:rPr>
                <w:rFonts w:ascii="Times New Roman" w:hAnsi="Times New Roman"/>
              </w:rPr>
            </w:pPr>
            <w:r w:rsidRPr="00C64727">
              <w:rPr>
                <w:rFonts w:ascii="Times New Roman" w:hAnsi="Times New Roman"/>
              </w:rPr>
              <w:t>0,47</w:t>
            </w:r>
          </w:p>
        </w:tc>
        <w:tc>
          <w:tcPr>
            <w:tcW w:w="973" w:type="dxa"/>
            <w:noWrap/>
            <w:vAlign w:val="center"/>
            <w:hideMark/>
          </w:tcPr>
          <w:p w14:paraId="21CC59DF" w14:textId="77777777" w:rsidR="0067338B" w:rsidRPr="00C64727" w:rsidRDefault="00E9293A">
            <w:pPr>
              <w:jc w:val="center"/>
              <w:rPr>
                <w:rFonts w:ascii="Times New Roman" w:hAnsi="Times New Roman"/>
              </w:rPr>
            </w:pPr>
            <w:r w:rsidRPr="00C64727">
              <w:rPr>
                <w:rFonts w:ascii="Times New Roman" w:hAnsi="Times New Roman"/>
              </w:rPr>
              <w:t>0,60</w:t>
            </w:r>
          </w:p>
        </w:tc>
      </w:tr>
      <w:tr w:rsidR="0067338B" w:rsidRPr="00C64727" w14:paraId="698D48F6" w14:textId="77777777" w:rsidTr="007F5B1E">
        <w:trPr>
          <w:trHeight w:val="506"/>
        </w:trPr>
        <w:tc>
          <w:tcPr>
            <w:tcW w:w="972" w:type="dxa"/>
            <w:noWrap/>
            <w:vAlign w:val="center"/>
            <w:hideMark/>
          </w:tcPr>
          <w:p w14:paraId="21DFEF8F" w14:textId="77777777" w:rsidR="0067338B" w:rsidRPr="00C64727" w:rsidRDefault="00E9293A">
            <w:pPr>
              <w:rPr>
                <w:rFonts w:ascii="Times New Roman" w:hAnsi="Times New Roman"/>
                <w:b/>
              </w:rPr>
            </w:pPr>
            <w:r w:rsidRPr="00C64727">
              <w:rPr>
                <w:rFonts w:ascii="Times New Roman" w:hAnsi="Times New Roman"/>
                <w:b/>
                <w:bCs/>
                <w:color w:val="262626"/>
              </w:rPr>
              <w:t>N</w:t>
            </w:r>
            <w:r w:rsidRPr="00C64727">
              <w:rPr>
                <w:rFonts w:ascii="Times New Roman" w:hAnsi="Times New Roman"/>
                <w:b/>
                <w:bCs/>
                <w:color w:val="262626"/>
                <w:bdr w:val="none" w:sz="0" w:space="0" w:color="auto" w:frame="1"/>
                <w:vertAlign w:val="subscript"/>
              </w:rPr>
              <w:t>2</w:t>
            </w:r>
            <w:r w:rsidRPr="00C64727">
              <w:rPr>
                <w:rFonts w:ascii="Times New Roman" w:hAnsi="Times New Roman"/>
                <w:b/>
                <w:bCs/>
                <w:color w:val="262626"/>
              </w:rPr>
              <w:t>O</w:t>
            </w:r>
          </w:p>
        </w:tc>
        <w:tc>
          <w:tcPr>
            <w:tcW w:w="973" w:type="dxa"/>
            <w:noWrap/>
            <w:vAlign w:val="center"/>
            <w:hideMark/>
          </w:tcPr>
          <w:p w14:paraId="26F5FD32" w14:textId="77777777" w:rsidR="0067338B" w:rsidRPr="00C64727" w:rsidRDefault="00E9293A">
            <w:pPr>
              <w:jc w:val="center"/>
              <w:rPr>
                <w:rFonts w:ascii="Times New Roman" w:hAnsi="Times New Roman"/>
              </w:rPr>
            </w:pPr>
            <w:r w:rsidRPr="00C64727">
              <w:rPr>
                <w:rFonts w:ascii="Times New Roman" w:hAnsi="Times New Roman"/>
              </w:rPr>
              <w:t>2,47</w:t>
            </w:r>
          </w:p>
        </w:tc>
        <w:tc>
          <w:tcPr>
            <w:tcW w:w="972" w:type="dxa"/>
            <w:noWrap/>
            <w:vAlign w:val="center"/>
            <w:hideMark/>
          </w:tcPr>
          <w:p w14:paraId="45FF1C23" w14:textId="77777777" w:rsidR="0067338B" w:rsidRPr="00C64727" w:rsidRDefault="00E9293A">
            <w:pPr>
              <w:jc w:val="center"/>
              <w:rPr>
                <w:rFonts w:ascii="Times New Roman" w:hAnsi="Times New Roman"/>
              </w:rPr>
            </w:pPr>
            <w:r w:rsidRPr="00C64727">
              <w:rPr>
                <w:rFonts w:ascii="Times New Roman" w:hAnsi="Times New Roman"/>
              </w:rPr>
              <w:t>5,49</w:t>
            </w:r>
          </w:p>
        </w:tc>
        <w:tc>
          <w:tcPr>
            <w:tcW w:w="973" w:type="dxa"/>
            <w:noWrap/>
            <w:vAlign w:val="center"/>
            <w:hideMark/>
          </w:tcPr>
          <w:p w14:paraId="66E754A9" w14:textId="77777777" w:rsidR="0067338B" w:rsidRPr="00C64727" w:rsidRDefault="00E9293A">
            <w:pPr>
              <w:jc w:val="center"/>
              <w:rPr>
                <w:rFonts w:ascii="Times New Roman" w:hAnsi="Times New Roman"/>
              </w:rPr>
            </w:pPr>
            <w:r w:rsidRPr="00C64727">
              <w:rPr>
                <w:rFonts w:ascii="Times New Roman" w:hAnsi="Times New Roman"/>
              </w:rPr>
              <w:t>5,32</w:t>
            </w:r>
          </w:p>
        </w:tc>
        <w:tc>
          <w:tcPr>
            <w:tcW w:w="973" w:type="dxa"/>
            <w:noWrap/>
            <w:vAlign w:val="center"/>
            <w:hideMark/>
          </w:tcPr>
          <w:p w14:paraId="53A7D174" w14:textId="77777777" w:rsidR="0067338B" w:rsidRPr="00C64727" w:rsidRDefault="00E9293A">
            <w:pPr>
              <w:jc w:val="center"/>
              <w:rPr>
                <w:rFonts w:ascii="Times New Roman" w:hAnsi="Times New Roman"/>
              </w:rPr>
            </w:pPr>
            <w:r w:rsidRPr="00C64727">
              <w:rPr>
                <w:rFonts w:ascii="Times New Roman" w:hAnsi="Times New Roman"/>
              </w:rPr>
              <w:t>4,62</w:t>
            </w:r>
          </w:p>
        </w:tc>
        <w:tc>
          <w:tcPr>
            <w:tcW w:w="973" w:type="dxa"/>
            <w:noWrap/>
            <w:vAlign w:val="center"/>
            <w:hideMark/>
          </w:tcPr>
          <w:p w14:paraId="681B24DB" w14:textId="77777777" w:rsidR="0067338B" w:rsidRPr="00C64727" w:rsidRDefault="00E9293A">
            <w:pPr>
              <w:jc w:val="center"/>
              <w:rPr>
                <w:rFonts w:ascii="Times New Roman" w:hAnsi="Times New Roman"/>
              </w:rPr>
            </w:pPr>
            <w:r w:rsidRPr="00C64727">
              <w:rPr>
                <w:rFonts w:ascii="Times New Roman" w:hAnsi="Times New Roman"/>
              </w:rPr>
              <w:t>4,96</w:t>
            </w:r>
          </w:p>
        </w:tc>
        <w:tc>
          <w:tcPr>
            <w:tcW w:w="973" w:type="dxa"/>
            <w:noWrap/>
            <w:vAlign w:val="center"/>
            <w:hideMark/>
          </w:tcPr>
          <w:p w14:paraId="7461DDF7" w14:textId="77777777" w:rsidR="0067338B" w:rsidRPr="00C64727" w:rsidRDefault="00E9293A">
            <w:pPr>
              <w:jc w:val="center"/>
              <w:rPr>
                <w:rFonts w:ascii="Times New Roman" w:hAnsi="Times New Roman"/>
              </w:rPr>
            </w:pPr>
            <w:r w:rsidRPr="00C64727">
              <w:rPr>
                <w:rFonts w:ascii="Times New Roman" w:hAnsi="Times New Roman"/>
              </w:rPr>
              <w:t>4,11</w:t>
            </w:r>
          </w:p>
        </w:tc>
      </w:tr>
    </w:tbl>
    <w:p w14:paraId="6C34E57F" w14:textId="77777777" w:rsidR="0067338B" w:rsidRPr="00C64727" w:rsidRDefault="00E9293A">
      <w:pPr>
        <w:rPr>
          <w:rFonts w:ascii="Times New Roman" w:hAnsi="Times New Roman"/>
          <w:sz w:val="18"/>
          <w:szCs w:val="18"/>
        </w:rPr>
      </w:pPr>
      <w:r w:rsidRPr="00C64727">
        <w:rPr>
          <w:rFonts w:ascii="Times New Roman" w:hAnsi="Times New Roman"/>
          <w:sz w:val="20"/>
          <w:szCs w:val="20"/>
        </w:rPr>
        <w:fldChar w:fldCharType="end"/>
      </w:r>
      <w:r w:rsidRPr="00C64727">
        <w:rPr>
          <w:rFonts w:ascii="Times New Roman" w:hAnsi="Times New Roman"/>
          <w:sz w:val="24"/>
          <w:szCs w:val="24"/>
        </w:rPr>
        <w:br/>
      </w:r>
      <w:r w:rsidRPr="00C64727">
        <w:rPr>
          <w:rStyle w:val="FootnoteReference"/>
          <w:rFonts w:ascii="Times New Roman" w:hAnsi="Times New Roman"/>
          <w:b/>
          <w:sz w:val="18"/>
          <w:szCs w:val="18"/>
        </w:rPr>
        <w:footnoteReference w:id="80"/>
      </w:r>
      <w:r w:rsidRPr="00C64727">
        <w:rPr>
          <w:rFonts w:ascii="Times New Roman" w:hAnsi="Times New Roman"/>
          <w:sz w:val="18"/>
          <w:szCs w:val="18"/>
        </w:rPr>
        <w:t>Forrás: EUTL</w:t>
      </w:r>
    </w:p>
    <w:p w14:paraId="44553B10" w14:textId="77777777" w:rsidR="0067338B" w:rsidRPr="00C64727" w:rsidRDefault="0067338B">
      <w:pPr>
        <w:rPr>
          <w:rFonts w:ascii="Times New Roman" w:hAnsi="Times New Roman"/>
          <w:b/>
          <w:sz w:val="24"/>
          <w:szCs w:val="24"/>
        </w:rPr>
      </w:pPr>
    </w:p>
    <w:p w14:paraId="14C7AD75" w14:textId="77777777" w:rsidR="0067338B" w:rsidRPr="00C64727" w:rsidRDefault="003A348D">
      <w:pPr>
        <w:rPr>
          <w:rFonts w:ascii="Times New Roman" w:hAnsi="Times New Roman"/>
          <w:b/>
        </w:rPr>
      </w:pPr>
      <w:r w:rsidRPr="00C64727">
        <w:rPr>
          <w:rFonts w:ascii="Times New Roman" w:hAnsi="Times New Roman"/>
          <w:b/>
        </w:rPr>
        <w:t>6. függelék</w:t>
      </w:r>
    </w:p>
    <w:p w14:paraId="4B561069" w14:textId="77777777" w:rsidR="0067338B" w:rsidRPr="00C64727" w:rsidRDefault="003A348D">
      <w:pPr>
        <w:rPr>
          <w:rFonts w:ascii="Times New Roman" w:hAnsi="Times New Roman"/>
          <w:b/>
          <w:sz w:val="20"/>
          <w:szCs w:val="20"/>
        </w:rPr>
      </w:pPr>
      <w:r w:rsidRPr="00C64727">
        <w:rPr>
          <w:rFonts w:ascii="Times New Roman" w:hAnsi="Times New Roman"/>
          <w:b/>
          <w:sz w:val="20"/>
          <w:szCs w:val="20"/>
        </w:rPr>
        <w:t>61. táblázat: Az Európai Unió Bíróságának az EU ETS működésének szempontjából lényeges ítéletei 2018 júliusa és 2019 júniusa között</w:t>
      </w:r>
    </w:p>
    <w:tbl>
      <w:tblPr>
        <w:tblStyle w:val="TableGrid4"/>
        <w:tblW w:w="9565"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05"/>
        <w:gridCol w:w="1382"/>
        <w:gridCol w:w="1382"/>
        <w:gridCol w:w="2640"/>
        <w:gridCol w:w="753"/>
        <w:gridCol w:w="2403"/>
      </w:tblGrid>
      <w:tr w:rsidR="0067338B" w:rsidRPr="00C64727" w14:paraId="663D26AF" w14:textId="77777777" w:rsidTr="00601A28">
        <w:trPr>
          <w:trHeight w:val="551"/>
        </w:trPr>
        <w:tc>
          <w:tcPr>
            <w:tcW w:w="1005" w:type="dxa"/>
            <w:vAlign w:val="center"/>
            <w:hideMark/>
          </w:tcPr>
          <w:p w14:paraId="3FC05ABF" w14:textId="77777777" w:rsidR="0067338B" w:rsidRPr="00C64727" w:rsidRDefault="003A348D">
            <w:pPr>
              <w:rPr>
                <w:rFonts w:ascii="Times New Roman" w:hAnsi="Times New Roman"/>
                <w:b/>
                <w:bCs/>
                <w:sz w:val="20"/>
                <w:szCs w:val="20"/>
              </w:rPr>
            </w:pPr>
            <w:r w:rsidRPr="00C64727">
              <w:rPr>
                <w:rFonts w:ascii="Times New Roman" w:hAnsi="Times New Roman"/>
                <w:b/>
                <w:bCs/>
                <w:sz w:val="20"/>
                <w:szCs w:val="20"/>
              </w:rPr>
              <w:t>Hivatkozási adatok</w:t>
            </w:r>
          </w:p>
        </w:tc>
        <w:tc>
          <w:tcPr>
            <w:tcW w:w="1382" w:type="dxa"/>
            <w:vAlign w:val="center"/>
          </w:tcPr>
          <w:p w14:paraId="5166199E" w14:textId="77777777" w:rsidR="0067338B" w:rsidRPr="00C64727" w:rsidRDefault="003A348D">
            <w:pPr>
              <w:rPr>
                <w:rFonts w:ascii="Times New Roman" w:hAnsi="Times New Roman"/>
                <w:b/>
                <w:sz w:val="20"/>
                <w:szCs w:val="20"/>
              </w:rPr>
            </w:pPr>
            <w:r w:rsidRPr="00C64727">
              <w:rPr>
                <w:rFonts w:ascii="Times New Roman" w:hAnsi="Times New Roman"/>
                <w:b/>
                <w:sz w:val="20"/>
                <w:szCs w:val="20"/>
              </w:rPr>
              <w:t>Vonatkozó jogszabályok</w:t>
            </w:r>
          </w:p>
        </w:tc>
        <w:tc>
          <w:tcPr>
            <w:tcW w:w="1382" w:type="dxa"/>
            <w:vAlign w:val="center"/>
          </w:tcPr>
          <w:p w14:paraId="54F1A022" w14:textId="77777777" w:rsidR="0067338B" w:rsidRPr="00C64727" w:rsidRDefault="003A348D">
            <w:pPr>
              <w:rPr>
                <w:rFonts w:ascii="Times New Roman" w:hAnsi="Times New Roman"/>
                <w:b/>
                <w:sz w:val="20"/>
                <w:szCs w:val="20"/>
              </w:rPr>
            </w:pPr>
            <w:r w:rsidRPr="00C64727">
              <w:rPr>
                <w:rFonts w:ascii="Times New Roman" w:hAnsi="Times New Roman"/>
                <w:b/>
                <w:sz w:val="20"/>
                <w:szCs w:val="20"/>
              </w:rPr>
              <w:t>Felek</w:t>
            </w:r>
          </w:p>
        </w:tc>
        <w:tc>
          <w:tcPr>
            <w:tcW w:w="2640" w:type="dxa"/>
            <w:vAlign w:val="center"/>
          </w:tcPr>
          <w:p w14:paraId="54991B1B" w14:textId="77777777" w:rsidR="0067338B" w:rsidRPr="00C64727" w:rsidRDefault="003A348D">
            <w:pPr>
              <w:jc w:val="center"/>
              <w:rPr>
                <w:rFonts w:ascii="Times New Roman" w:hAnsi="Times New Roman"/>
                <w:b/>
                <w:bCs/>
                <w:sz w:val="20"/>
                <w:szCs w:val="20"/>
              </w:rPr>
            </w:pPr>
            <w:r w:rsidRPr="00C64727">
              <w:rPr>
                <w:rFonts w:ascii="Times New Roman" w:hAnsi="Times New Roman"/>
                <w:b/>
                <w:bCs/>
                <w:sz w:val="20"/>
                <w:szCs w:val="20"/>
              </w:rPr>
              <w:t>Az ügy háttere</w:t>
            </w:r>
          </w:p>
        </w:tc>
        <w:tc>
          <w:tcPr>
            <w:tcW w:w="753" w:type="dxa"/>
            <w:vAlign w:val="center"/>
            <w:hideMark/>
          </w:tcPr>
          <w:p w14:paraId="10B1C416" w14:textId="77777777" w:rsidR="0067338B" w:rsidRPr="00C64727" w:rsidRDefault="003A348D">
            <w:pPr>
              <w:jc w:val="center"/>
              <w:rPr>
                <w:rFonts w:ascii="Times New Roman" w:hAnsi="Times New Roman"/>
                <w:b/>
                <w:bCs/>
                <w:sz w:val="20"/>
                <w:szCs w:val="20"/>
              </w:rPr>
            </w:pPr>
            <w:r w:rsidRPr="00C64727">
              <w:rPr>
                <w:rFonts w:ascii="Times New Roman" w:hAnsi="Times New Roman"/>
                <w:b/>
                <w:bCs/>
                <w:sz w:val="20"/>
                <w:szCs w:val="20"/>
              </w:rPr>
              <w:t>Dátum </w:t>
            </w:r>
          </w:p>
        </w:tc>
        <w:tc>
          <w:tcPr>
            <w:tcW w:w="2403" w:type="dxa"/>
            <w:vAlign w:val="center"/>
            <w:hideMark/>
          </w:tcPr>
          <w:p w14:paraId="0EBC3B57" w14:textId="77777777" w:rsidR="0067338B" w:rsidRPr="00C64727" w:rsidRDefault="003A348D">
            <w:pPr>
              <w:jc w:val="center"/>
              <w:rPr>
                <w:rFonts w:ascii="Times New Roman" w:hAnsi="Times New Roman"/>
                <w:b/>
                <w:bCs/>
                <w:sz w:val="20"/>
                <w:szCs w:val="20"/>
              </w:rPr>
            </w:pPr>
            <w:r w:rsidRPr="00C64727">
              <w:rPr>
                <w:rFonts w:ascii="Times New Roman" w:hAnsi="Times New Roman"/>
                <w:b/>
                <w:bCs/>
                <w:sz w:val="20"/>
                <w:szCs w:val="20"/>
              </w:rPr>
              <w:t>A Bíróság megállapítása</w:t>
            </w:r>
          </w:p>
        </w:tc>
      </w:tr>
      <w:tr w:rsidR="0067338B" w:rsidRPr="00C64727" w14:paraId="5BE19430" w14:textId="77777777" w:rsidTr="00601A28">
        <w:trPr>
          <w:trHeight w:val="1384"/>
        </w:trPr>
        <w:tc>
          <w:tcPr>
            <w:tcW w:w="1005" w:type="dxa"/>
          </w:tcPr>
          <w:p w14:paraId="5301FC9D" w14:textId="77777777" w:rsidR="0067338B" w:rsidRPr="00C64727" w:rsidRDefault="00FA645E">
            <w:pPr>
              <w:rPr>
                <w:rFonts w:ascii="Times New Roman" w:hAnsi="Times New Roman"/>
                <w:bCs/>
                <w:sz w:val="20"/>
                <w:szCs w:val="20"/>
              </w:rPr>
            </w:pPr>
            <w:r w:rsidRPr="00C64727">
              <w:rPr>
                <w:rFonts w:ascii="Times New Roman" w:hAnsi="Times New Roman"/>
                <w:bCs/>
                <w:sz w:val="20"/>
                <w:szCs w:val="20"/>
              </w:rPr>
              <w:t>C-682/17. sz. ügy</w:t>
            </w:r>
          </w:p>
        </w:tc>
        <w:tc>
          <w:tcPr>
            <w:tcW w:w="1382" w:type="dxa"/>
          </w:tcPr>
          <w:p w14:paraId="0E44E23D" w14:textId="77777777" w:rsidR="0067338B" w:rsidRPr="00C64727" w:rsidRDefault="00FA645E">
            <w:pPr>
              <w:rPr>
                <w:rFonts w:ascii="Times New Roman" w:hAnsi="Times New Roman"/>
                <w:sz w:val="20"/>
                <w:szCs w:val="20"/>
              </w:rPr>
            </w:pPr>
            <w:r w:rsidRPr="00C64727">
              <w:rPr>
                <w:rFonts w:ascii="Times New Roman" w:hAnsi="Times New Roman"/>
                <w:sz w:val="20"/>
                <w:szCs w:val="20"/>
              </w:rPr>
              <w:t xml:space="preserve">2003/87/EK irányelv, </w:t>
            </w:r>
          </w:p>
          <w:p w14:paraId="03A7F16A" w14:textId="77777777" w:rsidR="0067338B" w:rsidRPr="00C64727" w:rsidRDefault="00FA645E">
            <w:pPr>
              <w:rPr>
                <w:rFonts w:ascii="Times New Roman" w:hAnsi="Times New Roman"/>
                <w:sz w:val="20"/>
                <w:szCs w:val="20"/>
              </w:rPr>
            </w:pPr>
            <w:r w:rsidRPr="00C64727">
              <w:rPr>
                <w:rFonts w:ascii="Times New Roman" w:hAnsi="Times New Roman"/>
                <w:sz w:val="20"/>
                <w:szCs w:val="20"/>
              </w:rPr>
              <w:t>2011/278/EU határozat</w:t>
            </w:r>
          </w:p>
        </w:tc>
        <w:tc>
          <w:tcPr>
            <w:tcW w:w="1382" w:type="dxa"/>
          </w:tcPr>
          <w:p w14:paraId="5CE52C46" w14:textId="77777777" w:rsidR="0067338B" w:rsidRPr="00C64727" w:rsidRDefault="00FA645E">
            <w:pPr>
              <w:rPr>
                <w:rFonts w:ascii="Times New Roman" w:hAnsi="Times New Roman"/>
                <w:sz w:val="20"/>
                <w:szCs w:val="20"/>
              </w:rPr>
            </w:pPr>
            <w:r w:rsidRPr="00C64727">
              <w:rPr>
                <w:rFonts w:ascii="Times New Roman" w:hAnsi="Times New Roman"/>
                <w:sz w:val="20"/>
                <w:szCs w:val="20"/>
              </w:rPr>
              <w:t>ExxonMobil Production Deutschland GmbH/ DE</w:t>
            </w:r>
          </w:p>
        </w:tc>
        <w:tc>
          <w:tcPr>
            <w:tcW w:w="2640" w:type="dxa"/>
          </w:tcPr>
          <w:p w14:paraId="5EE05F2E" w14:textId="77777777" w:rsidR="0067338B" w:rsidRPr="00C64727" w:rsidRDefault="00AA1C54">
            <w:pPr>
              <w:rPr>
                <w:rFonts w:ascii="Times New Roman" w:hAnsi="Times New Roman"/>
                <w:bCs/>
                <w:sz w:val="20"/>
                <w:szCs w:val="20"/>
              </w:rPr>
            </w:pPr>
            <w:r w:rsidRPr="00C64727">
              <w:rPr>
                <w:rFonts w:ascii="Times New Roman" w:hAnsi="Times New Roman"/>
                <w:bCs/>
                <w:sz w:val="20"/>
                <w:szCs w:val="20"/>
              </w:rPr>
              <w:t>Villamosenergia-termelőnek kell tekinteni egy létesítményt, ha a villamosenergia-termelésen kívül nem folytat egyéb I. melléklet szerinti tevékenységet, és ha igen, jogosult ingyenes kiosztásra?</w:t>
            </w:r>
          </w:p>
        </w:tc>
        <w:tc>
          <w:tcPr>
            <w:tcW w:w="753" w:type="dxa"/>
          </w:tcPr>
          <w:p w14:paraId="60B05B2C" w14:textId="77777777" w:rsidR="0067338B" w:rsidRPr="00C64727" w:rsidRDefault="00AA1C54">
            <w:pPr>
              <w:rPr>
                <w:rFonts w:ascii="Times New Roman" w:hAnsi="Times New Roman"/>
                <w:bCs/>
                <w:sz w:val="20"/>
                <w:szCs w:val="20"/>
              </w:rPr>
            </w:pPr>
            <w:r w:rsidRPr="00C64727">
              <w:rPr>
                <w:rFonts w:ascii="Times New Roman" w:hAnsi="Times New Roman"/>
                <w:bCs/>
                <w:sz w:val="20"/>
                <w:szCs w:val="20"/>
              </w:rPr>
              <w:t>2019. június 20.</w:t>
            </w:r>
          </w:p>
        </w:tc>
        <w:tc>
          <w:tcPr>
            <w:tcW w:w="2403" w:type="dxa"/>
          </w:tcPr>
          <w:p w14:paraId="68A6A3AA" w14:textId="77777777" w:rsidR="0067338B" w:rsidRPr="00C64727" w:rsidRDefault="00AA1C54">
            <w:pPr>
              <w:rPr>
                <w:rFonts w:ascii="Times New Roman" w:hAnsi="Times New Roman"/>
                <w:bCs/>
                <w:sz w:val="20"/>
                <w:szCs w:val="20"/>
              </w:rPr>
            </w:pPr>
            <w:r w:rsidRPr="00C64727">
              <w:rPr>
                <w:rFonts w:ascii="Times New Roman" w:hAnsi="Times New Roman"/>
                <w:bCs/>
                <w:sz w:val="20"/>
                <w:szCs w:val="20"/>
              </w:rPr>
              <w:t>A Bíróság megerősítette a 2003/87/EK irányelv villamosenergia-termelő fogalommeghatározásának szó szerinti értelmezését.</w:t>
            </w:r>
          </w:p>
        </w:tc>
      </w:tr>
      <w:tr w:rsidR="0067338B" w:rsidRPr="00C64727" w14:paraId="30DE2FAD" w14:textId="77777777" w:rsidTr="00601A28">
        <w:trPr>
          <w:trHeight w:val="1384"/>
        </w:trPr>
        <w:tc>
          <w:tcPr>
            <w:tcW w:w="1005" w:type="dxa"/>
          </w:tcPr>
          <w:p w14:paraId="77FED0B2" w14:textId="77777777" w:rsidR="0067338B" w:rsidRPr="00C64727" w:rsidRDefault="00FA4E9C">
            <w:pPr>
              <w:rPr>
                <w:rFonts w:ascii="Times New Roman" w:hAnsi="Times New Roman"/>
                <w:bCs/>
                <w:sz w:val="20"/>
                <w:szCs w:val="20"/>
              </w:rPr>
            </w:pPr>
            <w:r w:rsidRPr="00C64727">
              <w:rPr>
                <w:rFonts w:ascii="Times New Roman" w:hAnsi="Times New Roman"/>
                <w:bCs/>
                <w:sz w:val="20"/>
                <w:szCs w:val="20"/>
              </w:rPr>
              <w:t>T-330/18. sz. ügy</w:t>
            </w:r>
          </w:p>
        </w:tc>
        <w:tc>
          <w:tcPr>
            <w:tcW w:w="1382" w:type="dxa"/>
          </w:tcPr>
          <w:p w14:paraId="05994603" w14:textId="77777777" w:rsidR="0067338B" w:rsidRPr="00C64727" w:rsidRDefault="00FA4E9C">
            <w:pPr>
              <w:rPr>
                <w:rFonts w:ascii="Times New Roman" w:hAnsi="Times New Roman"/>
                <w:sz w:val="20"/>
                <w:szCs w:val="20"/>
              </w:rPr>
            </w:pPr>
            <w:r w:rsidRPr="00C64727">
              <w:rPr>
                <w:rFonts w:ascii="Times New Roman" w:hAnsi="Times New Roman"/>
                <w:sz w:val="20"/>
                <w:szCs w:val="20"/>
              </w:rPr>
              <w:t>(EU) 2018/410 irányelv, (EU) 2018/842 rendelet, (EU) 2018/841 rendelet</w:t>
            </w:r>
          </w:p>
        </w:tc>
        <w:tc>
          <w:tcPr>
            <w:tcW w:w="1382" w:type="dxa"/>
          </w:tcPr>
          <w:p w14:paraId="641F929E" w14:textId="77777777" w:rsidR="0067338B" w:rsidRPr="00C64727" w:rsidRDefault="00FA4E9C">
            <w:pPr>
              <w:rPr>
                <w:rFonts w:ascii="Times New Roman" w:hAnsi="Times New Roman"/>
                <w:sz w:val="20"/>
                <w:szCs w:val="20"/>
              </w:rPr>
            </w:pPr>
            <w:r w:rsidRPr="00C64727">
              <w:rPr>
                <w:rFonts w:ascii="Times New Roman" w:hAnsi="Times New Roman"/>
                <w:sz w:val="20"/>
                <w:szCs w:val="20"/>
              </w:rPr>
              <w:t>Carvalho és társai kontra Parlament és Tanács</w:t>
            </w:r>
          </w:p>
        </w:tc>
        <w:tc>
          <w:tcPr>
            <w:tcW w:w="2640" w:type="dxa"/>
          </w:tcPr>
          <w:p w14:paraId="2A4893B6" w14:textId="77777777" w:rsidR="0067338B" w:rsidRPr="00C64727" w:rsidRDefault="00DF6D22">
            <w:pPr>
              <w:rPr>
                <w:rFonts w:ascii="Times New Roman" w:hAnsi="Times New Roman"/>
                <w:bCs/>
                <w:sz w:val="20"/>
                <w:szCs w:val="20"/>
              </w:rPr>
            </w:pPr>
            <w:r w:rsidRPr="00C64727">
              <w:rPr>
                <w:rFonts w:ascii="Times New Roman" w:hAnsi="Times New Roman"/>
                <w:bCs/>
                <w:sz w:val="20"/>
                <w:szCs w:val="20"/>
              </w:rPr>
              <w:t xml:space="preserve">37 magánszemély kérelmezte az (EU) 2018/410 irányelv, az (EU) 2018/842 rendelet és az (EU) 2018/841 rendelet megsemmisítését azzal az indokkal, hogy a tervezett üvegházhatásúgáz-kibocsátás csökkentése nem elégséges. </w:t>
            </w:r>
          </w:p>
          <w:p w14:paraId="3D577E91" w14:textId="77777777" w:rsidR="0067338B" w:rsidRPr="00C64727" w:rsidRDefault="00376A62">
            <w:pPr>
              <w:rPr>
                <w:rFonts w:ascii="Times New Roman" w:hAnsi="Times New Roman"/>
                <w:bCs/>
                <w:sz w:val="20"/>
                <w:szCs w:val="20"/>
              </w:rPr>
            </w:pPr>
            <w:r w:rsidRPr="00C64727">
              <w:rPr>
                <w:rFonts w:ascii="Times New Roman" w:hAnsi="Times New Roman"/>
                <w:bCs/>
                <w:sz w:val="20"/>
                <w:szCs w:val="20"/>
              </w:rPr>
              <w:t>Az Európai Parlament és az Európai Unió Tanácsa az elfogadhatóság elutasítását kérte.</w:t>
            </w:r>
          </w:p>
        </w:tc>
        <w:tc>
          <w:tcPr>
            <w:tcW w:w="753" w:type="dxa"/>
          </w:tcPr>
          <w:p w14:paraId="609F4529" w14:textId="77777777" w:rsidR="0067338B" w:rsidRPr="00C64727" w:rsidRDefault="00A95247">
            <w:pPr>
              <w:rPr>
                <w:rFonts w:ascii="Times New Roman" w:hAnsi="Times New Roman"/>
                <w:bCs/>
                <w:sz w:val="20"/>
                <w:szCs w:val="20"/>
              </w:rPr>
            </w:pPr>
            <w:r w:rsidRPr="00C64727">
              <w:rPr>
                <w:rFonts w:ascii="Times New Roman" w:hAnsi="Times New Roman"/>
                <w:bCs/>
                <w:sz w:val="20"/>
                <w:szCs w:val="20"/>
              </w:rPr>
              <w:t>2019. május 8.</w:t>
            </w:r>
          </w:p>
        </w:tc>
        <w:tc>
          <w:tcPr>
            <w:tcW w:w="2403" w:type="dxa"/>
          </w:tcPr>
          <w:p w14:paraId="592D107B" w14:textId="77777777" w:rsidR="0067338B" w:rsidRPr="00C64727" w:rsidRDefault="00A95247">
            <w:pPr>
              <w:rPr>
                <w:rFonts w:ascii="Times New Roman" w:hAnsi="Times New Roman"/>
                <w:bCs/>
                <w:sz w:val="20"/>
                <w:szCs w:val="20"/>
              </w:rPr>
            </w:pPr>
            <w:r w:rsidRPr="00C64727">
              <w:rPr>
                <w:rFonts w:ascii="Times New Roman" w:hAnsi="Times New Roman"/>
                <w:bCs/>
                <w:sz w:val="20"/>
                <w:szCs w:val="20"/>
              </w:rPr>
              <w:t>A Bíróság a keresetet elfogadhatatlanság miatt teljes egészében elutasította.</w:t>
            </w:r>
          </w:p>
        </w:tc>
      </w:tr>
      <w:tr w:rsidR="0067338B" w:rsidRPr="00C64727" w14:paraId="3720A04D" w14:textId="77777777" w:rsidTr="00601A28">
        <w:trPr>
          <w:trHeight w:val="1384"/>
        </w:trPr>
        <w:tc>
          <w:tcPr>
            <w:tcW w:w="1005" w:type="dxa"/>
          </w:tcPr>
          <w:p w14:paraId="56D7D664" w14:textId="77777777" w:rsidR="0067338B" w:rsidRPr="00C64727" w:rsidRDefault="00D3027D">
            <w:pPr>
              <w:rPr>
                <w:rFonts w:ascii="Times New Roman" w:hAnsi="Times New Roman"/>
                <w:bCs/>
                <w:sz w:val="20"/>
                <w:szCs w:val="20"/>
              </w:rPr>
            </w:pPr>
            <w:r w:rsidRPr="00C64727">
              <w:rPr>
                <w:rFonts w:ascii="Times New Roman" w:hAnsi="Times New Roman"/>
                <w:bCs/>
                <w:sz w:val="20"/>
                <w:szCs w:val="20"/>
              </w:rPr>
              <w:t>C-561/18. sz. ügy</w:t>
            </w:r>
          </w:p>
        </w:tc>
        <w:tc>
          <w:tcPr>
            <w:tcW w:w="1382" w:type="dxa"/>
          </w:tcPr>
          <w:p w14:paraId="31488C4D" w14:textId="77777777" w:rsidR="0067338B" w:rsidRPr="00C64727" w:rsidRDefault="00D3027D">
            <w:pPr>
              <w:rPr>
                <w:rFonts w:ascii="Times New Roman" w:hAnsi="Times New Roman"/>
                <w:sz w:val="20"/>
                <w:szCs w:val="20"/>
              </w:rPr>
            </w:pPr>
            <w:r w:rsidRPr="00C64727">
              <w:rPr>
                <w:rFonts w:ascii="Times New Roman" w:hAnsi="Times New Roman"/>
                <w:sz w:val="20"/>
                <w:szCs w:val="20"/>
              </w:rPr>
              <w:t>A Bizottság 601/2012/EU rendelete</w:t>
            </w:r>
          </w:p>
        </w:tc>
        <w:tc>
          <w:tcPr>
            <w:tcW w:w="1382" w:type="dxa"/>
          </w:tcPr>
          <w:p w14:paraId="473B34DF" w14:textId="77777777" w:rsidR="0067338B" w:rsidRPr="00C64727" w:rsidRDefault="00D3027D">
            <w:pPr>
              <w:rPr>
                <w:rFonts w:ascii="Times New Roman" w:hAnsi="Times New Roman"/>
                <w:sz w:val="20"/>
                <w:szCs w:val="20"/>
              </w:rPr>
            </w:pPr>
            <w:r w:rsidRPr="00C64727">
              <w:rPr>
                <w:rFonts w:ascii="Times New Roman" w:hAnsi="Times New Roman"/>
                <w:sz w:val="20"/>
                <w:szCs w:val="20"/>
              </w:rPr>
              <w:t>Solvay Chemicals GmbH/ DE</w:t>
            </w:r>
          </w:p>
        </w:tc>
        <w:tc>
          <w:tcPr>
            <w:tcW w:w="2640" w:type="dxa"/>
          </w:tcPr>
          <w:p w14:paraId="4568331E" w14:textId="77777777" w:rsidR="0067338B" w:rsidRPr="00C64727" w:rsidRDefault="00D3027D">
            <w:pPr>
              <w:rPr>
                <w:rFonts w:ascii="Times New Roman" w:hAnsi="Times New Roman"/>
                <w:bCs/>
                <w:sz w:val="20"/>
                <w:szCs w:val="20"/>
              </w:rPr>
            </w:pPr>
            <w:r w:rsidRPr="00C64727">
              <w:rPr>
                <w:rFonts w:ascii="Times New Roman" w:hAnsi="Times New Roman"/>
                <w:bCs/>
                <w:sz w:val="20"/>
                <w:szCs w:val="20"/>
              </w:rPr>
              <w:t xml:space="preserve">– A 601/2012/EU rendelet érvénytelen és sérti a 2003/87 irányelv céljait azáltal, hogy úgy rendelkezik, hogy a nem a 49. cikk (1) bekezdésének első albekezdése értelmében átadott </w:t>
            </w:r>
            <w:r w:rsidRPr="00C64727">
              <w:rPr>
                <w:rFonts w:ascii="Times New Roman" w:hAnsi="Times New Roman"/>
                <w:color w:val="222222"/>
                <w:sz w:val="20"/>
                <w:szCs w:val="20"/>
              </w:rPr>
              <w:t>CO</w:t>
            </w:r>
            <w:r w:rsidRPr="00C64727">
              <w:rPr>
                <w:rFonts w:ascii="Times New Roman" w:hAnsi="Times New Roman"/>
                <w:color w:val="222222"/>
                <w:sz w:val="20"/>
                <w:szCs w:val="20"/>
                <w:vertAlign w:val="subscript"/>
              </w:rPr>
              <w:t>2</w:t>
            </w:r>
            <w:r w:rsidRPr="00C64727">
              <w:rPr>
                <w:rFonts w:ascii="Times New Roman" w:hAnsi="Times New Roman"/>
                <w:bCs/>
                <w:sz w:val="20"/>
                <w:szCs w:val="20"/>
              </w:rPr>
              <w:t xml:space="preserve"> a </w:t>
            </w:r>
            <w:r w:rsidRPr="00C64727">
              <w:rPr>
                <w:rFonts w:ascii="Times New Roman" w:hAnsi="Times New Roman"/>
                <w:color w:val="222222"/>
                <w:sz w:val="20"/>
                <w:szCs w:val="20"/>
              </w:rPr>
              <w:t>CO</w:t>
            </w:r>
            <w:r w:rsidRPr="00C64727">
              <w:rPr>
                <w:rFonts w:ascii="Times New Roman" w:hAnsi="Times New Roman"/>
                <w:color w:val="222222"/>
                <w:sz w:val="20"/>
                <w:szCs w:val="20"/>
                <w:vertAlign w:val="subscript"/>
              </w:rPr>
              <w:t>2</w:t>
            </w:r>
            <w:r w:rsidRPr="00C64727">
              <w:rPr>
                <w:rFonts w:ascii="Times New Roman" w:hAnsi="Times New Roman"/>
                <w:bCs/>
                <w:sz w:val="20"/>
                <w:szCs w:val="20"/>
              </w:rPr>
              <w:t>-t előállító létesítmény kibocsátásának számít függetlenül attól, hogy az a levegőbe kibocsátásra került-e?</w:t>
            </w:r>
          </w:p>
          <w:p w14:paraId="497DD326" w14:textId="77777777" w:rsidR="0067338B" w:rsidRPr="00C64727" w:rsidRDefault="00D3027D">
            <w:pPr>
              <w:rPr>
                <w:rFonts w:ascii="Times New Roman" w:hAnsi="Times New Roman"/>
                <w:bCs/>
                <w:sz w:val="20"/>
                <w:szCs w:val="20"/>
              </w:rPr>
            </w:pPr>
            <w:r w:rsidRPr="00C64727">
              <w:rPr>
                <w:rFonts w:ascii="Times New Roman" w:hAnsi="Times New Roman"/>
                <w:bCs/>
                <w:sz w:val="20"/>
                <w:szCs w:val="20"/>
              </w:rPr>
              <w:t xml:space="preserve">– </w:t>
            </w:r>
            <w:r w:rsidRPr="00C64727">
              <w:rPr>
                <w:rFonts w:ascii="Times New Roman" w:hAnsi="Times New Roman"/>
                <w:color w:val="333333"/>
                <w:sz w:val="20"/>
                <w:szCs w:val="20"/>
              </w:rPr>
              <w:t xml:space="preserve">A 601/2012/EU rendelet érvénytelen és sérti a 2003/87 irányelv céljait azáltal, hogy úgy rendelkezik, hogy valamely nyersszódagyártó létesítményből lecsapatott kalcium‐karbonát gyártása céljából más létesítménynek átadott </w:t>
            </w:r>
            <w:r w:rsidRPr="00C64727">
              <w:rPr>
                <w:rFonts w:ascii="Times New Roman" w:hAnsi="Times New Roman"/>
                <w:color w:val="222222"/>
                <w:sz w:val="20"/>
                <w:szCs w:val="20"/>
              </w:rPr>
              <w:t>CO</w:t>
            </w:r>
            <w:r w:rsidRPr="00C64727">
              <w:rPr>
                <w:rFonts w:ascii="Times New Roman" w:hAnsi="Times New Roman"/>
                <w:color w:val="222222"/>
                <w:sz w:val="20"/>
                <w:szCs w:val="20"/>
                <w:vertAlign w:val="subscript"/>
              </w:rPr>
              <w:t>2</w:t>
            </w:r>
            <w:r w:rsidRPr="00C64727">
              <w:rPr>
                <w:rFonts w:ascii="Times New Roman" w:hAnsi="Times New Roman"/>
                <w:color w:val="333333"/>
                <w:sz w:val="20"/>
                <w:szCs w:val="20"/>
              </w:rPr>
              <w:t>-nak módszeresen ezen létesítmény kibocsátásai között kell szerepelnie?</w:t>
            </w:r>
          </w:p>
        </w:tc>
        <w:tc>
          <w:tcPr>
            <w:tcW w:w="753" w:type="dxa"/>
          </w:tcPr>
          <w:p w14:paraId="7B1A3D0E" w14:textId="77777777" w:rsidR="0067338B" w:rsidRPr="00C64727" w:rsidRDefault="00D3027D">
            <w:pPr>
              <w:rPr>
                <w:rFonts w:ascii="Times New Roman" w:hAnsi="Times New Roman"/>
                <w:bCs/>
                <w:sz w:val="20"/>
                <w:szCs w:val="20"/>
              </w:rPr>
            </w:pPr>
            <w:r w:rsidRPr="00C64727">
              <w:rPr>
                <w:rFonts w:ascii="Times New Roman" w:hAnsi="Times New Roman"/>
                <w:bCs/>
                <w:sz w:val="20"/>
                <w:szCs w:val="20"/>
              </w:rPr>
              <w:t>2019. február 6.</w:t>
            </w:r>
          </w:p>
        </w:tc>
        <w:tc>
          <w:tcPr>
            <w:tcW w:w="2403" w:type="dxa"/>
          </w:tcPr>
          <w:p w14:paraId="38A543A3" w14:textId="77777777" w:rsidR="0067338B" w:rsidRPr="00C64727" w:rsidRDefault="00D3027D">
            <w:pPr>
              <w:rPr>
                <w:rFonts w:ascii="Times New Roman" w:hAnsi="Times New Roman"/>
                <w:bCs/>
                <w:sz w:val="20"/>
                <w:szCs w:val="20"/>
              </w:rPr>
            </w:pPr>
            <w:r w:rsidRPr="00C64727">
              <w:rPr>
                <w:rFonts w:ascii="Times New Roman" w:hAnsi="Times New Roman"/>
                <w:bCs/>
                <w:sz w:val="20"/>
                <w:szCs w:val="20"/>
              </w:rPr>
              <w:t>A Bíróság érvénytelennek nyilvánította a 601/2012/EU rendelet 49. cikk (1) bekezdésének második albekezdését és IV. melléklete 20. pontjának B) alpontját amennyiben a lecsapatott kalcium‐karbonát gyártása céljából más létesítménynek átadott CO</w:t>
            </w:r>
            <w:r w:rsidRPr="00C64727">
              <w:rPr>
                <w:rFonts w:ascii="Times New Roman" w:hAnsi="Times New Roman"/>
                <w:bCs/>
                <w:sz w:val="20"/>
                <w:szCs w:val="20"/>
                <w:vertAlign w:val="subscript"/>
              </w:rPr>
              <w:t>2</w:t>
            </w:r>
            <w:r w:rsidRPr="00C64727">
              <w:rPr>
                <w:rFonts w:ascii="Times New Roman" w:hAnsi="Times New Roman"/>
                <w:bCs/>
                <w:sz w:val="20"/>
                <w:szCs w:val="20"/>
              </w:rPr>
              <w:t>-t módszeresen a nyersszódagyártó létesítményből származó kibocsátások közé számítják függetlenül attól, hogy e CO</w:t>
            </w:r>
            <w:r w:rsidRPr="00C64727">
              <w:rPr>
                <w:rFonts w:ascii="Times New Roman" w:hAnsi="Times New Roman"/>
                <w:bCs/>
                <w:sz w:val="20"/>
                <w:szCs w:val="20"/>
                <w:vertAlign w:val="subscript"/>
              </w:rPr>
              <w:t>2</w:t>
            </w:r>
            <w:r w:rsidRPr="00C64727">
              <w:rPr>
                <w:rFonts w:ascii="Times New Roman" w:hAnsi="Times New Roman"/>
                <w:bCs/>
                <w:sz w:val="20"/>
                <w:szCs w:val="20"/>
              </w:rPr>
              <w:t xml:space="preserve">-t kiengedik-e a légkörbe, vagy sem. </w:t>
            </w:r>
          </w:p>
        </w:tc>
      </w:tr>
    </w:tbl>
    <w:p w14:paraId="79B28CE0" w14:textId="77777777" w:rsidR="0067338B" w:rsidRPr="00C64727" w:rsidRDefault="0067338B">
      <w:pPr>
        <w:rPr>
          <w:rFonts w:ascii="Times New Roman" w:hAnsi="Times New Roman"/>
          <w:b/>
          <w:sz w:val="24"/>
          <w:szCs w:val="24"/>
        </w:rPr>
      </w:pPr>
    </w:p>
    <w:p w14:paraId="51D36496" w14:textId="77777777" w:rsidR="0067338B" w:rsidRPr="00C64727" w:rsidRDefault="003A348D">
      <w:pPr>
        <w:rPr>
          <w:rFonts w:ascii="Times New Roman" w:hAnsi="Times New Roman"/>
          <w:b/>
        </w:rPr>
      </w:pPr>
      <w:r w:rsidRPr="00C64727">
        <w:rPr>
          <w:rFonts w:ascii="Times New Roman" w:hAnsi="Times New Roman"/>
          <w:b/>
        </w:rPr>
        <w:t>7. függelék</w:t>
      </w:r>
    </w:p>
    <w:p w14:paraId="35C6A808" w14:textId="77777777" w:rsidR="0067338B" w:rsidRPr="00C64727" w:rsidRDefault="003A348D">
      <w:pPr>
        <w:rPr>
          <w:rFonts w:ascii="Times New Roman" w:hAnsi="Times New Roman"/>
          <w:b/>
          <w:sz w:val="20"/>
          <w:szCs w:val="20"/>
        </w:rPr>
      </w:pPr>
      <w:r w:rsidRPr="00C64727">
        <w:rPr>
          <w:rFonts w:ascii="Times New Roman" w:hAnsi="Times New Roman"/>
          <w:b/>
          <w:sz w:val="20"/>
          <w:szCs w:val="20"/>
        </w:rPr>
        <w:t xml:space="preserve">7.1. táblázat: Az EU ETS 4. szakasza végrehajtásának helyzete </w:t>
      </w:r>
    </w:p>
    <w:tbl>
      <w:tblPr>
        <w:tblStyle w:val="TableGrid"/>
        <w:tblW w:w="969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030"/>
        <w:gridCol w:w="3808"/>
        <w:gridCol w:w="1862"/>
        <w:gridCol w:w="1994"/>
      </w:tblGrid>
      <w:tr w:rsidR="0067338B" w:rsidRPr="00C64727" w14:paraId="67112C11" w14:textId="77777777" w:rsidTr="00601A28">
        <w:trPr>
          <w:trHeight w:val="276"/>
        </w:trPr>
        <w:tc>
          <w:tcPr>
            <w:tcW w:w="2030" w:type="dxa"/>
            <w:vMerge w:val="restart"/>
            <w:vAlign w:val="center"/>
          </w:tcPr>
          <w:p w14:paraId="21291712" w14:textId="77777777" w:rsidR="0067338B" w:rsidRPr="00C64727" w:rsidRDefault="003A348D">
            <w:pPr>
              <w:jc w:val="center"/>
              <w:rPr>
                <w:rFonts w:ascii="Times New Roman" w:hAnsi="Times New Roman"/>
                <w:b/>
              </w:rPr>
            </w:pPr>
            <w:r w:rsidRPr="00C64727">
              <w:rPr>
                <w:rFonts w:ascii="Times New Roman" w:hAnsi="Times New Roman"/>
                <w:b/>
              </w:rPr>
              <w:t>Intézkedés</w:t>
            </w:r>
          </w:p>
        </w:tc>
        <w:tc>
          <w:tcPr>
            <w:tcW w:w="3808" w:type="dxa"/>
            <w:vMerge w:val="restart"/>
            <w:vAlign w:val="center"/>
          </w:tcPr>
          <w:p w14:paraId="4066D10D" w14:textId="77777777" w:rsidR="0067338B" w:rsidRPr="00C64727" w:rsidRDefault="003A348D">
            <w:pPr>
              <w:jc w:val="center"/>
              <w:rPr>
                <w:rFonts w:ascii="Times New Roman" w:hAnsi="Times New Roman"/>
                <w:b/>
              </w:rPr>
            </w:pPr>
            <w:r w:rsidRPr="00C64727">
              <w:rPr>
                <w:rFonts w:ascii="Times New Roman" w:hAnsi="Times New Roman"/>
                <w:b/>
              </w:rPr>
              <w:t>Cél</w:t>
            </w:r>
          </w:p>
        </w:tc>
        <w:tc>
          <w:tcPr>
            <w:tcW w:w="1862" w:type="dxa"/>
            <w:vMerge w:val="restart"/>
            <w:vAlign w:val="center"/>
          </w:tcPr>
          <w:p w14:paraId="436EAC73" w14:textId="77777777" w:rsidR="0067338B" w:rsidRPr="00C64727" w:rsidRDefault="003A348D">
            <w:pPr>
              <w:jc w:val="center"/>
              <w:rPr>
                <w:rFonts w:ascii="Times New Roman" w:hAnsi="Times New Roman"/>
                <w:b/>
              </w:rPr>
            </w:pPr>
            <w:r w:rsidRPr="00C64727">
              <w:rPr>
                <w:rFonts w:ascii="Times New Roman" w:hAnsi="Times New Roman"/>
                <w:b/>
              </w:rPr>
              <w:t>Jogalkotási aktus típusa</w:t>
            </w:r>
          </w:p>
        </w:tc>
        <w:tc>
          <w:tcPr>
            <w:tcW w:w="1994" w:type="dxa"/>
            <w:vMerge w:val="restart"/>
            <w:vAlign w:val="center"/>
          </w:tcPr>
          <w:p w14:paraId="07DA919F" w14:textId="77777777" w:rsidR="0067338B" w:rsidRPr="00C64727" w:rsidRDefault="003A348D">
            <w:pPr>
              <w:jc w:val="center"/>
              <w:rPr>
                <w:rFonts w:ascii="Times New Roman" w:hAnsi="Times New Roman"/>
                <w:b/>
              </w:rPr>
            </w:pPr>
            <w:r w:rsidRPr="00C64727">
              <w:rPr>
                <w:rFonts w:ascii="Times New Roman" w:hAnsi="Times New Roman"/>
                <w:b/>
              </w:rPr>
              <w:t>Elfogadás tervezett időpontja</w:t>
            </w:r>
          </w:p>
        </w:tc>
      </w:tr>
      <w:tr w:rsidR="0067338B" w:rsidRPr="00C64727" w14:paraId="1591A0AE" w14:textId="77777777" w:rsidTr="00601A28">
        <w:trPr>
          <w:trHeight w:val="276"/>
        </w:trPr>
        <w:tc>
          <w:tcPr>
            <w:tcW w:w="2030" w:type="dxa"/>
            <w:vMerge/>
            <w:vAlign w:val="center"/>
          </w:tcPr>
          <w:p w14:paraId="18D487EE" w14:textId="77777777" w:rsidR="0067338B" w:rsidRPr="00C64727" w:rsidRDefault="0067338B">
            <w:pPr>
              <w:rPr>
                <w:rFonts w:ascii="Times New Roman" w:hAnsi="Times New Roman"/>
                <w:b/>
              </w:rPr>
            </w:pPr>
          </w:p>
        </w:tc>
        <w:tc>
          <w:tcPr>
            <w:tcW w:w="3808" w:type="dxa"/>
            <w:vMerge/>
          </w:tcPr>
          <w:p w14:paraId="2C6F83B0" w14:textId="77777777" w:rsidR="0067338B" w:rsidRPr="00C64727" w:rsidRDefault="0067338B">
            <w:pPr>
              <w:rPr>
                <w:rFonts w:ascii="Times New Roman" w:hAnsi="Times New Roman"/>
                <w:b/>
              </w:rPr>
            </w:pPr>
          </w:p>
        </w:tc>
        <w:tc>
          <w:tcPr>
            <w:tcW w:w="1862" w:type="dxa"/>
            <w:vMerge/>
            <w:vAlign w:val="center"/>
          </w:tcPr>
          <w:p w14:paraId="4D1BC2B1" w14:textId="77777777" w:rsidR="0067338B" w:rsidRPr="00C64727" w:rsidRDefault="0067338B">
            <w:pPr>
              <w:rPr>
                <w:rFonts w:ascii="Times New Roman" w:hAnsi="Times New Roman"/>
                <w:b/>
              </w:rPr>
            </w:pPr>
          </w:p>
        </w:tc>
        <w:tc>
          <w:tcPr>
            <w:tcW w:w="1994" w:type="dxa"/>
            <w:vMerge/>
            <w:vAlign w:val="center"/>
          </w:tcPr>
          <w:p w14:paraId="3D08CC47" w14:textId="77777777" w:rsidR="0067338B" w:rsidRPr="00C64727" w:rsidRDefault="0067338B">
            <w:pPr>
              <w:rPr>
                <w:rFonts w:ascii="Times New Roman" w:hAnsi="Times New Roman"/>
                <w:b/>
              </w:rPr>
            </w:pPr>
          </w:p>
        </w:tc>
      </w:tr>
      <w:tr w:rsidR="0067338B" w:rsidRPr="00C64727" w14:paraId="65A2B942" w14:textId="77777777" w:rsidTr="00601A28">
        <w:trPr>
          <w:trHeight w:val="247"/>
        </w:trPr>
        <w:tc>
          <w:tcPr>
            <w:tcW w:w="2030" w:type="dxa"/>
            <w:shd w:val="clear" w:color="auto" w:fill="CCFFCC"/>
            <w:vAlign w:val="center"/>
          </w:tcPr>
          <w:p w14:paraId="0ECDE15F" w14:textId="77777777" w:rsidR="0067338B" w:rsidRPr="00C64727" w:rsidRDefault="003A348D">
            <w:pPr>
              <w:rPr>
                <w:rFonts w:ascii="Times New Roman" w:hAnsi="Times New Roman"/>
              </w:rPr>
            </w:pPr>
            <w:r w:rsidRPr="00C64727">
              <w:rPr>
                <w:rFonts w:ascii="Times New Roman" w:hAnsi="Times New Roman"/>
              </w:rPr>
              <w:t>A kibocsátásáthelyezés kockázatának kitett ágazatok 2021–2030-as időszakra vonatkozó listája</w:t>
            </w:r>
          </w:p>
        </w:tc>
        <w:tc>
          <w:tcPr>
            <w:tcW w:w="3808" w:type="dxa"/>
            <w:shd w:val="clear" w:color="auto" w:fill="CCFFCC"/>
            <w:vAlign w:val="center"/>
          </w:tcPr>
          <w:p w14:paraId="0B4BA8CC" w14:textId="77777777" w:rsidR="0067338B" w:rsidRPr="00C64727" w:rsidRDefault="003A348D">
            <w:pPr>
              <w:rPr>
                <w:rFonts w:ascii="Times New Roman" w:hAnsi="Times New Roman"/>
              </w:rPr>
            </w:pPr>
            <w:r w:rsidRPr="00C64727">
              <w:rPr>
                <w:rFonts w:ascii="Times New Roman" w:hAnsi="Times New Roman"/>
              </w:rPr>
              <w:t>A kibocsátásáthelyezés kockázatának kitett ágazatok új, az EU ETS 4. szakaszára vonatkozó listájának megállapítása a kibocsátásáthelyezés kockázatának jelentős mértékben kitett ágazatok meghatározására szolgáló kritériumok alapján</w:t>
            </w:r>
          </w:p>
        </w:tc>
        <w:tc>
          <w:tcPr>
            <w:tcW w:w="1862" w:type="dxa"/>
            <w:shd w:val="clear" w:color="auto" w:fill="CCFFCC"/>
            <w:vAlign w:val="center"/>
          </w:tcPr>
          <w:p w14:paraId="70973ED2" w14:textId="77777777" w:rsidR="0067338B" w:rsidRPr="00C64727" w:rsidRDefault="000E4949">
            <w:pPr>
              <w:jc w:val="center"/>
              <w:rPr>
                <w:rFonts w:ascii="Times New Roman" w:hAnsi="Times New Roman"/>
              </w:rPr>
            </w:pPr>
            <w:r w:rsidRPr="00C64727">
              <w:rPr>
                <w:rFonts w:ascii="Times New Roman" w:hAnsi="Times New Roman"/>
              </w:rPr>
              <w:t>A Bizottság felhatalmazáson alapuló határozata</w:t>
            </w:r>
          </w:p>
        </w:tc>
        <w:tc>
          <w:tcPr>
            <w:tcW w:w="1994" w:type="dxa"/>
            <w:shd w:val="clear" w:color="auto" w:fill="CCFFCC"/>
            <w:vAlign w:val="center"/>
          </w:tcPr>
          <w:p w14:paraId="7551FEA3" w14:textId="77777777" w:rsidR="0067338B" w:rsidRPr="00C64727" w:rsidRDefault="00D4406F">
            <w:pPr>
              <w:jc w:val="center"/>
              <w:rPr>
                <w:rFonts w:ascii="Times New Roman" w:hAnsi="Times New Roman"/>
              </w:rPr>
            </w:pPr>
            <w:r w:rsidRPr="00C64727">
              <w:rPr>
                <w:rFonts w:ascii="Times New Roman" w:hAnsi="Times New Roman"/>
              </w:rPr>
              <w:t>2019. február 15-én elfogadva és az Európai Unió Hivatalos Lapjában 2019. május 8-án közzétéve</w:t>
            </w:r>
            <w:r w:rsidRPr="00C64727">
              <w:rPr>
                <w:rStyle w:val="FootnoteReference"/>
                <w:rFonts w:ascii="Times New Roman" w:hAnsi="Times New Roman"/>
              </w:rPr>
              <w:footnoteReference w:id="81"/>
            </w:r>
          </w:p>
        </w:tc>
      </w:tr>
      <w:tr w:rsidR="0067338B" w:rsidRPr="00C64727" w14:paraId="2441DD23" w14:textId="77777777" w:rsidTr="00601A28">
        <w:trPr>
          <w:trHeight w:val="247"/>
        </w:trPr>
        <w:tc>
          <w:tcPr>
            <w:tcW w:w="2030" w:type="dxa"/>
            <w:shd w:val="clear" w:color="auto" w:fill="CCFFCC"/>
            <w:vAlign w:val="center"/>
          </w:tcPr>
          <w:p w14:paraId="2EAA1788" w14:textId="77777777" w:rsidR="0067338B" w:rsidRPr="00C64727" w:rsidRDefault="003A348D">
            <w:pPr>
              <w:rPr>
                <w:rFonts w:ascii="Times New Roman" w:hAnsi="Times New Roman"/>
              </w:rPr>
            </w:pPr>
            <w:r w:rsidRPr="00C64727">
              <w:rPr>
                <w:rFonts w:ascii="Times New Roman" w:hAnsi="Times New Roman"/>
              </w:rPr>
              <w:t>Az ingyenes kiosztásra vonatkozó szabályok felülvizsgálata a 2021–2030-as időszakra</w:t>
            </w:r>
          </w:p>
        </w:tc>
        <w:tc>
          <w:tcPr>
            <w:tcW w:w="3808" w:type="dxa"/>
            <w:shd w:val="clear" w:color="auto" w:fill="CCFFCC"/>
            <w:vAlign w:val="center"/>
          </w:tcPr>
          <w:p w14:paraId="4E558E3A" w14:textId="77777777" w:rsidR="0067338B" w:rsidRPr="00C64727" w:rsidRDefault="003A348D">
            <w:pPr>
              <w:rPr>
                <w:rFonts w:ascii="Times New Roman" w:hAnsi="Times New Roman"/>
              </w:rPr>
            </w:pPr>
            <w:r w:rsidRPr="00C64727">
              <w:rPr>
                <w:rFonts w:ascii="Times New Roman" w:hAnsi="Times New Roman"/>
              </w:rPr>
              <w:t>A kibocsátási egységekre vonatkozó harmonizált ingyenes kiosztás uniós szintű átmeneti szabályainak meghatározásáról szóló 2011/278/EU bizottsági határozat felülvizsgálata annak a 4. szakasz tekintetében meghatározott új jogi környezethez való hozzáigazítása érdekében</w:t>
            </w:r>
          </w:p>
        </w:tc>
        <w:tc>
          <w:tcPr>
            <w:tcW w:w="1862" w:type="dxa"/>
            <w:shd w:val="clear" w:color="auto" w:fill="CCFFCC"/>
            <w:vAlign w:val="center"/>
          </w:tcPr>
          <w:p w14:paraId="433E2E66" w14:textId="77777777" w:rsidR="0067338B" w:rsidRPr="00C64727" w:rsidRDefault="000E4949">
            <w:pPr>
              <w:jc w:val="center"/>
              <w:rPr>
                <w:rFonts w:ascii="Times New Roman" w:hAnsi="Times New Roman"/>
              </w:rPr>
            </w:pPr>
            <w:r w:rsidRPr="00C64727">
              <w:rPr>
                <w:rFonts w:ascii="Times New Roman" w:hAnsi="Times New Roman"/>
              </w:rPr>
              <w:t>felhatalmazáson alapuló bizottsági rendelet</w:t>
            </w:r>
          </w:p>
        </w:tc>
        <w:tc>
          <w:tcPr>
            <w:tcW w:w="1994" w:type="dxa"/>
            <w:shd w:val="clear" w:color="auto" w:fill="CCFFCC"/>
            <w:vAlign w:val="center"/>
          </w:tcPr>
          <w:p w14:paraId="4386C50A" w14:textId="77777777" w:rsidR="0067338B" w:rsidRPr="00C64727" w:rsidRDefault="00D4406F">
            <w:pPr>
              <w:jc w:val="center"/>
              <w:rPr>
                <w:rFonts w:ascii="Times New Roman" w:hAnsi="Times New Roman"/>
              </w:rPr>
            </w:pPr>
            <w:r w:rsidRPr="00C64727">
              <w:rPr>
                <w:rFonts w:ascii="Times New Roman" w:hAnsi="Times New Roman"/>
              </w:rPr>
              <w:t>2018. december 19-én elfogadva és az Európai Unió Hivatalos Lapjában 2019. február 27-én közzétéve</w:t>
            </w:r>
            <w:r w:rsidRPr="00C64727">
              <w:rPr>
                <w:rStyle w:val="FootnoteReference"/>
                <w:rFonts w:ascii="Times New Roman" w:hAnsi="Times New Roman"/>
              </w:rPr>
              <w:footnoteReference w:id="82"/>
            </w:r>
          </w:p>
        </w:tc>
      </w:tr>
      <w:tr w:rsidR="0067338B" w:rsidRPr="00C64727" w14:paraId="16B65DAE" w14:textId="77777777" w:rsidTr="00601A28">
        <w:trPr>
          <w:trHeight w:val="247"/>
        </w:trPr>
        <w:tc>
          <w:tcPr>
            <w:tcW w:w="2030" w:type="dxa"/>
            <w:shd w:val="clear" w:color="auto" w:fill="FFFFCC"/>
            <w:vAlign w:val="center"/>
          </w:tcPr>
          <w:p w14:paraId="0DCD4CA7" w14:textId="77777777" w:rsidR="0067338B" w:rsidRPr="00C64727" w:rsidRDefault="003A348D">
            <w:pPr>
              <w:rPr>
                <w:rFonts w:ascii="Times New Roman" w:hAnsi="Times New Roman"/>
              </w:rPr>
            </w:pPr>
            <w:r w:rsidRPr="00C64727">
              <w:rPr>
                <w:rFonts w:ascii="Times New Roman" w:hAnsi="Times New Roman"/>
              </w:rPr>
              <w:t>Az ingyenes kiosztás termelésben bekövetkező változások miatti kiigazítása</w:t>
            </w:r>
          </w:p>
        </w:tc>
        <w:tc>
          <w:tcPr>
            <w:tcW w:w="3808" w:type="dxa"/>
            <w:shd w:val="clear" w:color="auto" w:fill="FFFFCC"/>
            <w:vAlign w:val="center"/>
          </w:tcPr>
          <w:p w14:paraId="18025A58" w14:textId="77777777" w:rsidR="0067338B" w:rsidRPr="00C64727" w:rsidRDefault="003A348D">
            <w:pPr>
              <w:rPr>
                <w:rFonts w:ascii="Times New Roman" w:hAnsi="Times New Roman"/>
              </w:rPr>
            </w:pPr>
            <w:r w:rsidRPr="00C64727">
              <w:rPr>
                <w:rFonts w:ascii="Times New Roman" w:hAnsi="Times New Roman"/>
              </w:rPr>
              <w:t>Azoknak a szabályoknak a meghatározása, amelyek kiigazítják a létesítmények számára ingyenesen kiosztott kibocsátási egységek mennyiségét a működés kétéves időszak alatt átlagosan 15 %-nál nagyobb mértékű növekedése vagy csökkenése alapján</w:t>
            </w:r>
          </w:p>
        </w:tc>
        <w:tc>
          <w:tcPr>
            <w:tcW w:w="1862" w:type="dxa"/>
            <w:shd w:val="clear" w:color="auto" w:fill="FFFFCC"/>
            <w:vAlign w:val="center"/>
          </w:tcPr>
          <w:p w14:paraId="2D5093DF" w14:textId="77777777" w:rsidR="0067338B" w:rsidRPr="00C64727" w:rsidRDefault="00D4406F">
            <w:pPr>
              <w:jc w:val="center"/>
              <w:rPr>
                <w:rFonts w:ascii="Times New Roman" w:hAnsi="Times New Roman"/>
              </w:rPr>
            </w:pPr>
            <w:r w:rsidRPr="00C64727">
              <w:rPr>
                <w:rFonts w:ascii="Times New Roman" w:hAnsi="Times New Roman"/>
              </w:rPr>
              <w:t>bizottsági végrehajtási rendelet</w:t>
            </w:r>
          </w:p>
        </w:tc>
        <w:tc>
          <w:tcPr>
            <w:tcW w:w="1994" w:type="dxa"/>
            <w:shd w:val="clear" w:color="auto" w:fill="FFFFCC"/>
            <w:vAlign w:val="center"/>
          </w:tcPr>
          <w:p w14:paraId="0745AACE" w14:textId="77777777" w:rsidR="0067338B" w:rsidRPr="00C64727" w:rsidRDefault="003A348D">
            <w:pPr>
              <w:jc w:val="center"/>
              <w:rPr>
                <w:rFonts w:ascii="Times New Roman" w:hAnsi="Times New Roman"/>
              </w:rPr>
            </w:pPr>
            <w:r w:rsidRPr="00C64727">
              <w:rPr>
                <w:rFonts w:ascii="Times New Roman" w:hAnsi="Times New Roman"/>
              </w:rPr>
              <w:t>2019</w:t>
            </w:r>
          </w:p>
        </w:tc>
      </w:tr>
      <w:tr w:rsidR="0067338B" w:rsidRPr="00C64727" w14:paraId="1EEE4228" w14:textId="77777777" w:rsidTr="00601A28">
        <w:trPr>
          <w:trHeight w:val="247"/>
        </w:trPr>
        <w:tc>
          <w:tcPr>
            <w:tcW w:w="2030" w:type="dxa"/>
            <w:vAlign w:val="center"/>
          </w:tcPr>
          <w:p w14:paraId="6D34A291" w14:textId="77777777" w:rsidR="0067338B" w:rsidRPr="00C64727" w:rsidRDefault="003A348D">
            <w:pPr>
              <w:rPr>
                <w:rFonts w:ascii="Times New Roman" w:hAnsi="Times New Roman"/>
              </w:rPr>
            </w:pPr>
            <w:r w:rsidRPr="00C64727">
              <w:rPr>
                <w:rFonts w:ascii="Times New Roman" w:hAnsi="Times New Roman"/>
              </w:rPr>
              <w:t>Az ingyenes kiosztást alátámasztó referenciaértékek naprakésszé tétele a 2021–2025-ös időszakra</w:t>
            </w:r>
          </w:p>
        </w:tc>
        <w:tc>
          <w:tcPr>
            <w:tcW w:w="3808" w:type="dxa"/>
            <w:vAlign w:val="center"/>
          </w:tcPr>
          <w:p w14:paraId="174D8406" w14:textId="77777777" w:rsidR="0067338B" w:rsidRPr="00C64727" w:rsidRDefault="003A348D">
            <w:pPr>
              <w:rPr>
                <w:rFonts w:ascii="Times New Roman" w:hAnsi="Times New Roman"/>
              </w:rPr>
            </w:pPr>
            <w:r w:rsidRPr="00C64727">
              <w:rPr>
                <w:rFonts w:ascii="Times New Roman" w:hAnsi="Times New Roman"/>
              </w:rPr>
              <w:t>Naprakész referenciaértékek meghatározása a 2021–2025-ös időszakra a tagállamok által a 2016-os és a 2017-es évre vonatkozóan 2019. szeptember 30-ig benyújtott adatok alapján</w:t>
            </w:r>
          </w:p>
        </w:tc>
        <w:tc>
          <w:tcPr>
            <w:tcW w:w="1862" w:type="dxa"/>
            <w:vAlign w:val="center"/>
          </w:tcPr>
          <w:p w14:paraId="13CE8AA9" w14:textId="77777777" w:rsidR="0067338B" w:rsidRPr="00C64727" w:rsidRDefault="003A348D">
            <w:pPr>
              <w:jc w:val="center"/>
              <w:rPr>
                <w:rFonts w:ascii="Times New Roman" w:hAnsi="Times New Roman"/>
              </w:rPr>
            </w:pPr>
            <w:r w:rsidRPr="00C64727">
              <w:rPr>
                <w:rFonts w:ascii="Times New Roman" w:hAnsi="Times New Roman"/>
              </w:rPr>
              <w:t>végrehajtási jogi aktus</w:t>
            </w:r>
          </w:p>
        </w:tc>
        <w:tc>
          <w:tcPr>
            <w:tcW w:w="1994" w:type="dxa"/>
            <w:vAlign w:val="center"/>
          </w:tcPr>
          <w:p w14:paraId="75AA3CE0" w14:textId="77777777" w:rsidR="0067338B" w:rsidRPr="00C64727" w:rsidRDefault="003A348D">
            <w:pPr>
              <w:jc w:val="center"/>
              <w:rPr>
                <w:rFonts w:ascii="Times New Roman" w:hAnsi="Times New Roman"/>
              </w:rPr>
            </w:pPr>
            <w:r w:rsidRPr="00C64727">
              <w:rPr>
                <w:rFonts w:ascii="Times New Roman" w:hAnsi="Times New Roman"/>
              </w:rPr>
              <w:t>2020</w:t>
            </w:r>
          </w:p>
        </w:tc>
      </w:tr>
      <w:tr w:rsidR="0067338B" w:rsidRPr="00C64727" w14:paraId="3FC676C8" w14:textId="77777777" w:rsidTr="00601A28">
        <w:trPr>
          <w:trHeight w:val="259"/>
        </w:trPr>
        <w:tc>
          <w:tcPr>
            <w:tcW w:w="2030" w:type="dxa"/>
            <w:shd w:val="clear" w:color="auto" w:fill="CCFFCC"/>
            <w:vAlign w:val="center"/>
          </w:tcPr>
          <w:p w14:paraId="356CB7D9" w14:textId="77777777" w:rsidR="0067338B" w:rsidRPr="00C64727" w:rsidRDefault="003A348D">
            <w:pPr>
              <w:rPr>
                <w:rFonts w:ascii="Times New Roman" w:hAnsi="Times New Roman"/>
              </w:rPr>
            </w:pPr>
            <w:r w:rsidRPr="00C64727">
              <w:rPr>
                <w:rFonts w:ascii="Times New Roman" w:hAnsi="Times New Roman"/>
              </w:rPr>
              <w:t>Az innovációs alap létrehozása</w:t>
            </w:r>
          </w:p>
        </w:tc>
        <w:tc>
          <w:tcPr>
            <w:tcW w:w="3808" w:type="dxa"/>
            <w:shd w:val="clear" w:color="auto" w:fill="CCFFCC"/>
            <w:vAlign w:val="center"/>
          </w:tcPr>
          <w:p w14:paraId="26D5C5F7" w14:textId="77777777" w:rsidR="0067338B" w:rsidRPr="00C64727" w:rsidRDefault="003A348D">
            <w:pPr>
              <w:rPr>
                <w:rFonts w:ascii="Times New Roman" w:hAnsi="Times New Roman"/>
              </w:rPr>
            </w:pPr>
            <w:r w:rsidRPr="00C64727">
              <w:rPr>
                <w:rFonts w:ascii="Times New Roman" w:hAnsi="Times New Roman"/>
              </w:rPr>
              <w:t>Az innovációs alap működésére vonatkozó szabályok, többek között a kiválasztási eljárás és kritériumok meghatározása</w:t>
            </w:r>
          </w:p>
        </w:tc>
        <w:tc>
          <w:tcPr>
            <w:tcW w:w="1862" w:type="dxa"/>
            <w:shd w:val="clear" w:color="auto" w:fill="CCFFCC"/>
            <w:vAlign w:val="center"/>
          </w:tcPr>
          <w:p w14:paraId="72186F2B" w14:textId="77777777" w:rsidR="0067338B" w:rsidRPr="00C64727" w:rsidRDefault="000E4949">
            <w:pPr>
              <w:jc w:val="center"/>
              <w:rPr>
                <w:rFonts w:ascii="Times New Roman" w:hAnsi="Times New Roman"/>
              </w:rPr>
            </w:pPr>
            <w:r w:rsidRPr="00C64727">
              <w:rPr>
                <w:rFonts w:ascii="Times New Roman" w:hAnsi="Times New Roman"/>
              </w:rPr>
              <w:t>felhatalmazáson alapuló bizottsági rendelet</w:t>
            </w:r>
          </w:p>
        </w:tc>
        <w:tc>
          <w:tcPr>
            <w:tcW w:w="1994" w:type="dxa"/>
            <w:shd w:val="clear" w:color="auto" w:fill="CCFFCC"/>
            <w:vAlign w:val="center"/>
          </w:tcPr>
          <w:p w14:paraId="2E6DA7AD" w14:textId="77777777" w:rsidR="0067338B" w:rsidRPr="00C64727" w:rsidRDefault="000E7891">
            <w:pPr>
              <w:jc w:val="center"/>
              <w:rPr>
                <w:rFonts w:ascii="Times New Roman" w:hAnsi="Times New Roman"/>
              </w:rPr>
            </w:pPr>
            <w:r w:rsidRPr="00C64727">
              <w:rPr>
                <w:rFonts w:ascii="Times New Roman" w:hAnsi="Times New Roman"/>
              </w:rPr>
              <w:t>2019. február 26-án elfogadva és az Európai Unió Hivatalos Lapjában 2019. május 28-án közzétéve</w:t>
            </w:r>
            <w:r w:rsidRPr="00C64727">
              <w:rPr>
                <w:rStyle w:val="FootnoteReference"/>
                <w:rFonts w:ascii="Times New Roman" w:hAnsi="Times New Roman"/>
              </w:rPr>
              <w:footnoteReference w:id="83"/>
            </w:r>
          </w:p>
        </w:tc>
      </w:tr>
      <w:tr w:rsidR="0067338B" w:rsidRPr="00C64727" w14:paraId="545A3AA7" w14:textId="77777777" w:rsidTr="00601A28">
        <w:trPr>
          <w:trHeight w:val="154"/>
        </w:trPr>
        <w:tc>
          <w:tcPr>
            <w:tcW w:w="2030" w:type="dxa"/>
            <w:shd w:val="clear" w:color="auto" w:fill="FFFFCC"/>
            <w:vAlign w:val="center"/>
          </w:tcPr>
          <w:p w14:paraId="3BC7B5D1" w14:textId="77777777" w:rsidR="0067338B" w:rsidRPr="00C64727" w:rsidRDefault="003A348D">
            <w:pPr>
              <w:rPr>
                <w:rFonts w:ascii="Times New Roman" w:hAnsi="Times New Roman"/>
              </w:rPr>
            </w:pPr>
            <w:r w:rsidRPr="00C64727">
              <w:rPr>
                <w:rFonts w:ascii="Times New Roman" w:hAnsi="Times New Roman"/>
              </w:rPr>
              <w:t>A modernizációs alap létrehozása</w:t>
            </w:r>
          </w:p>
        </w:tc>
        <w:tc>
          <w:tcPr>
            <w:tcW w:w="3808" w:type="dxa"/>
            <w:shd w:val="clear" w:color="auto" w:fill="FFFFCC"/>
            <w:vAlign w:val="center"/>
          </w:tcPr>
          <w:p w14:paraId="7796E0A0" w14:textId="77777777" w:rsidR="0067338B" w:rsidRPr="00C64727" w:rsidRDefault="003A348D">
            <w:pPr>
              <w:rPr>
                <w:rFonts w:ascii="Times New Roman" w:hAnsi="Times New Roman"/>
              </w:rPr>
            </w:pPr>
            <w:r w:rsidRPr="00C64727">
              <w:rPr>
                <w:rFonts w:ascii="Times New Roman" w:hAnsi="Times New Roman"/>
              </w:rPr>
              <w:t>A modernizációs alap működésére vonatkozó szabályok meghatározása</w:t>
            </w:r>
          </w:p>
        </w:tc>
        <w:tc>
          <w:tcPr>
            <w:tcW w:w="1862" w:type="dxa"/>
            <w:shd w:val="clear" w:color="auto" w:fill="FFFFCC"/>
            <w:vAlign w:val="center"/>
          </w:tcPr>
          <w:p w14:paraId="723441D3" w14:textId="77777777" w:rsidR="0067338B" w:rsidRPr="00C64727" w:rsidRDefault="003A348D">
            <w:pPr>
              <w:jc w:val="center"/>
              <w:rPr>
                <w:rFonts w:ascii="Times New Roman" w:hAnsi="Times New Roman"/>
              </w:rPr>
            </w:pPr>
            <w:r w:rsidRPr="00C64727">
              <w:rPr>
                <w:rFonts w:ascii="Times New Roman" w:hAnsi="Times New Roman"/>
              </w:rPr>
              <w:t>végrehajtási jogi aktus</w:t>
            </w:r>
          </w:p>
        </w:tc>
        <w:tc>
          <w:tcPr>
            <w:tcW w:w="1994" w:type="dxa"/>
            <w:shd w:val="clear" w:color="auto" w:fill="FFFFCC"/>
            <w:vAlign w:val="center"/>
          </w:tcPr>
          <w:p w14:paraId="59CE247A" w14:textId="77777777" w:rsidR="0067338B" w:rsidRPr="00C64727" w:rsidRDefault="003A348D">
            <w:pPr>
              <w:jc w:val="center"/>
              <w:rPr>
                <w:rFonts w:ascii="Times New Roman" w:hAnsi="Times New Roman"/>
              </w:rPr>
            </w:pPr>
            <w:r w:rsidRPr="00C64727">
              <w:rPr>
                <w:rFonts w:ascii="Times New Roman" w:hAnsi="Times New Roman"/>
              </w:rPr>
              <w:t>2020</w:t>
            </w:r>
          </w:p>
        </w:tc>
      </w:tr>
      <w:tr w:rsidR="0067338B" w:rsidRPr="00C64727" w14:paraId="657BE359" w14:textId="77777777" w:rsidTr="00601A28">
        <w:trPr>
          <w:trHeight w:val="154"/>
        </w:trPr>
        <w:tc>
          <w:tcPr>
            <w:tcW w:w="2030" w:type="dxa"/>
            <w:shd w:val="clear" w:color="auto" w:fill="CCFFCC"/>
            <w:vAlign w:val="center"/>
          </w:tcPr>
          <w:p w14:paraId="24890CCF" w14:textId="77777777" w:rsidR="0067338B" w:rsidRPr="00C64727" w:rsidRDefault="003A348D">
            <w:pPr>
              <w:rPr>
                <w:rFonts w:ascii="Times New Roman" w:hAnsi="Times New Roman"/>
              </w:rPr>
            </w:pPr>
            <w:r w:rsidRPr="00C64727">
              <w:rPr>
                <w:rFonts w:ascii="Times New Roman" w:hAnsi="Times New Roman"/>
              </w:rPr>
              <w:t>A 389/2013/EU rendelet (a kibocsátásiegység-forgalmi jegyzékről szóló rendelet) felülvizsgálata</w:t>
            </w:r>
          </w:p>
        </w:tc>
        <w:tc>
          <w:tcPr>
            <w:tcW w:w="3808" w:type="dxa"/>
            <w:shd w:val="clear" w:color="auto" w:fill="CCFFCC"/>
            <w:vAlign w:val="center"/>
          </w:tcPr>
          <w:p w14:paraId="38BD2981" w14:textId="77777777" w:rsidR="0067338B" w:rsidRPr="00C64727" w:rsidRDefault="003A348D">
            <w:pPr>
              <w:rPr>
                <w:rFonts w:ascii="Times New Roman" w:hAnsi="Times New Roman"/>
              </w:rPr>
            </w:pPr>
            <w:r w:rsidRPr="00C64727">
              <w:rPr>
                <w:rFonts w:ascii="Times New Roman" w:hAnsi="Times New Roman"/>
              </w:rPr>
              <w:t>Az uniós kibocsátásiegység-forgalmi jegyzékre vonatkozó követelmények megállapítása a 4. szakaszra olyan szabványosított elektronikus adatbázisok formájában, amelyek közös adatelemeket tartalmaznak a kibocsátási egységek kibocsátásának, birtoklásának, átruházásának és törlésének nyomon követése, valamint a nyilvános hozzáférés és a titoktartás biztosítása céljából</w:t>
            </w:r>
          </w:p>
        </w:tc>
        <w:tc>
          <w:tcPr>
            <w:tcW w:w="1862" w:type="dxa"/>
            <w:shd w:val="clear" w:color="auto" w:fill="CCFFCC"/>
            <w:vAlign w:val="center"/>
          </w:tcPr>
          <w:p w14:paraId="4BEE1E91" w14:textId="77777777" w:rsidR="0067338B" w:rsidRPr="00C64727" w:rsidRDefault="000E4949">
            <w:pPr>
              <w:jc w:val="center"/>
              <w:rPr>
                <w:rFonts w:ascii="Times New Roman" w:hAnsi="Times New Roman"/>
              </w:rPr>
            </w:pPr>
            <w:r w:rsidRPr="00C64727">
              <w:rPr>
                <w:rFonts w:ascii="Times New Roman" w:hAnsi="Times New Roman"/>
              </w:rPr>
              <w:t>felhatalmazáson alapuló bizottsági rendelet</w:t>
            </w:r>
          </w:p>
        </w:tc>
        <w:tc>
          <w:tcPr>
            <w:tcW w:w="1994" w:type="dxa"/>
            <w:shd w:val="clear" w:color="auto" w:fill="CCFFCC"/>
            <w:vAlign w:val="center"/>
          </w:tcPr>
          <w:p w14:paraId="09177F50" w14:textId="77777777" w:rsidR="0067338B" w:rsidRPr="00C64727" w:rsidRDefault="00970C68">
            <w:pPr>
              <w:jc w:val="center"/>
              <w:rPr>
                <w:rFonts w:ascii="Times New Roman" w:hAnsi="Times New Roman"/>
              </w:rPr>
            </w:pPr>
            <w:r w:rsidRPr="00C64727">
              <w:rPr>
                <w:rFonts w:ascii="Times New Roman" w:hAnsi="Times New Roman"/>
              </w:rPr>
              <w:t>2019. március 12-én elfogadva és az Európai Unió Hivatalos Lapjában 2019. július 2-án közzétéve</w:t>
            </w:r>
            <w:r w:rsidRPr="00C64727">
              <w:rPr>
                <w:rStyle w:val="FootnoteReference"/>
                <w:rFonts w:ascii="Times New Roman" w:hAnsi="Times New Roman"/>
              </w:rPr>
              <w:footnoteReference w:id="84"/>
            </w:r>
          </w:p>
        </w:tc>
      </w:tr>
      <w:tr w:rsidR="0067338B" w:rsidRPr="00C64727" w14:paraId="3E6D4906" w14:textId="77777777" w:rsidTr="00601A28">
        <w:trPr>
          <w:trHeight w:val="154"/>
        </w:trPr>
        <w:tc>
          <w:tcPr>
            <w:tcW w:w="2030" w:type="dxa"/>
            <w:shd w:val="clear" w:color="auto" w:fill="CCFFCC"/>
            <w:vAlign w:val="center"/>
          </w:tcPr>
          <w:p w14:paraId="5CCDAB84" w14:textId="77777777" w:rsidR="0067338B" w:rsidRPr="00C64727" w:rsidRDefault="003A348D">
            <w:pPr>
              <w:rPr>
                <w:rFonts w:ascii="Times New Roman" w:hAnsi="Times New Roman"/>
              </w:rPr>
            </w:pPr>
            <w:r w:rsidRPr="00C64727">
              <w:rPr>
                <w:rFonts w:ascii="Times New Roman" w:hAnsi="Times New Roman"/>
              </w:rPr>
              <w:t>Az 1031/2010/EU rendelet (az árverésekről szóló rendelet) módosítása</w:t>
            </w:r>
          </w:p>
        </w:tc>
        <w:tc>
          <w:tcPr>
            <w:tcW w:w="3808" w:type="dxa"/>
            <w:shd w:val="clear" w:color="auto" w:fill="CCFFCC"/>
            <w:vAlign w:val="center"/>
          </w:tcPr>
          <w:p w14:paraId="5939CD27" w14:textId="77777777" w:rsidR="0067338B" w:rsidRPr="00C64727" w:rsidRDefault="003A348D">
            <w:pPr>
              <w:rPr>
                <w:rFonts w:ascii="Times New Roman" w:hAnsi="Times New Roman"/>
              </w:rPr>
            </w:pPr>
            <w:r w:rsidRPr="00C64727">
              <w:rPr>
                <w:rFonts w:ascii="Times New Roman" w:hAnsi="Times New Roman"/>
              </w:rPr>
              <w:t>A piaci stabilizációs tartalékból kivett első 50 millió kibocsátási egység elárverezésének lehetővé tétele az innovációs alap számára 2020-ban</w:t>
            </w:r>
          </w:p>
        </w:tc>
        <w:tc>
          <w:tcPr>
            <w:tcW w:w="1862" w:type="dxa"/>
            <w:shd w:val="clear" w:color="auto" w:fill="CCFFCC"/>
            <w:vAlign w:val="center"/>
          </w:tcPr>
          <w:p w14:paraId="19804815" w14:textId="77777777" w:rsidR="0067338B" w:rsidRPr="00C64727" w:rsidRDefault="00EE5825">
            <w:pPr>
              <w:jc w:val="center"/>
              <w:rPr>
                <w:rFonts w:ascii="Times New Roman" w:hAnsi="Times New Roman"/>
              </w:rPr>
            </w:pPr>
            <w:r w:rsidRPr="00C64727">
              <w:rPr>
                <w:rFonts w:ascii="Times New Roman" w:hAnsi="Times New Roman"/>
              </w:rPr>
              <w:t>felhatalmazáson alapuló bizottsági rendelet</w:t>
            </w:r>
          </w:p>
        </w:tc>
        <w:tc>
          <w:tcPr>
            <w:tcW w:w="1994" w:type="dxa"/>
            <w:shd w:val="clear" w:color="auto" w:fill="CCFFCC"/>
            <w:vAlign w:val="center"/>
          </w:tcPr>
          <w:p w14:paraId="695A0B38" w14:textId="77777777" w:rsidR="0067338B" w:rsidRPr="00C64727" w:rsidRDefault="00EE5825">
            <w:pPr>
              <w:jc w:val="center"/>
              <w:rPr>
                <w:rFonts w:ascii="Times New Roman" w:hAnsi="Times New Roman"/>
              </w:rPr>
            </w:pPr>
            <w:r w:rsidRPr="00C64727">
              <w:rPr>
                <w:rFonts w:ascii="Times New Roman" w:hAnsi="Times New Roman"/>
              </w:rPr>
              <w:t>2018. október 30-án elfogadva és az Európai Unió Hivatalos Lapjában 2019. január 4-én közzétéve</w:t>
            </w:r>
            <w:r w:rsidRPr="00C64727">
              <w:rPr>
                <w:rStyle w:val="FootnoteReference"/>
                <w:rFonts w:ascii="Times New Roman" w:hAnsi="Times New Roman"/>
              </w:rPr>
              <w:footnoteReference w:id="85"/>
            </w:r>
          </w:p>
        </w:tc>
      </w:tr>
      <w:tr w:rsidR="0067338B" w:rsidRPr="00C64727" w14:paraId="1734A4E3" w14:textId="77777777" w:rsidTr="00601A28">
        <w:trPr>
          <w:trHeight w:val="154"/>
        </w:trPr>
        <w:tc>
          <w:tcPr>
            <w:tcW w:w="2030" w:type="dxa"/>
            <w:shd w:val="clear" w:color="auto" w:fill="FFFFCC"/>
            <w:vAlign w:val="center"/>
          </w:tcPr>
          <w:p w14:paraId="01973151" w14:textId="77777777" w:rsidR="0067338B" w:rsidRPr="00C64727" w:rsidRDefault="003A348D">
            <w:pPr>
              <w:rPr>
                <w:rFonts w:ascii="Times New Roman" w:hAnsi="Times New Roman"/>
              </w:rPr>
            </w:pPr>
            <w:r w:rsidRPr="00C64727">
              <w:rPr>
                <w:rFonts w:ascii="Times New Roman" w:hAnsi="Times New Roman"/>
              </w:rPr>
              <w:t>Az 1031/2010/EU rendelet (az árverésekről szóló rendelet) felülvizsgálata</w:t>
            </w:r>
          </w:p>
        </w:tc>
        <w:tc>
          <w:tcPr>
            <w:tcW w:w="3808" w:type="dxa"/>
            <w:shd w:val="clear" w:color="auto" w:fill="FFFFCC"/>
            <w:vAlign w:val="center"/>
          </w:tcPr>
          <w:p w14:paraId="204BA481" w14:textId="77777777" w:rsidR="0067338B" w:rsidRPr="00C64727" w:rsidRDefault="003A348D">
            <w:pPr>
              <w:spacing w:after="120"/>
              <w:rPr>
                <w:rFonts w:ascii="Times New Roman" w:hAnsi="Times New Roman"/>
              </w:rPr>
            </w:pPr>
            <w:r w:rsidRPr="00C64727">
              <w:rPr>
                <w:rFonts w:ascii="Times New Roman" w:hAnsi="Times New Roman"/>
              </w:rPr>
              <w:t>Az árverési folyamat egyes szempontjainak a felülvizsgálata a 4. szakaszra vonatkozó követelmények végrehajtása céljából, különösen a kibocsátási egységek innovációs alap és modernizációs alap számára történő elárverezésének lehetővé tétele érdekében, valamint annak figyelembevétele céljából, hogy a pénzügyi eszközök piacairól szóló 2014/65/EU irányelv (MiFID II. irányelv) az EU ETS kibocsátási egységeit pénzügyi eszköznek minősítette.</w:t>
            </w:r>
          </w:p>
        </w:tc>
        <w:tc>
          <w:tcPr>
            <w:tcW w:w="1862" w:type="dxa"/>
            <w:shd w:val="clear" w:color="auto" w:fill="FFFFCC"/>
            <w:vAlign w:val="center"/>
          </w:tcPr>
          <w:p w14:paraId="10F2A58F" w14:textId="77777777" w:rsidR="0067338B" w:rsidRPr="00C64727" w:rsidRDefault="003A348D">
            <w:pPr>
              <w:jc w:val="center"/>
              <w:rPr>
                <w:rFonts w:ascii="Times New Roman" w:hAnsi="Times New Roman"/>
              </w:rPr>
            </w:pPr>
            <w:r w:rsidRPr="00C64727">
              <w:rPr>
                <w:rFonts w:ascii="Times New Roman" w:hAnsi="Times New Roman"/>
              </w:rPr>
              <w:t>felhatalmazáson alapuló jogi aktus</w:t>
            </w:r>
          </w:p>
        </w:tc>
        <w:tc>
          <w:tcPr>
            <w:tcW w:w="1994" w:type="dxa"/>
            <w:shd w:val="clear" w:color="auto" w:fill="FFFFCC"/>
            <w:vAlign w:val="center"/>
          </w:tcPr>
          <w:p w14:paraId="47C622DF" w14:textId="77777777" w:rsidR="0067338B" w:rsidRPr="00C64727" w:rsidRDefault="003A348D">
            <w:pPr>
              <w:jc w:val="center"/>
              <w:rPr>
                <w:rFonts w:ascii="Times New Roman" w:hAnsi="Times New Roman"/>
              </w:rPr>
            </w:pPr>
            <w:r w:rsidRPr="00C64727">
              <w:rPr>
                <w:rFonts w:ascii="Times New Roman" w:hAnsi="Times New Roman"/>
              </w:rPr>
              <w:t>2019</w:t>
            </w:r>
          </w:p>
        </w:tc>
      </w:tr>
      <w:tr w:rsidR="0067338B" w:rsidRPr="00C64727" w14:paraId="10BEBB1D" w14:textId="77777777" w:rsidTr="00601A28">
        <w:trPr>
          <w:trHeight w:val="154"/>
        </w:trPr>
        <w:tc>
          <w:tcPr>
            <w:tcW w:w="2030" w:type="dxa"/>
            <w:shd w:val="clear" w:color="auto" w:fill="CCFFCC"/>
            <w:vAlign w:val="center"/>
          </w:tcPr>
          <w:p w14:paraId="59A6486B" w14:textId="77777777" w:rsidR="0067338B" w:rsidRPr="00C64727" w:rsidRDefault="003A348D">
            <w:pPr>
              <w:rPr>
                <w:rFonts w:ascii="Times New Roman" w:hAnsi="Times New Roman"/>
              </w:rPr>
            </w:pPr>
            <w:r w:rsidRPr="00C64727">
              <w:rPr>
                <w:rFonts w:ascii="Times New Roman" w:hAnsi="Times New Roman"/>
              </w:rPr>
              <w:t>A nyomon követésről és a jelentéstételről szóló 601/2012/EU rendelet felülvizsgálata</w:t>
            </w:r>
          </w:p>
        </w:tc>
        <w:tc>
          <w:tcPr>
            <w:tcW w:w="3808" w:type="dxa"/>
            <w:shd w:val="clear" w:color="auto" w:fill="CCFFCC"/>
            <w:vAlign w:val="center"/>
          </w:tcPr>
          <w:p w14:paraId="5B35144D" w14:textId="77777777" w:rsidR="0067338B" w:rsidRPr="00C64727" w:rsidRDefault="003A348D">
            <w:pPr>
              <w:rPr>
                <w:rFonts w:ascii="Times New Roman" w:hAnsi="Times New Roman"/>
              </w:rPr>
            </w:pPr>
            <w:r w:rsidRPr="00C64727">
              <w:rPr>
                <w:rFonts w:ascii="Times New Roman" w:hAnsi="Times New Roman"/>
              </w:rPr>
              <w:t>A nyomon követésre és a jelentéstételre vonatkozó szabályok egyszerűsítése, javítása és egyértelműsítése, valamint az adminisztratív teher csökkentése, a 3. szakaszban szerzett végrehajtási tapasztalatok alapján</w:t>
            </w:r>
          </w:p>
        </w:tc>
        <w:tc>
          <w:tcPr>
            <w:tcW w:w="1862" w:type="dxa"/>
            <w:shd w:val="clear" w:color="auto" w:fill="CCFFCC"/>
            <w:vAlign w:val="center"/>
          </w:tcPr>
          <w:p w14:paraId="1E58A93D" w14:textId="77777777" w:rsidR="0067338B" w:rsidRPr="00C64727" w:rsidRDefault="002A3783">
            <w:pPr>
              <w:jc w:val="center"/>
              <w:rPr>
                <w:rFonts w:ascii="Times New Roman" w:hAnsi="Times New Roman"/>
              </w:rPr>
            </w:pPr>
            <w:r w:rsidRPr="00C64727">
              <w:rPr>
                <w:rFonts w:ascii="Times New Roman" w:hAnsi="Times New Roman"/>
              </w:rPr>
              <w:t>bizottsági végrehajtási rendelet</w:t>
            </w:r>
          </w:p>
        </w:tc>
        <w:tc>
          <w:tcPr>
            <w:tcW w:w="1994" w:type="dxa"/>
            <w:shd w:val="clear" w:color="auto" w:fill="CCFFCC"/>
            <w:vAlign w:val="center"/>
          </w:tcPr>
          <w:p w14:paraId="4A6145C7" w14:textId="77777777" w:rsidR="0067338B" w:rsidRPr="00C64727" w:rsidRDefault="009A6369">
            <w:pPr>
              <w:jc w:val="center"/>
              <w:rPr>
                <w:rFonts w:ascii="Times New Roman" w:hAnsi="Times New Roman"/>
              </w:rPr>
            </w:pPr>
            <w:r w:rsidRPr="00C64727">
              <w:rPr>
                <w:rFonts w:ascii="Times New Roman" w:hAnsi="Times New Roman"/>
              </w:rPr>
              <w:t>2018. december 19-én elfogadva és az Európai Unió Hivatalos Lapjában 2018. december 31-én közzétéve</w:t>
            </w:r>
            <w:r w:rsidRPr="00C64727">
              <w:rPr>
                <w:rStyle w:val="FootnoteReference"/>
                <w:rFonts w:ascii="Times New Roman" w:hAnsi="Times New Roman"/>
              </w:rPr>
              <w:footnoteReference w:id="86"/>
            </w:r>
          </w:p>
        </w:tc>
      </w:tr>
      <w:tr w:rsidR="0067338B" w:rsidRPr="00C64727" w14:paraId="7F53BE0B" w14:textId="77777777" w:rsidTr="00A324A5">
        <w:trPr>
          <w:trHeight w:val="154"/>
        </w:trPr>
        <w:tc>
          <w:tcPr>
            <w:tcW w:w="2030" w:type="dxa"/>
            <w:tcBorders>
              <w:bottom w:val="double" w:sz="4" w:space="0" w:color="auto"/>
            </w:tcBorders>
            <w:shd w:val="clear" w:color="auto" w:fill="CCFFCC"/>
            <w:vAlign w:val="center"/>
          </w:tcPr>
          <w:p w14:paraId="001CF685" w14:textId="77777777" w:rsidR="0067338B" w:rsidRPr="00C64727" w:rsidRDefault="003A348D">
            <w:pPr>
              <w:rPr>
                <w:rFonts w:ascii="Times New Roman" w:hAnsi="Times New Roman"/>
              </w:rPr>
            </w:pPr>
            <w:r w:rsidRPr="00C64727">
              <w:rPr>
                <w:rFonts w:ascii="Times New Roman" w:hAnsi="Times New Roman"/>
              </w:rPr>
              <w:t>A hitelesítésről és az akkreditációról szóló 600/2012/EU rendelet felülvizsgálata</w:t>
            </w:r>
          </w:p>
        </w:tc>
        <w:tc>
          <w:tcPr>
            <w:tcW w:w="3808" w:type="dxa"/>
            <w:tcBorders>
              <w:bottom w:val="double" w:sz="4" w:space="0" w:color="auto"/>
            </w:tcBorders>
            <w:shd w:val="clear" w:color="auto" w:fill="CCFFCC"/>
            <w:vAlign w:val="center"/>
          </w:tcPr>
          <w:p w14:paraId="7229FB85" w14:textId="77777777" w:rsidR="0067338B" w:rsidRPr="00C64727" w:rsidRDefault="003A348D">
            <w:pPr>
              <w:rPr>
                <w:rFonts w:ascii="Times New Roman" w:hAnsi="Times New Roman"/>
              </w:rPr>
            </w:pPr>
            <w:r w:rsidRPr="00C64727">
              <w:rPr>
                <w:rFonts w:ascii="Times New Roman" w:hAnsi="Times New Roman"/>
              </w:rPr>
              <w:t>A hitelesítésre és az akkreditációra vonatkozó szabályok egyszerűsítése, javítása és egyértelműsítése, valamint az adminisztratív teher lehetőség szerinti csökkentése, a 3. szakaszban szerzett végrehajtási tapasztalatok alapján</w:t>
            </w:r>
          </w:p>
        </w:tc>
        <w:tc>
          <w:tcPr>
            <w:tcW w:w="1862" w:type="dxa"/>
            <w:tcBorders>
              <w:bottom w:val="double" w:sz="4" w:space="0" w:color="auto"/>
            </w:tcBorders>
            <w:shd w:val="clear" w:color="auto" w:fill="CCFFCC"/>
            <w:vAlign w:val="center"/>
          </w:tcPr>
          <w:p w14:paraId="4FA307CA" w14:textId="77777777" w:rsidR="0067338B" w:rsidRPr="00C64727" w:rsidRDefault="009A6369">
            <w:pPr>
              <w:jc w:val="center"/>
              <w:rPr>
                <w:rFonts w:ascii="Times New Roman" w:hAnsi="Times New Roman"/>
              </w:rPr>
            </w:pPr>
            <w:r w:rsidRPr="00C64727">
              <w:rPr>
                <w:rFonts w:ascii="Times New Roman" w:hAnsi="Times New Roman"/>
              </w:rPr>
              <w:t xml:space="preserve">bizottsági végrehajtási rendelet </w:t>
            </w:r>
          </w:p>
        </w:tc>
        <w:tc>
          <w:tcPr>
            <w:tcW w:w="1994" w:type="dxa"/>
            <w:tcBorders>
              <w:bottom w:val="double" w:sz="4" w:space="0" w:color="auto"/>
            </w:tcBorders>
            <w:shd w:val="clear" w:color="auto" w:fill="CCFFCC"/>
            <w:vAlign w:val="center"/>
          </w:tcPr>
          <w:p w14:paraId="3C6EBCF4" w14:textId="77777777" w:rsidR="0067338B" w:rsidRPr="00C64727" w:rsidRDefault="005F547A">
            <w:pPr>
              <w:jc w:val="center"/>
              <w:rPr>
                <w:rFonts w:ascii="Times New Roman" w:hAnsi="Times New Roman"/>
              </w:rPr>
            </w:pPr>
            <w:r w:rsidRPr="00C64727">
              <w:rPr>
                <w:rFonts w:ascii="Times New Roman" w:hAnsi="Times New Roman"/>
              </w:rPr>
              <w:t>2018. december 19-én elfogadva és az Európai Unió Hivatalos Lapjában 2018. december 31-én közzétéve</w:t>
            </w:r>
            <w:r w:rsidRPr="00C64727">
              <w:rPr>
                <w:rStyle w:val="FootnoteReference"/>
                <w:rFonts w:ascii="Times New Roman" w:hAnsi="Times New Roman"/>
              </w:rPr>
              <w:footnoteReference w:id="87"/>
            </w:r>
          </w:p>
        </w:tc>
      </w:tr>
      <w:tr w:rsidR="0067338B" w:rsidRPr="00C64727" w14:paraId="0E1CEEA2" w14:textId="77777777" w:rsidTr="00A324A5">
        <w:trPr>
          <w:trHeight w:val="154"/>
        </w:trPr>
        <w:tc>
          <w:tcPr>
            <w:tcW w:w="2030" w:type="dxa"/>
            <w:shd w:val="clear" w:color="auto" w:fill="FFFFCC"/>
            <w:vAlign w:val="center"/>
          </w:tcPr>
          <w:p w14:paraId="4AAEB14B" w14:textId="77777777" w:rsidR="0067338B" w:rsidRPr="00C64727" w:rsidRDefault="00EE1C77">
            <w:pPr>
              <w:rPr>
                <w:rFonts w:ascii="Times New Roman" w:hAnsi="Times New Roman"/>
              </w:rPr>
            </w:pPr>
            <w:r w:rsidRPr="00C64727">
              <w:rPr>
                <w:rFonts w:ascii="Times New Roman" w:hAnsi="Times New Roman"/>
              </w:rPr>
              <w:t>A 2003/87/EK irányelvnek a CORSIA tekintetében történő kiegészítése</w:t>
            </w:r>
          </w:p>
        </w:tc>
        <w:tc>
          <w:tcPr>
            <w:tcW w:w="3808" w:type="dxa"/>
            <w:shd w:val="clear" w:color="auto" w:fill="FFFFCC"/>
            <w:vAlign w:val="center"/>
          </w:tcPr>
          <w:p w14:paraId="2AD4697B" w14:textId="77777777" w:rsidR="0067338B" w:rsidRPr="00C64727" w:rsidRDefault="00EE1C77">
            <w:pPr>
              <w:rPr>
                <w:rFonts w:ascii="Times New Roman" w:hAnsi="Times New Roman"/>
              </w:rPr>
            </w:pPr>
            <w:r w:rsidRPr="00C64727">
              <w:rPr>
                <w:rFonts w:ascii="Times New Roman" w:hAnsi="Times New Roman"/>
              </w:rPr>
              <w:t>Az EU ETS irányelvnek a Nemzetközi Polgári Repülési Szervezet által a CORSIA megvalósítása céljából elfogadott, a légi közlekedésből származó kibocsátások nyomon követésére, jelentésére és hitelesítésére vonatkozó intézkedések tekintetében történő kiegészítése</w:t>
            </w:r>
          </w:p>
        </w:tc>
        <w:tc>
          <w:tcPr>
            <w:tcW w:w="1862" w:type="dxa"/>
            <w:shd w:val="clear" w:color="auto" w:fill="FFFFCC"/>
            <w:vAlign w:val="center"/>
          </w:tcPr>
          <w:p w14:paraId="31DF685B" w14:textId="77777777" w:rsidR="0067338B" w:rsidRPr="00C64727" w:rsidRDefault="00EE1C77">
            <w:pPr>
              <w:jc w:val="center"/>
              <w:rPr>
                <w:rFonts w:ascii="Times New Roman" w:hAnsi="Times New Roman"/>
              </w:rPr>
            </w:pPr>
            <w:r w:rsidRPr="00C64727">
              <w:rPr>
                <w:rFonts w:ascii="Times New Roman" w:hAnsi="Times New Roman"/>
              </w:rPr>
              <w:t>felhatalmazáson alapuló bizottsági rendelet</w:t>
            </w:r>
          </w:p>
        </w:tc>
        <w:tc>
          <w:tcPr>
            <w:tcW w:w="1994" w:type="dxa"/>
            <w:shd w:val="clear" w:color="auto" w:fill="FFFFCC"/>
            <w:vAlign w:val="center"/>
          </w:tcPr>
          <w:p w14:paraId="62B32846" w14:textId="77777777" w:rsidR="0067338B" w:rsidRPr="00C64727" w:rsidRDefault="00EE1C77">
            <w:pPr>
              <w:jc w:val="center"/>
              <w:rPr>
                <w:rFonts w:ascii="Times New Roman" w:hAnsi="Times New Roman"/>
              </w:rPr>
            </w:pPr>
            <w:r w:rsidRPr="00C64727">
              <w:rPr>
                <w:rFonts w:ascii="Times New Roman" w:hAnsi="Times New Roman"/>
              </w:rPr>
              <w:t>2019</w:t>
            </w:r>
          </w:p>
        </w:tc>
      </w:tr>
      <w:tr w:rsidR="0067338B" w:rsidRPr="00C64727" w14:paraId="61D9C793" w14:textId="77777777" w:rsidTr="00601A28">
        <w:trPr>
          <w:trHeight w:val="154"/>
        </w:trPr>
        <w:tc>
          <w:tcPr>
            <w:tcW w:w="2030" w:type="dxa"/>
            <w:shd w:val="clear" w:color="auto" w:fill="FFFFCC"/>
            <w:vAlign w:val="center"/>
          </w:tcPr>
          <w:p w14:paraId="06FB713B" w14:textId="77777777" w:rsidR="0067338B" w:rsidRPr="00C64727" w:rsidRDefault="006E77EE">
            <w:pPr>
              <w:rPr>
                <w:rFonts w:ascii="Times New Roman" w:hAnsi="Times New Roman"/>
              </w:rPr>
            </w:pPr>
            <w:r w:rsidRPr="00C64727">
              <w:rPr>
                <w:rFonts w:ascii="Times New Roman" w:hAnsi="Times New Roman"/>
              </w:rPr>
              <w:t>Az EU ETS-hez kapcsolódó állami támogatásokra vonatkozó 2021–2030-as iránymutatás</w:t>
            </w:r>
          </w:p>
        </w:tc>
        <w:tc>
          <w:tcPr>
            <w:tcW w:w="3808" w:type="dxa"/>
            <w:shd w:val="clear" w:color="auto" w:fill="FFFFCC"/>
            <w:vAlign w:val="center"/>
          </w:tcPr>
          <w:p w14:paraId="773396A2" w14:textId="77777777" w:rsidR="0067338B" w:rsidRPr="00C64727" w:rsidRDefault="006E77EE">
            <w:pPr>
              <w:rPr>
                <w:rFonts w:ascii="Times New Roman" w:hAnsi="Times New Roman"/>
              </w:rPr>
            </w:pPr>
            <w:r w:rsidRPr="00C64727">
              <w:rPr>
                <w:rFonts w:ascii="Times New Roman" w:hAnsi="Times New Roman"/>
              </w:rPr>
              <w:t>Az EU ETS 4. szakaszához kapcsolódó állami támogatásokra vonatkozó iránymutatás módosítása a felülvizsgált EU ETS irányelvvel a közvetett szén-dioxid-kibocsátási költségeket kompenzáló rendszerek tekintetében bevezetett új rendelkezések beillesztése érdekében</w:t>
            </w:r>
          </w:p>
        </w:tc>
        <w:tc>
          <w:tcPr>
            <w:tcW w:w="1862" w:type="dxa"/>
            <w:shd w:val="clear" w:color="auto" w:fill="FFFFCC"/>
            <w:vAlign w:val="center"/>
          </w:tcPr>
          <w:p w14:paraId="1126B985" w14:textId="77777777" w:rsidR="0067338B" w:rsidRPr="00C64727" w:rsidRDefault="006E77EE">
            <w:pPr>
              <w:jc w:val="center"/>
              <w:rPr>
                <w:rFonts w:ascii="Times New Roman" w:hAnsi="Times New Roman"/>
              </w:rPr>
            </w:pPr>
            <w:r w:rsidRPr="00C64727">
              <w:rPr>
                <w:rFonts w:ascii="Times New Roman" w:hAnsi="Times New Roman"/>
              </w:rPr>
              <w:t>bizottsági közlemény</w:t>
            </w:r>
          </w:p>
        </w:tc>
        <w:tc>
          <w:tcPr>
            <w:tcW w:w="1994" w:type="dxa"/>
            <w:shd w:val="clear" w:color="auto" w:fill="FFFFCC"/>
            <w:vAlign w:val="center"/>
          </w:tcPr>
          <w:p w14:paraId="15A7CFC0" w14:textId="77777777" w:rsidR="0067338B" w:rsidRPr="00C64727" w:rsidRDefault="006E77EE">
            <w:pPr>
              <w:jc w:val="center"/>
              <w:rPr>
                <w:rFonts w:ascii="Times New Roman" w:hAnsi="Times New Roman"/>
              </w:rPr>
            </w:pPr>
            <w:r w:rsidRPr="00C64727">
              <w:rPr>
                <w:rFonts w:ascii="Times New Roman" w:hAnsi="Times New Roman"/>
              </w:rPr>
              <w:t>2020</w:t>
            </w:r>
          </w:p>
        </w:tc>
      </w:tr>
    </w:tbl>
    <w:tbl>
      <w:tblPr>
        <w:tblStyle w:val="TableGrid6"/>
        <w:tblpPr w:leftFromText="180" w:rightFromText="180" w:vertAnchor="text" w:horzAnchor="margin" w:tblpY="72"/>
        <w:tblW w:w="1851" w:type="dxa"/>
        <w:tblLook w:val="04A0" w:firstRow="1" w:lastRow="0" w:firstColumn="1" w:lastColumn="0" w:noHBand="0" w:noVBand="1"/>
      </w:tblPr>
      <w:tblGrid>
        <w:gridCol w:w="1851"/>
      </w:tblGrid>
      <w:tr w:rsidR="0067338B" w:rsidRPr="00C64727" w14:paraId="398E9281" w14:textId="77777777" w:rsidTr="007F5B1E">
        <w:trPr>
          <w:trHeight w:val="251"/>
        </w:trPr>
        <w:tc>
          <w:tcPr>
            <w:tcW w:w="1851" w:type="dxa"/>
          </w:tcPr>
          <w:p w14:paraId="7ACA2F89" w14:textId="77777777" w:rsidR="0067338B" w:rsidRPr="00C64727" w:rsidRDefault="007F5B1E">
            <w:pPr>
              <w:rPr>
                <w:rFonts w:ascii="Times New Roman" w:hAnsi="Times New Roman"/>
                <w:b/>
              </w:rPr>
            </w:pPr>
            <w:r w:rsidRPr="00C64727">
              <w:rPr>
                <w:rFonts w:ascii="Times New Roman" w:hAnsi="Times New Roman"/>
                <w:b/>
              </w:rPr>
              <w:t xml:space="preserve">Aktuális helyzet </w:t>
            </w:r>
          </w:p>
        </w:tc>
      </w:tr>
      <w:tr w:rsidR="0067338B" w:rsidRPr="00C64727" w14:paraId="1EEE117A" w14:textId="77777777" w:rsidTr="007F5B1E">
        <w:trPr>
          <w:trHeight w:val="251"/>
        </w:trPr>
        <w:tc>
          <w:tcPr>
            <w:tcW w:w="1851" w:type="dxa"/>
            <w:tcBorders>
              <w:bottom w:val="single" w:sz="4" w:space="0" w:color="auto"/>
            </w:tcBorders>
          </w:tcPr>
          <w:p w14:paraId="2D9742E5" w14:textId="77777777" w:rsidR="0067338B" w:rsidRPr="00C64727" w:rsidRDefault="007F5B1E">
            <w:pPr>
              <w:rPr>
                <w:rFonts w:ascii="Times New Roman" w:hAnsi="Times New Roman"/>
              </w:rPr>
            </w:pPr>
            <w:r w:rsidRPr="00C64727">
              <w:rPr>
                <w:rFonts w:ascii="Times New Roman" w:hAnsi="Times New Roman"/>
              </w:rPr>
              <w:t>Tervezett</w:t>
            </w:r>
          </w:p>
        </w:tc>
      </w:tr>
      <w:tr w:rsidR="0067338B" w:rsidRPr="00C64727" w14:paraId="4B5492B1" w14:textId="77777777" w:rsidTr="007F5B1E">
        <w:trPr>
          <w:trHeight w:val="251"/>
        </w:trPr>
        <w:tc>
          <w:tcPr>
            <w:tcW w:w="1851" w:type="dxa"/>
            <w:tcBorders>
              <w:bottom w:val="single" w:sz="4" w:space="0" w:color="auto"/>
            </w:tcBorders>
            <w:shd w:val="clear" w:color="auto" w:fill="FFFFCC"/>
          </w:tcPr>
          <w:p w14:paraId="2E213755" w14:textId="77777777" w:rsidR="0067338B" w:rsidRPr="00C64727" w:rsidRDefault="007F5B1E">
            <w:pPr>
              <w:rPr>
                <w:rFonts w:ascii="Times New Roman" w:hAnsi="Times New Roman"/>
              </w:rPr>
            </w:pPr>
            <w:r w:rsidRPr="00C64727">
              <w:rPr>
                <w:rFonts w:ascii="Times New Roman" w:hAnsi="Times New Roman"/>
              </w:rPr>
              <w:t>Folyamatban van</w:t>
            </w:r>
          </w:p>
        </w:tc>
      </w:tr>
      <w:tr w:rsidR="0067338B" w:rsidRPr="00C64727" w14:paraId="54AB2EEC" w14:textId="77777777" w:rsidTr="007F5B1E">
        <w:trPr>
          <w:trHeight w:val="264"/>
        </w:trPr>
        <w:tc>
          <w:tcPr>
            <w:tcW w:w="1851" w:type="dxa"/>
            <w:shd w:val="clear" w:color="auto" w:fill="CCFFCC"/>
          </w:tcPr>
          <w:p w14:paraId="068C6FD7" w14:textId="77777777" w:rsidR="0067338B" w:rsidRPr="00C64727" w:rsidRDefault="007F5B1E">
            <w:pPr>
              <w:rPr>
                <w:rFonts w:ascii="Times New Roman" w:hAnsi="Times New Roman"/>
              </w:rPr>
            </w:pPr>
            <w:r w:rsidRPr="00C64727">
              <w:rPr>
                <w:rFonts w:ascii="Times New Roman" w:hAnsi="Times New Roman"/>
              </w:rPr>
              <w:t>Elkészült</w:t>
            </w:r>
          </w:p>
        </w:tc>
      </w:tr>
    </w:tbl>
    <w:p w14:paraId="4633E6D4" w14:textId="77777777" w:rsidR="0067338B" w:rsidRPr="00C64727" w:rsidRDefault="0067338B">
      <w:pPr>
        <w:spacing w:after="0"/>
        <w:rPr>
          <w:rFonts w:ascii="Times New Roman" w:hAnsi="Times New Roman"/>
          <w:b/>
          <w:sz w:val="20"/>
          <w:szCs w:val="20"/>
        </w:rPr>
      </w:pPr>
    </w:p>
    <w:p w14:paraId="502B3DB6" w14:textId="77777777" w:rsidR="0067338B" w:rsidRPr="00C64727" w:rsidRDefault="0067338B">
      <w:pPr>
        <w:rPr>
          <w:rFonts w:ascii="Times New Roman" w:hAnsi="Times New Roman"/>
          <w:b/>
          <w:sz w:val="20"/>
          <w:szCs w:val="20"/>
        </w:rPr>
      </w:pPr>
    </w:p>
    <w:p w14:paraId="25EB6222" w14:textId="77777777" w:rsidR="0067338B" w:rsidRPr="00C64727" w:rsidRDefault="0067338B">
      <w:pPr>
        <w:rPr>
          <w:rFonts w:ascii="Times New Roman" w:hAnsi="Times New Roman"/>
          <w:b/>
          <w:sz w:val="20"/>
          <w:szCs w:val="20"/>
        </w:rPr>
      </w:pPr>
    </w:p>
    <w:p w14:paraId="52208539" w14:textId="77777777" w:rsidR="0067338B" w:rsidRPr="00C64727" w:rsidRDefault="0067338B">
      <w:pPr>
        <w:rPr>
          <w:rFonts w:ascii="Times New Roman" w:hAnsi="Times New Roman"/>
          <w:b/>
          <w:sz w:val="24"/>
          <w:szCs w:val="24"/>
        </w:rPr>
      </w:pPr>
    </w:p>
    <w:p w14:paraId="44A3B180" w14:textId="77777777" w:rsidR="0067338B" w:rsidRPr="00C64727" w:rsidRDefault="003A348D">
      <w:pPr>
        <w:rPr>
          <w:rFonts w:ascii="Times New Roman" w:hAnsi="Times New Roman"/>
          <w:b/>
        </w:rPr>
      </w:pPr>
      <w:r w:rsidRPr="00C64727">
        <w:rPr>
          <w:rFonts w:ascii="Times New Roman" w:hAnsi="Times New Roman"/>
          <w:b/>
        </w:rPr>
        <w:t>8. függelék</w:t>
      </w:r>
    </w:p>
    <w:p w14:paraId="56DD5484" w14:textId="77777777" w:rsidR="0067338B" w:rsidRPr="00C64727" w:rsidRDefault="00707619">
      <w:pPr>
        <w:keepNext/>
        <w:rPr>
          <w:rFonts w:ascii="Times New Roman" w:hAnsi="Times New Roman"/>
          <w:b/>
          <w:bCs/>
          <w:sz w:val="20"/>
          <w:szCs w:val="20"/>
        </w:rPr>
      </w:pPr>
      <w:r w:rsidRPr="00C64727">
        <w:rPr>
          <w:rFonts w:ascii="Times New Roman" w:hAnsi="Times New Roman"/>
          <w:b/>
          <w:bCs/>
          <w:sz w:val="20"/>
          <w:szCs w:val="20"/>
        </w:rPr>
        <w:t>8.1. táblázat: A piaci stabilizációs tartalékhoz való tagállami hozzájárulások 2019-ben</w:t>
      </w:r>
      <w:r w:rsidRPr="00C64727">
        <w:rPr>
          <w:rStyle w:val="FootnoteReference"/>
          <w:rFonts w:ascii="Times New Roman" w:hAnsi="Times New Roman"/>
          <w:b/>
          <w:sz w:val="20"/>
          <w:szCs w:val="20"/>
        </w:rPr>
        <w:footnoteReference w:id="88"/>
      </w:r>
      <w:r w:rsidRPr="00C64727">
        <w:rPr>
          <w:rFonts w:ascii="Times New Roman" w:hAnsi="Times New Roman"/>
          <w:b/>
          <w:sz w:val="20"/>
          <w:szCs w:val="20"/>
        </w:rPr>
        <w:t xml:space="preserve"> és 2020-ban</w:t>
      </w:r>
      <w:r w:rsidRPr="00C64727">
        <w:rPr>
          <w:rStyle w:val="FootnoteReference"/>
          <w:rFonts w:ascii="Times New Roman" w:hAnsi="Times New Roman"/>
          <w:b/>
          <w:sz w:val="20"/>
          <w:szCs w:val="20"/>
        </w:rPr>
        <w:footnoteReference w:id="89"/>
      </w:r>
    </w:p>
    <w:tbl>
      <w:tblPr>
        <w:tblW w:w="9302" w:type="dxa"/>
        <w:tblInd w:w="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3102"/>
        <w:gridCol w:w="3100"/>
        <w:gridCol w:w="3100"/>
      </w:tblGrid>
      <w:tr w:rsidR="0067338B" w:rsidRPr="00C64727" w14:paraId="4DD3BAAA" w14:textId="77777777" w:rsidTr="00601A28">
        <w:trPr>
          <w:trHeight w:val="1274"/>
        </w:trPr>
        <w:tc>
          <w:tcPr>
            <w:tcW w:w="3102" w:type="dxa"/>
            <w:shd w:val="clear" w:color="auto" w:fill="auto"/>
            <w:vAlign w:val="bottom"/>
            <w:hideMark/>
          </w:tcPr>
          <w:p w14:paraId="04001DB4" w14:textId="77777777" w:rsidR="0067338B" w:rsidRPr="00C64727" w:rsidRDefault="00707619">
            <w:pPr>
              <w:spacing w:after="0" w:line="240" w:lineRule="auto"/>
              <w:rPr>
                <w:rFonts w:ascii="Times New Roman" w:eastAsia="Times New Roman" w:hAnsi="Times New Roman"/>
                <w:b/>
                <w:bCs/>
                <w:sz w:val="20"/>
                <w:szCs w:val="20"/>
              </w:rPr>
            </w:pPr>
            <w:r w:rsidRPr="00C64727">
              <w:rPr>
                <w:rFonts w:ascii="Times New Roman" w:hAnsi="Times New Roman"/>
                <w:b/>
                <w:bCs/>
                <w:sz w:val="20"/>
                <w:szCs w:val="20"/>
              </w:rPr>
              <w:t>Tagállam/EGT</w:t>
            </w:r>
            <w:r w:rsidRPr="00C64727">
              <w:rPr>
                <w:rFonts w:ascii="Times New Roman" w:hAnsi="Times New Roman"/>
                <w:b/>
                <w:bCs/>
                <w:sz w:val="20"/>
                <w:szCs w:val="20"/>
              </w:rPr>
              <w:br/>
              <w:t>EFTA tagállam</w:t>
            </w:r>
          </w:p>
        </w:tc>
        <w:tc>
          <w:tcPr>
            <w:tcW w:w="3100" w:type="dxa"/>
            <w:shd w:val="clear" w:color="auto" w:fill="auto"/>
            <w:vAlign w:val="bottom"/>
            <w:hideMark/>
          </w:tcPr>
          <w:p w14:paraId="13803C63" w14:textId="77777777" w:rsidR="0067338B" w:rsidRPr="00C64727" w:rsidRDefault="00707619">
            <w:pPr>
              <w:spacing w:after="0" w:line="240" w:lineRule="auto"/>
              <w:rPr>
                <w:rFonts w:ascii="Times New Roman" w:eastAsia="Times New Roman" w:hAnsi="Times New Roman"/>
                <w:b/>
                <w:bCs/>
                <w:sz w:val="20"/>
                <w:szCs w:val="20"/>
              </w:rPr>
            </w:pPr>
            <w:r w:rsidRPr="00C64727">
              <w:rPr>
                <w:rFonts w:ascii="Times New Roman" w:hAnsi="Times New Roman"/>
                <w:b/>
                <w:bCs/>
                <w:sz w:val="20"/>
                <w:szCs w:val="20"/>
              </w:rPr>
              <w:t>A piaci stabilizációs tartalékhoz való hozzájárulások 2019-ben</w:t>
            </w:r>
          </w:p>
        </w:tc>
        <w:tc>
          <w:tcPr>
            <w:tcW w:w="3100" w:type="dxa"/>
            <w:shd w:val="clear" w:color="auto" w:fill="auto"/>
            <w:vAlign w:val="bottom"/>
            <w:hideMark/>
          </w:tcPr>
          <w:p w14:paraId="39996C12" w14:textId="77777777" w:rsidR="0067338B" w:rsidRPr="00C64727" w:rsidRDefault="00707619">
            <w:pPr>
              <w:spacing w:after="0" w:line="240" w:lineRule="auto"/>
              <w:rPr>
                <w:rFonts w:ascii="Times New Roman" w:eastAsia="Times New Roman" w:hAnsi="Times New Roman"/>
                <w:b/>
                <w:bCs/>
                <w:sz w:val="20"/>
                <w:szCs w:val="20"/>
              </w:rPr>
            </w:pPr>
            <w:r w:rsidRPr="00C64727">
              <w:rPr>
                <w:rFonts w:ascii="Times New Roman" w:hAnsi="Times New Roman"/>
                <w:b/>
                <w:bCs/>
                <w:sz w:val="20"/>
                <w:szCs w:val="20"/>
              </w:rPr>
              <w:t>A piaci stabilizációs tartalékhoz való hozzájárulások 2020-ban</w:t>
            </w:r>
            <w:r w:rsidRPr="00C64727">
              <w:rPr>
                <w:rStyle w:val="FootnoteReference"/>
                <w:rFonts w:ascii="Times New Roman" w:eastAsia="Times New Roman" w:hAnsi="Times New Roman"/>
                <w:b/>
                <w:bCs/>
                <w:sz w:val="20"/>
                <w:szCs w:val="20"/>
              </w:rPr>
              <w:footnoteReference w:id="90"/>
            </w:r>
          </w:p>
        </w:tc>
      </w:tr>
      <w:tr w:rsidR="0067338B" w:rsidRPr="00C64727" w14:paraId="777FF85C" w14:textId="77777777" w:rsidTr="00601A28">
        <w:trPr>
          <w:trHeight w:val="292"/>
        </w:trPr>
        <w:tc>
          <w:tcPr>
            <w:tcW w:w="3102" w:type="dxa"/>
            <w:shd w:val="clear" w:color="auto" w:fill="auto"/>
            <w:noWrap/>
            <w:vAlign w:val="bottom"/>
            <w:hideMark/>
          </w:tcPr>
          <w:p w14:paraId="4EACFA94" w14:textId="77777777" w:rsidR="0067338B" w:rsidRPr="00C64727" w:rsidRDefault="00707619">
            <w:pPr>
              <w:spacing w:after="0" w:line="240" w:lineRule="auto"/>
              <w:rPr>
                <w:rFonts w:ascii="Times New Roman" w:eastAsia="Times New Roman" w:hAnsi="Times New Roman"/>
                <w:sz w:val="20"/>
                <w:szCs w:val="20"/>
              </w:rPr>
            </w:pPr>
            <w:r w:rsidRPr="00C64727">
              <w:rPr>
                <w:rFonts w:ascii="Times New Roman" w:hAnsi="Times New Roman"/>
                <w:sz w:val="20"/>
                <w:szCs w:val="20"/>
              </w:rPr>
              <w:t>Ausztria</w:t>
            </w:r>
          </w:p>
        </w:tc>
        <w:tc>
          <w:tcPr>
            <w:tcW w:w="3100" w:type="dxa"/>
            <w:shd w:val="clear" w:color="auto" w:fill="auto"/>
            <w:noWrap/>
            <w:vAlign w:val="bottom"/>
            <w:hideMark/>
          </w:tcPr>
          <w:p w14:paraId="5D15CC0B"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5 935 748</w:t>
            </w:r>
          </w:p>
        </w:tc>
        <w:tc>
          <w:tcPr>
            <w:tcW w:w="3100" w:type="dxa"/>
            <w:shd w:val="clear" w:color="auto" w:fill="auto"/>
            <w:noWrap/>
            <w:vAlign w:val="bottom"/>
            <w:hideMark/>
          </w:tcPr>
          <w:p w14:paraId="28419864"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3 957 699</w:t>
            </w:r>
          </w:p>
        </w:tc>
      </w:tr>
      <w:tr w:rsidR="0067338B" w:rsidRPr="00C64727" w14:paraId="7DE4C650" w14:textId="77777777" w:rsidTr="00601A28">
        <w:trPr>
          <w:trHeight w:val="292"/>
        </w:trPr>
        <w:tc>
          <w:tcPr>
            <w:tcW w:w="3102" w:type="dxa"/>
            <w:shd w:val="clear" w:color="auto" w:fill="auto"/>
            <w:noWrap/>
            <w:vAlign w:val="bottom"/>
            <w:hideMark/>
          </w:tcPr>
          <w:p w14:paraId="0367DEEE" w14:textId="77777777" w:rsidR="0067338B" w:rsidRPr="00C64727" w:rsidRDefault="00707619">
            <w:pPr>
              <w:spacing w:after="0" w:line="240" w:lineRule="auto"/>
              <w:rPr>
                <w:rFonts w:ascii="Times New Roman" w:eastAsia="Times New Roman" w:hAnsi="Times New Roman"/>
                <w:sz w:val="20"/>
                <w:szCs w:val="20"/>
              </w:rPr>
            </w:pPr>
            <w:r w:rsidRPr="00C64727">
              <w:rPr>
                <w:rFonts w:ascii="Times New Roman" w:hAnsi="Times New Roman"/>
                <w:sz w:val="20"/>
                <w:szCs w:val="20"/>
              </w:rPr>
              <w:t>Belgium</w:t>
            </w:r>
          </w:p>
        </w:tc>
        <w:tc>
          <w:tcPr>
            <w:tcW w:w="3100" w:type="dxa"/>
            <w:shd w:val="clear" w:color="auto" w:fill="auto"/>
            <w:noWrap/>
            <w:vAlign w:val="bottom"/>
            <w:hideMark/>
          </w:tcPr>
          <w:p w14:paraId="42E00D87"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9 846 994</w:t>
            </w:r>
          </w:p>
        </w:tc>
        <w:tc>
          <w:tcPr>
            <w:tcW w:w="3100" w:type="dxa"/>
            <w:shd w:val="clear" w:color="auto" w:fill="auto"/>
            <w:noWrap/>
            <w:vAlign w:val="bottom"/>
            <w:hideMark/>
          </w:tcPr>
          <w:p w14:paraId="2873CF4F"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6 565 549</w:t>
            </w:r>
          </w:p>
        </w:tc>
      </w:tr>
      <w:tr w:rsidR="0067338B" w:rsidRPr="00C64727" w14:paraId="0CF67E75" w14:textId="77777777" w:rsidTr="00601A28">
        <w:trPr>
          <w:trHeight w:val="292"/>
        </w:trPr>
        <w:tc>
          <w:tcPr>
            <w:tcW w:w="3102" w:type="dxa"/>
            <w:shd w:val="clear" w:color="auto" w:fill="auto"/>
            <w:noWrap/>
            <w:vAlign w:val="bottom"/>
            <w:hideMark/>
          </w:tcPr>
          <w:p w14:paraId="4C98E93E" w14:textId="77777777" w:rsidR="0067338B" w:rsidRPr="00C64727" w:rsidRDefault="00707619">
            <w:pPr>
              <w:spacing w:after="0" w:line="240" w:lineRule="auto"/>
              <w:rPr>
                <w:rFonts w:ascii="Times New Roman" w:eastAsia="Times New Roman" w:hAnsi="Times New Roman"/>
                <w:sz w:val="20"/>
                <w:szCs w:val="20"/>
              </w:rPr>
            </w:pPr>
            <w:r w:rsidRPr="00C64727">
              <w:rPr>
                <w:rFonts w:ascii="Times New Roman" w:hAnsi="Times New Roman"/>
                <w:sz w:val="20"/>
                <w:szCs w:val="20"/>
              </w:rPr>
              <w:t>Bulgária</w:t>
            </w:r>
          </w:p>
        </w:tc>
        <w:tc>
          <w:tcPr>
            <w:tcW w:w="3100" w:type="dxa"/>
            <w:shd w:val="clear" w:color="auto" w:fill="auto"/>
            <w:noWrap/>
            <w:vAlign w:val="bottom"/>
            <w:hideMark/>
          </w:tcPr>
          <w:p w14:paraId="2138C4DE"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8 292 720</w:t>
            </w:r>
          </w:p>
        </w:tc>
        <w:tc>
          <w:tcPr>
            <w:tcW w:w="3100" w:type="dxa"/>
            <w:shd w:val="clear" w:color="auto" w:fill="auto"/>
            <w:noWrap/>
            <w:vAlign w:val="bottom"/>
            <w:hideMark/>
          </w:tcPr>
          <w:p w14:paraId="19E54E38"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5 529 227</w:t>
            </w:r>
          </w:p>
        </w:tc>
      </w:tr>
      <w:tr w:rsidR="0067338B" w:rsidRPr="00C64727" w14:paraId="6E6E390F" w14:textId="77777777" w:rsidTr="00601A28">
        <w:trPr>
          <w:trHeight w:val="292"/>
        </w:trPr>
        <w:tc>
          <w:tcPr>
            <w:tcW w:w="3102" w:type="dxa"/>
            <w:shd w:val="clear" w:color="auto" w:fill="auto"/>
            <w:noWrap/>
            <w:vAlign w:val="bottom"/>
            <w:hideMark/>
          </w:tcPr>
          <w:p w14:paraId="675E0640" w14:textId="77777777" w:rsidR="0067338B" w:rsidRPr="00C64727" w:rsidRDefault="00707619">
            <w:pPr>
              <w:spacing w:after="0" w:line="240" w:lineRule="auto"/>
              <w:rPr>
                <w:rFonts w:ascii="Times New Roman" w:eastAsia="Times New Roman" w:hAnsi="Times New Roman"/>
                <w:sz w:val="20"/>
                <w:szCs w:val="20"/>
              </w:rPr>
            </w:pPr>
            <w:r w:rsidRPr="00C64727">
              <w:rPr>
                <w:rFonts w:ascii="Times New Roman" w:hAnsi="Times New Roman"/>
                <w:sz w:val="20"/>
                <w:szCs w:val="20"/>
              </w:rPr>
              <w:t>Horvátország</w:t>
            </w:r>
          </w:p>
        </w:tc>
        <w:tc>
          <w:tcPr>
            <w:tcW w:w="3100" w:type="dxa"/>
            <w:shd w:val="clear" w:color="auto" w:fill="auto"/>
            <w:noWrap/>
            <w:vAlign w:val="bottom"/>
            <w:hideMark/>
          </w:tcPr>
          <w:p w14:paraId="1D22A47C"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1 614 984</w:t>
            </w:r>
          </w:p>
        </w:tc>
        <w:tc>
          <w:tcPr>
            <w:tcW w:w="3100" w:type="dxa"/>
            <w:shd w:val="clear" w:color="auto" w:fill="auto"/>
            <w:noWrap/>
            <w:vAlign w:val="bottom"/>
            <w:hideMark/>
          </w:tcPr>
          <w:p w14:paraId="550CFDB7"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1 076 801</w:t>
            </w:r>
          </w:p>
        </w:tc>
      </w:tr>
      <w:tr w:rsidR="0067338B" w:rsidRPr="00C64727" w14:paraId="3E404C9D" w14:textId="77777777" w:rsidTr="00601A28">
        <w:trPr>
          <w:trHeight w:val="292"/>
        </w:trPr>
        <w:tc>
          <w:tcPr>
            <w:tcW w:w="3102" w:type="dxa"/>
            <w:shd w:val="clear" w:color="auto" w:fill="auto"/>
            <w:noWrap/>
            <w:vAlign w:val="bottom"/>
            <w:hideMark/>
          </w:tcPr>
          <w:p w14:paraId="158FDDA7" w14:textId="77777777" w:rsidR="0067338B" w:rsidRPr="00C64727" w:rsidRDefault="00707619">
            <w:pPr>
              <w:spacing w:after="0" w:line="240" w:lineRule="auto"/>
              <w:rPr>
                <w:rFonts w:ascii="Times New Roman" w:eastAsia="Times New Roman" w:hAnsi="Times New Roman"/>
                <w:sz w:val="20"/>
                <w:szCs w:val="20"/>
              </w:rPr>
            </w:pPr>
            <w:r w:rsidRPr="00C64727">
              <w:rPr>
                <w:rFonts w:ascii="Times New Roman" w:hAnsi="Times New Roman"/>
                <w:sz w:val="20"/>
                <w:szCs w:val="20"/>
              </w:rPr>
              <w:t>Ciprus</w:t>
            </w:r>
          </w:p>
        </w:tc>
        <w:tc>
          <w:tcPr>
            <w:tcW w:w="3100" w:type="dxa"/>
            <w:shd w:val="clear" w:color="auto" w:fill="auto"/>
            <w:noWrap/>
            <w:vAlign w:val="bottom"/>
            <w:hideMark/>
          </w:tcPr>
          <w:p w14:paraId="4B37040B"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932 844</w:t>
            </w:r>
          </w:p>
        </w:tc>
        <w:tc>
          <w:tcPr>
            <w:tcW w:w="3100" w:type="dxa"/>
            <w:shd w:val="clear" w:color="auto" w:fill="auto"/>
            <w:noWrap/>
            <w:vAlign w:val="bottom"/>
            <w:hideMark/>
          </w:tcPr>
          <w:p w14:paraId="18A2F290"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621 980</w:t>
            </w:r>
          </w:p>
        </w:tc>
      </w:tr>
      <w:tr w:rsidR="0067338B" w:rsidRPr="00C64727" w14:paraId="19F268B7" w14:textId="77777777" w:rsidTr="00601A28">
        <w:trPr>
          <w:trHeight w:val="292"/>
        </w:trPr>
        <w:tc>
          <w:tcPr>
            <w:tcW w:w="3102" w:type="dxa"/>
            <w:shd w:val="clear" w:color="auto" w:fill="auto"/>
            <w:noWrap/>
            <w:vAlign w:val="bottom"/>
            <w:hideMark/>
          </w:tcPr>
          <w:p w14:paraId="43C7F5C2" w14:textId="77777777" w:rsidR="0067338B" w:rsidRPr="00C64727" w:rsidRDefault="00707619">
            <w:pPr>
              <w:spacing w:after="0" w:line="240" w:lineRule="auto"/>
              <w:rPr>
                <w:rFonts w:ascii="Times New Roman" w:eastAsia="Times New Roman" w:hAnsi="Times New Roman"/>
                <w:sz w:val="20"/>
                <w:szCs w:val="20"/>
              </w:rPr>
            </w:pPr>
            <w:r w:rsidRPr="00C64727">
              <w:rPr>
                <w:rFonts w:ascii="Times New Roman" w:hAnsi="Times New Roman"/>
                <w:sz w:val="20"/>
                <w:szCs w:val="20"/>
              </w:rPr>
              <w:t>Cseh Köztársaság</w:t>
            </w:r>
          </w:p>
        </w:tc>
        <w:tc>
          <w:tcPr>
            <w:tcW w:w="3100" w:type="dxa"/>
            <w:shd w:val="clear" w:color="auto" w:fill="auto"/>
            <w:noWrap/>
            <w:vAlign w:val="bottom"/>
            <w:hideMark/>
          </w:tcPr>
          <w:p w14:paraId="692BDB55"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15 406 858</w:t>
            </w:r>
          </w:p>
        </w:tc>
        <w:tc>
          <w:tcPr>
            <w:tcW w:w="3100" w:type="dxa"/>
            <w:shd w:val="clear" w:color="auto" w:fill="auto"/>
            <w:noWrap/>
            <w:vAlign w:val="bottom"/>
            <w:hideMark/>
          </w:tcPr>
          <w:p w14:paraId="528A2D23"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10 272 626</w:t>
            </w:r>
          </w:p>
        </w:tc>
      </w:tr>
      <w:tr w:rsidR="0067338B" w:rsidRPr="00C64727" w14:paraId="158FE017" w14:textId="77777777" w:rsidTr="00601A28">
        <w:trPr>
          <w:trHeight w:val="292"/>
        </w:trPr>
        <w:tc>
          <w:tcPr>
            <w:tcW w:w="3102" w:type="dxa"/>
            <w:shd w:val="clear" w:color="auto" w:fill="auto"/>
            <w:noWrap/>
            <w:vAlign w:val="bottom"/>
            <w:hideMark/>
          </w:tcPr>
          <w:p w14:paraId="03A7F586" w14:textId="77777777" w:rsidR="0067338B" w:rsidRPr="00C64727" w:rsidRDefault="00707619">
            <w:pPr>
              <w:spacing w:after="0" w:line="240" w:lineRule="auto"/>
              <w:rPr>
                <w:rFonts w:ascii="Times New Roman" w:eastAsia="Times New Roman" w:hAnsi="Times New Roman"/>
                <w:sz w:val="20"/>
                <w:szCs w:val="20"/>
              </w:rPr>
            </w:pPr>
            <w:r w:rsidRPr="00C64727">
              <w:rPr>
                <w:rFonts w:ascii="Times New Roman" w:hAnsi="Times New Roman"/>
                <w:sz w:val="20"/>
                <w:szCs w:val="20"/>
              </w:rPr>
              <w:t>Dánia</w:t>
            </w:r>
          </w:p>
        </w:tc>
        <w:tc>
          <w:tcPr>
            <w:tcW w:w="3100" w:type="dxa"/>
            <w:shd w:val="clear" w:color="auto" w:fill="auto"/>
            <w:noWrap/>
            <w:vAlign w:val="bottom"/>
            <w:hideMark/>
          </w:tcPr>
          <w:p w14:paraId="5D82BC44"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5 340 750</w:t>
            </w:r>
          </w:p>
        </w:tc>
        <w:tc>
          <w:tcPr>
            <w:tcW w:w="3100" w:type="dxa"/>
            <w:shd w:val="clear" w:color="auto" w:fill="auto"/>
            <w:noWrap/>
            <w:vAlign w:val="bottom"/>
            <w:hideMark/>
          </w:tcPr>
          <w:p w14:paraId="7B7D6B72"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3 560 981</w:t>
            </w:r>
          </w:p>
        </w:tc>
      </w:tr>
      <w:tr w:rsidR="0067338B" w:rsidRPr="00C64727" w14:paraId="442C62CA" w14:textId="77777777" w:rsidTr="00601A28">
        <w:trPr>
          <w:trHeight w:val="292"/>
        </w:trPr>
        <w:tc>
          <w:tcPr>
            <w:tcW w:w="3102" w:type="dxa"/>
            <w:shd w:val="clear" w:color="auto" w:fill="auto"/>
            <w:noWrap/>
            <w:vAlign w:val="bottom"/>
            <w:hideMark/>
          </w:tcPr>
          <w:p w14:paraId="4B948695" w14:textId="77777777" w:rsidR="0067338B" w:rsidRPr="00C64727" w:rsidRDefault="00707619">
            <w:pPr>
              <w:spacing w:after="0" w:line="240" w:lineRule="auto"/>
              <w:rPr>
                <w:rFonts w:ascii="Times New Roman" w:eastAsia="Times New Roman" w:hAnsi="Times New Roman"/>
                <w:sz w:val="20"/>
                <w:szCs w:val="20"/>
              </w:rPr>
            </w:pPr>
            <w:r w:rsidRPr="00C64727">
              <w:rPr>
                <w:rFonts w:ascii="Times New Roman" w:hAnsi="Times New Roman"/>
                <w:sz w:val="20"/>
                <w:szCs w:val="20"/>
              </w:rPr>
              <w:t>Észtország</w:t>
            </w:r>
          </w:p>
        </w:tc>
        <w:tc>
          <w:tcPr>
            <w:tcW w:w="3100" w:type="dxa"/>
            <w:shd w:val="clear" w:color="auto" w:fill="auto"/>
            <w:noWrap/>
            <w:vAlign w:val="bottom"/>
            <w:hideMark/>
          </w:tcPr>
          <w:p w14:paraId="1BFBCCC3"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2 904 319</w:t>
            </w:r>
          </w:p>
        </w:tc>
        <w:tc>
          <w:tcPr>
            <w:tcW w:w="3100" w:type="dxa"/>
            <w:shd w:val="clear" w:color="auto" w:fill="auto"/>
            <w:noWrap/>
            <w:vAlign w:val="bottom"/>
            <w:hideMark/>
          </w:tcPr>
          <w:p w14:paraId="25EB0505"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1 936 474</w:t>
            </w:r>
          </w:p>
        </w:tc>
      </w:tr>
      <w:tr w:rsidR="0067338B" w:rsidRPr="00C64727" w14:paraId="5888A41C" w14:textId="77777777" w:rsidTr="00601A28">
        <w:trPr>
          <w:trHeight w:val="292"/>
        </w:trPr>
        <w:tc>
          <w:tcPr>
            <w:tcW w:w="3102" w:type="dxa"/>
            <w:shd w:val="clear" w:color="auto" w:fill="auto"/>
            <w:noWrap/>
            <w:vAlign w:val="bottom"/>
            <w:hideMark/>
          </w:tcPr>
          <w:p w14:paraId="75D6AE48" w14:textId="77777777" w:rsidR="0067338B" w:rsidRPr="00C64727" w:rsidRDefault="00707619">
            <w:pPr>
              <w:spacing w:after="0" w:line="240" w:lineRule="auto"/>
              <w:rPr>
                <w:rFonts w:ascii="Times New Roman" w:eastAsia="Times New Roman" w:hAnsi="Times New Roman"/>
                <w:sz w:val="20"/>
                <w:szCs w:val="20"/>
              </w:rPr>
            </w:pPr>
            <w:r w:rsidRPr="00C64727">
              <w:rPr>
                <w:rFonts w:ascii="Times New Roman" w:hAnsi="Times New Roman"/>
                <w:sz w:val="20"/>
                <w:szCs w:val="20"/>
              </w:rPr>
              <w:t>Finnország</w:t>
            </w:r>
          </w:p>
        </w:tc>
        <w:tc>
          <w:tcPr>
            <w:tcW w:w="3100" w:type="dxa"/>
            <w:shd w:val="clear" w:color="auto" w:fill="auto"/>
            <w:noWrap/>
            <w:vAlign w:val="bottom"/>
            <w:hideMark/>
          </w:tcPr>
          <w:p w14:paraId="47E8E443"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7 130 025</w:t>
            </w:r>
          </w:p>
        </w:tc>
        <w:tc>
          <w:tcPr>
            <w:tcW w:w="3100" w:type="dxa"/>
            <w:shd w:val="clear" w:color="auto" w:fill="auto"/>
            <w:noWrap/>
            <w:vAlign w:val="bottom"/>
            <w:hideMark/>
          </w:tcPr>
          <w:p w14:paraId="4C89AB97"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4 753 992</w:t>
            </w:r>
          </w:p>
        </w:tc>
      </w:tr>
      <w:tr w:rsidR="0067338B" w:rsidRPr="00C64727" w14:paraId="3645574F" w14:textId="77777777" w:rsidTr="00601A28">
        <w:trPr>
          <w:trHeight w:val="292"/>
        </w:trPr>
        <w:tc>
          <w:tcPr>
            <w:tcW w:w="3102" w:type="dxa"/>
            <w:shd w:val="clear" w:color="auto" w:fill="auto"/>
            <w:noWrap/>
            <w:vAlign w:val="bottom"/>
            <w:hideMark/>
          </w:tcPr>
          <w:p w14:paraId="0D0CA15D" w14:textId="77777777" w:rsidR="0067338B" w:rsidRPr="00C64727" w:rsidRDefault="00707619">
            <w:pPr>
              <w:spacing w:after="0" w:line="240" w:lineRule="auto"/>
              <w:rPr>
                <w:rFonts w:ascii="Times New Roman" w:eastAsia="Times New Roman" w:hAnsi="Times New Roman"/>
                <w:sz w:val="20"/>
                <w:szCs w:val="20"/>
              </w:rPr>
            </w:pPr>
            <w:r w:rsidRPr="00C64727">
              <w:rPr>
                <w:rFonts w:ascii="Times New Roman" w:hAnsi="Times New Roman"/>
                <w:sz w:val="20"/>
                <w:szCs w:val="20"/>
              </w:rPr>
              <w:t>Franciaország</w:t>
            </w:r>
          </w:p>
        </w:tc>
        <w:tc>
          <w:tcPr>
            <w:tcW w:w="3100" w:type="dxa"/>
            <w:shd w:val="clear" w:color="auto" w:fill="auto"/>
            <w:noWrap/>
            <w:vAlign w:val="bottom"/>
            <w:hideMark/>
          </w:tcPr>
          <w:p w14:paraId="3897226F"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23 346 791</w:t>
            </w:r>
          </w:p>
        </w:tc>
        <w:tc>
          <w:tcPr>
            <w:tcW w:w="3100" w:type="dxa"/>
            <w:shd w:val="clear" w:color="auto" w:fill="auto"/>
            <w:noWrap/>
            <w:vAlign w:val="bottom"/>
            <w:hideMark/>
          </w:tcPr>
          <w:p w14:paraId="1910D844"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15 566 629</w:t>
            </w:r>
          </w:p>
        </w:tc>
      </w:tr>
      <w:tr w:rsidR="0067338B" w:rsidRPr="00C64727" w14:paraId="14F46345" w14:textId="77777777" w:rsidTr="00601A28">
        <w:trPr>
          <w:trHeight w:val="292"/>
        </w:trPr>
        <w:tc>
          <w:tcPr>
            <w:tcW w:w="3102" w:type="dxa"/>
            <w:shd w:val="clear" w:color="auto" w:fill="auto"/>
            <w:noWrap/>
            <w:vAlign w:val="bottom"/>
            <w:hideMark/>
          </w:tcPr>
          <w:p w14:paraId="1D334ACB" w14:textId="77777777" w:rsidR="0067338B" w:rsidRPr="00C64727" w:rsidRDefault="00707619">
            <w:pPr>
              <w:spacing w:after="0" w:line="240" w:lineRule="auto"/>
              <w:rPr>
                <w:rFonts w:ascii="Times New Roman" w:eastAsia="Times New Roman" w:hAnsi="Times New Roman"/>
                <w:sz w:val="20"/>
                <w:szCs w:val="20"/>
              </w:rPr>
            </w:pPr>
            <w:r w:rsidRPr="00C64727">
              <w:rPr>
                <w:rFonts w:ascii="Times New Roman" w:hAnsi="Times New Roman"/>
                <w:sz w:val="20"/>
                <w:szCs w:val="20"/>
              </w:rPr>
              <w:t>Németország</w:t>
            </w:r>
          </w:p>
        </w:tc>
        <w:tc>
          <w:tcPr>
            <w:tcW w:w="3100" w:type="dxa"/>
            <w:shd w:val="clear" w:color="auto" w:fill="auto"/>
            <w:noWrap/>
            <w:vAlign w:val="bottom"/>
            <w:hideMark/>
          </w:tcPr>
          <w:p w14:paraId="53C90019"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85 389 770</w:t>
            </w:r>
          </w:p>
        </w:tc>
        <w:tc>
          <w:tcPr>
            <w:tcW w:w="3100" w:type="dxa"/>
            <w:shd w:val="clear" w:color="auto" w:fill="auto"/>
            <w:noWrap/>
            <w:vAlign w:val="bottom"/>
            <w:hideMark/>
          </w:tcPr>
          <w:p w14:paraId="61159B51"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56 934 202</w:t>
            </w:r>
          </w:p>
        </w:tc>
      </w:tr>
      <w:tr w:rsidR="0067338B" w:rsidRPr="00C64727" w14:paraId="03D83480" w14:textId="77777777" w:rsidTr="00601A28">
        <w:trPr>
          <w:trHeight w:val="292"/>
        </w:trPr>
        <w:tc>
          <w:tcPr>
            <w:tcW w:w="3102" w:type="dxa"/>
            <w:shd w:val="clear" w:color="auto" w:fill="auto"/>
            <w:noWrap/>
            <w:vAlign w:val="bottom"/>
            <w:hideMark/>
          </w:tcPr>
          <w:p w14:paraId="7E9116AB" w14:textId="77777777" w:rsidR="0067338B" w:rsidRPr="00C64727" w:rsidRDefault="00707619">
            <w:pPr>
              <w:spacing w:after="0" w:line="240" w:lineRule="auto"/>
              <w:rPr>
                <w:rFonts w:ascii="Times New Roman" w:eastAsia="Times New Roman" w:hAnsi="Times New Roman"/>
                <w:sz w:val="20"/>
                <w:szCs w:val="20"/>
              </w:rPr>
            </w:pPr>
            <w:r w:rsidRPr="00C64727">
              <w:rPr>
                <w:rFonts w:ascii="Times New Roman" w:hAnsi="Times New Roman"/>
                <w:sz w:val="20"/>
                <w:szCs w:val="20"/>
              </w:rPr>
              <w:t>Görögország</w:t>
            </w:r>
          </w:p>
        </w:tc>
        <w:tc>
          <w:tcPr>
            <w:tcW w:w="3100" w:type="dxa"/>
            <w:shd w:val="clear" w:color="auto" w:fill="auto"/>
            <w:noWrap/>
            <w:vAlign w:val="bottom"/>
            <w:hideMark/>
          </w:tcPr>
          <w:p w14:paraId="1F1F9EB3"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12 684 492</w:t>
            </w:r>
          </w:p>
        </w:tc>
        <w:tc>
          <w:tcPr>
            <w:tcW w:w="3100" w:type="dxa"/>
            <w:shd w:val="clear" w:color="auto" w:fill="auto"/>
            <w:noWrap/>
            <w:vAlign w:val="bottom"/>
            <w:hideMark/>
          </w:tcPr>
          <w:p w14:paraId="1B18072E"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8 457 470</w:t>
            </w:r>
          </w:p>
        </w:tc>
      </w:tr>
      <w:tr w:rsidR="0067338B" w:rsidRPr="00C64727" w14:paraId="3313AF20" w14:textId="77777777" w:rsidTr="00601A28">
        <w:trPr>
          <w:trHeight w:val="292"/>
        </w:trPr>
        <w:tc>
          <w:tcPr>
            <w:tcW w:w="3102" w:type="dxa"/>
            <w:shd w:val="clear" w:color="auto" w:fill="auto"/>
            <w:noWrap/>
            <w:vAlign w:val="bottom"/>
            <w:hideMark/>
          </w:tcPr>
          <w:p w14:paraId="1862BC3D" w14:textId="77777777" w:rsidR="0067338B" w:rsidRPr="00C64727" w:rsidRDefault="00707619">
            <w:pPr>
              <w:spacing w:after="0" w:line="240" w:lineRule="auto"/>
              <w:rPr>
                <w:rFonts w:ascii="Times New Roman" w:eastAsia="Times New Roman" w:hAnsi="Times New Roman"/>
                <w:sz w:val="20"/>
                <w:szCs w:val="20"/>
              </w:rPr>
            </w:pPr>
            <w:r w:rsidRPr="00C64727">
              <w:rPr>
                <w:rFonts w:ascii="Times New Roman" w:hAnsi="Times New Roman"/>
                <w:sz w:val="20"/>
                <w:szCs w:val="20"/>
              </w:rPr>
              <w:t>Magyarország</w:t>
            </w:r>
          </w:p>
        </w:tc>
        <w:tc>
          <w:tcPr>
            <w:tcW w:w="3100" w:type="dxa"/>
            <w:shd w:val="clear" w:color="auto" w:fill="auto"/>
            <w:noWrap/>
            <w:vAlign w:val="bottom"/>
            <w:hideMark/>
          </w:tcPr>
          <w:p w14:paraId="1EDC2A4F"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5 115 708</w:t>
            </w:r>
          </w:p>
        </w:tc>
        <w:tc>
          <w:tcPr>
            <w:tcW w:w="3100" w:type="dxa"/>
            <w:shd w:val="clear" w:color="auto" w:fill="auto"/>
            <w:noWrap/>
            <w:vAlign w:val="bottom"/>
            <w:hideMark/>
          </w:tcPr>
          <w:p w14:paraId="7F4FCA60"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3 410 933</w:t>
            </w:r>
          </w:p>
        </w:tc>
      </w:tr>
      <w:tr w:rsidR="0067338B" w:rsidRPr="00C64727" w14:paraId="44C56151" w14:textId="77777777" w:rsidTr="00601A28">
        <w:trPr>
          <w:trHeight w:val="292"/>
        </w:trPr>
        <w:tc>
          <w:tcPr>
            <w:tcW w:w="3102" w:type="dxa"/>
            <w:shd w:val="clear" w:color="auto" w:fill="auto"/>
            <w:noWrap/>
            <w:vAlign w:val="bottom"/>
            <w:hideMark/>
          </w:tcPr>
          <w:p w14:paraId="153227FC" w14:textId="77777777" w:rsidR="0067338B" w:rsidRPr="00C64727" w:rsidRDefault="00707619">
            <w:pPr>
              <w:spacing w:after="0" w:line="240" w:lineRule="auto"/>
              <w:rPr>
                <w:rFonts w:ascii="Times New Roman" w:eastAsia="Times New Roman" w:hAnsi="Times New Roman"/>
                <w:sz w:val="20"/>
                <w:szCs w:val="20"/>
              </w:rPr>
            </w:pPr>
            <w:r w:rsidRPr="00C64727">
              <w:rPr>
                <w:rFonts w:ascii="Times New Roman" w:hAnsi="Times New Roman"/>
                <w:sz w:val="20"/>
                <w:szCs w:val="20"/>
              </w:rPr>
              <w:t>Izland</w:t>
            </w:r>
          </w:p>
        </w:tc>
        <w:tc>
          <w:tcPr>
            <w:tcW w:w="3100" w:type="dxa"/>
            <w:shd w:val="clear" w:color="auto" w:fill="auto"/>
            <w:noWrap/>
            <w:vAlign w:val="bottom"/>
            <w:hideMark/>
          </w:tcPr>
          <w:p w14:paraId="40349B5B"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166 450</w:t>
            </w:r>
          </w:p>
        </w:tc>
        <w:tc>
          <w:tcPr>
            <w:tcW w:w="3100" w:type="dxa"/>
            <w:shd w:val="clear" w:color="auto" w:fill="auto"/>
            <w:noWrap/>
            <w:vAlign w:val="bottom"/>
            <w:hideMark/>
          </w:tcPr>
          <w:p w14:paraId="3D38BD5D"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110982</w:t>
            </w:r>
          </w:p>
        </w:tc>
      </w:tr>
      <w:tr w:rsidR="0067338B" w:rsidRPr="00C64727" w14:paraId="5F82ED15" w14:textId="77777777" w:rsidTr="00601A28">
        <w:trPr>
          <w:trHeight w:val="292"/>
        </w:trPr>
        <w:tc>
          <w:tcPr>
            <w:tcW w:w="3102" w:type="dxa"/>
            <w:shd w:val="clear" w:color="auto" w:fill="auto"/>
            <w:noWrap/>
            <w:vAlign w:val="bottom"/>
            <w:hideMark/>
          </w:tcPr>
          <w:p w14:paraId="633333AB" w14:textId="77777777" w:rsidR="0067338B" w:rsidRPr="00C64727" w:rsidRDefault="00707619">
            <w:pPr>
              <w:spacing w:after="0" w:line="240" w:lineRule="auto"/>
              <w:rPr>
                <w:rFonts w:ascii="Times New Roman" w:eastAsia="Times New Roman" w:hAnsi="Times New Roman"/>
                <w:sz w:val="20"/>
                <w:szCs w:val="20"/>
              </w:rPr>
            </w:pPr>
            <w:r w:rsidRPr="00C64727">
              <w:rPr>
                <w:rFonts w:ascii="Times New Roman" w:hAnsi="Times New Roman"/>
                <w:sz w:val="20"/>
                <w:szCs w:val="20"/>
              </w:rPr>
              <w:t>Írország</w:t>
            </w:r>
          </w:p>
        </w:tc>
        <w:tc>
          <w:tcPr>
            <w:tcW w:w="3100" w:type="dxa"/>
            <w:shd w:val="clear" w:color="auto" w:fill="auto"/>
            <w:noWrap/>
            <w:vAlign w:val="bottom"/>
            <w:hideMark/>
          </w:tcPr>
          <w:p w14:paraId="3E521FC2"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3 991 393</w:t>
            </w:r>
          </w:p>
        </w:tc>
        <w:tc>
          <w:tcPr>
            <w:tcW w:w="3100" w:type="dxa"/>
            <w:shd w:val="clear" w:color="auto" w:fill="auto"/>
            <w:noWrap/>
            <w:vAlign w:val="bottom"/>
            <w:hideMark/>
          </w:tcPr>
          <w:p w14:paraId="6F9919E2"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2 661 288</w:t>
            </w:r>
          </w:p>
        </w:tc>
      </w:tr>
      <w:tr w:rsidR="0067338B" w:rsidRPr="00C64727" w14:paraId="04BB7FC1" w14:textId="77777777" w:rsidTr="00601A28">
        <w:trPr>
          <w:trHeight w:val="292"/>
        </w:trPr>
        <w:tc>
          <w:tcPr>
            <w:tcW w:w="3102" w:type="dxa"/>
            <w:shd w:val="clear" w:color="auto" w:fill="auto"/>
            <w:noWrap/>
            <w:vAlign w:val="bottom"/>
            <w:hideMark/>
          </w:tcPr>
          <w:p w14:paraId="3CCE33BE" w14:textId="77777777" w:rsidR="0067338B" w:rsidRPr="00C64727" w:rsidRDefault="00707619">
            <w:pPr>
              <w:spacing w:after="0" w:line="240" w:lineRule="auto"/>
              <w:rPr>
                <w:rFonts w:ascii="Times New Roman" w:eastAsia="Times New Roman" w:hAnsi="Times New Roman"/>
                <w:sz w:val="20"/>
                <w:szCs w:val="20"/>
              </w:rPr>
            </w:pPr>
            <w:r w:rsidRPr="00C64727">
              <w:rPr>
                <w:rFonts w:ascii="Times New Roman" w:hAnsi="Times New Roman"/>
                <w:sz w:val="20"/>
                <w:szCs w:val="20"/>
              </w:rPr>
              <w:t>Olaszország</w:t>
            </w:r>
          </w:p>
        </w:tc>
        <w:tc>
          <w:tcPr>
            <w:tcW w:w="3100" w:type="dxa"/>
            <w:shd w:val="clear" w:color="auto" w:fill="auto"/>
            <w:noWrap/>
            <w:vAlign w:val="bottom"/>
            <w:hideMark/>
          </w:tcPr>
          <w:p w14:paraId="4DA3D631"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40 304 729</w:t>
            </w:r>
          </w:p>
        </w:tc>
        <w:tc>
          <w:tcPr>
            <w:tcW w:w="3100" w:type="dxa"/>
            <w:shd w:val="clear" w:color="auto" w:fill="auto"/>
            <w:noWrap/>
            <w:vAlign w:val="bottom"/>
            <w:hideMark/>
          </w:tcPr>
          <w:p w14:paraId="215CEB4C"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26 873 449</w:t>
            </w:r>
          </w:p>
        </w:tc>
      </w:tr>
      <w:tr w:rsidR="0067338B" w:rsidRPr="00C64727" w14:paraId="1EAF1743" w14:textId="77777777" w:rsidTr="00601A28">
        <w:trPr>
          <w:trHeight w:val="292"/>
        </w:trPr>
        <w:tc>
          <w:tcPr>
            <w:tcW w:w="3102" w:type="dxa"/>
            <w:shd w:val="clear" w:color="auto" w:fill="auto"/>
            <w:noWrap/>
            <w:vAlign w:val="bottom"/>
            <w:hideMark/>
          </w:tcPr>
          <w:p w14:paraId="2820CAFC" w14:textId="77777777" w:rsidR="0067338B" w:rsidRPr="00C64727" w:rsidRDefault="00707619">
            <w:pPr>
              <w:spacing w:after="0" w:line="240" w:lineRule="auto"/>
              <w:rPr>
                <w:rFonts w:ascii="Times New Roman" w:eastAsia="Times New Roman" w:hAnsi="Times New Roman"/>
                <w:sz w:val="20"/>
                <w:szCs w:val="20"/>
              </w:rPr>
            </w:pPr>
            <w:r w:rsidRPr="00C64727">
              <w:rPr>
                <w:rFonts w:ascii="Times New Roman" w:hAnsi="Times New Roman"/>
                <w:sz w:val="20"/>
                <w:szCs w:val="20"/>
              </w:rPr>
              <w:t>Lettország</w:t>
            </w:r>
          </w:p>
        </w:tc>
        <w:tc>
          <w:tcPr>
            <w:tcW w:w="3100" w:type="dxa"/>
            <w:shd w:val="clear" w:color="auto" w:fill="auto"/>
            <w:noWrap/>
            <w:vAlign w:val="bottom"/>
            <w:hideMark/>
          </w:tcPr>
          <w:p w14:paraId="0D17DE0C"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865 501</w:t>
            </w:r>
          </w:p>
        </w:tc>
        <w:tc>
          <w:tcPr>
            <w:tcW w:w="3100" w:type="dxa"/>
            <w:shd w:val="clear" w:color="auto" w:fill="auto"/>
            <w:noWrap/>
            <w:vAlign w:val="bottom"/>
            <w:hideMark/>
          </w:tcPr>
          <w:p w14:paraId="67AE242F"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577 079</w:t>
            </w:r>
          </w:p>
        </w:tc>
      </w:tr>
      <w:tr w:rsidR="0067338B" w:rsidRPr="00C64727" w14:paraId="1208642F" w14:textId="77777777" w:rsidTr="00601A28">
        <w:trPr>
          <w:trHeight w:val="292"/>
        </w:trPr>
        <w:tc>
          <w:tcPr>
            <w:tcW w:w="3102" w:type="dxa"/>
            <w:shd w:val="clear" w:color="auto" w:fill="auto"/>
            <w:noWrap/>
            <w:vAlign w:val="bottom"/>
            <w:hideMark/>
          </w:tcPr>
          <w:p w14:paraId="3E1C264E" w14:textId="77777777" w:rsidR="0067338B" w:rsidRPr="00C64727" w:rsidRDefault="00707619">
            <w:pPr>
              <w:spacing w:after="0" w:line="240" w:lineRule="auto"/>
              <w:rPr>
                <w:rFonts w:ascii="Times New Roman" w:eastAsia="Times New Roman" w:hAnsi="Times New Roman"/>
                <w:sz w:val="20"/>
                <w:szCs w:val="20"/>
              </w:rPr>
            </w:pPr>
            <w:r w:rsidRPr="00C64727">
              <w:rPr>
                <w:rFonts w:ascii="Times New Roman" w:hAnsi="Times New Roman"/>
                <w:sz w:val="20"/>
                <w:szCs w:val="20"/>
              </w:rPr>
              <w:t>Liechtenstein</w:t>
            </w:r>
          </w:p>
        </w:tc>
        <w:tc>
          <w:tcPr>
            <w:tcW w:w="3100" w:type="dxa"/>
            <w:shd w:val="clear" w:color="auto" w:fill="auto"/>
            <w:noWrap/>
            <w:vAlign w:val="bottom"/>
            <w:hideMark/>
          </w:tcPr>
          <w:p w14:paraId="58F64451"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3 725</w:t>
            </w:r>
          </w:p>
        </w:tc>
        <w:tc>
          <w:tcPr>
            <w:tcW w:w="3100" w:type="dxa"/>
            <w:shd w:val="clear" w:color="auto" w:fill="auto"/>
            <w:noWrap/>
            <w:vAlign w:val="bottom"/>
            <w:hideMark/>
          </w:tcPr>
          <w:p w14:paraId="7AA7CA4A"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2 484</w:t>
            </w:r>
          </w:p>
        </w:tc>
      </w:tr>
      <w:tr w:rsidR="0067338B" w:rsidRPr="00C64727" w14:paraId="466C4BB5" w14:textId="77777777" w:rsidTr="00601A28">
        <w:trPr>
          <w:trHeight w:val="292"/>
        </w:trPr>
        <w:tc>
          <w:tcPr>
            <w:tcW w:w="3102" w:type="dxa"/>
            <w:shd w:val="clear" w:color="auto" w:fill="auto"/>
            <w:noWrap/>
            <w:vAlign w:val="bottom"/>
            <w:hideMark/>
          </w:tcPr>
          <w:p w14:paraId="66F816BE" w14:textId="77777777" w:rsidR="0067338B" w:rsidRPr="00C64727" w:rsidRDefault="00707619">
            <w:pPr>
              <w:spacing w:after="0" w:line="240" w:lineRule="auto"/>
              <w:rPr>
                <w:rFonts w:ascii="Times New Roman" w:eastAsia="Times New Roman" w:hAnsi="Times New Roman"/>
                <w:sz w:val="20"/>
                <w:szCs w:val="20"/>
              </w:rPr>
            </w:pPr>
            <w:r w:rsidRPr="00C64727">
              <w:rPr>
                <w:rFonts w:ascii="Times New Roman" w:hAnsi="Times New Roman"/>
                <w:sz w:val="20"/>
                <w:szCs w:val="20"/>
              </w:rPr>
              <w:t>Litvánia</w:t>
            </w:r>
          </w:p>
        </w:tc>
        <w:tc>
          <w:tcPr>
            <w:tcW w:w="3100" w:type="dxa"/>
            <w:shd w:val="clear" w:color="auto" w:fill="auto"/>
            <w:noWrap/>
            <w:vAlign w:val="bottom"/>
            <w:hideMark/>
          </w:tcPr>
          <w:p w14:paraId="568D75A7"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1 792 324</w:t>
            </w:r>
          </w:p>
        </w:tc>
        <w:tc>
          <w:tcPr>
            <w:tcW w:w="3100" w:type="dxa"/>
            <w:shd w:val="clear" w:color="auto" w:fill="auto"/>
            <w:noWrap/>
            <w:vAlign w:val="bottom"/>
            <w:hideMark/>
          </w:tcPr>
          <w:p w14:paraId="0BE76076"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1 195 044</w:t>
            </w:r>
          </w:p>
        </w:tc>
      </w:tr>
      <w:tr w:rsidR="0067338B" w:rsidRPr="00C64727" w14:paraId="20F109AB" w14:textId="77777777" w:rsidTr="00601A28">
        <w:trPr>
          <w:trHeight w:val="292"/>
        </w:trPr>
        <w:tc>
          <w:tcPr>
            <w:tcW w:w="3102" w:type="dxa"/>
            <w:shd w:val="clear" w:color="auto" w:fill="auto"/>
            <w:noWrap/>
            <w:vAlign w:val="bottom"/>
            <w:hideMark/>
          </w:tcPr>
          <w:p w14:paraId="43A14B7A" w14:textId="77777777" w:rsidR="0067338B" w:rsidRPr="00C64727" w:rsidRDefault="00707619">
            <w:pPr>
              <w:spacing w:after="0" w:line="240" w:lineRule="auto"/>
              <w:rPr>
                <w:rFonts w:ascii="Times New Roman" w:eastAsia="Times New Roman" w:hAnsi="Times New Roman"/>
                <w:sz w:val="20"/>
                <w:szCs w:val="20"/>
              </w:rPr>
            </w:pPr>
            <w:r w:rsidRPr="00C64727">
              <w:rPr>
                <w:rFonts w:ascii="Times New Roman" w:hAnsi="Times New Roman"/>
                <w:sz w:val="20"/>
                <w:szCs w:val="20"/>
              </w:rPr>
              <w:t>Luxemburg</w:t>
            </w:r>
          </w:p>
        </w:tc>
        <w:tc>
          <w:tcPr>
            <w:tcW w:w="3100" w:type="dxa"/>
            <w:shd w:val="clear" w:color="auto" w:fill="auto"/>
            <w:noWrap/>
            <w:vAlign w:val="bottom"/>
            <w:hideMark/>
          </w:tcPr>
          <w:p w14:paraId="1DD9504E"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467 394</w:t>
            </w:r>
          </w:p>
        </w:tc>
        <w:tc>
          <w:tcPr>
            <w:tcW w:w="3100" w:type="dxa"/>
            <w:shd w:val="clear" w:color="auto" w:fill="auto"/>
            <w:noWrap/>
            <w:vAlign w:val="bottom"/>
            <w:hideMark/>
          </w:tcPr>
          <w:p w14:paraId="34EA70AA"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311 638</w:t>
            </w:r>
          </w:p>
        </w:tc>
      </w:tr>
      <w:tr w:rsidR="0067338B" w:rsidRPr="00C64727" w14:paraId="2E0EF27F" w14:textId="77777777" w:rsidTr="00601A28">
        <w:trPr>
          <w:trHeight w:val="292"/>
        </w:trPr>
        <w:tc>
          <w:tcPr>
            <w:tcW w:w="3102" w:type="dxa"/>
            <w:shd w:val="clear" w:color="auto" w:fill="auto"/>
            <w:noWrap/>
            <w:vAlign w:val="bottom"/>
            <w:hideMark/>
          </w:tcPr>
          <w:p w14:paraId="5A0CABC7" w14:textId="77777777" w:rsidR="0067338B" w:rsidRPr="00C64727" w:rsidRDefault="00707619">
            <w:pPr>
              <w:spacing w:after="0" w:line="240" w:lineRule="auto"/>
              <w:rPr>
                <w:rFonts w:ascii="Times New Roman" w:eastAsia="Times New Roman" w:hAnsi="Times New Roman"/>
                <w:sz w:val="20"/>
                <w:szCs w:val="20"/>
              </w:rPr>
            </w:pPr>
            <w:r w:rsidRPr="00C64727">
              <w:rPr>
                <w:rFonts w:ascii="Times New Roman" w:hAnsi="Times New Roman"/>
                <w:sz w:val="20"/>
                <w:szCs w:val="20"/>
              </w:rPr>
              <w:t>Málta</w:t>
            </w:r>
          </w:p>
        </w:tc>
        <w:tc>
          <w:tcPr>
            <w:tcW w:w="3100" w:type="dxa"/>
            <w:shd w:val="clear" w:color="auto" w:fill="auto"/>
            <w:noWrap/>
            <w:vAlign w:val="bottom"/>
            <w:hideMark/>
          </w:tcPr>
          <w:p w14:paraId="3326D626"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354 798</w:t>
            </w:r>
          </w:p>
        </w:tc>
        <w:tc>
          <w:tcPr>
            <w:tcW w:w="3100" w:type="dxa"/>
            <w:shd w:val="clear" w:color="auto" w:fill="auto"/>
            <w:noWrap/>
            <w:vAlign w:val="bottom"/>
            <w:hideMark/>
          </w:tcPr>
          <w:p w14:paraId="73F23602"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236 564</w:t>
            </w:r>
          </w:p>
        </w:tc>
      </w:tr>
      <w:tr w:rsidR="0067338B" w:rsidRPr="00C64727" w14:paraId="7D3CD558" w14:textId="77777777" w:rsidTr="00601A28">
        <w:trPr>
          <w:trHeight w:val="292"/>
        </w:trPr>
        <w:tc>
          <w:tcPr>
            <w:tcW w:w="3102" w:type="dxa"/>
            <w:shd w:val="clear" w:color="auto" w:fill="auto"/>
            <w:noWrap/>
            <w:vAlign w:val="bottom"/>
            <w:hideMark/>
          </w:tcPr>
          <w:p w14:paraId="0E79D113" w14:textId="77777777" w:rsidR="0067338B" w:rsidRPr="00C64727" w:rsidRDefault="00707619">
            <w:pPr>
              <w:spacing w:after="0" w:line="240" w:lineRule="auto"/>
              <w:rPr>
                <w:rFonts w:ascii="Times New Roman" w:eastAsia="Times New Roman" w:hAnsi="Times New Roman"/>
                <w:sz w:val="20"/>
                <w:szCs w:val="20"/>
              </w:rPr>
            </w:pPr>
            <w:r w:rsidRPr="00C64727">
              <w:rPr>
                <w:rFonts w:ascii="Times New Roman" w:hAnsi="Times New Roman"/>
                <w:sz w:val="20"/>
                <w:szCs w:val="20"/>
              </w:rPr>
              <w:t>Hollandia</w:t>
            </w:r>
          </w:p>
        </w:tc>
        <w:tc>
          <w:tcPr>
            <w:tcW w:w="3100" w:type="dxa"/>
            <w:shd w:val="clear" w:color="auto" w:fill="auto"/>
            <w:noWrap/>
            <w:vAlign w:val="bottom"/>
            <w:hideMark/>
          </w:tcPr>
          <w:p w14:paraId="72567EB2"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14 291 411</w:t>
            </w:r>
          </w:p>
        </w:tc>
        <w:tc>
          <w:tcPr>
            <w:tcW w:w="3100" w:type="dxa"/>
            <w:shd w:val="clear" w:color="auto" w:fill="auto"/>
            <w:noWrap/>
            <w:vAlign w:val="bottom"/>
            <w:hideMark/>
          </w:tcPr>
          <w:p w14:paraId="7B4766BA"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9 528 894</w:t>
            </w:r>
          </w:p>
        </w:tc>
      </w:tr>
      <w:tr w:rsidR="0067338B" w:rsidRPr="00C64727" w14:paraId="0F3D8F27" w14:textId="77777777" w:rsidTr="00601A28">
        <w:trPr>
          <w:trHeight w:val="292"/>
        </w:trPr>
        <w:tc>
          <w:tcPr>
            <w:tcW w:w="3102" w:type="dxa"/>
            <w:shd w:val="clear" w:color="auto" w:fill="auto"/>
            <w:noWrap/>
            <w:vAlign w:val="bottom"/>
            <w:hideMark/>
          </w:tcPr>
          <w:p w14:paraId="21D180D7" w14:textId="77777777" w:rsidR="0067338B" w:rsidRPr="00C64727" w:rsidRDefault="00707619">
            <w:pPr>
              <w:spacing w:after="0" w:line="240" w:lineRule="auto"/>
              <w:rPr>
                <w:rFonts w:ascii="Times New Roman" w:eastAsia="Times New Roman" w:hAnsi="Times New Roman"/>
                <w:sz w:val="20"/>
                <w:szCs w:val="20"/>
              </w:rPr>
            </w:pPr>
            <w:r w:rsidRPr="00C64727">
              <w:rPr>
                <w:rFonts w:ascii="Times New Roman" w:hAnsi="Times New Roman"/>
                <w:sz w:val="20"/>
                <w:szCs w:val="20"/>
              </w:rPr>
              <w:t>Norvégia</w:t>
            </w:r>
          </w:p>
        </w:tc>
        <w:tc>
          <w:tcPr>
            <w:tcW w:w="3100" w:type="dxa"/>
            <w:shd w:val="clear" w:color="auto" w:fill="auto"/>
            <w:noWrap/>
            <w:vAlign w:val="bottom"/>
            <w:hideMark/>
          </w:tcPr>
          <w:p w14:paraId="7D4872EC"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3 314 570</w:t>
            </w:r>
          </w:p>
        </w:tc>
        <w:tc>
          <w:tcPr>
            <w:tcW w:w="3100" w:type="dxa"/>
            <w:shd w:val="clear" w:color="auto" w:fill="auto"/>
            <w:noWrap/>
            <w:vAlign w:val="bottom"/>
            <w:hideMark/>
          </w:tcPr>
          <w:p w14:paraId="5F6DB820"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2 210 012</w:t>
            </w:r>
          </w:p>
        </w:tc>
      </w:tr>
      <w:tr w:rsidR="0067338B" w:rsidRPr="00C64727" w14:paraId="7DA928EE" w14:textId="77777777" w:rsidTr="00601A28">
        <w:trPr>
          <w:trHeight w:val="292"/>
        </w:trPr>
        <w:tc>
          <w:tcPr>
            <w:tcW w:w="3102" w:type="dxa"/>
            <w:shd w:val="clear" w:color="auto" w:fill="auto"/>
            <w:noWrap/>
            <w:vAlign w:val="bottom"/>
            <w:hideMark/>
          </w:tcPr>
          <w:p w14:paraId="47A97162" w14:textId="77777777" w:rsidR="0067338B" w:rsidRPr="00C64727" w:rsidRDefault="00707619">
            <w:pPr>
              <w:spacing w:after="0" w:line="240" w:lineRule="auto"/>
              <w:rPr>
                <w:rFonts w:ascii="Times New Roman" w:eastAsia="Times New Roman" w:hAnsi="Times New Roman"/>
                <w:sz w:val="20"/>
                <w:szCs w:val="20"/>
              </w:rPr>
            </w:pPr>
            <w:r w:rsidRPr="00C64727">
              <w:rPr>
                <w:rFonts w:ascii="Times New Roman" w:hAnsi="Times New Roman"/>
                <w:sz w:val="20"/>
                <w:szCs w:val="20"/>
              </w:rPr>
              <w:t>Lengyelország</w:t>
            </w:r>
          </w:p>
        </w:tc>
        <w:tc>
          <w:tcPr>
            <w:tcW w:w="3100" w:type="dxa"/>
            <w:shd w:val="clear" w:color="auto" w:fill="auto"/>
            <w:noWrap/>
            <w:vAlign w:val="bottom"/>
            <w:hideMark/>
          </w:tcPr>
          <w:p w14:paraId="4A6F8881"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39 282 170</w:t>
            </w:r>
          </w:p>
        </w:tc>
        <w:tc>
          <w:tcPr>
            <w:tcW w:w="3100" w:type="dxa"/>
            <w:shd w:val="clear" w:color="auto" w:fill="auto"/>
            <w:noWrap/>
            <w:vAlign w:val="bottom"/>
            <w:hideMark/>
          </w:tcPr>
          <w:p w14:paraId="33D496C7"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26 191 650</w:t>
            </w:r>
          </w:p>
        </w:tc>
      </w:tr>
      <w:tr w:rsidR="0067338B" w:rsidRPr="00C64727" w14:paraId="3F22C055" w14:textId="77777777" w:rsidTr="00601A28">
        <w:trPr>
          <w:trHeight w:val="292"/>
        </w:trPr>
        <w:tc>
          <w:tcPr>
            <w:tcW w:w="3102" w:type="dxa"/>
            <w:shd w:val="clear" w:color="auto" w:fill="auto"/>
            <w:noWrap/>
            <w:vAlign w:val="bottom"/>
            <w:hideMark/>
          </w:tcPr>
          <w:p w14:paraId="5D942E17" w14:textId="77777777" w:rsidR="0067338B" w:rsidRPr="00C64727" w:rsidRDefault="00707619">
            <w:pPr>
              <w:spacing w:after="0" w:line="240" w:lineRule="auto"/>
              <w:rPr>
                <w:rFonts w:ascii="Times New Roman" w:eastAsia="Times New Roman" w:hAnsi="Times New Roman"/>
                <w:sz w:val="20"/>
                <w:szCs w:val="20"/>
              </w:rPr>
            </w:pPr>
            <w:r w:rsidRPr="00C64727">
              <w:rPr>
                <w:rFonts w:ascii="Times New Roman" w:hAnsi="Times New Roman"/>
                <w:sz w:val="20"/>
                <w:szCs w:val="20"/>
              </w:rPr>
              <w:t>Portugália</w:t>
            </w:r>
          </w:p>
        </w:tc>
        <w:tc>
          <w:tcPr>
            <w:tcW w:w="3100" w:type="dxa"/>
            <w:shd w:val="clear" w:color="auto" w:fill="auto"/>
            <w:noWrap/>
            <w:vAlign w:val="bottom"/>
            <w:hideMark/>
          </w:tcPr>
          <w:p w14:paraId="18B91D79"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6 478 775</w:t>
            </w:r>
          </w:p>
        </w:tc>
        <w:tc>
          <w:tcPr>
            <w:tcW w:w="3100" w:type="dxa"/>
            <w:shd w:val="clear" w:color="auto" w:fill="auto"/>
            <w:noWrap/>
            <w:vAlign w:val="bottom"/>
            <w:hideMark/>
          </w:tcPr>
          <w:p w14:paraId="10AC5AC4"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4 319 767</w:t>
            </w:r>
          </w:p>
        </w:tc>
      </w:tr>
      <w:tr w:rsidR="0067338B" w:rsidRPr="00C64727" w14:paraId="65281759" w14:textId="77777777" w:rsidTr="00601A28">
        <w:trPr>
          <w:trHeight w:val="292"/>
        </w:trPr>
        <w:tc>
          <w:tcPr>
            <w:tcW w:w="3102" w:type="dxa"/>
            <w:shd w:val="clear" w:color="auto" w:fill="auto"/>
            <w:noWrap/>
            <w:vAlign w:val="bottom"/>
            <w:hideMark/>
          </w:tcPr>
          <w:p w14:paraId="33396063" w14:textId="77777777" w:rsidR="0067338B" w:rsidRPr="00C64727" w:rsidRDefault="00707619">
            <w:pPr>
              <w:spacing w:after="0" w:line="240" w:lineRule="auto"/>
              <w:rPr>
                <w:rFonts w:ascii="Times New Roman" w:eastAsia="Times New Roman" w:hAnsi="Times New Roman"/>
                <w:sz w:val="20"/>
                <w:szCs w:val="20"/>
              </w:rPr>
            </w:pPr>
            <w:r w:rsidRPr="00C64727">
              <w:rPr>
                <w:rFonts w:ascii="Times New Roman" w:hAnsi="Times New Roman"/>
                <w:sz w:val="20"/>
                <w:szCs w:val="20"/>
              </w:rPr>
              <w:t>Románia</w:t>
            </w:r>
          </w:p>
        </w:tc>
        <w:tc>
          <w:tcPr>
            <w:tcW w:w="3100" w:type="dxa"/>
            <w:shd w:val="clear" w:color="auto" w:fill="auto"/>
            <w:noWrap/>
            <w:vAlign w:val="bottom"/>
            <w:hideMark/>
          </w:tcPr>
          <w:p w14:paraId="3B3371D5"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14 941 290</w:t>
            </w:r>
          </w:p>
        </w:tc>
        <w:tc>
          <w:tcPr>
            <w:tcW w:w="3100" w:type="dxa"/>
            <w:shd w:val="clear" w:color="auto" w:fill="auto"/>
            <w:noWrap/>
            <w:vAlign w:val="bottom"/>
            <w:hideMark/>
          </w:tcPr>
          <w:p w14:paraId="3FA2D73D"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9 962 205</w:t>
            </w:r>
          </w:p>
        </w:tc>
      </w:tr>
      <w:tr w:rsidR="0067338B" w:rsidRPr="00C64727" w14:paraId="664D3594" w14:textId="77777777" w:rsidTr="00601A28">
        <w:trPr>
          <w:trHeight w:val="292"/>
        </w:trPr>
        <w:tc>
          <w:tcPr>
            <w:tcW w:w="3102" w:type="dxa"/>
            <w:shd w:val="clear" w:color="auto" w:fill="auto"/>
            <w:noWrap/>
            <w:vAlign w:val="bottom"/>
            <w:hideMark/>
          </w:tcPr>
          <w:p w14:paraId="4E14A984" w14:textId="77777777" w:rsidR="0067338B" w:rsidRPr="00C64727" w:rsidRDefault="00707619">
            <w:pPr>
              <w:spacing w:after="0" w:line="240" w:lineRule="auto"/>
              <w:rPr>
                <w:rFonts w:ascii="Times New Roman" w:eastAsia="Times New Roman" w:hAnsi="Times New Roman"/>
                <w:sz w:val="20"/>
                <w:szCs w:val="20"/>
              </w:rPr>
            </w:pPr>
            <w:r w:rsidRPr="00C64727">
              <w:rPr>
                <w:rFonts w:ascii="Times New Roman" w:hAnsi="Times New Roman"/>
                <w:sz w:val="20"/>
                <w:szCs w:val="20"/>
              </w:rPr>
              <w:t>Szlovákia</w:t>
            </w:r>
          </w:p>
        </w:tc>
        <w:tc>
          <w:tcPr>
            <w:tcW w:w="3100" w:type="dxa"/>
            <w:shd w:val="clear" w:color="auto" w:fill="auto"/>
            <w:noWrap/>
            <w:vAlign w:val="bottom"/>
            <w:hideMark/>
          </w:tcPr>
          <w:p w14:paraId="09B81448"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4 752 513</w:t>
            </w:r>
          </w:p>
        </w:tc>
        <w:tc>
          <w:tcPr>
            <w:tcW w:w="3100" w:type="dxa"/>
            <w:shd w:val="clear" w:color="auto" w:fill="auto"/>
            <w:noWrap/>
            <w:vAlign w:val="bottom"/>
            <w:hideMark/>
          </w:tcPr>
          <w:p w14:paraId="75EED423"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3 168 770</w:t>
            </w:r>
          </w:p>
        </w:tc>
      </w:tr>
      <w:tr w:rsidR="0067338B" w:rsidRPr="00C64727" w14:paraId="7DAB0E12" w14:textId="77777777" w:rsidTr="00601A28">
        <w:trPr>
          <w:trHeight w:val="292"/>
        </w:trPr>
        <w:tc>
          <w:tcPr>
            <w:tcW w:w="3102" w:type="dxa"/>
            <w:shd w:val="clear" w:color="auto" w:fill="auto"/>
            <w:noWrap/>
            <w:vAlign w:val="bottom"/>
            <w:hideMark/>
          </w:tcPr>
          <w:p w14:paraId="3B0D5A23" w14:textId="77777777" w:rsidR="0067338B" w:rsidRPr="00C64727" w:rsidRDefault="00707619">
            <w:pPr>
              <w:spacing w:after="0" w:line="240" w:lineRule="auto"/>
              <w:rPr>
                <w:rFonts w:ascii="Times New Roman" w:eastAsia="Times New Roman" w:hAnsi="Times New Roman"/>
                <w:sz w:val="20"/>
                <w:szCs w:val="20"/>
              </w:rPr>
            </w:pPr>
            <w:r w:rsidRPr="00C64727">
              <w:rPr>
                <w:rFonts w:ascii="Times New Roman" w:hAnsi="Times New Roman"/>
                <w:sz w:val="20"/>
                <w:szCs w:val="20"/>
              </w:rPr>
              <w:t>Szlovénia</w:t>
            </w:r>
          </w:p>
        </w:tc>
        <w:tc>
          <w:tcPr>
            <w:tcW w:w="3100" w:type="dxa"/>
            <w:shd w:val="clear" w:color="auto" w:fill="auto"/>
            <w:noWrap/>
            <w:vAlign w:val="bottom"/>
            <w:hideMark/>
          </w:tcPr>
          <w:p w14:paraId="0A47D5B9"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1 577 714</w:t>
            </w:r>
          </w:p>
        </w:tc>
        <w:tc>
          <w:tcPr>
            <w:tcW w:w="3100" w:type="dxa"/>
            <w:shd w:val="clear" w:color="auto" w:fill="auto"/>
            <w:noWrap/>
            <w:vAlign w:val="bottom"/>
            <w:hideMark/>
          </w:tcPr>
          <w:p w14:paraId="00DEC7FE"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1 051 951</w:t>
            </w:r>
          </w:p>
        </w:tc>
      </w:tr>
      <w:tr w:rsidR="0067338B" w:rsidRPr="00C64727" w14:paraId="4CE5242E" w14:textId="77777777" w:rsidTr="00601A28">
        <w:trPr>
          <w:trHeight w:val="292"/>
        </w:trPr>
        <w:tc>
          <w:tcPr>
            <w:tcW w:w="3102" w:type="dxa"/>
            <w:shd w:val="clear" w:color="auto" w:fill="auto"/>
            <w:noWrap/>
            <w:vAlign w:val="bottom"/>
            <w:hideMark/>
          </w:tcPr>
          <w:p w14:paraId="2647CE97" w14:textId="77777777" w:rsidR="0067338B" w:rsidRPr="00C64727" w:rsidRDefault="00707619">
            <w:pPr>
              <w:spacing w:after="0" w:line="240" w:lineRule="auto"/>
              <w:rPr>
                <w:rFonts w:ascii="Times New Roman" w:eastAsia="Times New Roman" w:hAnsi="Times New Roman"/>
                <w:sz w:val="20"/>
                <w:szCs w:val="20"/>
              </w:rPr>
            </w:pPr>
            <w:r w:rsidRPr="00C64727">
              <w:rPr>
                <w:rFonts w:ascii="Times New Roman" w:hAnsi="Times New Roman"/>
                <w:sz w:val="20"/>
                <w:szCs w:val="20"/>
              </w:rPr>
              <w:t>Spanyolország</w:t>
            </w:r>
          </w:p>
        </w:tc>
        <w:tc>
          <w:tcPr>
            <w:tcW w:w="3100" w:type="dxa"/>
            <w:shd w:val="clear" w:color="auto" w:fill="auto"/>
            <w:noWrap/>
            <w:vAlign w:val="bottom"/>
            <w:hideMark/>
          </w:tcPr>
          <w:p w14:paraId="2BCD3439"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32 660 234</w:t>
            </w:r>
          </w:p>
        </w:tc>
        <w:tc>
          <w:tcPr>
            <w:tcW w:w="3100" w:type="dxa"/>
            <w:shd w:val="clear" w:color="auto" w:fill="auto"/>
            <w:noWrap/>
            <w:vAlign w:val="bottom"/>
            <w:hideMark/>
          </w:tcPr>
          <w:p w14:paraId="7A593F7A"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21 776 430</w:t>
            </w:r>
          </w:p>
        </w:tc>
      </w:tr>
      <w:tr w:rsidR="0067338B" w:rsidRPr="00C64727" w14:paraId="59699F23" w14:textId="77777777" w:rsidTr="00601A28">
        <w:trPr>
          <w:trHeight w:val="292"/>
        </w:trPr>
        <w:tc>
          <w:tcPr>
            <w:tcW w:w="3102" w:type="dxa"/>
            <w:shd w:val="clear" w:color="auto" w:fill="auto"/>
            <w:noWrap/>
            <w:vAlign w:val="bottom"/>
            <w:hideMark/>
          </w:tcPr>
          <w:p w14:paraId="0DA9D21B" w14:textId="77777777" w:rsidR="0067338B" w:rsidRPr="00C64727" w:rsidRDefault="00707619">
            <w:pPr>
              <w:spacing w:after="0" w:line="240" w:lineRule="auto"/>
              <w:rPr>
                <w:rFonts w:ascii="Times New Roman" w:eastAsia="Times New Roman" w:hAnsi="Times New Roman"/>
                <w:sz w:val="20"/>
                <w:szCs w:val="20"/>
              </w:rPr>
            </w:pPr>
            <w:r w:rsidRPr="00C64727">
              <w:rPr>
                <w:rFonts w:ascii="Times New Roman" w:hAnsi="Times New Roman"/>
                <w:sz w:val="20"/>
                <w:szCs w:val="20"/>
              </w:rPr>
              <w:t>Svédország</w:t>
            </w:r>
          </w:p>
        </w:tc>
        <w:tc>
          <w:tcPr>
            <w:tcW w:w="3100" w:type="dxa"/>
            <w:shd w:val="clear" w:color="auto" w:fill="auto"/>
            <w:noWrap/>
            <w:vAlign w:val="bottom"/>
            <w:hideMark/>
          </w:tcPr>
          <w:p w14:paraId="46EDFDAC"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3 457 106</w:t>
            </w:r>
          </w:p>
        </w:tc>
        <w:tc>
          <w:tcPr>
            <w:tcW w:w="3100" w:type="dxa"/>
            <w:shd w:val="clear" w:color="auto" w:fill="auto"/>
            <w:noWrap/>
            <w:vAlign w:val="bottom"/>
            <w:hideMark/>
          </w:tcPr>
          <w:p w14:paraId="33297B3D"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2 305 049</w:t>
            </w:r>
          </w:p>
        </w:tc>
      </w:tr>
      <w:tr w:rsidR="0067338B" w:rsidRPr="00C64727" w14:paraId="79F9E881" w14:textId="77777777" w:rsidTr="00601A28">
        <w:trPr>
          <w:trHeight w:val="292"/>
        </w:trPr>
        <w:tc>
          <w:tcPr>
            <w:tcW w:w="3102" w:type="dxa"/>
            <w:shd w:val="clear" w:color="auto" w:fill="auto"/>
            <w:noWrap/>
            <w:vAlign w:val="bottom"/>
            <w:hideMark/>
          </w:tcPr>
          <w:p w14:paraId="440AE299" w14:textId="77777777" w:rsidR="0067338B" w:rsidRPr="00C64727" w:rsidRDefault="00707619">
            <w:pPr>
              <w:spacing w:after="0" w:line="240" w:lineRule="auto"/>
              <w:rPr>
                <w:rFonts w:ascii="Times New Roman" w:eastAsia="Times New Roman" w:hAnsi="Times New Roman"/>
                <w:sz w:val="20"/>
                <w:szCs w:val="20"/>
              </w:rPr>
            </w:pPr>
            <w:r w:rsidRPr="00C64727">
              <w:rPr>
                <w:rFonts w:ascii="Times New Roman" w:hAnsi="Times New Roman"/>
                <w:sz w:val="20"/>
                <w:szCs w:val="20"/>
              </w:rPr>
              <w:t>Egyesült Királyság</w:t>
            </w:r>
          </w:p>
        </w:tc>
        <w:tc>
          <w:tcPr>
            <w:tcW w:w="3100" w:type="dxa"/>
            <w:shd w:val="clear" w:color="auto" w:fill="auto"/>
            <w:noWrap/>
            <w:vAlign w:val="bottom"/>
            <w:hideMark/>
          </w:tcPr>
          <w:p w14:paraId="70A3DC19"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44 480 623</w:t>
            </w:r>
          </w:p>
        </w:tc>
        <w:tc>
          <w:tcPr>
            <w:tcW w:w="3100" w:type="dxa"/>
            <w:shd w:val="clear" w:color="auto" w:fill="auto"/>
            <w:noWrap/>
            <w:vAlign w:val="bottom"/>
            <w:hideMark/>
          </w:tcPr>
          <w:p w14:paraId="593FA716" w14:textId="77777777" w:rsidR="0067338B" w:rsidRPr="00C64727" w:rsidRDefault="00707619">
            <w:pPr>
              <w:spacing w:after="0" w:line="240" w:lineRule="auto"/>
              <w:jc w:val="right"/>
              <w:rPr>
                <w:rFonts w:ascii="Times New Roman" w:eastAsia="Times New Roman" w:hAnsi="Times New Roman"/>
                <w:sz w:val="20"/>
                <w:szCs w:val="20"/>
              </w:rPr>
            </w:pPr>
            <w:r w:rsidRPr="00C64727">
              <w:rPr>
                <w:rFonts w:ascii="Times New Roman" w:hAnsi="Times New Roman"/>
                <w:sz w:val="20"/>
                <w:szCs w:val="20"/>
              </w:rPr>
              <w:t>29 657 753</w:t>
            </w:r>
          </w:p>
        </w:tc>
      </w:tr>
      <w:tr w:rsidR="0067338B" w:rsidRPr="00C64727" w14:paraId="40842BFA" w14:textId="77777777" w:rsidTr="00601A28">
        <w:trPr>
          <w:trHeight w:val="292"/>
        </w:trPr>
        <w:tc>
          <w:tcPr>
            <w:tcW w:w="3102" w:type="dxa"/>
            <w:shd w:val="clear" w:color="auto" w:fill="auto"/>
            <w:noWrap/>
            <w:vAlign w:val="bottom"/>
            <w:hideMark/>
          </w:tcPr>
          <w:p w14:paraId="0359A430" w14:textId="77777777" w:rsidR="0067338B" w:rsidRPr="00C64727" w:rsidRDefault="00707619">
            <w:pPr>
              <w:spacing w:after="0" w:line="240" w:lineRule="auto"/>
              <w:rPr>
                <w:rFonts w:ascii="Times New Roman" w:eastAsia="Times New Roman" w:hAnsi="Times New Roman"/>
                <w:b/>
                <w:bCs/>
                <w:sz w:val="20"/>
                <w:szCs w:val="20"/>
              </w:rPr>
            </w:pPr>
            <w:r w:rsidRPr="00C64727">
              <w:rPr>
                <w:rFonts w:ascii="Times New Roman" w:hAnsi="Times New Roman"/>
                <w:b/>
                <w:bCs/>
                <w:sz w:val="20"/>
                <w:szCs w:val="20"/>
              </w:rPr>
              <w:t>Összesen</w:t>
            </w:r>
          </w:p>
        </w:tc>
        <w:tc>
          <w:tcPr>
            <w:tcW w:w="3100" w:type="dxa"/>
            <w:shd w:val="clear" w:color="auto" w:fill="auto"/>
            <w:noWrap/>
            <w:vAlign w:val="bottom"/>
            <w:hideMark/>
          </w:tcPr>
          <w:p w14:paraId="20FC7AB7" w14:textId="77777777" w:rsidR="0067338B" w:rsidRPr="00C64727" w:rsidRDefault="00707619">
            <w:pPr>
              <w:spacing w:after="0" w:line="240" w:lineRule="auto"/>
              <w:jc w:val="right"/>
              <w:rPr>
                <w:rFonts w:ascii="Times New Roman" w:eastAsia="Times New Roman" w:hAnsi="Times New Roman"/>
                <w:b/>
                <w:bCs/>
                <w:sz w:val="20"/>
                <w:szCs w:val="20"/>
              </w:rPr>
            </w:pPr>
            <w:r w:rsidRPr="00C64727">
              <w:rPr>
                <w:rFonts w:ascii="Times New Roman" w:hAnsi="Times New Roman"/>
                <w:b/>
                <w:bCs/>
                <w:sz w:val="20"/>
                <w:szCs w:val="20"/>
              </w:rPr>
              <w:t>397 124 723</w:t>
            </w:r>
          </w:p>
        </w:tc>
        <w:tc>
          <w:tcPr>
            <w:tcW w:w="3100" w:type="dxa"/>
            <w:shd w:val="clear" w:color="auto" w:fill="auto"/>
            <w:noWrap/>
            <w:vAlign w:val="bottom"/>
            <w:hideMark/>
          </w:tcPr>
          <w:p w14:paraId="10FC7794" w14:textId="77777777" w:rsidR="0067338B" w:rsidRPr="00C64727" w:rsidRDefault="00707619">
            <w:pPr>
              <w:spacing w:after="0" w:line="240" w:lineRule="auto"/>
              <w:jc w:val="right"/>
              <w:rPr>
                <w:rFonts w:ascii="Times New Roman" w:eastAsia="Times New Roman" w:hAnsi="Times New Roman"/>
                <w:b/>
                <w:bCs/>
                <w:sz w:val="20"/>
                <w:szCs w:val="20"/>
              </w:rPr>
            </w:pPr>
            <w:r w:rsidRPr="00C64727">
              <w:rPr>
                <w:rFonts w:ascii="Times New Roman" w:hAnsi="Times New Roman"/>
                <w:b/>
                <w:bCs/>
                <w:sz w:val="20"/>
                <w:szCs w:val="20"/>
              </w:rPr>
              <w:t>264 785 572</w:t>
            </w:r>
          </w:p>
        </w:tc>
      </w:tr>
    </w:tbl>
    <w:p w14:paraId="2997ED0A" w14:textId="77777777" w:rsidR="0067338B" w:rsidRPr="00C64727" w:rsidRDefault="00707619">
      <w:pPr>
        <w:tabs>
          <w:tab w:val="left" w:pos="3491"/>
        </w:tabs>
        <w:rPr>
          <w:rFonts w:ascii="Times New Roman" w:hAnsi="Times New Roman"/>
          <w:sz w:val="24"/>
          <w:szCs w:val="24"/>
        </w:rPr>
      </w:pPr>
      <w:r w:rsidRPr="00C64727">
        <w:rPr>
          <w:rFonts w:ascii="Times New Roman" w:hAnsi="Times New Roman"/>
          <w:sz w:val="24"/>
          <w:szCs w:val="24"/>
        </w:rPr>
        <w:tab/>
      </w:r>
    </w:p>
    <w:p w14:paraId="446D5C98" w14:textId="77777777" w:rsidR="0067338B" w:rsidRPr="00C64727" w:rsidRDefault="00862924">
      <w:pPr>
        <w:rPr>
          <w:rFonts w:ascii="Times New Roman" w:hAnsi="Times New Roman"/>
          <w:b/>
        </w:rPr>
      </w:pPr>
      <w:r w:rsidRPr="00C64727">
        <w:rPr>
          <w:rFonts w:ascii="Times New Roman" w:hAnsi="Times New Roman"/>
          <w:b/>
        </w:rPr>
        <w:t>9. függelék</w:t>
      </w:r>
    </w:p>
    <w:p w14:paraId="32860365" w14:textId="77777777" w:rsidR="0067338B" w:rsidRPr="00C64727" w:rsidRDefault="00862924">
      <w:pPr>
        <w:rPr>
          <w:rFonts w:ascii="Times New Roman" w:hAnsi="Times New Roman"/>
          <w:b/>
          <w:sz w:val="20"/>
          <w:szCs w:val="20"/>
        </w:rPr>
      </w:pPr>
      <w:r w:rsidRPr="00C64727">
        <w:rPr>
          <w:rFonts w:ascii="Times New Roman" w:hAnsi="Times New Roman"/>
          <w:b/>
          <w:sz w:val="20"/>
          <w:szCs w:val="20"/>
        </w:rPr>
        <w:t>9.1. táblázat: A NER 300 program InnovFin EDP keretében fel nem használt forrásai: támogatott projektek</w:t>
      </w:r>
    </w:p>
    <w:tbl>
      <w:tblPr>
        <w:tblStyle w:val="TableGrid"/>
        <w:tblW w:w="987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8"/>
        <w:gridCol w:w="2893"/>
        <w:gridCol w:w="4140"/>
      </w:tblGrid>
      <w:tr w:rsidR="0067338B" w:rsidRPr="00C64727" w14:paraId="09597A6C" w14:textId="77777777" w:rsidTr="00601A28">
        <w:trPr>
          <w:trHeight w:val="178"/>
        </w:trPr>
        <w:tc>
          <w:tcPr>
            <w:tcW w:w="2838" w:type="dxa"/>
            <w:shd w:val="clear" w:color="auto" w:fill="D9D9D9" w:themeFill="background1" w:themeFillShade="D9"/>
          </w:tcPr>
          <w:p w14:paraId="5A3CFACE" w14:textId="77777777" w:rsidR="0067338B" w:rsidRPr="00C64727" w:rsidRDefault="00862924">
            <w:pPr>
              <w:rPr>
                <w:rFonts w:ascii="Times New Roman" w:hAnsi="Times New Roman"/>
                <w:b/>
              </w:rPr>
            </w:pPr>
            <w:r w:rsidRPr="00C64727">
              <w:rPr>
                <w:rFonts w:ascii="Times New Roman" w:hAnsi="Times New Roman"/>
                <w:b/>
              </w:rPr>
              <w:t>A projekt megnevezése</w:t>
            </w:r>
          </w:p>
        </w:tc>
        <w:tc>
          <w:tcPr>
            <w:tcW w:w="2893" w:type="dxa"/>
            <w:shd w:val="clear" w:color="auto" w:fill="D9D9D9" w:themeFill="background1" w:themeFillShade="D9"/>
          </w:tcPr>
          <w:p w14:paraId="706E84C1" w14:textId="77777777" w:rsidR="0067338B" w:rsidRPr="00C64727" w:rsidRDefault="00862924">
            <w:pPr>
              <w:rPr>
                <w:rFonts w:ascii="Times New Roman" w:hAnsi="Times New Roman"/>
                <w:b/>
              </w:rPr>
            </w:pPr>
            <w:r w:rsidRPr="00C64727">
              <w:rPr>
                <w:rFonts w:ascii="Times New Roman" w:hAnsi="Times New Roman"/>
                <w:b/>
              </w:rPr>
              <w:t>Leírás</w:t>
            </w:r>
          </w:p>
        </w:tc>
        <w:tc>
          <w:tcPr>
            <w:tcW w:w="4140" w:type="dxa"/>
            <w:shd w:val="clear" w:color="auto" w:fill="D9D9D9" w:themeFill="background1" w:themeFillShade="D9"/>
          </w:tcPr>
          <w:p w14:paraId="5AE7CABC" w14:textId="77777777" w:rsidR="0067338B" w:rsidRPr="00C64727" w:rsidRDefault="00862924">
            <w:pPr>
              <w:rPr>
                <w:rFonts w:ascii="Times New Roman" w:hAnsi="Times New Roman"/>
                <w:b/>
              </w:rPr>
            </w:pPr>
            <w:r w:rsidRPr="00C64727">
              <w:rPr>
                <w:rFonts w:ascii="Times New Roman" w:hAnsi="Times New Roman"/>
                <w:b/>
              </w:rPr>
              <w:t>Kép</w:t>
            </w:r>
          </w:p>
        </w:tc>
      </w:tr>
      <w:tr w:rsidR="0067338B" w:rsidRPr="00C64727" w14:paraId="6A65AE4E" w14:textId="77777777" w:rsidTr="00601A28">
        <w:trPr>
          <w:trHeight w:val="2161"/>
        </w:trPr>
        <w:tc>
          <w:tcPr>
            <w:tcW w:w="2838" w:type="dxa"/>
          </w:tcPr>
          <w:p w14:paraId="48BA38D5" w14:textId="77777777" w:rsidR="0067338B" w:rsidRPr="00C64727" w:rsidRDefault="00862924">
            <w:pPr>
              <w:rPr>
                <w:rFonts w:ascii="Times New Roman" w:hAnsi="Times New Roman"/>
              </w:rPr>
            </w:pPr>
            <w:r w:rsidRPr="00C64727">
              <w:rPr>
                <w:rFonts w:ascii="Times New Roman" w:hAnsi="Times New Roman"/>
              </w:rPr>
              <w:t>WAVE ROLLER</w:t>
            </w:r>
          </w:p>
        </w:tc>
        <w:tc>
          <w:tcPr>
            <w:tcW w:w="2893" w:type="dxa"/>
          </w:tcPr>
          <w:p w14:paraId="2B2314AD" w14:textId="77777777" w:rsidR="0067338B" w:rsidRPr="00C64727" w:rsidRDefault="00862924">
            <w:pPr>
              <w:rPr>
                <w:rFonts w:ascii="Times New Roman" w:hAnsi="Times New Roman"/>
              </w:rPr>
            </w:pPr>
            <w:r w:rsidRPr="00C64727">
              <w:rPr>
                <w:rFonts w:ascii="Times New Roman" w:hAnsi="Times New Roman"/>
              </w:rPr>
              <w:t>A Wave Roller projekt célja a hullámenergián alapuló technológia kereskedelmi léptékű megvalósíthatóságának demonstrálása a demonstrációs létesítmény és a hullámok energiáját villamos árammá alakító, part közeli Oszcillációs Hullámenergia Átalakító (OWSC) kereskedelmi üzembe helyezése közötti szakadék áthidalásával. A NER300-ból származó hozzájárulás összege 10 millió EUR.</w:t>
            </w:r>
          </w:p>
        </w:tc>
        <w:tc>
          <w:tcPr>
            <w:tcW w:w="4140" w:type="dxa"/>
          </w:tcPr>
          <w:p w14:paraId="7BDD0DC1" w14:textId="77777777" w:rsidR="0067338B" w:rsidRPr="00C64727" w:rsidRDefault="00862924">
            <w:pPr>
              <w:jc w:val="center"/>
              <w:rPr>
                <w:rFonts w:ascii="Times New Roman" w:hAnsi="Times New Roman"/>
              </w:rPr>
            </w:pPr>
            <w:r w:rsidRPr="00C64727">
              <w:rPr>
                <w:rFonts w:ascii="Times New Roman" w:hAnsi="Times New Roman"/>
                <w:b/>
                <w:noProof/>
                <w:lang w:val="en-GB"/>
              </w:rPr>
              <w:drawing>
                <wp:inline distT="0" distB="0" distL="0" distR="0" wp14:anchorId="19546FE2" wp14:editId="5754F609">
                  <wp:extent cx="2310130" cy="1645526"/>
                  <wp:effectExtent l="0" t="0" r="0" b="0"/>
                  <wp:docPr id="17" name="Picture 17" descr="C:\Users\zmijeag\AppData\Local\Microsoft\Windows\INetCache\Content.Outlook\W4UI1M3B\Waveroller (002)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mijeag\AppData\Local\Microsoft\Windows\INetCache\Content.Outlook\W4UI1M3B\Waveroller (002) (00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28942" cy="1658926"/>
                          </a:xfrm>
                          <a:prstGeom prst="rect">
                            <a:avLst/>
                          </a:prstGeom>
                          <a:noFill/>
                          <a:ln>
                            <a:noFill/>
                          </a:ln>
                        </pic:spPr>
                      </pic:pic>
                    </a:graphicData>
                  </a:graphic>
                </wp:inline>
              </w:drawing>
            </w:r>
          </w:p>
        </w:tc>
      </w:tr>
      <w:tr w:rsidR="0067338B" w:rsidRPr="00C64727" w14:paraId="6C25214E" w14:textId="77777777" w:rsidTr="00601A28">
        <w:trPr>
          <w:trHeight w:val="4681"/>
        </w:trPr>
        <w:tc>
          <w:tcPr>
            <w:tcW w:w="2838" w:type="dxa"/>
          </w:tcPr>
          <w:p w14:paraId="59DCD6A7" w14:textId="77777777" w:rsidR="0067338B" w:rsidRPr="00C64727" w:rsidRDefault="00862924">
            <w:pPr>
              <w:rPr>
                <w:rFonts w:ascii="Times New Roman" w:hAnsi="Times New Roman"/>
              </w:rPr>
            </w:pPr>
            <w:r w:rsidRPr="00C64727">
              <w:rPr>
                <w:rFonts w:ascii="Times New Roman" w:hAnsi="Times New Roman"/>
              </w:rPr>
              <w:t>WINDFLOAT</w:t>
            </w:r>
          </w:p>
        </w:tc>
        <w:tc>
          <w:tcPr>
            <w:tcW w:w="2893" w:type="dxa"/>
          </w:tcPr>
          <w:p w14:paraId="0823A93A" w14:textId="77777777" w:rsidR="0067338B" w:rsidRPr="00C64727" w:rsidRDefault="00862924">
            <w:pPr>
              <w:rPr>
                <w:rFonts w:ascii="Times New Roman" w:hAnsi="Times New Roman"/>
              </w:rPr>
            </w:pPr>
            <w:r w:rsidRPr="00C64727">
              <w:rPr>
                <w:rFonts w:ascii="Times New Roman" w:hAnsi="Times New Roman"/>
              </w:rPr>
              <w:t>A WindFloat projekt a portugál partoktól körülbelül 20 kilométerre lévő, félig alámerülő úszó platformon lévő innovatív part menti szélerőműpark. A projekt célja az úszó tartószerkezet csúcstechnológiájának továbbfejlesztése a WindFloat koncepció nagyobb turbinák befogadására történő skálázhatóságának demonstrálására. Ezt követően elő fogja mozdítani parttól távolabb lévő szélerőműparkok üzembe helyezését. Az InnovFin EDP keretében biztosított NER300 hozzájárulás összege 60 millió EUR lesz. A WindFloat ezenkívül egy közel 30 millió EUR összegű támogatásból is részesül majd az eredeti NER300 program keretében.</w:t>
            </w:r>
          </w:p>
        </w:tc>
        <w:tc>
          <w:tcPr>
            <w:tcW w:w="4140" w:type="dxa"/>
          </w:tcPr>
          <w:p w14:paraId="5B1FC067" w14:textId="77777777" w:rsidR="0067338B" w:rsidRPr="00C64727" w:rsidRDefault="00862924">
            <w:pPr>
              <w:jc w:val="center"/>
              <w:rPr>
                <w:rFonts w:ascii="Times New Roman" w:hAnsi="Times New Roman"/>
              </w:rPr>
            </w:pPr>
            <w:r w:rsidRPr="00C64727">
              <w:rPr>
                <w:rFonts w:ascii="Times New Roman" w:hAnsi="Times New Roman"/>
                <w:b/>
                <w:noProof/>
                <w:lang w:val="en-GB"/>
              </w:rPr>
              <w:drawing>
                <wp:inline distT="0" distB="0" distL="0" distR="0" wp14:anchorId="716F954D" wp14:editId="60BFA99A">
                  <wp:extent cx="2318385" cy="1697126"/>
                  <wp:effectExtent l="0" t="0" r="5715" b="0"/>
                  <wp:docPr id="12" name="Picture 12" descr="C:\Users\zmijeag\AppData\Local\Microsoft\Windows\INetCache\Content.Outlook\W4UI1M3B\windfloat_ copyright principle powe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mijeag\AppData\Local\Microsoft\Windows\INetCache\Content.Outlook\W4UI1M3B\windfloat_ copyright principle power (0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52191" cy="1721873"/>
                          </a:xfrm>
                          <a:prstGeom prst="rect">
                            <a:avLst/>
                          </a:prstGeom>
                          <a:noFill/>
                          <a:ln>
                            <a:noFill/>
                          </a:ln>
                        </pic:spPr>
                      </pic:pic>
                    </a:graphicData>
                  </a:graphic>
                </wp:inline>
              </w:drawing>
            </w:r>
          </w:p>
        </w:tc>
      </w:tr>
      <w:tr w:rsidR="0067338B" w:rsidRPr="00C64727" w14:paraId="087EE2EC" w14:textId="77777777" w:rsidTr="00D216A5">
        <w:trPr>
          <w:trHeight w:val="5215"/>
        </w:trPr>
        <w:tc>
          <w:tcPr>
            <w:tcW w:w="2838" w:type="dxa"/>
          </w:tcPr>
          <w:p w14:paraId="677BB122" w14:textId="77777777" w:rsidR="0067338B" w:rsidRPr="00C64727" w:rsidRDefault="00862924">
            <w:pPr>
              <w:rPr>
                <w:rFonts w:ascii="Times New Roman" w:hAnsi="Times New Roman"/>
              </w:rPr>
            </w:pPr>
            <w:r w:rsidRPr="00C64727">
              <w:rPr>
                <w:rFonts w:ascii="Times New Roman" w:hAnsi="Times New Roman"/>
              </w:rPr>
              <w:t>GREENWAY EV ELEKTROMOS TÖLTŐÁLLOMÁSOK HÁLÓZATA</w:t>
            </w:r>
          </w:p>
        </w:tc>
        <w:tc>
          <w:tcPr>
            <w:tcW w:w="2893" w:type="dxa"/>
          </w:tcPr>
          <w:p w14:paraId="0F4752AD" w14:textId="77777777" w:rsidR="0067338B" w:rsidRPr="00C64727" w:rsidRDefault="00862924">
            <w:pPr>
              <w:rPr>
                <w:rFonts w:ascii="Times New Roman" w:hAnsi="Times New Roman"/>
              </w:rPr>
            </w:pPr>
            <w:r w:rsidRPr="00C64727">
              <w:rPr>
                <w:rFonts w:ascii="Times New Roman" w:hAnsi="Times New Roman"/>
              </w:rPr>
              <w:t>A projekt támogatni fogja az elektromos járművek infrastruktúrájának gyorsított üzembe helyezését,. Bemutatja a szupergyors elektromosjármű-töltőállomások kereskedelmi nagyságrendű üzembe helyezésének a megvalósíthatóságát és egy integrált akkumulátoros energiatároló rendszer kísérleti modelljét. A demonstráció helyszíne Szlovákia, Lengyelország, a Cseh Köztársaság és a balti államok lesznek. Az InnovFin EDP keretében történő finanszírozás összege 17 millió EUR lesz, amelyből 3 millió EUR-t a NER 300 nem felhasznált forrásai támogatnak.</w:t>
            </w:r>
          </w:p>
        </w:tc>
        <w:tc>
          <w:tcPr>
            <w:tcW w:w="4140" w:type="dxa"/>
          </w:tcPr>
          <w:p w14:paraId="3E3B6AD9" w14:textId="77777777" w:rsidR="0067338B" w:rsidRPr="00C64727" w:rsidRDefault="00862924">
            <w:pPr>
              <w:jc w:val="center"/>
              <w:rPr>
                <w:rFonts w:ascii="Times New Roman" w:hAnsi="Times New Roman"/>
              </w:rPr>
            </w:pPr>
            <w:r w:rsidRPr="00C64727">
              <w:rPr>
                <w:rFonts w:ascii="Times New Roman" w:hAnsi="Times New Roman"/>
                <w:noProof/>
                <w:lang w:val="en-GB"/>
              </w:rPr>
              <w:drawing>
                <wp:inline distT="0" distB="0" distL="0" distR="0" wp14:anchorId="33DA51E3" wp14:editId="59843C3E">
                  <wp:extent cx="2310159" cy="1667510"/>
                  <wp:effectExtent l="0" t="0" r="0" b="8890"/>
                  <wp:docPr id="9" name="Picture 9" descr="C:\Users\zmijeag\AppData\Local\Microsoft\Windows\INetCache\Content.Outlook\W4UI1M3B\greenway copyright greenway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mijeag\AppData\Local\Microsoft\Windows\INetCache\Content.Outlook\W4UI1M3B\greenway copyright greenway (0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41833" cy="1690373"/>
                          </a:xfrm>
                          <a:prstGeom prst="rect">
                            <a:avLst/>
                          </a:prstGeom>
                          <a:noFill/>
                          <a:ln>
                            <a:noFill/>
                          </a:ln>
                        </pic:spPr>
                      </pic:pic>
                    </a:graphicData>
                  </a:graphic>
                </wp:inline>
              </w:drawing>
            </w:r>
          </w:p>
        </w:tc>
      </w:tr>
    </w:tbl>
    <w:p w14:paraId="06D43448" w14:textId="77777777" w:rsidR="0067338B" w:rsidRPr="00A747DC" w:rsidRDefault="0067338B">
      <w:pPr>
        <w:rPr>
          <w:rFonts w:ascii="Times New Roman" w:hAnsi="Times New Roman"/>
          <w:sz w:val="20"/>
          <w:szCs w:val="20"/>
        </w:rPr>
      </w:pPr>
    </w:p>
    <w:sectPr w:rsidR="0067338B" w:rsidRPr="00A747DC" w:rsidSect="002802C4">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9" w:footer="709"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3E97C30" w16cid:durableId="1D584DA1"/>
  <w16cid:commentId w16cid:paraId="5F4E4608" w16cid:durableId="1D584DA2"/>
  <w16cid:commentId w16cid:paraId="58E17FD7" w16cid:durableId="1D584DA3"/>
  <w16cid:commentId w16cid:paraId="5DF23A43" w16cid:durableId="1D584DA4"/>
  <w16cid:commentId w16cid:paraId="30B21068" w16cid:durableId="1D584DA5"/>
  <w16cid:commentId w16cid:paraId="3A2C271F" w16cid:durableId="1D584DA6"/>
  <w16cid:commentId w16cid:paraId="4AE592B9" w16cid:durableId="1D584DA7"/>
  <w16cid:commentId w16cid:paraId="643AA177" w16cid:durableId="1D584DA8"/>
  <w16cid:commentId w16cid:paraId="38513F67" w16cid:durableId="1D584DA9"/>
  <w16cid:commentId w16cid:paraId="1FFA1ED9" w16cid:durableId="1D584DAA"/>
  <w16cid:commentId w16cid:paraId="597E28CC" w16cid:durableId="1D584DAB"/>
  <w16cid:commentId w16cid:paraId="57EFFC44" w16cid:durableId="1D584DA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CB3ADA" w14:textId="77777777" w:rsidR="0067338B" w:rsidRDefault="0041035E">
      <w:pPr>
        <w:spacing w:after="0" w:line="240" w:lineRule="auto"/>
      </w:pPr>
      <w:r>
        <w:separator/>
      </w:r>
    </w:p>
  </w:endnote>
  <w:endnote w:type="continuationSeparator" w:id="0">
    <w:p w14:paraId="475CE3A1" w14:textId="77777777" w:rsidR="0067338B" w:rsidRDefault="004103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1C6E8" w14:textId="77777777" w:rsidR="00A747DC" w:rsidRPr="00A747DC" w:rsidRDefault="00A747DC" w:rsidP="00A747D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0DA05" w14:textId="77777777" w:rsidR="00EE3E79" w:rsidRDefault="00EE3E7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31BB1" w14:textId="5B5D5ED2" w:rsidR="00EE3E79" w:rsidRDefault="00EE3E79">
    <w:pPr>
      <w:pStyle w:val="Footer"/>
      <w:jc w:val="center"/>
    </w:pPr>
    <w:r>
      <w:fldChar w:fldCharType="begin"/>
    </w:r>
    <w:r>
      <w:instrText xml:space="preserve"> PAGE   \* MERGEFORMAT </w:instrText>
    </w:r>
    <w:r>
      <w:fldChar w:fldCharType="separate"/>
    </w:r>
    <w:r w:rsidR="00A747DC">
      <w:rPr>
        <w:noProof/>
      </w:rPr>
      <w:t>58</w:t>
    </w:r>
    <w:r>
      <w:fldChar w:fldCharType="end"/>
    </w:r>
  </w:p>
  <w:p w14:paraId="6B6A3E46" w14:textId="77777777" w:rsidR="00EE3E79" w:rsidRDefault="00EE3E7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0F9F1" w14:textId="77777777" w:rsidR="00EE3E79" w:rsidRDefault="00EE3E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9C1CE" w14:textId="168D34D9" w:rsidR="00A747DC" w:rsidRPr="00A747DC" w:rsidRDefault="00A747DC" w:rsidP="00A747DC">
    <w:pPr>
      <w:pStyle w:val="FooterCoverPage"/>
      <w:rPr>
        <w:rFonts w:ascii="Arial" w:hAnsi="Arial" w:cs="Arial"/>
        <w:b/>
        <w:sz w:val="48"/>
      </w:rPr>
    </w:pPr>
    <w:r w:rsidRPr="00A747DC">
      <w:rPr>
        <w:rFonts w:ascii="Arial" w:hAnsi="Arial" w:cs="Arial"/>
        <w:b/>
        <w:sz w:val="48"/>
      </w:rPr>
      <w:t>HU</w:t>
    </w:r>
    <w:r w:rsidRPr="00A747DC">
      <w:rPr>
        <w:rFonts w:ascii="Arial" w:hAnsi="Arial" w:cs="Arial"/>
        <w:b/>
        <w:sz w:val="48"/>
      </w:rPr>
      <w:tab/>
    </w:r>
    <w:r w:rsidRPr="00A747DC">
      <w:rPr>
        <w:rFonts w:ascii="Arial" w:hAnsi="Arial" w:cs="Arial"/>
        <w:b/>
        <w:sz w:val="48"/>
      </w:rPr>
      <w:tab/>
    </w:r>
    <w:r w:rsidRPr="00A747DC">
      <w:tab/>
    </w:r>
    <w:r w:rsidRPr="00A747DC">
      <w:rPr>
        <w:rFonts w:ascii="Arial" w:hAnsi="Arial" w:cs="Arial"/>
        <w:b/>
        <w:sz w:val="48"/>
      </w:rPr>
      <w:t>HU</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E6376" w14:textId="77777777" w:rsidR="00A747DC" w:rsidRPr="00A747DC" w:rsidRDefault="00A747DC" w:rsidP="00A747DC">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F7BF0" w14:textId="77777777" w:rsidR="00516F65" w:rsidRDefault="00516F6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9F087" w14:textId="530B156F" w:rsidR="00516F65" w:rsidRDefault="00516F65">
    <w:pPr>
      <w:pStyle w:val="Footer"/>
      <w:jc w:val="center"/>
    </w:pPr>
    <w:r>
      <w:fldChar w:fldCharType="begin"/>
    </w:r>
    <w:r>
      <w:instrText xml:space="preserve"> PAGE   \* MERGEFORMAT </w:instrText>
    </w:r>
    <w:r>
      <w:fldChar w:fldCharType="separate"/>
    </w:r>
    <w:r w:rsidR="00A747DC">
      <w:rPr>
        <w:noProof/>
      </w:rPr>
      <w:t>1</w:t>
    </w:r>
    <w:r>
      <w:fldChar w:fldCharType="end"/>
    </w:r>
  </w:p>
  <w:p w14:paraId="1D6D3F6A" w14:textId="77777777" w:rsidR="00516F65" w:rsidRDefault="00516F6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32645" w14:textId="77777777" w:rsidR="00516F65" w:rsidRDefault="00516F6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ABC21" w14:textId="77777777" w:rsidR="00EE3E79" w:rsidRDefault="00EE3E7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759CE" w14:textId="580D0D9F" w:rsidR="00EE3E79" w:rsidRDefault="00EE3E79">
    <w:pPr>
      <w:pStyle w:val="Footer"/>
      <w:jc w:val="center"/>
    </w:pPr>
    <w:r>
      <w:fldChar w:fldCharType="begin"/>
    </w:r>
    <w:r>
      <w:instrText xml:space="preserve"> PAGE   \* MERGEFORMAT </w:instrText>
    </w:r>
    <w:r>
      <w:fldChar w:fldCharType="separate"/>
    </w:r>
    <w:r w:rsidR="00A747DC">
      <w:rPr>
        <w:noProof/>
      </w:rPr>
      <w:t>49</w:t>
    </w:r>
    <w:r>
      <w:fldChar w:fldCharType="end"/>
    </w:r>
  </w:p>
  <w:p w14:paraId="3CDCEBBC" w14:textId="77777777" w:rsidR="00EE3E79" w:rsidRDefault="00EE3E7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14E64" w14:textId="77777777" w:rsidR="00EE3E79" w:rsidRDefault="00EE3E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CB36A9" w14:textId="77777777" w:rsidR="0067338B" w:rsidRDefault="0041035E">
      <w:pPr>
        <w:spacing w:after="0" w:line="240" w:lineRule="auto"/>
      </w:pPr>
      <w:r>
        <w:separator/>
      </w:r>
    </w:p>
  </w:footnote>
  <w:footnote w:type="continuationSeparator" w:id="0">
    <w:p w14:paraId="30DAD5DC" w14:textId="77777777" w:rsidR="0067338B" w:rsidRDefault="0041035E">
      <w:pPr>
        <w:spacing w:after="0" w:line="240" w:lineRule="auto"/>
      </w:pPr>
      <w:r>
        <w:continuationSeparator/>
      </w:r>
    </w:p>
  </w:footnote>
  <w:footnote w:id="1">
    <w:p w14:paraId="2C3470E2" w14:textId="77777777" w:rsidR="0067338B" w:rsidRDefault="00516F65" w:rsidP="00AC48C8">
      <w:pPr>
        <w:pStyle w:val="FootnoteText"/>
      </w:pPr>
      <w:r>
        <w:rPr>
          <w:rStyle w:val="FootnoteReference"/>
        </w:rPr>
        <w:footnoteRef/>
      </w:r>
      <w:r>
        <w:t xml:space="preserve"> https://ec.europa.eu/commission/sites/beta-political/files/political-guidelines-next-commission_hu.pdf</w:t>
      </w:r>
    </w:p>
  </w:footnote>
  <w:footnote w:id="2">
    <w:p w14:paraId="72DB6577" w14:textId="77777777" w:rsidR="0067338B" w:rsidRDefault="00516F65" w:rsidP="00AC48C8">
      <w:pPr>
        <w:pStyle w:val="FootnoteText"/>
      </w:pPr>
      <w:r>
        <w:rPr>
          <w:rStyle w:val="FootnoteReference"/>
        </w:rPr>
        <w:footnoteRef/>
      </w:r>
      <w:r>
        <w:t xml:space="preserve"> Az Európai Parlament és a Tanács (EU) 2018/410 irányelve (2018. március 14.) a 2003/87/EK irányelvnek a költséghatékony kibocsátáscsökkentés és az alacsony szén-dioxid-kibocsátású technológiákba történő beruházások növelése érdekében történő módosításáról és az (EU) 2015/1814 határozat módosításáról, HL L 76., 2018.3.19., 3. o.</w:t>
      </w:r>
    </w:p>
  </w:footnote>
  <w:footnote w:id="3">
    <w:p w14:paraId="65D07E7D" w14:textId="44D85F0B" w:rsidR="0067338B" w:rsidRDefault="00516F65" w:rsidP="00AC48C8">
      <w:pPr>
        <w:pStyle w:val="FootnoteText"/>
      </w:pPr>
      <w:r>
        <w:rPr>
          <w:rStyle w:val="FootnoteReference"/>
        </w:rPr>
        <w:footnoteRef/>
      </w:r>
      <w:r>
        <w:t xml:space="preserve"> </w:t>
      </w:r>
      <w:r w:rsidR="0086407F" w:rsidRPr="0086407F">
        <w:t>Az Európai Parlament és a Tanács 2003/87/EK irányelve (2003. október 13.) az üvegházhatást okozó gázok kibocsátási egységei Unión belüli kereskedelmi rendszerének létrehozásáról és a 96/61/EK tanácsi irányelv módosításáról</w:t>
      </w:r>
      <w:r>
        <w:t>, HL L 275., 2003.10.25., 32. o.</w:t>
      </w:r>
    </w:p>
  </w:footnote>
  <w:footnote w:id="4">
    <w:p w14:paraId="0A916FC8" w14:textId="77777777" w:rsidR="0067338B" w:rsidRDefault="00516F65" w:rsidP="00AC48C8">
      <w:pPr>
        <w:pStyle w:val="FootnoteText"/>
      </w:pPr>
      <w:r>
        <w:rPr>
          <w:rStyle w:val="FootnoteReference"/>
        </w:rPr>
        <w:footnoteRef/>
      </w:r>
      <w:r>
        <w:t xml:space="preserve"> A jelentés a 2019. június 28-ig bezárólag rendelkezésre álló adatokat vette figyelembe. </w:t>
      </w:r>
    </w:p>
  </w:footnote>
  <w:footnote w:id="5">
    <w:p w14:paraId="087A147E" w14:textId="77777777" w:rsidR="0067338B" w:rsidRDefault="00516F65" w:rsidP="00AC48C8">
      <w:pPr>
        <w:pStyle w:val="FootnoteText"/>
      </w:pPr>
      <w:r>
        <w:rPr>
          <w:rStyle w:val="FootnoteReference"/>
        </w:rPr>
        <w:footnoteRef/>
      </w:r>
      <w:r>
        <w:t xml:space="preserve"> A 21. cikk alapján benyújtott jelentésekkel összefüggésben a „részt vevő országok” vagy egyszerűen „országok” kifejezés a 28 uniós tagállam mellett az EGT-országokat (Izlandot, Norvégiát és Liechtensteint) is magában foglalja.</w:t>
      </w:r>
    </w:p>
  </w:footnote>
  <w:footnote w:id="6">
    <w:p w14:paraId="4E70C82A" w14:textId="77777777" w:rsidR="0067338B" w:rsidRDefault="00516F65" w:rsidP="00AC48C8">
      <w:pPr>
        <w:pStyle w:val="FootnoteText"/>
      </w:pPr>
      <w:r>
        <w:rPr>
          <w:rStyle w:val="FootnoteReference"/>
        </w:rPr>
        <w:footnoteRef/>
      </w:r>
      <w:r>
        <w:t xml:space="preserve"> Az EU ETS-ben a biomassza kibocsátási tényezője akkor számít nullának, ha egyrészt a „biomassza” fogalommeghatározása, másrészt – amennyiben bioüzemanyagokról és folyékony bio-energiahordozókról van szó – a (megújuló energiaforrásokról szóló) 2009/28/EK irányelv 17. cikkének (1) bekezdése szerinti fenntarthatósági kritériumok teljesülnek. A nulla besorolású kibocsátások után nem szükséges kibocsátási egységeket leadni. A 2019. évi 21. cikk szerinti adatszolgáltatásokban három részt vevő ország (Lettország, Litvánia és Dánia) csak a nulla besorolású biomassza energiatartalmáról számolt be, a tényleges kibocsátásokról nem. Ennek következtében a kibocsátásaikat nem vesszük figyelembe a megadott teljes mennyiségben. </w:t>
      </w:r>
    </w:p>
  </w:footnote>
  <w:footnote w:id="7">
    <w:p w14:paraId="57BBDB68" w14:textId="77777777" w:rsidR="0067338B" w:rsidRDefault="00516F65" w:rsidP="00AC48C8">
      <w:pPr>
        <w:pStyle w:val="FootnoteText"/>
      </w:pPr>
      <w:r>
        <w:rPr>
          <w:rStyle w:val="FootnoteReference"/>
        </w:rPr>
        <w:footnoteRef/>
      </w:r>
      <w:r>
        <w:t xml:space="preserve"> A C. kategóriába tartozó létesítmények éves kibocsátása több mint 500 000 tonna CO</w:t>
      </w:r>
      <w:r>
        <w:rPr>
          <w:vertAlign w:val="subscript"/>
        </w:rPr>
        <w:t>2</w:t>
      </w:r>
      <w:r>
        <w:t>-egyenérték, a B. kategóriájú létesítmények éves kibocsátása 500 000 és 50 000 tonna CO</w:t>
      </w:r>
      <w:r>
        <w:rPr>
          <w:vertAlign w:val="subscript"/>
        </w:rPr>
        <w:t>2</w:t>
      </w:r>
      <w:r>
        <w:t>-egyenérték közé esik, az A. kategóriába tartozó létesítmények kibocsátása pedig nem éri el az évi 50 000 tonna CO</w:t>
      </w:r>
      <w:r>
        <w:rPr>
          <w:vertAlign w:val="subscript"/>
        </w:rPr>
        <w:t>2</w:t>
      </w:r>
      <w:r>
        <w:t>-egyenértéket. A Bizottság 601/2012/EU rendelete (2012. június 21.) az üvegházhatást okozó gázok kibocsátásának a 2003/87/EK európai parlamenti és tanácsi irányelvnek megfelelő nyomon követéséről és jelentéséről, HL L 181., 2012.7.12., 30. o.</w:t>
      </w:r>
    </w:p>
  </w:footnote>
  <w:footnote w:id="8">
    <w:p w14:paraId="5CDD110D" w14:textId="16CF3687" w:rsidR="0067338B" w:rsidRDefault="00880749" w:rsidP="00AC48C8">
      <w:pPr>
        <w:pStyle w:val="FootnoteText"/>
      </w:pPr>
      <w:r>
        <w:rPr>
          <w:rStyle w:val="FootnoteReference"/>
        </w:rPr>
        <w:footnoteRef/>
      </w:r>
      <w:r>
        <w:t xml:space="preserve"> A „kis kibocsátású létesítmények” az A. kategóriájú létesítmények olyan alkategóriáját képezik, amelyek éves kibocsátása nem haladja meg a 25 000 tonna CO</w:t>
      </w:r>
      <w:r>
        <w:rPr>
          <w:vertAlign w:val="subscript"/>
        </w:rPr>
        <w:t>2</w:t>
      </w:r>
      <w:r>
        <w:t xml:space="preserve">-egyenértéket (lásd a 601/2012/EU rendelet 47. cikkének (2) bekezdését). </w:t>
      </w:r>
    </w:p>
  </w:footnote>
  <w:footnote w:id="9">
    <w:p w14:paraId="27E40B9F" w14:textId="77777777" w:rsidR="0067338B" w:rsidRDefault="00516F65" w:rsidP="00AC48C8">
      <w:pPr>
        <w:pStyle w:val="FootnoteText"/>
      </w:pPr>
      <w:r>
        <w:rPr>
          <w:rStyle w:val="FootnoteReference"/>
        </w:rPr>
        <w:footnoteRef/>
      </w:r>
      <w:r>
        <w:t xml:space="preserve"> A Bizottság 601/2012/EU rendelete (2012. június 21.) az üvegházhatást okozó gázok kibocsátásának a 2003/87/EK európai parlamenti és tanácsi irányelvnek megfelelő nyomon követéséről és jelentéséről, HL L 181., 2012.7.12., 30. o.</w:t>
      </w:r>
    </w:p>
  </w:footnote>
  <w:footnote w:id="10">
    <w:p w14:paraId="729E9BD0" w14:textId="77777777" w:rsidR="0067338B" w:rsidRDefault="00516F65" w:rsidP="00AC48C8">
      <w:pPr>
        <w:pStyle w:val="FootnoteText"/>
      </w:pPr>
      <w:r>
        <w:rPr>
          <w:rStyle w:val="FootnoteReference"/>
        </w:rPr>
        <w:footnoteRef/>
      </w:r>
      <w:r>
        <w:t xml:space="preserve"> Kereskedelmi légijármű-üzemeltető például a lakosságnak szolgáltatásokat nyújtó utasszállító légitársaság. Nem kereskedelmi légijármű-üzemeltető például a magántulajdonban lévő légi jármű tulajdonosa.</w:t>
      </w:r>
    </w:p>
  </w:footnote>
  <w:footnote w:id="11">
    <w:p w14:paraId="49CC7E96" w14:textId="77777777" w:rsidR="0067338B" w:rsidRDefault="00516F65" w:rsidP="00AC48C8">
      <w:pPr>
        <w:pStyle w:val="FootnoteText"/>
      </w:pPr>
      <w:r>
        <w:rPr>
          <w:rStyle w:val="FootnoteReference"/>
        </w:rPr>
        <w:footnoteRef/>
      </w:r>
      <w:r>
        <w:t xml:space="preserve"> A Bizottság C(2018)8707 határozata (2018. december 17.) a központi tisztviselőnek a kibocsátási egységek térítésmentes kiosztásához, árverezéséhez és nemzetközi jóváírások ellenében történő megszerzéséhez kapcsolódóan az Egyesült Királyságra vonatkozó folyamatok európai uniós ügyleti jegyzőkönyv általi elfogadásának ideiglenes felfüggesztése céljából történő utasításáról </w:t>
      </w:r>
    </w:p>
  </w:footnote>
  <w:footnote w:id="12">
    <w:p w14:paraId="45211C6E" w14:textId="77777777" w:rsidR="0067338B" w:rsidRDefault="00516F65" w:rsidP="00AC48C8">
      <w:pPr>
        <w:pStyle w:val="FootnoteText"/>
      </w:pPr>
      <w:r>
        <w:rPr>
          <w:rStyle w:val="FootnoteReference"/>
        </w:rPr>
        <w:footnoteRef/>
      </w:r>
      <w:r>
        <w:t xml:space="preserve"> A Bizottság (EU) 2018/208 rendelete (2018. február 12.) az uniós kibocsátásiegység-forgalmi jegyzék létrehozásáról szóló 389/2013/EU rendelet módosításáról, HL L 39/3., 2018.2.13., 3. o.</w:t>
      </w:r>
    </w:p>
  </w:footnote>
  <w:footnote w:id="13">
    <w:p w14:paraId="224C7CEF" w14:textId="77777777" w:rsidR="0067338B" w:rsidRDefault="00516F65" w:rsidP="00AC48C8">
      <w:pPr>
        <w:pStyle w:val="FootnoteText"/>
      </w:pPr>
      <w:r>
        <w:rPr>
          <w:rStyle w:val="FootnoteReference"/>
        </w:rPr>
        <w:footnoteRef/>
      </w:r>
      <w:r>
        <w:t xml:space="preserve"> A Bizottság (EU) 2019/1122 felhatalmazáson alapuló rendelete (2019. március 12.) a 2003/87/EK európai parlamenti és tanácsi irányelvnek az uniós kibocsátásiegység-forgalmi jegyzék működése tekintetében történő kiegészítéséről, HL L 177., 2019.7.2., 3. o.</w:t>
      </w:r>
    </w:p>
  </w:footnote>
  <w:footnote w:id="14">
    <w:p w14:paraId="6B618F8C" w14:textId="5B046727" w:rsidR="0067338B" w:rsidRDefault="00516F65" w:rsidP="00AC48C8">
      <w:pPr>
        <w:pStyle w:val="FootnoteText"/>
      </w:pPr>
      <w:r>
        <w:rPr>
          <w:rStyle w:val="FootnoteReference"/>
        </w:rPr>
        <w:footnoteRef/>
      </w:r>
      <w:r>
        <w:t xml:space="preserve"> Az Európai Parlament és a Tanács 2014/65/EU irányelve (2014. május 15.) a pénzügyi eszközök piacairól, valamint a 2002/92/EK irányelv és a 2011/61/EU irányelv módosításáról</w:t>
      </w:r>
      <w:r w:rsidR="0086407F">
        <w:t xml:space="preserve">, </w:t>
      </w:r>
      <w:r w:rsidR="0086407F" w:rsidRPr="00A8518A">
        <w:t>HL L 173., 2014.6.12., 349. o.</w:t>
      </w:r>
    </w:p>
  </w:footnote>
  <w:footnote w:id="15">
    <w:p w14:paraId="18CCECF1" w14:textId="77777777" w:rsidR="0067338B" w:rsidRDefault="00516F65" w:rsidP="00AC48C8">
      <w:pPr>
        <w:pStyle w:val="FootnoteText"/>
      </w:pPr>
      <w:r>
        <w:rPr>
          <w:rStyle w:val="FootnoteReference"/>
        </w:rPr>
        <w:footnoteRef/>
      </w:r>
      <w:r>
        <w:t xml:space="preserve"> A 2013 óta forgalomba hozott légi közlekedési kibocsátási egységek száma a kibocsátási egységek ingyenes (az EGT-n belüli üzemeltetők tevékenységére vonatkozó tevékenységalapú referenciaértékek alapján meghatározott) kiosztásától kezdődő alulról építkező megközelítés eredménye. Az árverésre bocsátott kibocsátási egységek számát ezt követően vezetik le annak alapján, hogy az ingyenesen kiosztott kibocsátási egységeknek (ideértve a kibocsátási egységek későbbi kiosztása céljából létrehozott különleges tartalékot a gyorsan növekvő légijármű-üzemeltetők és az új belépők számára) az összes kibocsátási egység 85 %-át, míg az árverésre bocsátott kibocsátási egységeknek az összes kibocsátási egység 15 %-át kell kitenniük.</w:t>
      </w:r>
    </w:p>
  </w:footnote>
  <w:footnote w:id="16">
    <w:p w14:paraId="08AA8F6E" w14:textId="77777777" w:rsidR="0067338B" w:rsidRDefault="00516F65" w:rsidP="00AC48C8">
      <w:pPr>
        <w:pStyle w:val="FootnoteText"/>
      </w:pPr>
      <w:r>
        <w:rPr>
          <w:rStyle w:val="FootnoteReference"/>
        </w:rPr>
        <w:footnoteRef/>
      </w:r>
      <w:r>
        <w:t xml:space="preserve"> Az aktualizált adatok az ingyenes kiosztás és az elárverezett mennyiségek mellett a nemzetközi jóváírások beváltását is magukban foglalják. </w:t>
      </w:r>
    </w:p>
  </w:footnote>
  <w:footnote w:id="17">
    <w:p w14:paraId="124D1314" w14:textId="77777777" w:rsidR="0067338B" w:rsidRDefault="00516F65" w:rsidP="00AC48C8">
      <w:pPr>
        <w:pStyle w:val="FootnoteText"/>
      </w:pPr>
      <w:r>
        <w:rPr>
          <w:rStyle w:val="FootnoteReference"/>
        </w:rPr>
        <w:footnoteRef/>
      </w:r>
      <w:r>
        <w:t xml:space="preserve"> A légi közlekedési kibocsátások 2019 évi árverési naptárában szereplő mennyiségeket is tartalmazza. A számadatok között nem szerepelnek az Egyesült Királyságra vonatkozó 2019-es adatok a Bizottság által az EU ETS környezeti integritásának védelme érdekében elfogadott azon védintézkedések értelmében, amelyek olyan esetekben alkalmazandók, amikor az EU-ból kilépő valamely tagállam tekintetében megszűnik az uniós jog érvényessége (lásd a 2.2. fejezetet).</w:t>
      </w:r>
    </w:p>
  </w:footnote>
  <w:footnote w:id="18">
    <w:p w14:paraId="31E1AEDF" w14:textId="77777777" w:rsidR="0067338B" w:rsidRDefault="00516F65" w:rsidP="00AC48C8">
      <w:pPr>
        <w:pStyle w:val="FootnoteText"/>
      </w:pPr>
      <w:r>
        <w:rPr>
          <w:rStyle w:val="FootnoteReference"/>
        </w:rPr>
        <w:footnoteRef/>
      </w:r>
      <w:r>
        <w:t xml:space="preserve"> A számadatok a 2019 júniusáig beérkezett tagállami bejelentéseket tükrözik és a későbbi bejelentések miatt még változhatnak.</w:t>
      </w:r>
    </w:p>
  </w:footnote>
  <w:footnote w:id="19">
    <w:p w14:paraId="39FE7B3A" w14:textId="77777777" w:rsidR="0067338B" w:rsidRDefault="00516F65" w:rsidP="00AC48C8">
      <w:pPr>
        <w:pStyle w:val="FootnoteText"/>
      </w:pPr>
      <w:r>
        <w:rPr>
          <w:rStyle w:val="FootnoteReference"/>
        </w:rPr>
        <w:footnoteRef/>
      </w:r>
      <w:r>
        <w:t xml:space="preserve"> Eredeti összeg, az alábbi táblázatban említett csökkentések előtt. </w:t>
      </w:r>
    </w:p>
  </w:footnote>
  <w:footnote w:id="20">
    <w:p w14:paraId="72CA2E38" w14:textId="77777777" w:rsidR="0067338B" w:rsidRDefault="009B58A9" w:rsidP="00AC48C8">
      <w:pPr>
        <w:pStyle w:val="FootnoteText"/>
      </w:pPr>
      <w:r>
        <w:rPr>
          <w:rStyle w:val="FootnoteReference"/>
        </w:rPr>
        <w:footnoteRef/>
      </w:r>
      <w:r>
        <w:t xml:space="preserve"> Az Egyesült Királyság esetében a kiosztás (a 2019-re vonatkozó összes egységből 48,0 millió kibocsátási egység) felfüggesztésre került a Bizottság által az EU ETS környezeti integritásának védelmét szolgáló védintézkedések miatt azokra az esetekre, amikor az Unióból kilépő valamely tagállam tekintetében megszűnik az uniós jog érvényessége (lásd a 2.2. fejezetet).</w:t>
      </w:r>
    </w:p>
  </w:footnote>
  <w:footnote w:id="21">
    <w:p w14:paraId="515C057E" w14:textId="77777777" w:rsidR="0067338B" w:rsidRDefault="00516F65" w:rsidP="00AC48C8">
      <w:pPr>
        <w:pStyle w:val="FootnoteText"/>
      </w:pPr>
      <w:r>
        <w:rPr>
          <w:rStyle w:val="FootnoteReference"/>
        </w:rPr>
        <w:footnoteRef/>
      </w:r>
      <w:r>
        <w:t xml:space="preserve"> A 2013/448/EU bizottsági határozat, HL L 240., 2013.9.7., 27. o.</w:t>
      </w:r>
    </w:p>
  </w:footnote>
  <w:footnote w:id="22">
    <w:p w14:paraId="524B8305" w14:textId="77777777" w:rsidR="0067338B" w:rsidRDefault="00516F65" w:rsidP="00AC48C8">
      <w:pPr>
        <w:pStyle w:val="FootnoteText"/>
      </w:pPr>
      <w:r>
        <w:rPr>
          <w:rStyle w:val="FootnoteReference"/>
        </w:rPr>
        <w:footnoteRef/>
      </w:r>
      <w:r>
        <w:t xml:space="preserve"> A 2017/126/EU bizottsági határozat, HL L 19., 2017.1.25., 93. o.</w:t>
      </w:r>
    </w:p>
  </w:footnote>
  <w:footnote w:id="23">
    <w:p w14:paraId="35EE4543" w14:textId="77777777" w:rsidR="0067338B" w:rsidRDefault="00516F65" w:rsidP="00AC48C8">
      <w:pPr>
        <w:pStyle w:val="FootnoteText"/>
      </w:pPr>
      <w:r>
        <w:rPr>
          <w:rStyle w:val="FootnoteReference"/>
        </w:rPr>
        <w:footnoteRef/>
      </w:r>
      <w:r>
        <w:t xml:space="preserve"> Az (EU) 2019/708 felhatalmazáson alapuló bizottsági határozat, https://eur-lex.europa.eu/legal-content/HU/TXT/HTML/?uri=CELEX:32019D0708&amp;qid=1571054662554&amp;from=EN</w:t>
      </w:r>
    </w:p>
  </w:footnote>
  <w:footnote w:id="24">
    <w:p w14:paraId="10E3EB24" w14:textId="77777777" w:rsidR="0067338B" w:rsidRDefault="00516F65" w:rsidP="00AC48C8">
      <w:pPr>
        <w:pStyle w:val="FootnoteText"/>
      </w:pPr>
      <w:r>
        <w:rPr>
          <w:rStyle w:val="FootnoteReference"/>
        </w:rPr>
        <w:footnoteRef/>
      </w:r>
      <w:r>
        <w:t xml:space="preserve"> Az (EU) 2019/331 felhatalmazáson alapuló bizottsági rendelet, https://eur-lex.europa.eu/legal-content/HU/TXT/?qid=1573045767306&amp;uri=CELEX:32019R0331</w:t>
      </w:r>
    </w:p>
  </w:footnote>
  <w:footnote w:id="25">
    <w:p w14:paraId="12C088B7" w14:textId="77777777" w:rsidR="0067338B" w:rsidRDefault="00516F65" w:rsidP="00AC48C8">
      <w:pPr>
        <w:pStyle w:val="FootnoteText"/>
      </w:pPr>
      <w:r>
        <w:rPr>
          <w:rStyle w:val="FootnoteReference"/>
        </w:rPr>
        <w:footnoteRef/>
      </w:r>
      <w:r>
        <w:t xml:space="preserve"> A Bizottság (EU) 2017/2172 határozata (2017. november 20.) a 2010/670/EU határozatnak a pályázati felhívások első fordulójából származó, ki nem fizetett bevételek felhasználása tekintetében történő módosításáról</w:t>
      </w:r>
    </w:p>
  </w:footnote>
  <w:footnote w:id="26">
    <w:p w14:paraId="7F4996A3" w14:textId="77777777" w:rsidR="0067338B" w:rsidRDefault="00516F65" w:rsidP="00AC48C8">
      <w:pPr>
        <w:pStyle w:val="FootnoteText"/>
      </w:pPr>
      <w:r>
        <w:rPr>
          <w:rStyle w:val="FootnoteReference"/>
        </w:rPr>
        <w:footnoteRef/>
      </w:r>
      <w:r>
        <w:t xml:space="preserve"> A 2010/670/EU bizottsági határozat értelmében az első pályázati fordulóban nyertes projektekben 2016 végéig kellett a végső beruházási döntést meghozni, míg a második pályázati forduló nyerteseinél ez a határidő 2018 júniusának vége volt.</w:t>
      </w:r>
    </w:p>
  </w:footnote>
  <w:footnote w:id="27">
    <w:p w14:paraId="4524FA54" w14:textId="77777777" w:rsidR="0067338B" w:rsidRDefault="00516F65" w:rsidP="00AC48C8">
      <w:pPr>
        <w:pStyle w:val="FootnoteText"/>
      </w:pPr>
      <w:r>
        <w:rPr>
          <w:rStyle w:val="FootnoteReference"/>
        </w:rPr>
        <w:footnoteRef/>
      </w:r>
      <w:r>
        <w:t xml:space="preserve"> Az alap rendelkezésére álló 450 millió kibocsátási egység értéke a szén-dioxid-ártól függ majd. Kibocsátási egységenkénti 25 eurós átlagár mellett az alap rendelkezésére álló források értéke 11,3 milliárd EUR lenne. </w:t>
      </w:r>
    </w:p>
  </w:footnote>
  <w:footnote w:id="28">
    <w:p w14:paraId="36A43FF5" w14:textId="77777777" w:rsidR="0067338B" w:rsidRDefault="00516F65" w:rsidP="00AC48C8">
      <w:pPr>
        <w:pStyle w:val="FootnoteText"/>
      </w:pPr>
      <w:r>
        <w:rPr>
          <w:rStyle w:val="FootnoteReference"/>
        </w:rPr>
        <w:footnoteRef/>
      </w:r>
      <w:r>
        <w:t xml:space="preserve"> A Bizottság (EU) 2019/856 felhatalmazáson alapuló rendelete (2019. február 26.) a 2003/87/EK európai parlamenti és tanácsi irányelvnek az innovációs alap működése tekintetében való kiegészítéséről, HL L 140., 2019.5.28., 6–17. o.</w:t>
      </w:r>
    </w:p>
  </w:footnote>
  <w:footnote w:id="29">
    <w:p w14:paraId="563672DE" w14:textId="77777777" w:rsidR="0067338B" w:rsidRDefault="00516F65" w:rsidP="00AC48C8">
      <w:pPr>
        <w:pStyle w:val="FootnoteText"/>
      </w:pPr>
      <w:r>
        <w:rPr>
          <w:rStyle w:val="FootnoteReference"/>
        </w:rPr>
        <w:footnoteRef/>
      </w:r>
      <w:r>
        <w:t xml:space="preserve"> Ezen túlmenően a francia és a spanyol programot érintő módosításokat fogadtak el.</w:t>
      </w:r>
    </w:p>
  </w:footnote>
  <w:footnote w:id="30">
    <w:p w14:paraId="01E198D3" w14:textId="77777777" w:rsidR="0067338B" w:rsidRDefault="006B0912" w:rsidP="00AC48C8">
      <w:pPr>
        <w:pStyle w:val="FootnoteText"/>
      </w:pPr>
      <w:r>
        <w:rPr>
          <w:rStyle w:val="FootnoteReference"/>
        </w:rPr>
        <w:footnoteRef/>
      </w:r>
      <w:r>
        <w:t xml:space="preserve"> A kifizetett kompenzációval és a kedvezményezettek számával kapcsolatos információk az (EU) 2018/410 irányelv 10a. cikkének (6) bekezdése szerinti jelentéstételi kötelezettségen alapulnak.</w:t>
      </w:r>
    </w:p>
  </w:footnote>
  <w:footnote w:id="31">
    <w:p w14:paraId="46B098E4" w14:textId="77777777" w:rsidR="0067338B" w:rsidRDefault="00516F65" w:rsidP="00AC48C8">
      <w:pPr>
        <w:pStyle w:val="FootnoteText"/>
      </w:pPr>
      <w:r>
        <w:rPr>
          <w:rStyle w:val="FootnoteReference"/>
        </w:rPr>
        <w:footnoteRef/>
      </w:r>
      <w:r>
        <w:t xml:space="preserve"> 19,7 millió GBP (2018-ban felmerült közvetett költségekre) 1.1355 GBP/EUR átlagos átváltási árfolyam alapján.</w:t>
      </w:r>
    </w:p>
  </w:footnote>
  <w:footnote w:id="32">
    <w:p w14:paraId="7FE62C2F" w14:textId="77777777" w:rsidR="0067338B" w:rsidRDefault="006B0912" w:rsidP="00AC48C8">
      <w:pPr>
        <w:pStyle w:val="FootnoteText"/>
      </w:pPr>
      <w:r>
        <w:rPr>
          <w:rStyle w:val="FootnoteReference"/>
        </w:rPr>
        <w:footnoteRef/>
      </w:r>
      <w:r>
        <w:t xml:space="preserve"> Az Egyesült Királyság jelentésében nem létesítmények, hanem vállalatok szerepelnek.</w:t>
      </w:r>
    </w:p>
  </w:footnote>
  <w:footnote w:id="33">
    <w:p w14:paraId="3C39F140" w14:textId="77777777" w:rsidR="0067338B" w:rsidRDefault="00513707" w:rsidP="00AC48C8">
      <w:pPr>
        <w:pStyle w:val="FootnoteText"/>
      </w:pPr>
      <w:r>
        <w:rPr>
          <w:rStyle w:val="FootnoteReference"/>
        </w:rPr>
        <w:footnoteRef/>
      </w:r>
      <w:r>
        <w:t xml:space="preserve"> Megjegyzendő, hogy az Egyesült Királyság még nem fizette ki a 2018-ban felmerült közvetett költségekre vonatkozó 2019-es támogatást. Ez az oka annak, hogy az Egyesült Királyság esetében az árverésekből származó 2018-as bevételek szerepelnek. </w:t>
      </w:r>
    </w:p>
  </w:footnote>
  <w:footnote w:id="34">
    <w:p w14:paraId="15E8E690" w14:textId="77777777" w:rsidR="0067338B" w:rsidRDefault="001B4818" w:rsidP="00AC48C8">
      <w:pPr>
        <w:pStyle w:val="FootnoteText"/>
      </w:pPr>
      <w:r>
        <w:rPr>
          <w:rStyle w:val="FootnoteReference"/>
        </w:rPr>
        <w:footnoteRef/>
      </w:r>
      <w:r>
        <w:t xml:space="preserve"> Lengyelország nem szerepel itt, mert 2020-ban kezdi meg a 2019-ben felmerült közvetett költségekre vonatkozó támogatások kifizetését.</w:t>
      </w:r>
    </w:p>
  </w:footnote>
  <w:footnote w:id="35">
    <w:p w14:paraId="22E1F2A3" w14:textId="77777777" w:rsidR="0067338B" w:rsidRDefault="00516F65" w:rsidP="00AC48C8">
      <w:pPr>
        <w:pStyle w:val="FootnoteText"/>
      </w:pPr>
      <w:r>
        <w:rPr>
          <w:rStyle w:val="FootnoteReference"/>
        </w:rPr>
        <w:footnoteRef/>
      </w:r>
      <w:r>
        <w:t xml:space="preserve"> A 2018-as kifizetések 2017-es árverési bevételekkel való összehasonlítását az indokolja, hogy általában a 2018-as kifizetések képezik a fogyasztóknál a 2017-es naptári évben felmerült közvetett költségek kompenzációját. </w:t>
      </w:r>
    </w:p>
  </w:footnote>
  <w:footnote w:id="36">
    <w:p w14:paraId="51262643" w14:textId="77777777" w:rsidR="0067338B" w:rsidRDefault="00516F65" w:rsidP="00AC48C8">
      <w:pPr>
        <w:pStyle w:val="FootnoteText"/>
      </w:pPr>
      <w:r>
        <w:rPr>
          <w:rStyle w:val="FootnoteReference"/>
        </w:rPr>
        <w:footnoteRef/>
      </w:r>
      <w:r>
        <w:t xml:space="preserve"> A Bizottság (EU) 2019/7 felhatalmazáson alapuló rendelete (2018. október 30.) az 1031/2010/EU rendeletnek a piaci stabilitási tartalékból 50 millió ki nem osztott kibocsátási egységnek az innovációs alap számára árverés útján való értékesítése tekintetében és egy Németország által kijelölendő aukciós platform bejegyzése céljából történő módosításáról, HL L 2., 2019.1.4., 1–5. o.</w:t>
      </w:r>
    </w:p>
  </w:footnote>
  <w:footnote w:id="37">
    <w:p w14:paraId="3F96CA62" w14:textId="77777777" w:rsidR="0067338B" w:rsidRDefault="00516F65" w:rsidP="00AC48C8">
      <w:pPr>
        <w:pStyle w:val="FootnoteText"/>
      </w:pPr>
      <w:r>
        <w:rPr>
          <w:rStyle w:val="FootnoteReference"/>
        </w:rPr>
        <w:footnoteRef/>
      </w:r>
      <w:r>
        <w:t xml:space="preserve"> Az általános célú kibocsátási egységek mennyiségét az 1359/2013/EU határozat figyelembevételével állapították meg. A légi közlekedési kibocsátási egységek mennyiségét a 377/2013/EU határozat és a 421/2014/EU rendelet figyelembevételével állapították meg.</w:t>
      </w:r>
    </w:p>
  </w:footnote>
  <w:footnote w:id="38">
    <w:p w14:paraId="16DED69D" w14:textId="77777777" w:rsidR="0067338B" w:rsidRDefault="00516F65" w:rsidP="00AC48C8">
      <w:pPr>
        <w:pStyle w:val="FootnoteText"/>
      </w:pPr>
      <w:r>
        <w:rPr>
          <w:rStyle w:val="FootnoteReference"/>
        </w:rPr>
        <w:footnoteRef/>
      </w:r>
      <w:r>
        <w:rPr>
          <w:rStyle w:val="FootnoteReference"/>
        </w:rPr>
        <w:t xml:space="preserve"> </w:t>
      </w:r>
      <w:r>
        <w:t>2012-ben a 3. szakasz kibocsátási egységeinek korai árverésére került sor tekintettel arra a villamosenergia-ágazatban széles körben elterjedt kereskedelmi gyakorlatra, hogy a villamos energiát tőzsdén kívüli határidős ügyletek keretében értékesítik, a szükséges inputot (ezen belül a kibocsátási egységeket) pedig az output értékesítése után szerzik be.</w:t>
      </w:r>
    </w:p>
  </w:footnote>
  <w:footnote w:id="39">
    <w:p w14:paraId="7DDC03AC" w14:textId="77777777" w:rsidR="0067338B" w:rsidRDefault="007C76F9" w:rsidP="00AC48C8">
      <w:pPr>
        <w:pStyle w:val="FootnoteText"/>
      </w:pPr>
      <w:r>
        <w:rPr>
          <w:rStyle w:val="FootnoteReference"/>
        </w:rPr>
        <w:footnoteRef/>
      </w:r>
      <w:r>
        <w:t xml:space="preserve"> A számadatok között nem szerepelnek az Egyesült Királyságra vonatkozó 2019-es adatok a Bizottság által az EU ETS környezeti integritásának védelme érdekében elfogadott azon védintézkedések értelmében, amelyek olyan esetekben alkalmazandók, amikor az EU-ból kilépő valamely tagállam tekintetében megszűnik az uniós jog érvényessége (lásd a 2.2. fejezetet).</w:t>
      </w:r>
    </w:p>
  </w:footnote>
  <w:footnote w:id="40">
    <w:p w14:paraId="7C85D7FD" w14:textId="77777777" w:rsidR="0067338B" w:rsidRPr="00AC48C8" w:rsidRDefault="00516F65" w:rsidP="00AC48C8">
      <w:pPr>
        <w:pStyle w:val="FootnoteText"/>
      </w:pPr>
      <w:r w:rsidRPr="00AC48C8">
        <w:rPr>
          <w:rStyle w:val="FootnoteReference"/>
        </w:rPr>
        <w:footnoteRef/>
      </w:r>
      <w:r w:rsidRPr="00AC48C8">
        <w:t xml:space="preserve"> </w:t>
      </w:r>
      <w:hyperlink r:id="rId1" w:history="1">
        <w:r w:rsidRPr="00AC48C8">
          <w:rPr>
            <w:rStyle w:val="Hyperlink"/>
            <w:color w:val="auto"/>
          </w:rPr>
          <w:t>http://ec.europa.eu/clima/policies/ets/auctioning/documentation_en.htm</w:t>
        </w:r>
      </w:hyperlink>
    </w:p>
  </w:footnote>
  <w:footnote w:id="41">
    <w:p w14:paraId="35BC0484" w14:textId="77777777" w:rsidR="0067338B" w:rsidRDefault="00516F65" w:rsidP="00AC48C8">
      <w:pPr>
        <w:pStyle w:val="FootnoteText"/>
      </w:pPr>
      <w:r>
        <w:rPr>
          <w:rStyle w:val="FootnoteReference"/>
        </w:rPr>
        <w:footnoteRef/>
      </w:r>
      <w:r>
        <w:t xml:space="preserve"> A számok tartalmazzák a 2019-es árverési naptárból árverésre kerülő mennyiségeket, így magukban foglalják a Lengyelország által 2019-ben elárverezni kívánt 55,8 millió ki nem osztott kibocsátási egységet.</w:t>
      </w:r>
    </w:p>
  </w:footnote>
  <w:footnote w:id="42">
    <w:p w14:paraId="0905FC52" w14:textId="1AD71895" w:rsidR="0067338B" w:rsidRDefault="00516F65" w:rsidP="00AC48C8">
      <w:pPr>
        <w:pStyle w:val="FootnoteText"/>
      </w:pPr>
      <w:r>
        <w:rPr>
          <w:rStyle w:val="FootnoteReference"/>
        </w:rPr>
        <w:footnoteRef/>
      </w:r>
      <w:r>
        <w:t xml:space="preserve"> Az adatok tartalmazzák a 2019-es árverési naptárból árverésre kerülő mennyiségeket (a 2013–2018 közötti kiosztási évekből). </w:t>
      </w:r>
    </w:p>
  </w:footnote>
  <w:footnote w:id="43">
    <w:p w14:paraId="45AD8A64" w14:textId="77777777" w:rsidR="0067338B" w:rsidRDefault="00516F65" w:rsidP="00AC48C8">
      <w:pPr>
        <w:pStyle w:val="FootnoteText"/>
      </w:pPr>
      <w:r>
        <w:rPr>
          <w:rStyle w:val="FootnoteReference"/>
        </w:rPr>
        <w:footnoteRef/>
      </w:r>
      <w:r>
        <w:t xml:space="preserve"> A 7. táblázatban található „villamosenergia- és hőtermelés”, illetve „ipar” kategóriákba sorolás megfelel a következő kereskedési időszakban kibocsátás-áthelyezési kockázatnak kitett ágazatok listájának összeállításához használt 4. szakaszbeli NACE besorolásnak.</w:t>
      </w:r>
    </w:p>
  </w:footnote>
  <w:footnote w:id="44">
    <w:p w14:paraId="2DA2E570" w14:textId="77777777" w:rsidR="0067338B" w:rsidRDefault="00516F65" w:rsidP="00AC48C8">
      <w:pPr>
        <w:pStyle w:val="FootnoteText"/>
      </w:pPr>
      <w:r>
        <w:rPr>
          <w:rStyle w:val="FootnoteReference"/>
        </w:rPr>
        <w:footnoteRef/>
      </w:r>
      <w:r>
        <w:t xml:space="preserve"> Az Európai Parlament és a Tanács (EU) 2015/1814 határozata (2015. október 6.) az üvegházhatású gázok uniós kibocsátáskereskedelmi rendszeréhez piaci stabilizációs tartalék létrehozásáról és működtetéséről, valamint a 2003/87/EK irányelv módosításáról, HL L 264., 2015.10.9., 1. o.</w:t>
      </w:r>
    </w:p>
  </w:footnote>
  <w:footnote w:id="45">
    <w:p w14:paraId="5D48BB9F" w14:textId="77777777" w:rsidR="0067338B" w:rsidRDefault="00516F65" w:rsidP="00AC48C8">
      <w:pPr>
        <w:pStyle w:val="FootnoteText"/>
      </w:pPr>
      <w:r>
        <w:rPr>
          <w:rStyle w:val="FootnoteReference"/>
        </w:rPr>
        <w:footnoteRef/>
      </w:r>
      <w:r>
        <w:t xml:space="preserve"> Az Európai Parlament és a Tanács (EU) 2018/410 irányelve (2018. március 14.) a 2003/87/EK irányelvnek a költséghatékony kibocsátáscsökkentés és az alacsony szén-dioxid-kibocsátású technológiákba történő beruházások növelése érdekében történő módosításáról és az (EU) 2015/1814 határozat módosításáról (HL L 76., 2018.3.19., 3. o.); elérhető itt: </w:t>
      </w:r>
      <w:hyperlink r:id="rId2" w:history="1">
        <w:r>
          <w:rPr>
            <w:rStyle w:val="Hyperlink"/>
          </w:rPr>
          <w:t>https://eur-lex.europa.eu/legal-content/HU/TXT/?qid=1573044977057&amp;uri=CELEX:32018L0410</w:t>
        </w:r>
      </w:hyperlink>
      <w:r>
        <w:t xml:space="preserve"> </w:t>
      </w:r>
    </w:p>
  </w:footnote>
  <w:footnote w:id="46">
    <w:p w14:paraId="4A52BCF8" w14:textId="77777777" w:rsidR="0067338B" w:rsidRDefault="00516F65">
      <w:pPr>
        <w:pStyle w:val="Default"/>
        <w:rPr>
          <w:color w:val="auto"/>
          <w:sz w:val="18"/>
          <w:szCs w:val="18"/>
        </w:rPr>
      </w:pPr>
      <w:r>
        <w:rPr>
          <w:rStyle w:val="FootnoteReference"/>
          <w:sz w:val="20"/>
          <w:szCs w:val="20"/>
        </w:rPr>
        <w:footnoteRef/>
      </w:r>
      <w:r>
        <w:rPr>
          <w:sz w:val="20"/>
          <w:szCs w:val="20"/>
        </w:rPr>
        <w:t xml:space="preserve"> </w:t>
      </w:r>
      <w:r>
        <w:rPr>
          <w:sz w:val="18"/>
          <w:szCs w:val="18"/>
        </w:rPr>
        <w:t>C(2019)3288, https://eur-lex.europa.eu/legal-content/HU/TXT/PDF/?uri=CELEX:52019XC0516(01)&amp;from=HU</w:t>
      </w:r>
    </w:p>
  </w:footnote>
  <w:footnote w:id="47">
    <w:p w14:paraId="632859BF" w14:textId="77777777" w:rsidR="0067338B" w:rsidRDefault="00516F65" w:rsidP="00AC48C8">
      <w:pPr>
        <w:pStyle w:val="FootnoteText"/>
      </w:pPr>
      <w:r>
        <w:rPr>
          <w:rStyle w:val="FootnoteReference"/>
        </w:rPr>
        <w:footnoteRef/>
      </w:r>
      <w:r>
        <w:t xml:space="preserve"> C(2017)3228, https://eur-lex.europa.eu/legal-content/HU/TXT/PDF/?uri=CELEX:52017XC0513(01)&amp;from=EN</w:t>
      </w:r>
    </w:p>
  </w:footnote>
  <w:footnote w:id="48">
    <w:p w14:paraId="1E07E48F" w14:textId="77777777" w:rsidR="0067338B" w:rsidRDefault="00516F65" w:rsidP="00AC48C8">
      <w:pPr>
        <w:pStyle w:val="FootnoteText"/>
      </w:pPr>
      <w:r>
        <w:rPr>
          <w:rStyle w:val="FootnoteReference"/>
        </w:rPr>
        <w:footnoteRef/>
      </w:r>
      <w:r>
        <w:t xml:space="preserve"> C(2019)3288, https://eur-lex.europa.eu/legal-content/HU/TXT/PDF/?uri=OJ:C:2019:167:FULL&amp;from=EN</w:t>
      </w:r>
    </w:p>
  </w:footnote>
  <w:footnote w:id="49">
    <w:p w14:paraId="2FD7F234" w14:textId="77777777" w:rsidR="0067338B" w:rsidRDefault="00516F65" w:rsidP="00AC48C8">
      <w:pPr>
        <w:pStyle w:val="FootnoteText"/>
      </w:pPr>
      <w:r>
        <w:rPr>
          <w:rStyle w:val="FootnoteReference"/>
        </w:rPr>
        <w:footnoteRef/>
      </w:r>
      <w:r>
        <w:t xml:space="preserve"> A piaci stabilizációs tartalékhoz a 2020 januárjától augusztusáig tartó időszakban hozzáadandó mennyiséget a többletmutató 2019-es közzététele határozta meg és összege közel 265 millió kibocsátási egység volt. A piaci stabilizációs tartalékhoz 2020-ban hozzáadandó fennmaradó mennyiséget a többletmutató közzététele fogja meghatározni.</w:t>
      </w:r>
    </w:p>
  </w:footnote>
  <w:footnote w:id="50">
    <w:p w14:paraId="0A738DD6" w14:textId="77777777" w:rsidR="0067338B" w:rsidRDefault="00516F65" w:rsidP="00AC48C8">
      <w:pPr>
        <w:pStyle w:val="FootnoteText"/>
      </w:pPr>
      <w:r>
        <w:rPr>
          <w:rStyle w:val="FootnoteReference"/>
        </w:rPr>
        <w:footnoteRef/>
      </w:r>
      <w:r>
        <w:t xml:space="preserve"> Megjegyzendő, hogy a tényleges árverésre bocsátott mennyiségek más tényezőktől is függenek, mint például a 10c. cikk szerinti eltérésből fennmaradt egységek elárverezése és az EGT/EFTA államok részvétele az EU ETS-ben.</w:t>
      </w:r>
    </w:p>
  </w:footnote>
  <w:footnote w:id="51">
    <w:p w14:paraId="0E14EF29" w14:textId="77777777" w:rsidR="0067338B" w:rsidRDefault="00516F65" w:rsidP="00AC48C8">
      <w:pPr>
        <w:pStyle w:val="FootnoteText"/>
      </w:pPr>
      <w:r>
        <w:rPr>
          <w:rStyle w:val="FootnoteReference"/>
        </w:rPr>
        <w:footnoteRef/>
      </w:r>
      <w:r>
        <w:t xml:space="preserve"> Figyelembe véve, hogy a 2019 januárjától augusztusáig terjedő időszak árverésre bocsátott mennyiségeit a piaci stabilizációs tartalék már a 2017-es többletadatok alapján csökkentette.</w:t>
      </w:r>
    </w:p>
  </w:footnote>
  <w:footnote w:id="52">
    <w:p w14:paraId="5427B602" w14:textId="77777777" w:rsidR="0067338B" w:rsidRDefault="00516F65" w:rsidP="00AC48C8">
      <w:pPr>
        <w:pStyle w:val="FootnoteText"/>
      </w:pPr>
      <w:r>
        <w:rPr>
          <w:rStyle w:val="FootnoteReference"/>
        </w:rPr>
        <w:footnoteRef/>
      </w:r>
      <w:r>
        <w:t xml:space="preserve"> Ezek a számok nem veszik figyelembe a légijármű-üzemeltetők összes bezárását.</w:t>
      </w:r>
    </w:p>
  </w:footnote>
  <w:footnote w:id="53">
    <w:p w14:paraId="127E5AD3" w14:textId="77777777" w:rsidR="0067338B" w:rsidRDefault="00BE6633" w:rsidP="00AC48C8">
      <w:pPr>
        <w:pStyle w:val="FootnoteText"/>
      </w:pPr>
      <w:r>
        <w:rPr>
          <w:rStyle w:val="FootnoteReference"/>
        </w:rPr>
        <w:footnoteRef/>
      </w:r>
      <w:r>
        <w:t xml:space="preserve"> Az Egyesült Királyság esetében a kiosztás (a 2019-re vonatkozó összes egységből 4,31 millió kibocsátási egység) felfüggesztésre került a Bizottság által az EU ETS környezeti integritásának védelmét szolgáló védintézkedések miatt azokra az esetekre, amikor az Unióból kilépő valamely tagállam tekintetében megszűnik az uniós jog érvényessége (lásd a 2.2. fejezetet).</w:t>
      </w:r>
    </w:p>
  </w:footnote>
  <w:footnote w:id="54">
    <w:p w14:paraId="146EF9F1" w14:textId="77777777" w:rsidR="0067338B" w:rsidRDefault="00516F65" w:rsidP="00AC48C8">
      <w:pPr>
        <w:pStyle w:val="FootnoteText"/>
      </w:pPr>
      <w:r>
        <w:rPr>
          <w:rStyle w:val="FootnoteReference"/>
        </w:rPr>
        <w:footnoteRef/>
      </w:r>
      <w:r>
        <w:t xml:space="preserve"> 2019. június végéig</w:t>
      </w:r>
    </w:p>
  </w:footnote>
  <w:footnote w:id="55">
    <w:p w14:paraId="00774941" w14:textId="77777777" w:rsidR="0067338B" w:rsidRDefault="00516F65" w:rsidP="00AC48C8">
      <w:pPr>
        <w:pStyle w:val="FootnoteText"/>
      </w:pPr>
      <w:r>
        <w:rPr>
          <w:rStyle w:val="FootnoteReference"/>
        </w:rPr>
        <w:footnoteRef/>
      </w:r>
      <w:r>
        <w:t xml:space="preserve"> Az Európai Parlament és a Tanács 377/2013/EU határozata (2013. április 24.) az üvegházhatást okozó gázok kibocsátási egységei Közösségen belüli kereskedelmi rendszerének létrehozásáról szóló 2003/87/EK irányelvtől való ideiglenes eltérésről (EGT-vonatkozású szöveg), HL L 113., 2013.4.25., 1. o.</w:t>
      </w:r>
    </w:p>
  </w:footnote>
  <w:footnote w:id="56">
    <w:p w14:paraId="7B41E6A7" w14:textId="77777777" w:rsidR="0067338B" w:rsidRDefault="00516F65" w:rsidP="00AC48C8">
      <w:pPr>
        <w:pStyle w:val="FootnoteText"/>
      </w:pPr>
      <w:r>
        <w:rPr>
          <w:rStyle w:val="FootnoteReference"/>
        </w:rPr>
        <w:footnoteRef/>
      </w:r>
      <w:r>
        <w:t xml:space="preserve"> https://www.icao.int/environmental-protection/CORSIA/Pages/SARPs-Annex-16-Volume-IV.aspx</w:t>
      </w:r>
    </w:p>
  </w:footnote>
  <w:footnote w:id="57">
    <w:p w14:paraId="2A3A7CAC" w14:textId="77777777" w:rsidR="0067338B" w:rsidRDefault="000E17BF" w:rsidP="00AC48C8">
      <w:pPr>
        <w:pStyle w:val="FootnoteText"/>
      </w:pPr>
      <w:r>
        <w:rPr>
          <w:rStyle w:val="FootnoteReference"/>
        </w:rPr>
        <w:footnoteRef/>
      </w:r>
      <w:r>
        <w:t xml:space="preserve"> A Tanács (EU) 2018/2027 határozata (2018. november 29.) az Európai Unió nevében a Nemzetközi Polgári Repülési Szervezetben a Nemzetközi szabványok és ajánlott gyakorlatok, Környezetvédelem – A nemzetközi légi közlekedés kibocsátáskompenzációs és -csökkentési rendszere (CORSIA) első kiadása tekintetében képviselendő álláspont meghatározásáról, HL L 325., 2018.12.20., 25–28. o.</w:t>
      </w:r>
    </w:p>
  </w:footnote>
  <w:footnote w:id="58">
    <w:p w14:paraId="20CD95FF" w14:textId="77777777" w:rsidR="0067338B" w:rsidRDefault="00B508EC" w:rsidP="00AC48C8">
      <w:pPr>
        <w:pStyle w:val="FootnoteText"/>
      </w:pPr>
      <w:r>
        <w:rPr>
          <w:rStyle w:val="FootnoteReference"/>
        </w:rPr>
        <w:footnoteRef/>
      </w:r>
      <w:r>
        <w:t xml:space="preserve"> Valamennyi adat a közös aukciós platform (CAP2) Bizottsághoz benyújtott havi jelentéseiből származik.</w:t>
      </w:r>
    </w:p>
  </w:footnote>
  <w:footnote w:id="59">
    <w:p w14:paraId="0A00245E" w14:textId="77777777" w:rsidR="0067338B" w:rsidRDefault="00516F65" w:rsidP="00AC48C8">
      <w:pPr>
        <w:pStyle w:val="FootnoteText"/>
      </w:pPr>
      <w:r>
        <w:rPr>
          <w:rStyle w:val="FootnoteReference"/>
        </w:rPr>
        <w:footnoteRef/>
      </w:r>
      <w:r>
        <w:t xml:space="preserve"> Az árverésekről szóló rendeletet 18. cikkének (2) bekezdése alapján.</w:t>
      </w:r>
    </w:p>
  </w:footnote>
  <w:footnote w:id="60">
    <w:p w14:paraId="427FDDA0" w14:textId="77777777" w:rsidR="0067338B" w:rsidRDefault="00516F65" w:rsidP="00AC48C8">
      <w:pPr>
        <w:pStyle w:val="FootnoteText"/>
      </w:pPr>
      <w:r>
        <w:rPr>
          <w:rStyle w:val="FootnoteReference"/>
        </w:rPr>
        <w:footnoteRef/>
      </w:r>
      <w:r>
        <w:t xml:space="preserve"> A nemzeti illetékes hatóságok listája az alábbi oldalon érhető el: https://ec.europa.eu/info/system/files/mar-2014-596-art-22-list_en.pdf  </w:t>
      </w:r>
    </w:p>
  </w:footnote>
  <w:footnote w:id="61">
    <w:p w14:paraId="3E6614CC" w14:textId="2D7A7A20" w:rsidR="0067338B" w:rsidRDefault="00516F65" w:rsidP="00AC48C8">
      <w:pPr>
        <w:pStyle w:val="FootnoteText"/>
      </w:pPr>
      <w:r>
        <w:rPr>
          <w:rStyle w:val="FootnoteReference"/>
        </w:rPr>
        <w:footnoteRef/>
      </w:r>
      <w:r>
        <w:t xml:space="preserve"> A pénzügyi eszközök piacairól és a 648/2012/EU rendelet módosításáról szóló</w:t>
      </w:r>
      <w:r w:rsidR="0086407F">
        <w:t>,</w:t>
      </w:r>
      <w:r w:rsidR="00A8518A">
        <w:t xml:space="preserve"> </w:t>
      </w:r>
      <w:r w:rsidR="0086407F">
        <w:t xml:space="preserve">2014. május 15-i </w:t>
      </w:r>
      <w:r>
        <w:t xml:space="preserve"> 600/2014/EU európai parlamenti és tanácsi rendelet (MiFIR) 26. cikke értelmében a kereskedési helyszíneknek és a befektetési vállalkozásoknak részletes adatokat kell közölniük az illetékes hatóságokkal a kibocsátási egységekkel és azok származtatott termékeivel végrehajtott ügyletekről.</w:t>
      </w:r>
    </w:p>
  </w:footnote>
  <w:footnote w:id="62">
    <w:p w14:paraId="6D38AF7F" w14:textId="77777777" w:rsidR="0067338B" w:rsidRDefault="00516F65" w:rsidP="00AC48C8">
      <w:pPr>
        <w:pStyle w:val="FootnoteText"/>
      </w:pPr>
      <w:r>
        <w:rPr>
          <w:rStyle w:val="FootnoteReference"/>
        </w:rPr>
        <w:footnoteRef/>
      </w:r>
      <w:r>
        <w:t xml:space="preserve"> A MiFID II. irányelv 58. cikke szerinti pozíciójelentési kötelezettség célja, hogy lehetővé tegye a személyek különböző kategóriái által kibocsátási egységek vonatkozásában tartott pozíciók nyomon követését.</w:t>
      </w:r>
    </w:p>
  </w:footnote>
  <w:footnote w:id="63">
    <w:p w14:paraId="32B18FBA" w14:textId="77777777" w:rsidR="0067338B" w:rsidRDefault="00B508EC" w:rsidP="00AC48C8">
      <w:pPr>
        <w:pStyle w:val="FootnoteText"/>
      </w:pPr>
      <w:r>
        <w:rPr>
          <w:rStyle w:val="FootnoteReference"/>
        </w:rPr>
        <w:footnoteRef/>
      </w:r>
      <w:r>
        <w:t xml:space="preserve"> A MiFIR rendelet 8., 10. és 21. cikke által létrehozott kereskedés előtti és kereskedés utáni átláthatósági rendszer célja annak biztosítása, hogy a piaci résztvevők megbízhatóbb és könnyebben hozzáférhető információkkal rendelkezzenek a kereskedési lehetőségekről és az árfolyamokról.</w:t>
      </w:r>
    </w:p>
  </w:footnote>
  <w:footnote w:id="64">
    <w:p w14:paraId="60E39E52" w14:textId="19786A34" w:rsidR="0067338B" w:rsidRDefault="00516F65" w:rsidP="00AC48C8">
      <w:pPr>
        <w:pStyle w:val="FootnoteText"/>
      </w:pPr>
      <w:r>
        <w:rPr>
          <w:rStyle w:val="FootnoteReference"/>
        </w:rPr>
        <w:footnoteRef/>
      </w:r>
      <w:r>
        <w:t xml:space="preserve"> A pozíciókkal kapcsolatos nyilvánosan hozzáférhető heti jelentések átláthatóságot biztosítanak arról, hogy a kereskedők bizonyos kategóriái hogyan látják a piacot.</w:t>
      </w:r>
    </w:p>
  </w:footnote>
  <w:footnote w:id="65">
    <w:p w14:paraId="173DA222" w14:textId="77777777" w:rsidR="0067338B" w:rsidRDefault="00516F65" w:rsidP="00AC48C8">
      <w:pPr>
        <w:pStyle w:val="FootnoteText"/>
      </w:pPr>
      <w:r>
        <w:rPr>
          <w:rStyle w:val="FootnoteReference"/>
        </w:rPr>
        <w:footnoteRef/>
      </w:r>
      <w:r>
        <w:t xml:space="preserve"> A tanulmány az alábbi helyen érhető el: https://publications.europa.eu/en/publication-detail/-/publication/9d985256-a6a9-11e9-9d01-01aa75ed71a1/language-en</w:t>
      </w:r>
    </w:p>
  </w:footnote>
  <w:footnote w:id="66">
    <w:p w14:paraId="3281ACDF" w14:textId="77777777" w:rsidR="0067338B" w:rsidRDefault="00516F65" w:rsidP="00AC48C8">
      <w:pPr>
        <w:pStyle w:val="FootnoteText"/>
        <w:rPr>
          <w:sz w:val="16"/>
          <w:szCs w:val="16"/>
        </w:rPr>
      </w:pPr>
      <w:r>
        <w:rPr>
          <w:rStyle w:val="FootnoteReference"/>
        </w:rPr>
        <w:footnoteRef/>
      </w:r>
      <w:r>
        <w:t xml:space="preserve"> Az Európai Parlament és a Tanács 2014/65/EU irányelve (2014. május 15.) a pénzügyi eszközök piacairól, valamint a 2002/92/EK irányelv és a 2011/61/EU irányelv módosításáról (HL L 173., 2014.6.12., 349. o.) A következő oldalon érhető el: </w:t>
      </w:r>
      <w:hyperlink r:id="rId3" w:history="1">
        <w:r>
          <w:rPr>
            <w:rStyle w:val="Hyperlink"/>
            <w:sz w:val="16"/>
            <w:szCs w:val="16"/>
          </w:rPr>
          <w:t>https://eur-lex.europa.eu/legal-content/HU/TXT/?qid=1536584176375&amp;uri=CELEX%3A02014L0065-20160701</w:t>
        </w:r>
      </w:hyperlink>
    </w:p>
  </w:footnote>
  <w:footnote w:id="67">
    <w:p w14:paraId="33D1BB88" w14:textId="77777777" w:rsidR="0067338B" w:rsidRDefault="00516F65" w:rsidP="00AC48C8">
      <w:pPr>
        <w:pStyle w:val="FootnoteText"/>
      </w:pPr>
      <w:r>
        <w:rPr>
          <w:rStyle w:val="FootnoteReference"/>
        </w:rPr>
        <w:footnoteRef/>
      </w:r>
      <w:r>
        <w:t xml:space="preserve"> A Tanács (EU) 2018/1695 irányelve (2018. november 6.) a közös hozzáadottértékadó-rendszerről szóló 2006/112/EK irányelvnek a bizonyos csalásra alkalmas termékek értékesítése és szolgáltatások nyújtása esetén alkalmazott válaszható fordított adózás, valamint a héacsalás elleni gyorsreagálási mechanizmus alkalmazási időszaka tekintetében történő módosításáról, HL L 282., 2018.11.12., 5. o.</w:t>
      </w:r>
    </w:p>
  </w:footnote>
  <w:footnote w:id="68">
    <w:p w14:paraId="1014260D" w14:textId="77777777" w:rsidR="0067338B" w:rsidRDefault="00516F65" w:rsidP="00AC48C8">
      <w:pPr>
        <w:pStyle w:val="FootnoteText"/>
      </w:pPr>
      <w:r>
        <w:rPr>
          <w:rStyle w:val="FootnoteReference"/>
        </w:rPr>
        <w:footnoteRef/>
      </w:r>
      <w:r>
        <w:t xml:space="preserve"> A Bizottság (EU) 2018/2066 végrehajtási rendelete (2018. december 19.) az üvegházhatású gázok kibocsátásának a 2003/87/EK európai parlamenti és tanácsi irányelvnek megfelelő nyomon követéséről és jelentéséről, valamint a 601/2012/EU bizottsági rendelet módosításáról, HL L 334., 2018.12.31., 1–93. o.</w:t>
      </w:r>
    </w:p>
  </w:footnote>
  <w:footnote w:id="69">
    <w:p w14:paraId="70048BCC" w14:textId="77777777" w:rsidR="0067338B" w:rsidRDefault="00516F65" w:rsidP="00AC48C8">
      <w:pPr>
        <w:pStyle w:val="FootnoteText"/>
      </w:pPr>
      <w:r>
        <w:rPr>
          <w:rStyle w:val="FootnoteReference"/>
        </w:rPr>
        <w:footnoteRef/>
      </w:r>
      <w:r>
        <w:t xml:space="preserve"> A Bizottság (EU) 2018/2067 végrehajtási rendelete (2018. december 19.) a 2003/87/EK európai parlamenti és tanácsi irányelv értelmében az adatok hitelesítéséről és a hitelesítők akkreditálásáról, HL L 334., 2018.12.31., 94–134. o.</w:t>
      </w:r>
    </w:p>
  </w:footnote>
  <w:footnote w:id="70">
    <w:p w14:paraId="79741175" w14:textId="77777777" w:rsidR="0067338B" w:rsidRDefault="00516F65" w:rsidP="00AC48C8">
      <w:pPr>
        <w:pStyle w:val="FootnoteText"/>
      </w:pPr>
      <w:r>
        <w:rPr>
          <w:rStyle w:val="FootnoteReference"/>
        </w:rPr>
        <w:footnoteRef/>
      </w:r>
      <w:r>
        <w:t xml:space="preserve"> Ennek fő oka, hogy a mérésen alapuló módszer a releváns üvegházhatású gázok koncentrációjának folyamatos méréséhez számottevő erőforrást és know-how-t igényel, amivel sok kisebb üzemeltető nem rendelkezik.</w:t>
      </w:r>
    </w:p>
  </w:footnote>
  <w:footnote w:id="71">
    <w:p w14:paraId="74CEBB8C" w14:textId="77777777" w:rsidR="0067338B" w:rsidRDefault="00516F65" w:rsidP="00AC48C8">
      <w:pPr>
        <w:pStyle w:val="FootnoteText"/>
      </w:pPr>
      <w:r>
        <w:rPr>
          <w:rStyle w:val="FootnoteReference"/>
        </w:rPr>
        <w:footnoteRef/>
      </w:r>
      <w:r>
        <w:t xml:space="preserve"> A 601/2012/EU bizottsági rendelet előírja, hogy valamennyi üzemeltetőnek teljesítenie kell bizonyos minimális meghatározási szinteket: a nagyobb kibocsátási forrásoknak magasabb meghatározási szinteknek kell megfelelniük (megbízhatóbb adatminőséget kell biztosítaniuk), míg a kisebb forrásokra költséghatékonysági okokból kevésbé szigorú követelmények vonatkoznak.</w:t>
      </w:r>
    </w:p>
  </w:footnote>
  <w:footnote w:id="72">
    <w:p w14:paraId="39FDE86A" w14:textId="77777777" w:rsidR="0067338B" w:rsidRDefault="00516F65" w:rsidP="00AC48C8">
      <w:pPr>
        <w:pStyle w:val="FootnoteText"/>
      </w:pPr>
      <w:r>
        <w:rPr>
          <w:rStyle w:val="FootnoteReference"/>
        </w:rPr>
        <w:footnoteRef/>
      </w:r>
      <w:r>
        <w:t xml:space="preserve"> Az EA listája az EU ETS számára hitelesítőket akkreditáló nemzeti akkreditáló testületek elérhetőségeiről: https://european-accreditation.org/national-accreditation-bodies-having-successfully-undergone-peer-evaluation-by-ea/</w:t>
      </w:r>
    </w:p>
  </w:footnote>
  <w:footnote w:id="73">
    <w:p w14:paraId="5CC9FC67" w14:textId="7F82D2B7" w:rsidR="0067338B" w:rsidRDefault="00516F65" w:rsidP="00AC48C8">
      <w:pPr>
        <w:pStyle w:val="FootnoteText"/>
      </w:pPr>
      <w:r>
        <w:rPr>
          <w:rStyle w:val="FootnoteReference"/>
        </w:rPr>
        <w:footnoteRef/>
      </w:r>
      <w:r>
        <w:t xml:space="preserve"> Néhány esetben előfordulhat, hogy az országok több regionális/helyi hatóságot is egy illetékes hatóságként jelentenek be.</w:t>
      </w:r>
    </w:p>
  </w:footnote>
  <w:footnote w:id="74">
    <w:p w14:paraId="4BE4E9B6" w14:textId="77777777" w:rsidR="0067338B" w:rsidRDefault="00516F65" w:rsidP="00AC48C8">
      <w:pPr>
        <w:pStyle w:val="FootnoteText"/>
      </w:pPr>
      <w:r>
        <w:rPr>
          <w:rStyle w:val="FootnoteReference"/>
        </w:rPr>
        <w:footnoteRef/>
      </w:r>
      <w:r>
        <w:t xml:space="preserve"> Ez a teljes összeg nem tartalmazza a Portugáliában a légiközlekedési ágazatra kivetett bírságokat, mivel a szankcionálási folyamatok lezáratlansága miatt még nem állapították meg a bírságok értékét. </w:t>
      </w:r>
    </w:p>
  </w:footnote>
  <w:footnote w:id="75">
    <w:p w14:paraId="27E6D358" w14:textId="77777777" w:rsidR="0067338B" w:rsidRDefault="00516F65" w:rsidP="00AC48C8">
      <w:pPr>
        <w:pStyle w:val="FootnoteText"/>
      </w:pPr>
      <w:r>
        <w:rPr>
          <w:rStyle w:val="FootnoteReference"/>
        </w:rPr>
        <w:footnoteRef/>
      </w:r>
      <w:r>
        <w:t xml:space="preserve"> Magyarország a 10c. cikk szerinti eltérés lehetőségével csak 2013-ban élt. </w:t>
      </w:r>
    </w:p>
  </w:footnote>
  <w:footnote w:id="76">
    <w:p w14:paraId="5D46A3D8" w14:textId="77777777" w:rsidR="0067338B" w:rsidRDefault="00516F65" w:rsidP="00AC48C8">
      <w:pPr>
        <w:pStyle w:val="FootnoteText"/>
      </w:pPr>
      <w:r>
        <w:rPr>
          <w:rStyle w:val="FootnoteReference"/>
        </w:rPr>
        <w:footnoteRef/>
      </w:r>
      <w:r>
        <w:t xml:space="preserve"> 2013-ban és 2014-ben árverezés útján nem értékesítettek felhasználatlan 10c. cikk szerinti kibocsátási egységeket.</w:t>
      </w:r>
    </w:p>
  </w:footnote>
  <w:footnote w:id="77">
    <w:p w14:paraId="7A087D3E" w14:textId="77777777" w:rsidR="0067338B" w:rsidRDefault="00526348" w:rsidP="00AC48C8">
      <w:pPr>
        <w:pStyle w:val="FootnoteText"/>
      </w:pPr>
      <w:r>
        <w:rPr>
          <w:rStyle w:val="FootnoteReference"/>
        </w:rPr>
        <w:footnoteRef/>
      </w:r>
      <w:r>
        <w:t xml:space="preserve"> Forrás: EEX</w:t>
      </w:r>
    </w:p>
  </w:footnote>
  <w:footnote w:id="78">
    <w:p w14:paraId="32B9A351" w14:textId="77777777" w:rsidR="0067338B" w:rsidRDefault="00620C74" w:rsidP="00AC48C8">
      <w:pPr>
        <w:pStyle w:val="FootnoteText"/>
      </w:pPr>
      <w:r>
        <w:rPr>
          <w:rStyle w:val="FootnoteReference"/>
        </w:rPr>
        <w:footnoteRef/>
      </w:r>
      <w:r>
        <w:t xml:space="preserve"> A 3.1. és 3.2. táblázat esetében a számadatok között nem szerepelnek az Egyesült Királyságra vonatkozó 2019-es adatok a Bizottság által az EU ETS környezeti integritásának védelme érdekében elfogadott azon védintézkedések értelmében, amelyek olyan esetekben alkalmazandók, amikor az EU-ból kilépő valamely tagállam tekintetében megszűnik az uniós jog érvényessége (lásd a 2.2. fejezetet).</w:t>
      </w:r>
    </w:p>
  </w:footnote>
  <w:footnote w:id="79">
    <w:p w14:paraId="16BB3491" w14:textId="77777777" w:rsidR="0067338B" w:rsidRDefault="00516F65" w:rsidP="00AC48C8">
      <w:pPr>
        <w:pStyle w:val="FootnoteText"/>
      </w:pPr>
      <w:r>
        <w:rPr>
          <w:rStyle w:val="FootnoteReference"/>
        </w:rPr>
        <w:footnoteRef/>
      </w:r>
      <w:r>
        <w:t xml:space="preserve"> A megfelelési adatok visszamenőlegesen javíthatók, például a késedelmes adatszolgáltatások miatt.</w:t>
      </w:r>
    </w:p>
  </w:footnote>
  <w:footnote w:id="80">
    <w:p w14:paraId="26DC65DC" w14:textId="77777777" w:rsidR="0067338B" w:rsidRDefault="00E9293A" w:rsidP="00AC48C8">
      <w:pPr>
        <w:pStyle w:val="FootnoteText"/>
      </w:pPr>
      <w:r>
        <w:rPr>
          <w:rStyle w:val="FootnoteReference"/>
        </w:rPr>
        <w:footnoteRef/>
      </w:r>
      <w:r>
        <w:t xml:space="preserve"> Elképzelhető, hogy bizonyos létesítmények esetében a </w:t>
      </w:r>
      <w:r>
        <w:rPr>
          <w:bCs/>
          <w:color w:val="262626"/>
        </w:rPr>
        <w:t>dinitrogén-oxidból</w:t>
      </w:r>
      <w:r>
        <w:t xml:space="preserve"> és a perfluor-szénhidrogénekből származó kibocsátásokat nem külön jelentették az uniós kibocsátásiegység-forgalmi jegyzékben, hanem az összkibocsátást jelentették be millió tonnában megadott </w:t>
      </w:r>
      <w:r>
        <w:rPr>
          <w:bCs/>
          <w:color w:val="262626"/>
        </w:rPr>
        <w:t>CO</w:t>
      </w:r>
      <w:r>
        <w:rPr>
          <w:bCs/>
          <w:color w:val="262626"/>
          <w:bdr w:val="none" w:sz="0" w:space="0" w:color="auto" w:frame="1"/>
          <w:vertAlign w:val="subscript"/>
        </w:rPr>
        <w:t>2</w:t>
      </w:r>
      <w:r>
        <w:t xml:space="preserve">-egyenértékben. A táblázatban szereplő adatok a kibocsátások üvegházhatású gázok szerinti lebontását tükrözik az uniós kibocsátásiegység-forgalmi jegyzékben rendelkezésre álló formában. A </w:t>
      </w:r>
      <w:r>
        <w:rPr>
          <w:bCs/>
          <w:color w:val="262626"/>
        </w:rPr>
        <w:t>dinitrogén-oxidból</w:t>
      </w:r>
      <w:r>
        <w:t xml:space="preserve"> származó kibocsátásokat egyes tagállamok a 2. szakasztól (2008-tól) kezdődően önkéntes részvétel alapján, majd a 3. szakasztól (2013-tól) kezdődően a perfluor-szénhidrogénekkel együtt kötelező jelleggel szerepeltették az EU ETS-ben.</w:t>
      </w:r>
    </w:p>
  </w:footnote>
  <w:footnote w:id="81">
    <w:p w14:paraId="703C71D3" w14:textId="77777777" w:rsidR="0067338B" w:rsidRDefault="00516F65" w:rsidP="00AC48C8">
      <w:pPr>
        <w:pStyle w:val="FootnoteText"/>
      </w:pPr>
      <w:r>
        <w:rPr>
          <w:rStyle w:val="FootnoteReference"/>
        </w:rPr>
        <w:footnoteRef/>
      </w:r>
      <w:r>
        <w:t>https://eur-lex.europa.eu/legal-content/HU/TXT/PDF/?uri=OJ:L:2019:120:FULL&amp;from=EN</w:t>
      </w:r>
    </w:p>
  </w:footnote>
  <w:footnote w:id="82">
    <w:p w14:paraId="59E7A1BD" w14:textId="77777777" w:rsidR="0067338B" w:rsidRDefault="00516F65" w:rsidP="00AC48C8">
      <w:pPr>
        <w:pStyle w:val="FootnoteText"/>
      </w:pPr>
      <w:r>
        <w:rPr>
          <w:rStyle w:val="FootnoteReference"/>
        </w:rPr>
        <w:footnoteRef/>
      </w:r>
      <w:r>
        <w:t>https://eur-lex.europa.eu/legal-content/HU/TXT/PDF/?uri=CELEX:32019R0331&amp;from=EN</w:t>
      </w:r>
    </w:p>
  </w:footnote>
  <w:footnote w:id="83">
    <w:p w14:paraId="2634B3B1" w14:textId="77777777" w:rsidR="0067338B" w:rsidRDefault="00516F65" w:rsidP="00AC48C8">
      <w:pPr>
        <w:pStyle w:val="FootnoteText"/>
      </w:pPr>
      <w:r>
        <w:rPr>
          <w:rStyle w:val="FootnoteReference"/>
        </w:rPr>
        <w:footnoteRef/>
      </w:r>
      <w:r>
        <w:t>https://eur-lex.europa.eu/legal-content/HU/TXT/PDF/?uri=CELEX:32019R0856&amp;from=EN</w:t>
      </w:r>
    </w:p>
  </w:footnote>
  <w:footnote w:id="84">
    <w:p w14:paraId="4EDE5395" w14:textId="77777777" w:rsidR="0067338B" w:rsidRDefault="00516F65" w:rsidP="00AC48C8">
      <w:pPr>
        <w:pStyle w:val="FootnoteText"/>
      </w:pPr>
      <w:r>
        <w:rPr>
          <w:rStyle w:val="FootnoteReference"/>
        </w:rPr>
        <w:footnoteRef/>
      </w:r>
      <w:r>
        <w:t xml:space="preserve"> https://eur-lex.europa.eu/legal-content/HU/TXT/PDF/?uri=CELEX:32019R1122&amp;from=EN</w:t>
      </w:r>
    </w:p>
  </w:footnote>
  <w:footnote w:id="85">
    <w:p w14:paraId="42396381" w14:textId="77777777" w:rsidR="0067338B" w:rsidRDefault="00516F65" w:rsidP="00AC48C8">
      <w:pPr>
        <w:pStyle w:val="FootnoteText"/>
      </w:pPr>
      <w:r>
        <w:rPr>
          <w:rStyle w:val="FootnoteReference"/>
        </w:rPr>
        <w:footnoteRef/>
      </w:r>
      <w:r>
        <w:t xml:space="preserve"> https://eur-lex.europa.eu/legal-content/HU/TXT/PDF/?uri=CELEX:32019R0007</w:t>
      </w:r>
    </w:p>
  </w:footnote>
  <w:footnote w:id="86">
    <w:p w14:paraId="2EAB26AE" w14:textId="77777777" w:rsidR="0067338B" w:rsidRDefault="00516F65" w:rsidP="00AC48C8">
      <w:pPr>
        <w:pStyle w:val="FootnoteText"/>
      </w:pPr>
      <w:r>
        <w:rPr>
          <w:rStyle w:val="FootnoteReference"/>
        </w:rPr>
        <w:footnoteRef/>
      </w:r>
      <w:r>
        <w:t xml:space="preserve"> https://eur-lex.europa.eu/legal-content/HU/TXT/PDF/?uri=CELEX:32018R2066</w:t>
      </w:r>
    </w:p>
  </w:footnote>
  <w:footnote w:id="87">
    <w:p w14:paraId="76F79A61" w14:textId="77777777" w:rsidR="0067338B" w:rsidRDefault="00516F65" w:rsidP="00AC48C8">
      <w:pPr>
        <w:pStyle w:val="FootnoteText"/>
      </w:pPr>
      <w:r>
        <w:rPr>
          <w:rStyle w:val="FootnoteReference"/>
        </w:rPr>
        <w:footnoteRef/>
      </w:r>
      <w:r>
        <w:t xml:space="preserve"> https://eur-lex.europa.eu/legal-content/HU/TXT/PDF/?uri=CELEX:32018R2067&amp;from=EN</w:t>
      </w:r>
    </w:p>
  </w:footnote>
  <w:footnote w:id="88">
    <w:p w14:paraId="13EA6BC9" w14:textId="77777777" w:rsidR="0067338B" w:rsidRDefault="00516F65" w:rsidP="00AC48C8">
      <w:pPr>
        <w:pStyle w:val="FootnoteText"/>
      </w:pPr>
      <w:r>
        <w:rPr>
          <w:rStyle w:val="FootnoteReference"/>
        </w:rPr>
        <w:footnoteRef/>
      </w:r>
      <w:r>
        <w:t xml:space="preserve"> A 2019. januártól augusztusig terjedő időszak esetében az adatok a 2018. május 15-i C(2018)2801 bizottsági közleményen alapulnak, amely az alábbi oldalon érhető el: </w:t>
      </w:r>
      <w:hyperlink r:id="rId4" w:history="1">
        <w:r>
          <w:rPr>
            <w:rStyle w:val="Hyperlink"/>
          </w:rPr>
          <w:t>https://eur-lex.europa.eu/legal-content/HU/TXT/PDF/?uri=CELEX:52018XC0516(01)&amp;from=HU</w:t>
        </w:r>
      </w:hyperlink>
      <w:r>
        <w:t xml:space="preserve">  </w:t>
      </w:r>
    </w:p>
  </w:footnote>
  <w:footnote w:id="89">
    <w:p w14:paraId="2335AAE7" w14:textId="77777777" w:rsidR="0067338B" w:rsidRDefault="00516F65" w:rsidP="00AC48C8">
      <w:pPr>
        <w:pStyle w:val="FootnoteText"/>
      </w:pPr>
      <w:r>
        <w:rPr>
          <w:rStyle w:val="FootnoteReference"/>
        </w:rPr>
        <w:footnoteRef/>
      </w:r>
      <w:r>
        <w:t xml:space="preserve"> A 2019. szeptembertől decemberig és a 2020. januártól augusztusig terjedő időszak esetében az adatok a C(2019)3288 bizottsági közleményen alapulnak, amely az alábbi oldalon érhető el: </w:t>
      </w:r>
      <w:hyperlink r:id="rId5" w:history="1">
        <w:r>
          <w:rPr>
            <w:rStyle w:val="Hyperlink"/>
          </w:rPr>
          <w:t>https://eur-lex.europa.eu/legal-content/HU/TXT/PDF/?uri=CELEX:52019XC0516(01)&amp;from=HU</w:t>
        </w:r>
      </w:hyperlink>
      <w:r>
        <w:t xml:space="preserve"> </w:t>
      </w:r>
    </w:p>
  </w:footnote>
  <w:footnote w:id="90">
    <w:p w14:paraId="5CEA3230" w14:textId="77777777" w:rsidR="0067338B" w:rsidRDefault="00516F65" w:rsidP="00AC48C8">
      <w:pPr>
        <w:pStyle w:val="FootnoteText"/>
      </w:pPr>
      <w:r>
        <w:rPr>
          <w:rStyle w:val="FootnoteReference"/>
        </w:rPr>
        <w:footnoteRef/>
      </w:r>
      <w:r>
        <w:t xml:space="preserve"> A piaci stabilizációs tartalékhoz való 2020-as tagállami hozzájárulások egy részét a többletmutató 2020-as közzétételét követően fogják meghatározni.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F3B3E" w14:textId="77777777" w:rsidR="00A747DC" w:rsidRPr="00A747DC" w:rsidRDefault="00A747DC" w:rsidP="00A747D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07C48" w14:textId="77777777" w:rsidR="00AC48C8" w:rsidRDefault="00AC48C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D2310" w14:textId="77777777" w:rsidR="00EE3E79" w:rsidRDefault="00EE3E7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FE49B" w14:textId="77777777" w:rsidR="00EE3E79" w:rsidRDefault="00EE3E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DE842" w14:textId="77777777" w:rsidR="00A747DC" w:rsidRPr="00A747DC" w:rsidRDefault="00A747DC" w:rsidP="00A747DC">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528E3" w14:textId="77777777" w:rsidR="00A747DC" w:rsidRPr="00A747DC" w:rsidRDefault="00A747DC" w:rsidP="00A747DC">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ED9FA" w14:textId="77777777" w:rsidR="00516F65" w:rsidRDefault="00516F6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08593" w14:textId="77777777" w:rsidR="00516F65" w:rsidRDefault="00516F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44A4C" w14:textId="77777777" w:rsidR="00516F65" w:rsidRDefault="00516F6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001DF" w14:textId="77777777" w:rsidR="00EE3E79" w:rsidRDefault="00EE3E7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6742F" w14:textId="77777777" w:rsidR="00EE3E79" w:rsidRDefault="00EE3E7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0CCA6" w14:textId="77777777" w:rsidR="00EE3E79" w:rsidRDefault="00EE3E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1"/>
    <w:lvl w:ilvl="0">
      <w:start w:val="1"/>
      <w:numFmt w:val="bullet"/>
      <w:lvlText w:val=""/>
      <w:lvlJc w:val="left"/>
      <w:pPr>
        <w:tabs>
          <w:tab w:val="num" w:pos="0"/>
        </w:tabs>
        <w:ind w:left="360" w:hanging="360"/>
      </w:pPr>
      <w:rPr>
        <w:rFonts w:ascii="Symbol" w:hAnsi="Symbol" w:cs="Symbol"/>
      </w:rPr>
    </w:lvl>
  </w:abstractNum>
  <w:abstractNum w:abstractNumId="1" w15:restartNumberingAfterBreak="0">
    <w:nsid w:val="00000003"/>
    <w:multiLevelType w:val="singleLevel"/>
    <w:tmpl w:val="00000003"/>
    <w:name w:val="WW8Num2"/>
    <w:lvl w:ilvl="0">
      <w:start w:val="1"/>
      <w:numFmt w:val="bullet"/>
      <w:lvlText w:val="o"/>
      <w:lvlJc w:val="left"/>
      <w:pPr>
        <w:tabs>
          <w:tab w:val="num" w:pos="0"/>
        </w:tabs>
        <w:ind w:left="720" w:hanging="360"/>
      </w:pPr>
      <w:rPr>
        <w:rFonts w:ascii="Courier New" w:hAnsi="Courier New" w:cs="Courier New"/>
      </w:rPr>
    </w:lvl>
  </w:abstractNum>
  <w:abstractNum w:abstractNumId="2" w15:restartNumberingAfterBreak="0">
    <w:nsid w:val="00586663"/>
    <w:multiLevelType w:val="hybridMultilevel"/>
    <w:tmpl w:val="636E0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0F4A9C"/>
    <w:multiLevelType w:val="multilevel"/>
    <w:tmpl w:val="F476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9E1EF7"/>
    <w:multiLevelType w:val="hybridMultilevel"/>
    <w:tmpl w:val="3E6C0D5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1535361B"/>
    <w:multiLevelType w:val="hybridMultilevel"/>
    <w:tmpl w:val="F02433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F46418"/>
    <w:multiLevelType w:val="hybridMultilevel"/>
    <w:tmpl w:val="82B4D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AB37AA"/>
    <w:multiLevelType w:val="multilevel"/>
    <w:tmpl w:val="AB602AF8"/>
    <w:lvl w:ilvl="0">
      <w:start w:val="2"/>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cs="Times New Roman" w:hint="default"/>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E54362E"/>
    <w:multiLevelType w:val="hybridMultilevel"/>
    <w:tmpl w:val="6018E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7173E9"/>
    <w:multiLevelType w:val="hybridMultilevel"/>
    <w:tmpl w:val="39EA262A"/>
    <w:lvl w:ilvl="0" w:tplc="924A8FE2">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651550"/>
    <w:multiLevelType w:val="hybridMultilevel"/>
    <w:tmpl w:val="90964D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2F3C02"/>
    <w:multiLevelType w:val="hybridMultilevel"/>
    <w:tmpl w:val="B83E91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42987CC0"/>
    <w:multiLevelType w:val="hybridMultilevel"/>
    <w:tmpl w:val="48FA1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CF1B1C"/>
    <w:multiLevelType w:val="hybridMultilevel"/>
    <w:tmpl w:val="61D0F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1B1D46"/>
    <w:multiLevelType w:val="multilevel"/>
    <w:tmpl w:val="9F0E4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D97B9D"/>
    <w:multiLevelType w:val="hybridMultilevel"/>
    <w:tmpl w:val="14823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0C4B58"/>
    <w:multiLevelType w:val="hybridMultilevel"/>
    <w:tmpl w:val="78524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5FD65E1"/>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8277188"/>
    <w:multiLevelType w:val="multilevel"/>
    <w:tmpl w:val="6F66F5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251656F"/>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359678A"/>
    <w:multiLevelType w:val="hybridMultilevel"/>
    <w:tmpl w:val="B7304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E75877"/>
    <w:multiLevelType w:val="hybridMultilevel"/>
    <w:tmpl w:val="F57C4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351DAB"/>
    <w:multiLevelType w:val="hybridMultilevel"/>
    <w:tmpl w:val="CD70F27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4"/>
  </w:num>
  <w:num w:numId="3">
    <w:abstractNumId w:val="8"/>
  </w:num>
  <w:num w:numId="4">
    <w:abstractNumId w:val="20"/>
  </w:num>
  <w:num w:numId="5">
    <w:abstractNumId w:val="10"/>
  </w:num>
  <w:num w:numId="6">
    <w:abstractNumId w:val="19"/>
  </w:num>
  <w:num w:numId="7">
    <w:abstractNumId w:val="22"/>
  </w:num>
  <w:num w:numId="8">
    <w:abstractNumId w:val="13"/>
  </w:num>
  <w:num w:numId="9">
    <w:abstractNumId w:val="9"/>
  </w:num>
  <w:num w:numId="10">
    <w:abstractNumId w:val="16"/>
  </w:num>
  <w:num w:numId="11">
    <w:abstractNumId w:val="17"/>
  </w:num>
  <w:num w:numId="12">
    <w:abstractNumId w:val="6"/>
  </w:num>
  <w:num w:numId="13">
    <w:abstractNumId w:val="12"/>
  </w:num>
  <w:num w:numId="14">
    <w:abstractNumId w:val="21"/>
  </w:num>
  <w:num w:numId="15">
    <w:abstractNumId w:val="2"/>
  </w:num>
  <w:num w:numId="16">
    <w:abstractNumId w:val="3"/>
  </w:num>
  <w:num w:numId="17">
    <w:abstractNumId w:val="14"/>
  </w:num>
  <w:num w:numId="18">
    <w:abstractNumId w:val="18"/>
  </w:num>
  <w:num w:numId="19">
    <w:abstractNumId w:val="12"/>
  </w:num>
  <w:num w:numId="20">
    <w:abstractNumId w:val="21"/>
  </w:num>
  <w:num w:numId="21">
    <w:abstractNumId w:val="15"/>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283"/>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CORRIGENDUM_x000b_This document corrects document COM/2019/557 final of 31.10.2019._x000b_Concerns all language versions._x000b_Corrections to the following clerical mistakes have been made:_x000b_- Correction of the title of Directive 2003/87/EC on p. 6, footnote 3;_x000b_- Addition of Spain to the list of Member States which have EU ETS installations emitting PFCs and N2O on p. 8; _x000b_- Addition of reference to the OJ publication of Directive 2014/65/EU on p. 10, footnote 14;_x000b_- Correction of the inconsistent and incorrect use of decimal commas and points in Tables 4 and 7;_x000b_- Correction of the number of total cancelled auctions on p. 21;_x000b_- Correction of the publication date of Regulation (EU) No 600/2014 on p. 34, footnote 61;_x000b_- Correction of the title of DG Climate Action in Figures 2, 3, 4, and 5, in Tables 6 and 8, as well as in Tables 1.1., 1.2 and 1.3 of Annex 1, and Table 4.1. of Annex 4._x000b_The text shall read as follows:"/>
    <w:docVar w:name="LW_COVERPAGE_EXISTS" w:val="True"/>
    <w:docVar w:name="LW_COVERPAGE_GUID" w:val="5CDBF042-A66E-44E5-8930-51966E230B77"/>
    <w:docVar w:name="LW_COVERPAGE_TYPE" w:val="1"/>
    <w:docVar w:name="LW_CROSSREFERENCE" w:val="&lt;UNUSED&gt;"/>
    <w:docVar w:name="LW_DocType" w:val="NORMAL"/>
    <w:docVar w:name="LW_EMISSION" w:val="16.1.2020"/>
    <w:docVar w:name="LW_EMISSION_ISODATE" w:val="2020-01-16"/>
    <w:docVar w:name="LW_EMISSION_LOCATION" w:val="BRX"/>
    <w:docVar w:name="LW_EMISSION_PREFIX" w:val="Brüsszel, "/>
    <w:docVar w:name="LW_EMISSION_SUFFIX" w:val=" "/>
    <w:docVar w:name="LW_ID_DOCTYPE_NONLW" w:val="CP-006"/>
    <w:docVar w:name="LW_LANGUE" w:val="HU"/>
    <w:docVar w:name="LW_LEVEL_OF_SENSITIVITY" w:val="Standard treatment"/>
    <w:docVar w:name="LW_NOM.INST" w:val="EURÓPAI BIZOTTSÁG"/>
    <w:docVar w:name="LW_NOM.INST_JOINTDOC" w:val="&lt;EMPTY&gt;"/>
    <w:docVar w:name="LW_PART_NBR" w:val="1"/>
    <w:docVar w:name="LW_PART_NBR_TOTAL" w:val="1"/>
    <w:docVar w:name="LW_REF.INST.NEW" w:val="COM"/>
    <w:docVar w:name="LW_REF.INST.NEW_ADOPTED" w:val="final/2"/>
    <w:docVar w:name="LW_REF.INST.NEW_TEXT" w:val="(2019) 55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OUS.TITRE.OBJ.CP" w:val="&lt;UNUSED&gt;"/>
    <w:docVar w:name="LW_SUPERTITRE" w:val="&lt;UNUSED&gt;"/>
    <w:docVar w:name="LW_TITRE.OBJ.CP" w:val="Jelentés az európai szén-dioxid-piac m\u369?ködésér\u337?l"/>
    <w:docVar w:name="LW_TYPE.DOC.CP" w:val="A BIZOTTSÁG JELENTÉSE AZ EURÓPAI PARLAMENTNEK ÉS A TANÁCSNAK"/>
  </w:docVars>
  <w:rsids>
    <w:rsidRoot w:val="005F6BD0"/>
    <w:rsid w:val="00000FE6"/>
    <w:rsid w:val="00007933"/>
    <w:rsid w:val="00013E53"/>
    <w:rsid w:val="00024429"/>
    <w:rsid w:val="0004122A"/>
    <w:rsid w:val="0004344A"/>
    <w:rsid w:val="000453E7"/>
    <w:rsid w:val="00055907"/>
    <w:rsid w:val="00067B35"/>
    <w:rsid w:val="00071A92"/>
    <w:rsid w:val="00073948"/>
    <w:rsid w:val="00076507"/>
    <w:rsid w:val="00076795"/>
    <w:rsid w:val="00080803"/>
    <w:rsid w:val="0008149F"/>
    <w:rsid w:val="00081E9A"/>
    <w:rsid w:val="000836BF"/>
    <w:rsid w:val="000847E3"/>
    <w:rsid w:val="00090912"/>
    <w:rsid w:val="00093351"/>
    <w:rsid w:val="00096C9D"/>
    <w:rsid w:val="000971D6"/>
    <w:rsid w:val="00097F99"/>
    <w:rsid w:val="000A114B"/>
    <w:rsid w:val="000A1686"/>
    <w:rsid w:val="000A23BB"/>
    <w:rsid w:val="000A5510"/>
    <w:rsid w:val="000B0169"/>
    <w:rsid w:val="000B2E37"/>
    <w:rsid w:val="000B542C"/>
    <w:rsid w:val="000B5602"/>
    <w:rsid w:val="000B7105"/>
    <w:rsid w:val="000D5EB8"/>
    <w:rsid w:val="000D76F7"/>
    <w:rsid w:val="000E17BF"/>
    <w:rsid w:val="000E1D3A"/>
    <w:rsid w:val="000E2B06"/>
    <w:rsid w:val="000E34D9"/>
    <w:rsid w:val="000E4949"/>
    <w:rsid w:val="000E5992"/>
    <w:rsid w:val="000E5BB1"/>
    <w:rsid w:val="000E76D9"/>
    <w:rsid w:val="000E7891"/>
    <w:rsid w:val="000F340A"/>
    <w:rsid w:val="000F5D4A"/>
    <w:rsid w:val="00103EEF"/>
    <w:rsid w:val="001055F0"/>
    <w:rsid w:val="00107E43"/>
    <w:rsid w:val="00112F06"/>
    <w:rsid w:val="001179D2"/>
    <w:rsid w:val="001179FA"/>
    <w:rsid w:val="00117A8A"/>
    <w:rsid w:val="00123B11"/>
    <w:rsid w:val="001334A3"/>
    <w:rsid w:val="001379D6"/>
    <w:rsid w:val="001425D7"/>
    <w:rsid w:val="00143C3B"/>
    <w:rsid w:val="001508F1"/>
    <w:rsid w:val="00151ABC"/>
    <w:rsid w:val="00154103"/>
    <w:rsid w:val="00155185"/>
    <w:rsid w:val="001554C6"/>
    <w:rsid w:val="0015759E"/>
    <w:rsid w:val="00161F92"/>
    <w:rsid w:val="00163AE0"/>
    <w:rsid w:val="00163FD4"/>
    <w:rsid w:val="00167EEC"/>
    <w:rsid w:val="00171CDC"/>
    <w:rsid w:val="00183216"/>
    <w:rsid w:val="001A0E42"/>
    <w:rsid w:val="001A5FBE"/>
    <w:rsid w:val="001B2D80"/>
    <w:rsid w:val="001B4818"/>
    <w:rsid w:val="001B7FD9"/>
    <w:rsid w:val="001C09BD"/>
    <w:rsid w:val="001D30E4"/>
    <w:rsid w:val="001D4175"/>
    <w:rsid w:val="001D5A68"/>
    <w:rsid w:val="001D7CEB"/>
    <w:rsid w:val="001E0B39"/>
    <w:rsid w:val="001E289A"/>
    <w:rsid w:val="001E305B"/>
    <w:rsid w:val="001F0457"/>
    <w:rsid w:val="001F1235"/>
    <w:rsid w:val="001F1888"/>
    <w:rsid w:val="001F507B"/>
    <w:rsid w:val="001F66C2"/>
    <w:rsid w:val="002028F1"/>
    <w:rsid w:val="00203778"/>
    <w:rsid w:val="00213AB4"/>
    <w:rsid w:val="00220BC1"/>
    <w:rsid w:val="002221CF"/>
    <w:rsid w:val="002228B7"/>
    <w:rsid w:val="00231101"/>
    <w:rsid w:val="00232561"/>
    <w:rsid w:val="00232E4F"/>
    <w:rsid w:val="0023458A"/>
    <w:rsid w:val="00235970"/>
    <w:rsid w:val="00236AB2"/>
    <w:rsid w:val="00240B9A"/>
    <w:rsid w:val="00240E82"/>
    <w:rsid w:val="00246919"/>
    <w:rsid w:val="00247798"/>
    <w:rsid w:val="00250CD2"/>
    <w:rsid w:val="00254074"/>
    <w:rsid w:val="002546AC"/>
    <w:rsid w:val="002554A7"/>
    <w:rsid w:val="00264CAF"/>
    <w:rsid w:val="00267386"/>
    <w:rsid w:val="00270A06"/>
    <w:rsid w:val="00271E0D"/>
    <w:rsid w:val="00273A5E"/>
    <w:rsid w:val="00273ED1"/>
    <w:rsid w:val="00276918"/>
    <w:rsid w:val="002800C8"/>
    <w:rsid w:val="002802C4"/>
    <w:rsid w:val="00282C36"/>
    <w:rsid w:val="00294A8C"/>
    <w:rsid w:val="002A225D"/>
    <w:rsid w:val="002A3783"/>
    <w:rsid w:val="002A46DE"/>
    <w:rsid w:val="002A6473"/>
    <w:rsid w:val="002B2B9A"/>
    <w:rsid w:val="002B31DD"/>
    <w:rsid w:val="002C021B"/>
    <w:rsid w:val="002C2541"/>
    <w:rsid w:val="002C3142"/>
    <w:rsid w:val="002C43D3"/>
    <w:rsid w:val="002D2BCA"/>
    <w:rsid w:val="002E287F"/>
    <w:rsid w:val="00305A3E"/>
    <w:rsid w:val="00310AEE"/>
    <w:rsid w:val="0031283C"/>
    <w:rsid w:val="00313E82"/>
    <w:rsid w:val="00321560"/>
    <w:rsid w:val="00324F32"/>
    <w:rsid w:val="0032559C"/>
    <w:rsid w:val="00326996"/>
    <w:rsid w:val="00332674"/>
    <w:rsid w:val="003403B3"/>
    <w:rsid w:val="00341982"/>
    <w:rsid w:val="003424FE"/>
    <w:rsid w:val="0034758D"/>
    <w:rsid w:val="00350319"/>
    <w:rsid w:val="0035088E"/>
    <w:rsid w:val="00352418"/>
    <w:rsid w:val="003603DF"/>
    <w:rsid w:val="00362D29"/>
    <w:rsid w:val="00365008"/>
    <w:rsid w:val="003755E1"/>
    <w:rsid w:val="00375C63"/>
    <w:rsid w:val="00375FAD"/>
    <w:rsid w:val="00376A62"/>
    <w:rsid w:val="00396CBF"/>
    <w:rsid w:val="003972C7"/>
    <w:rsid w:val="003A04C8"/>
    <w:rsid w:val="003A0CD7"/>
    <w:rsid w:val="003A348D"/>
    <w:rsid w:val="003B1976"/>
    <w:rsid w:val="003B73EF"/>
    <w:rsid w:val="003C06B3"/>
    <w:rsid w:val="003D2688"/>
    <w:rsid w:val="003D2CB4"/>
    <w:rsid w:val="003D3D7A"/>
    <w:rsid w:val="003D3E6C"/>
    <w:rsid w:val="003D7CEC"/>
    <w:rsid w:val="003E3302"/>
    <w:rsid w:val="003F30A8"/>
    <w:rsid w:val="004009B8"/>
    <w:rsid w:val="0041035E"/>
    <w:rsid w:val="00414972"/>
    <w:rsid w:val="00414F0F"/>
    <w:rsid w:val="00415B88"/>
    <w:rsid w:val="00417A4C"/>
    <w:rsid w:val="00420790"/>
    <w:rsid w:val="0042672C"/>
    <w:rsid w:val="00427EEB"/>
    <w:rsid w:val="00430B6B"/>
    <w:rsid w:val="00430F7D"/>
    <w:rsid w:val="00431A0C"/>
    <w:rsid w:val="00432B47"/>
    <w:rsid w:val="004351EA"/>
    <w:rsid w:val="00436204"/>
    <w:rsid w:val="00447BD5"/>
    <w:rsid w:val="00450852"/>
    <w:rsid w:val="0045349F"/>
    <w:rsid w:val="0045466C"/>
    <w:rsid w:val="0045664F"/>
    <w:rsid w:val="004572E5"/>
    <w:rsid w:val="0046000B"/>
    <w:rsid w:val="004611B0"/>
    <w:rsid w:val="0046130B"/>
    <w:rsid w:val="00462E7F"/>
    <w:rsid w:val="00467859"/>
    <w:rsid w:val="004724FA"/>
    <w:rsid w:val="004727F3"/>
    <w:rsid w:val="00474813"/>
    <w:rsid w:val="00474859"/>
    <w:rsid w:val="004809DF"/>
    <w:rsid w:val="00482F44"/>
    <w:rsid w:val="00487626"/>
    <w:rsid w:val="00490892"/>
    <w:rsid w:val="00491E4C"/>
    <w:rsid w:val="00492E10"/>
    <w:rsid w:val="00493C65"/>
    <w:rsid w:val="004952C2"/>
    <w:rsid w:val="00495FC8"/>
    <w:rsid w:val="004A192A"/>
    <w:rsid w:val="004A322E"/>
    <w:rsid w:val="004A6FE8"/>
    <w:rsid w:val="004B05D2"/>
    <w:rsid w:val="004B22AA"/>
    <w:rsid w:val="004B446A"/>
    <w:rsid w:val="004B4F5B"/>
    <w:rsid w:val="004B68E8"/>
    <w:rsid w:val="004C0390"/>
    <w:rsid w:val="004C116F"/>
    <w:rsid w:val="004C18B2"/>
    <w:rsid w:val="004C3C2E"/>
    <w:rsid w:val="004C3EAB"/>
    <w:rsid w:val="004C64C5"/>
    <w:rsid w:val="004D266B"/>
    <w:rsid w:val="004D7FF1"/>
    <w:rsid w:val="004F7E89"/>
    <w:rsid w:val="00503830"/>
    <w:rsid w:val="00511F9D"/>
    <w:rsid w:val="00513707"/>
    <w:rsid w:val="00513F37"/>
    <w:rsid w:val="005153FF"/>
    <w:rsid w:val="00516F65"/>
    <w:rsid w:val="0052086E"/>
    <w:rsid w:val="00521214"/>
    <w:rsid w:val="00522018"/>
    <w:rsid w:val="005220A0"/>
    <w:rsid w:val="00524AA2"/>
    <w:rsid w:val="00526348"/>
    <w:rsid w:val="00531A9D"/>
    <w:rsid w:val="00531B04"/>
    <w:rsid w:val="00535EF1"/>
    <w:rsid w:val="0054214B"/>
    <w:rsid w:val="00544382"/>
    <w:rsid w:val="005446C1"/>
    <w:rsid w:val="00545994"/>
    <w:rsid w:val="00546BFF"/>
    <w:rsid w:val="0055008A"/>
    <w:rsid w:val="0055016B"/>
    <w:rsid w:val="00564618"/>
    <w:rsid w:val="00572D1B"/>
    <w:rsid w:val="0057434D"/>
    <w:rsid w:val="00587058"/>
    <w:rsid w:val="00593BC0"/>
    <w:rsid w:val="005A3492"/>
    <w:rsid w:val="005A3899"/>
    <w:rsid w:val="005A4F64"/>
    <w:rsid w:val="005B7436"/>
    <w:rsid w:val="005C0D84"/>
    <w:rsid w:val="005C19DA"/>
    <w:rsid w:val="005C40E5"/>
    <w:rsid w:val="005C54C3"/>
    <w:rsid w:val="005C667A"/>
    <w:rsid w:val="005D1F30"/>
    <w:rsid w:val="005D3412"/>
    <w:rsid w:val="005E0796"/>
    <w:rsid w:val="005E3731"/>
    <w:rsid w:val="005E5E7D"/>
    <w:rsid w:val="005F547A"/>
    <w:rsid w:val="005F57E7"/>
    <w:rsid w:val="005F6BD0"/>
    <w:rsid w:val="005F7426"/>
    <w:rsid w:val="00601A28"/>
    <w:rsid w:val="00604EC7"/>
    <w:rsid w:val="00605E73"/>
    <w:rsid w:val="0061725C"/>
    <w:rsid w:val="00620C74"/>
    <w:rsid w:val="00622FFB"/>
    <w:rsid w:val="006239BE"/>
    <w:rsid w:val="00626D3C"/>
    <w:rsid w:val="00630CB3"/>
    <w:rsid w:val="006434B2"/>
    <w:rsid w:val="00647DE9"/>
    <w:rsid w:val="00650419"/>
    <w:rsid w:val="00650B14"/>
    <w:rsid w:val="00650F07"/>
    <w:rsid w:val="006529AB"/>
    <w:rsid w:val="006530AB"/>
    <w:rsid w:val="006576A6"/>
    <w:rsid w:val="00663ABF"/>
    <w:rsid w:val="00670DCE"/>
    <w:rsid w:val="0067338B"/>
    <w:rsid w:val="00674F18"/>
    <w:rsid w:val="0067520F"/>
    <w:rsid w:val="00676CF0"/>
    <w:rsid w:val="00677B4F"/>
    <w:rsid w:val="006867CA"/>
    <w:rsid w:val="00687848"/>
    <w:rsid w:val="00693A53"/>
    <w:rsid w:val="0069589D"/>
    <w:rsid w:val="006964C8"/>
    <w:rsid w:val="00696C1E"/>
    <w:rsid w:val="006A1212"/>
    <w:rsid w:val="006A69C6"/>
    <w:rsid w:val="006B0912"/>
    <w:rsid w:val="006B29CE"/>
    <w:rsid w:val="006B33D0"/>
    <w:rsid w:val="006C1CE4"/>
    <w:rsid w:val="006C33FB"/>
    <w:rsid w:val="006C7AF2"/>
    <w:rsid w:val="006C7E2B"/>
    <w:rsid w:val="006D15F4"/>
    <w:rsid w:val="006D1DAA"/>
    <w:rsid w:val="006D7DAA"/>
    <w:rsid w:val="006E0EB4"/>
    <w:rsid w:val="006E35B0"/>
    <w:rsid w:val="006E4040"/>
    <w:rsid w:val="006E6706"/>
    <w:rsid w:val="006E77EE"/>
    <w:rsid w:val="006F08AB"/>
    <w:rsid w:val="006F1C1A"/>
    <w:rsid w:val="006F24C1"/>
    <w:rsid w:val="006F2D6B"/>
    <w:rsid w:val="0070741D"/>
    <w:rsid w:val="00707619"/>
    <w:rsid w:val="00710A2D"/>
    <w:rsid w:val="00711C2B"/>
    <w:rsid w:val="0071246D"/>
    <w:rsid w:val="00715C11"/>
    <w:rsid w:val="00723364"/>
    <w:rsid w:val="007313F8"/>
    <w:rsid w:val="00743ED3"/>
    <w:rsid w:val="007450E6"/>
    <w:rsid w:val="00750C8E"/>
    <w:rsid w:val="007552C1"/>
    <w:rsid w:val="00764777"/>
    <w:rsid w:val="007653E9"/>
    <w:rsid w:val="007708E7"/>
    <w:rsid w:val="00770B96"/>
    <w:rsid w:val="007748C6"/>
    <w:rsid w:val="007770F8"/>
    <w:rsid w:val="00777DC1"/>
    <w:rsid w:val="007840DE"/>
    <w:rsid w:val="0078606D"/>
    <w:rsid w:val="00794E5D"/>
    <w:rsid w:val="00796CB0"/>
    <w:rsid w:val="007A047B"/>
    <w:rsid w:val="007A13AC"/>
    <w:rsid w:val="007A20FC"/>
    <w:rsid w:val="007A50C0"/>
    <w:rsid w:val="007B4315"/>
    <w:rsid w:val="007B526B"/>
    <w:rsid w:val="007B6379"/>
    <w:rsid w:val="007B6B06"/>
    <w:rsid w:val="007B7BDD"/>
    <w:rsid w:val="007C14CE"/>
    <w:rsid w:val="007C478C"/>
    <w:rsid w:val="007C5853"/>
    <w:rsid w:val="007C76F9"/>
    <w:rsid w:val="007D07C5"/>
    <w:rsid w:val="007D74C8"/>
    <w:rsid w:val="007E1F8B"/>
    <w:rsid w:val="007E289C"/>
    <w:rsid w:val="007F41FA"/>
    <w:rsid w:val="007F5B1E"/>
    <w:rsid w:val="0080112A"/>
    <w:rsid w:val="00801F4F"/>
    <w:rsid w:val="00801F90"/>
    <w:rsid w:val="0081348D"/>
    <w:rsid w:val="00820E4C"/>
    <w:rsid w:val="008259B3"/>
    <w:rsid w:val="00825DBF"/>
    <w:rsid w:val="00826298"/>
    <w:rsid w:val="00826FBA"/>
    <w:rsid w:val="00845A09"/>
    <w:rsid w:val="0085272D"/>
    <w:rsid w:val="00852E0F"/>
    <w:rsid w:val="00853FF0"/>
    <w:rsid w:val="00862924"/>
    <w:rsid w:val="0086407F"/>
    <w:rsid w:val="00872FA3"/>
    <w:rsid w:val="00880101"/>
    <w:rsid w:val="00880749"/>
    <w:rsid w:val="00886FE8"/>
    <w:rsid w:val="008872EF"/>
    <w:rsid w:val="00897B8F"/>
    <w:rsid w:val="008A5D9B"/>
    <w:rsid w:val="008C2194"/>
    <w:rsid w:val="008D0DEA"/>
    <w:rsid w:val="008D0F40"/>
    <w:rsid w:val="008D4A4D"/>
    <w:rsid w:val="008E412B"/>
    <w:rsid w:val="008E46B6"/>
    <w:rsid w:val="008E69DA"/>
    <w:rsid w:val="008F18A0"/>
    <w:rsid w:val="008F1C88"/>
    <w:rsid w:val="008F796B"/>
    <w:rsid w:val="00901490"/>
    <w:rsid w:val="00903EA2"/>
    <w:rsid w:val="00907E99"/>
    <w:rsid w:val="009167F7"/>
    <w:rsid w:val="0091734F"/>
    <w:rsid w:val="00920F62"/>
    <w:rsid w:val="00923ABD"/>
    <w:rsid w:val="00924594"/>
    <w:rsid w:val="0092568D"/>
    <w:rsid w:val="00926127"/>
    <w:rsid w:val="00935219"/>
    <w:rsid w:val="00936E0E"/>
    <w:rsid w:val="00937242"/>
    <w:rsid w:val="00943DA5"/>
    <w:rsid w:val="00946F79"/>
    <w:rsid w:val="00952A42"/>
    <w:rsid w:val="00956B5A"/>
    <w:rsid w:val="00957173"/>
    <w:rsid w:val="00964AD1"/>
    <w:rsid w:val="00967BB6"/>
    <w:rsid w:val="00970B92"/>
    <w:rsid w:val="00970C68"/>
    <w:rsid w:val="00971AA1"/>
    <w:rsid w:val="00973D0E"/>
    <w:rsid w:val="009743AF"/>
    <w:rsid w:val="00975138"/>
    <w:rsid w:val="00975465"/>
    <w:rsid w:val="00981142"/>
    <w:rsid w:val="00986C32"/>
    <w:rsid w:val="00986DBE"/>
    <w:rsid w:val="00995D11"/>
    <w:rsid w:val="0099667F"/>
    <w:rsid w:val="00997359"/>
    <w:rsid w:val="009A6369"/>
    <w:rsid w:val="009A7259"/>
    <w:rsid w:val="009A79C3"/>
    <w:rsid w:val="009B1349"/>
    <w:rsid w:val="009B1CC8"/>
    <w:rsid w:val="009B58A9"/>
    <w:rsid w:val="009C2DCE"/>
    <w:rsid w:val="009C2F61"/>
    <w:rsid w:val="009D0411"/>
    <w:rsid w:val="009D1D9B"/>
    <w:rsid w:val="009D4740"/>
    <w:rsid w:val="009D6C7E"/>
    <w:rsid w:val="009E0578"/>
    <w:rsid w:val="009E2F76"/>
    <w:rsid w:val="009E30B4"/>
    <w:rsid w:val="009E7D2F"/>
    <w:rsid w:val="009F1DEA"/>
    <w:rsid w:val="009F7A8D"/>
    <w:rsid w:val="00A01487"/>
    <w:rsid w:val="00A01F53"/>
    <w:rsid w:val="00A063FC"/>
    <w:rsid w:val="00A07445"/>
    <w:rsid w:val="00A12A60"/>
    <w:rsid w:val="00A15287"/>
    <w:rsid w:val="00A1580F"/>
    <w:rsid w:val="00A16C99"/>
    <w:rsid w:val="00A21F92"/>
    <w:rsid w:val="00A309B8"/>
    <w:rsid w:val="00A324A5"/>
    <w:rsid w:val="00A341C7"/>
    <w:rsid w:val="00A3452C"/>
    <w:rsid w:val="00A37088"/>
    <w:rsid w:val="00A40886"/>
    <w:rsid w:val="00A4186B"/>
    <w:rsid w:val="00A42B5E"/>
    <w:rsid w:val="00A47C7B"/>
    <w:rsid w:val="00A52292"/>
    <w:rsid w:val="00A52F4C"/>
    <w:rsid w:val="00A55C5F"/>
    <w:rsid w:val="00A6206C"/>
    <w:rsid w:val="00A65E8D"/>
    <w:rsid w:val="00A67F00"/>
    <w:rsid w:val="00A729A2"/>
    <w:rsid w:val="00A747DC"/>
    <w:rsid w:val="00A75105"/>
    <w:rsid w:val="00A76825"/>
    <w:rsid w:val="00A80F28"/>
    <w:rsid w:val="00A81A13"/>
    <w:rsid w:val="00A838C0"/>
    <w:rsid w:val="00A8518A"/>
    <w:rsid w:val="00A85CA7"/>
    <w:rsid w:val="00A871C2"/>
    <w:rsid w:val="00A90AE4"/>
    <w:rsid w:val="00A90D9A"/>
    <w:rsid w:val="00A92C10"/>
    <w:rsid w:val="00A9462E"/>
    <w:rsid w:val="00A95247"/>
    <w:rsid w:val="00A95C71"/>
    <w:rsid w:val="00A97B86"/>
    <w:rsid w:val="00AA1C54"/>
    <w:rsid w:val="00AA2E4B"/>
    <w:rsid w:val="00AA45F2"/>
    <w:rsid w:val="00AA6C77"/>
    <w:rsid w:val="00AA763C"/>
    <w:rsid w:val="00AA7749"/>
    <w:rsid w:val="00AC45A3"/>
    <w:rsid w:val="00AC48C8"/>
    <w:rsid w:val="00AC49C7"/>
    <w:rsid w:val="00AC71FC"/>
    <w:rsid w:val="00AD25A8"/>
    <w:rsid w:val="00AD3A74"/>
    <w:rsid w:val="00AD3BCF"/>
    <w:rsid w:val="00AD6E42"/>
    <w:rsid w:val="00AE6522"/>
    <w:rsid w:val="00AF188E"/>
    <w:rsid w:val="00AF41CE"/>
    <w:rsid w:val="00AF42BE"/>
    <w:rsid w:val="00AF696E"/>
    <w:rsid w:val="00AF6D56"/>
    <w:rsid w:val="00B014E1"/>
    <w:rsid w:val="00B065B2"/>
    <w:rsid w:val="00B0756E"/>
    <w:rsid w:val="00B13763"/>
    <w:rsid w:val="00B2073D"/>
    <w:rsid w:val="00B27C40"/>
    <w:rsid w:val="00B3113B"/>
    <w:rsid w:val="00B330E6"/>
    <w:rsid w:val="00B34FE0"/>
    <w:rsid w:val="00B36364"/>
    <w:rsid w:val="00B444B8"/>
    <w:rsid w:val="00B47A9B"/>
    <w:rsid w:val="00B508EC"/>
    <w:rsid w:val="00B554D5"/>
    <w:rsid w:val="00B6391E"/>
    <w:rsid w:val="00B7144C"/>
    <w:rsid w:val="00B736F4"/>
    <w:rsid w:val="00B75E76"/>
    <w:rsid w:val="00B774C9"/>
    <w:rsid w:val="00B77E70"/>
    <w:rsid w:val="00B83449"/>
    <w:rsid w:val="00B84FD2"/>
    <w:rsid w:val="00B85598"/>
    <w:rsid w:val="00B86FD5"/>
    <w:rsid w:val="00B951E0"/>
    <w:rsid w:val="00B96804"/>
    <w:rsid w:val="00BB32B4"/>
    <w:rsid w:val="00BB416E"/>
    <w:rsid w:val="00BB5E18"/>
    <w:rsid w:val="00BD381F"/>
    <w:rsid w:val="00BE16E5"/>
    <w:rsid w:val="00BE291F"/>
    <w:rsid w:val="00BE6633"/>
    <w:rsid w:val="00BF0600"/>
    <w:rsid w:val="00BF4C1D"/>
    <w:rsid w:val="00C04BC3"/>
    <w:rsid w:val="00C062A7"/>
    <w:rsid w:val="00C1282D"/>
    <w:rsid w:val="00C1460B"/>
    <w:rsid w:val="00C15793"/>
    <w:rsid w:val="00C206EB"/>
    <w:rsid w:val="00C24BD9"/>
    <w:rsid w:val="00C31FEB"/>
    <w:rsid w:val="00C34412"/>
    <w:rsid w:val="00C3474B"/>
    <w:rsid w:val="00C35710"/>
    <w:rsid w:val="00C43666"/>
    <w:rsid w:val="00C45021"/>
    <w:rsid w:val="00C505AB"/>
    <w:rsid w:val="00C63D34"/>
    <w:rsid w:val="00C64727"/>
    <w:rsid w:val="00C67962"/>
    <w:rsid w:val="00C73274"/>
    <w:rsid w:val="00C761C5"/>
    <w:rsid w:val="00C805C9"/>
    <w:rsid w:val="00C80F63"/>
    <w:rsid w:val="00C81DE8"/>
    <w:rsid w:val="00C8227C"/>
    <w:rsid w:val="00C827A2"/>
    <w:rsid w:val="00C82E25"/>
    <w:rsid w:val="00C84C9A"/>
    <w:rsid w:val="00C92807"/>
    <w:rsid w:val="00C94487"/>
    <w:rsid w:val="00C9448A"/>
    <w:rsid w:val="00C9568F"/>
    <w:rsid w:val="00C95B98"/>
    <w:rsid w:val="00CA734B"/>
    <w:rsid w:val="00CB6B3B"/>
    <w:rsid w:val="00CB78DF"/>
    <w:rsid w:val="00CC6DFF"/>
    <w:rsid w:val="00CC705C"/>
    <w:rsid w:val="00CD0154"/>
    <w:rsid w:val="00CD2FAE"/>
    <w:rsid w:val="00CD3438"/>
    <w:rsid w:val="00CD611D"/>
    <w:rsid w:val="00CD7EDD"/>
    <w:rsid w:val="00CE42E1"/>
    <w:rsid w:val="00CE582B"/>
    <w:rsid w:val="00CE7544"/>
    <w:rsid w:val="00CF459D"/>
    <w:rsid w:val="00D1163B"/>
    <w:rsid w:val="00D153B1"/>
    <w:rsid w:val="00D15FE5"/>
    <w:rsid w:val="00D20456"/>
    <w:rsid w:val="00D216A5"/>
    <w:rsid w:val="00D221C6"/>
    <w:rsid w:val="00D24B99"/>
    <w:rsid w:val="00D264AF"/>
    <w:rsid w:val="00D26A90"/>
    <w:rsid w:val="00D3027D"/>
    <w:rsid w:val="00D30645"/>
    <w:rsid w:val="00D33DAD"/>
    <w:rsid w:val="00D34827"/>
    <w:rsid w:val="00D357D7"/>
    <w:rsid w:val="00D40294"/>
    <w:rsid w:val="00D40B51"/>
    <w:rsid w:val="00D4406F"/>
    <w:rsid w:val="00D45E17"/>
    <w:rsid w:val="00D52704"/>
    <w:rsid w:val="00D54ABE"/>
    <w:rsid w:val="00D655D9"/>
    <w:rsid w:val="00D71CE6"/>
    <w:rsid w:val="00D72C70"/>
    <w:rsid w:val="00D75B42"/>
    <w:rsid w:val="00D7734A"/>
    <w:rsid w:val="00D802D9"/>
    <w:rsid w:val="00D812BF"/>
    <w:rsid w:val="00D83605"/>
    <w:rsid w:val="00D843E7"/>
    <w:rsid w:val="00D863AF"/>
    <w:rsid w:val="00D90329"/>
    <w:rsid w:val="00D91E57"/>
    <w:rsid w:val="00DA06E4"/>
    <w:rsid w:val="00DA23BD"/>
    <w:rsid w:val="00DA3E53"/>
    <w:rsid w:val="00DA667D"/>
    <w:rsid w:val="00DB415D"/>
    <w:rsid w:val="00DC0206"/>
    <w:rsid w:val="00DC3851"/>
    <w:rsid w:val="00DC781B"/>
    <w:rsid w:val="00DD0ECB"/>
    <w:rsid w:val="00DD1C04"/>
    <w:rsid w:val="00DE4B3D"/>
    <w:rsid w:val="00DE75EA"/>
    <w:rsid w:val="00DF31D4"/>
    <w:rsid w:val="00DF6D22"/>
    <w:rsid w:val="00E04C26"/>
    <w:rsid w:val="00E0629F"/>
    <w:rsid w:val="00E07823"/>
    <w:rsid w:val="00E12E60"/>
    <w:rsid w:val="00E13678"/>
    <w:rsid w:val="00E162AE"/>
    <w:rsid w:val="00E166BE"/>
    <w:rsid w:val="00E1692F"/>
    <w:rsid w:val="00E20A97"/>
    <w:rsid w:val="00E20FAC"/>
    <w:rsid w:val="00E21B3E"/>
    <w:rsid w:val="00E2275C"/>
    <w:rsid w:val="00E32AE3"/>
    <w:rsid w:val="00E360E0"/>
    <w:rsid w:val="00E362A3"/>
    <w:rsid w:val="00E41CBA"/>
    <w:rsid w:val="00E47213"/>
    <w:rsid w:val="00E47391"/>
    <w:rsid w:val="00E47B87"/>
    <w:rsid w:val="00E5087C"/>
    <w:rsid w:val="00E54FAD"/>
    <w:rsid w:val="00E55173"/>
    <w:rsid w:val="00E57C35"/>
    <w:rsid w:val="00E622CD"/>
    <w:rsid w:val="00E628E7"/>
    <w:rsid w:val="00E63E09"/>
    <w:rsid w:val="00E6737F"/>
    <w:rsid w:val="00E71363"/>
    <w:rsid w:val="00E72EF9"/>
    <w:rsid w:val="00E772FE"/>
    <w:rsid w:val="00E9293A"/>
    <w:rsid w:val="00E94C4B"/>
    <w:rsid w:val="00EA091E"/>
    <w:rsid w:val="00EA1081"/>
    <w:rsid w:val="00EB4AF8"/>
    <w:rsid w:val="00EC4E52"/>
    <w:rsid w:val="00ED1A3A"/>
    <w:rsid w:val="00ED62D2"/>
    <w:rsid w:val="00EE0933"/>
    <w:rsid w:val="00EE1C77"/>
    <w:rsid w:val="00EE3E79"/>
    <w:rsid w:val="00EE5825"/>
    <w:rsid w:val="00EE5DB7"/>
    <w:rsid w:val="00EE7A6D"/>
    <w:rsid w:val="00EF05DE"/>
    <w:rsid w:val="00EF3553"/>
    <w:rsid w:val="00F06259"/>
    <w:rsid w:val="00F1044A"/>
    <w:rsid w:val="00F105F2"/>
    <w:rsid w:val="00F14010"/>
    <w:rsid w:val="00F16486"/>
    <w:rsid w:val="00F20DF9"/>
    <w:rsid w:val="00F21EEC"/>
    <w:rsid w:val="00F24CFE"/>
    <w:rsid w:val="00F24E42"/>
    <w:rsid w:val="00F40DB0"/>
    <w:rsid w:val="00F41F50"/>
    <w:rsid w:val="00F442D1"/>
    <w:rsid w:val="00F47B94"/>
    <w:rsid w:val="00F50389"/>
    <w:rsid w:val="00F55E46"/>
    <w:rsid w:val="00F604A7"/>
    <w:rsid w:val="00F62E0F"/>
    <w:rsid w:val="00F66FF8"/>
    <w:rsid w:val="00F74E2C"/>
    <w:rsid w:val="00F75C7F"/>
    <w:rsid w:val="00F92EFD"/>
    <w:rsid w:val="00F97003"/>
    <w:rsid w:val="00FA3C63"/>
    <w:rsid w:val="00FA48CF"/>
    <w:rsid w:val="00FA4E9C"/>
    <w:rsid w:val="00FA53A8"/>
    <w:rsid w:val="00FA645E"/>
    <w:rsid w:val="00FB120A"/>
    <w:rsid w:val="00FB28EB"/>
    <w:rsid w:val="00FB4235"/>
    <w:rsid w:val="00FB44F4"/>
    <w:rsid w:val="00FB6544"/>
    <w:rsid w:val="00FC1AE0"/>
    <w:rsid w:val="00FC2F1F"/>
    <w:rsid w:val="00FD386D"/>
    <w:rsid w:val="00FD4C61"/>
    <w:rsid w:val="00FE4E64"/>
    <w:rsid w:val="00FE6D66"/>
    <w:rsid w:val="00FF474E"/>
    <w:rsid w:val="00FF5DD8"/>
    <w:rsid w:val="00FF62C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B8258C7"/>
  <w15:docId w15:val="{E7C9CAE8-D30B-4133-93C7-CA3E180A3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paragraph" w:styleId="Heading1">
    <w:name w:val="heading 1"/>
    <w:basedOn w:val="Normal"/>
    <w:next w:val="Normal"/>
    <w:link w:val="Heading1Char"/>
    <w:uiPriority w:val="9"/>
    <w:qFormat/>
    <w:pPr>
      <w:keepNext/>
      <w:spacing w:before="240" w:after="60"/>
      <w:outlineLvl w:val="0"/>
    </w:pPr>
    <w:rPr>
      <w:rFonts w:ascii="Times New Roman" w:eastAsia="Times New Roman" w:hAnsi="Times New Roman"/>
      <w:b/>
      <w:bCs/>
      <w:kern w:val="32"/>
      <w:sz w:val="24"/>
      <w:szCs w:val="32"/>
    </w:rPr>
  </w:style>
  <w:style w:type="paragraph" w:styleId="Heading2">
    <w:name w:val="heading 2"/>
    <w:basedOn w:val="Normal"/>
    <w:next w:val="Normal"/>
    <w:link w:val="Heading2Char"/>
    <w:uiPriority w:val="9"/>
    <w:unhideWhenUsed/>
    <w:qFormat/>
    <w:pPr>
      <w:keepNext/>
      <w:spacing w:before="240" w:after="60"/>
      <w:outlineLvl w:val="1"/>
    </w:pPr>
    <w:rPr>
      <w:rFonts w:ascii="Times New Roman" w:eastAsia="Times New Roman" w:hAnsi="Times New Roman"/>
      <w:b/>
      <w:bCs/>
      <w:i/>
      <w:iCs/>
      <w:sz w:val="24"/>
      <w:szCs w:val="28"/>
    </w:rPr>
  </w:style>
  <w:style w:type="paragraph" w:styleId="Heading3">
    <w:name w:val="heading 3"/>
    <w:basedOn w:val="Normal"/>
    <w:next w:val="Normal"/>
    <w:link w:val="Heading3Char"/>
    <w:uiPriority w:val="9"/>
    <w:unhideWhenUsed/>
    <w:qFormat/>
    <w:pPr>
      <w:keepNext/>
      <w:spacing w:before="240" w:after="60"/>
      <w:outlineLvl w:val="2"/>
    </w:pPr>
    <w:rPr>
      <w:rFonts w:ascii="Times New Roman" w:eastAsia="Times New Roman" w:hAnsi="Times New Roman"/>
      <w:b/>
      <w:bCs/>
      <w:sz w:val="24"/>
      <w:szCs w:val="26"/>
    </w:rPr>
  </w:style>
  <w:style w:type="paragraph" w:styleId="Heading4">
    <w:name w:val="heading 4"/>
    <w:basedOn w:val="Normal"/>
    <w:next w:val="Normal"/>
    <w:link w:val="Heading4Char"/>
    <w:uiPriority w:val="9"/>
    <w:unhideWhenUsed/>
    <w:qFormat/>
    <w:pPr>
      <w:keepNext/>
      <w:spacing w:before="240" w:after="60"/>
      <w:outlineLvl w:val="3"/>
    </w:pPr>
    <w:rPr>
      <w:rFonts w:ascii="Times New Roman" w:eastAsia="Times New Roman" w:hAnsi="Times New Roman"/>
      <w:bCs/>
      <w:i/>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2"/>
      <w:sz w:val="24"/>
      <w:szCs w:val="32"/>
    </w:rPr>
  </w:style>
  <w:style w:type="character" w:customStyle="1" w:styleId="Heading2Char">
    <w:name w:val="Heading 2 Char"/>
    <w:basedOn w:val="DefaultParagraphFont"/>
    <w:link w:val="Heading2"/>
    <w:uiPriority w:val="9"/>
    <w:rPr>
      <w:rFonts w:ascii="Times New Roman" w:eastAsia="Times New Roman" w:hAnsi="Times New Roman" w:cs="Times New Roman"/>
      <w:b/>
      <w:bCs/>
      <w:i/>
      <w:iCs/>
      <w:sz w:val="24"/>
      <w:szCs w:val="28"/>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4"/>
      <w:szCs w:val="26"/>
    </w:rPr>
  </w:style>
  <w:style w:type="character" w:customStyle="1" w:styleId="Heading4Char">
    <w:name w:val="Heading 4 Char"/>
    <w:basedOn w:val="DefaultParagraphFont"/>
    <w:link w:val="Heading4"/>
    <w:uiPriority w:val="9"/>
    <w:rPr>
      <w:rFonts w:ascii="Times New Roman" w:eastAsia="Times New Roman" w:hAnsi="Times New Roman" w:cs="Times New Roman"/>
      <w:bCs/>
      <w:i/>
      <w:sz w:val="24"/>
      <w:szCs w:val="28"/>
    </w:rPr>
  </w:style>
  <w:style w:type="paragraph" w:styleId="BalloonText">
    <w:name w:val="Balloon Text"/>
    <w:basedOn w:val="Normal"/>
    <w:link w:val="BalloonTextChar"/>
    <w:uiPriority w:val="99"/>
    <w:semiHidden/>
    <w:unhideWhenUsed/>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Pr>
      <w:rFonts w:ascii="Tahoma" w:eastAsia="Calibri" w:hAnsi="Tahoma" w:cs="Times New Roman"/>
      <w:sz w:val="16"/>
      <w:szCs w:val="16"/>
      <w:lang w:val="hu-HU"/>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lang w:val="hu-HU"/>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lang w:val="hu-HU"/>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uiPriority w:val="99"/>
    <w:unhideWhenUsed/>
    <w:rPr>
      <w:color w:val="0000FF"/>
      <w:u w:val="single"/>
    </w:rPr>
  </w:style>
  <w:style w:type="paragraph" w:styleId="FootnoteText">
    <w:name w:val="footnote text"/>
    <w:aliases w:val="Fußnotentextf,RSK-FT,RSK-FT1,RSK-FT2"/>
    <w:basedOn w:val="Normal"/>
    <w:link w:val="FootnoteTextChar"/>
    <w:autoRedefine/>
    <w:uiPriority w:val="99"/>
    <w:unhideWhenUsed/>
    <w:qFormat/>
    <w:rsid w:val="00AC48C8"/>
    <w:pPr>
      <w:spacing w:after="0" w:line="240" w:lineRule="auto"/>
    </w:pPr>
    <w:rPr>
      <w:rFonts w:ascii="Times New Roman" w:hAnsi="Times New Roman"/>
      <w:sz w:val="18"/>
      <w:szCs w:val="18"/>
    </w:rPr>
  </w:style>
  <w:style w:type="character" w:customStyle="1" w:styleId="FootnoteTextChar">
    <w:name w:val="Footnote Text Char"/>
    <w:aliases w:val="Fußnotentextf Char,RSK-FT Char,RSK-FT1 Char,RSK-FT2 Char"/>
    <w:basedOn w:val="DefaultParagraphFont"/>
    <w:link w:val="FootnoteText"/>
    <w:uiPriority w:val="99"/>
    <w:rsid w:val="00AC48C8"/>
    <w:rPr>
      <w:rFonts w:ascii="Times New Roman" w:eastAsia="Calibri" w:hAnsi="Times New Roman" w:cs="Times New Roman"/>
      <w:sz w:val="18"/>
      <w:szCs w:val="18"/>
    </w:rPr>
  </w:style>
  <w:style w:type="character" w:styleId="FootnoteReference">
    <w:name w:val="footnote reference"/>
    <w:aliases w:val="Footnote Refernece,BVI fnr,callout,16 Point,Superscript 6 Point,Odwołanie przypisu,Footnote symbol,Footnote Reference Number,Footnote Reference Superscript,SUPERS,Times 10 Point,Exposant 3 Point,Ref,de nota al pie,number, BVI fnr"/>
    <w:uiPriority w:val="99"/>
    <w:unhideWhenUsed/>
    <w:qFormat/>
    <w:rPr>
      <w:vertAlign w:val="superscript"/>
    </w:rPr>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rPr>
      <w:rFonts w:ascii="Calibri" w:eastAsia="Calibri" w:hAnsi="Calibri" w:cs="Times New Roman"/>
    </w:rPr>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rPr>
      <w:rFonts w:ascii="Calibri" w:eastAsia="Calibri" w:hAnsi="Calibri" w:cs="Times New Roman"/>
    </w:rPr>
  </w:style>
  <w:style w:type="paragraph" w:customStyle="1" w:styleId="a3520normalp11">
    <w:name w:val="a__35__20_normal_p11"/>
    <w:basedOn w:val="Normal"/>
    <w:pPr>
      <w:spacing w:after="120" w:line="240" w:lineRule="auto"/>
      <w:ind w:right="57"/>
      <w:jc w:val="both"/>
    </w:pPr>
    <w:rPr>
      <w:rFonts w:ascii="Times New Roman" w:eastAsia="Times New Roman" w:hAnsi="Times New Roman"/>
      <w:sz w:val="24"/>
      <w:szCs w:val="24"/>
      <w:lang w:eastAsia="en-GB"/>
    </w:rPr>
  </w:style>
  <w:style w:type="paragraph" w:customStyle="1" w:styleId="5normal">
    <w:name w:val="5normal"/>
    <w:basedOn w:val="Normal"/>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ps">
    <w:name w:val="hps"/>
  </w:style>
  <w:style w:type="paragraph" w:styleId="ListParagraph">
    <w:name w:val="List Paragraph"/>
    <w:basedOn w:val="Normal"/>
    <w:uiPriority w:val="34"/>
    <w:qFormat/>
    <w:pPr>
      <w:spacing w:after="160" w:line="259" w:lineRule="auto"/>
      <w:ind w:left="720"/>
      <w:contextualSpacing/>
    </w:pPr>
  </w:style>
  <w:style w:type="character" w:styleId="Strong">
    <w:name w:val="Strong"/>
    <w:uiPriority w:val="22"/>
    <w:qFormat/>
    <w:rPr>
      <w:b/>
      <w:bCs/>
    </w:rPr>
  </w:style>
  <w:style w:type="paragraph" w:customStyle="1" w:styleId="ECStandard">
    <w:name w:val="EC Standard"/>
    <w:basedOn w:val="Normal"/>
    <w:link w:val="ECStandardZchn"/>
    <w:qFormat/>
    <w:pPr>
      <w:spacing w:after="120" w:line="240" w:lineRule="auto"/>
      <w:jc w:val="both"/>
    </w:pPr>
    <w:rPr>
      <w:rFonts w:ascii="Times New Roman" w:eastAsia="Times New Roman" w:hAnsi="Times New Roman"/>
      <w:sz w:val="24"/>
      <w:szCs w:val="24"/>
      <w:lang w:eastAsia="de-DE"/>
    </w:rPr>
  </w:style>
  <w:style w:type="character" w:customStyle="1" w:styleId="ECStandardZchn">
    <w:name w:val="EC Standard Zchn"/>
    <w:link w:val="ECStandard"/>
    <w:rPr>
      <w:rFonts w:ascii="Times New Roman" w:eastAsia="Times New Roman" w:hAnsi="Times New Roman" w:cs="Times New Roman"/>
      <w:sz w:val="24"/>
      <w:szCs w:val="24"/>
      <w:lang w:eastAsia="de-DE"/>
    </w:rPr>
  </w:style>
  <w:style w:type="paragraph" w:styleId="Revision">
    <w:name w:val="Revision"/>
    <w:hidden/>
    <w:uiPriority w:val="99"/>
    <w:semiHidden/>
    <w:pPr>
      <w:spacing w:after="0" w:line="240" w:lineRule="auto"/>
    </w:pPr>
    <w:rPr>
      <w:rFonts w:ascii="Calibri" w:eastAsia="Calibri" w:hAnsi="Calibri" w:cs="Times New Roman"/>
    </w:rPr>
  </w:style>
  <w:style w:type="paragraph" w:customStyle="1" w:styleId="5Normal0">
    <w:name w:val="5 Normal"/>
    <w:basedOn w:val="Normal"/>
    <w:link w:val="5NormalChar"/>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ind w:right="57"/>
      <w:jc w:val="both"/>
    </w:pPr>
    <w:rPr>
      <w:rFonts w:ascii="Verdana" w:eastAsia="Times New Roman" w:hAnsi="Verdana"/>
      <w:spacing w:val="-2"/>
      <w:sz w:val="20"/>
      <w:szCs w:val="24"/>
      <w:lang w:eastAsia="en-GB"/>
    </w:rPr>
  </w:style>
  <w:style w:type="character" w:customStyle="1" w:styleId="5NormalChar">
    <w:name w:val="5 Normal Char"/>
    <w:link w:val="5Normal0"/>
    <w:locked/>
    <w:rPr>
      <w:rFonts w:ascii="Verdana" w:eastAsia="Times New Roman" w:hAnsi="Verdana" w:cs="Times New Roman"/>
      <w:spacing w:val="-2"/>
      <w:sz w:val="20"/>
      <w:szCs w:val="24"/>
      <w:lang w:eastAsia="en-GB"/>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link w:val="TOCHeadingChar"/>
    <w:uiPriority w:val="39"/>
    <w:unhideWhenUsed/>
    <w:qFormat/>
    <w:pPr>
      <w:keepLines/>
      <w:spacing w:before="480" w:after="0"/>
      <w:outlineLvl w:val="9"/>
    </w:pPr>
    <w:rPr>
      <w:rFonts w:ascii="Cambria" w:hAnsi="Cambria"/>
      <w:color w:val="365F91"/>
      <w:kern w:val="0"/>
      <w:sz w:val="28"/>
      <w:szCs w:val="28"/>
      <w:lang w:eastAsia="ja-JP"/>
    </w:rPr>
  </w:style>
  <w:style w:type="paragraph" w:styleId="TOC1">
    <w:name w:val="toc 1"/>
    <w:basedOn w:val="Normal"/>
    <w:next w:val="Normal"/>
    <w:autoRedefine/>
    <w:uiPriority w:val="39"/>
    <w:unhideWhenUsed/>
    <w:qFormat/>
    <w:pPr>
      <w:tabs>
        <w:tab w:val="right" w:leader="dot" w:pos="9016"/>
      </w:tabs>
    </w:pPr>
  </w:style>
  <w:style w:type="paragraph" w:styleId="TOC2">
    <w:name w:val="toc 2"/>
    <w:basedOn w:val="Normal"/>
    <w:next w:val="Normal"/>
    <w:autoRedefine/>
    <w:uiPriority w:val="39"/>
    <w:unhideWhenUsed/>
    <w:qFormat/>
    <w:pPr>
      <w:ind w:left="220"/>
    </w:pPr>
  </w:style>
  <w:style w:type="paragraph" w:styleId="TOC3">
    <w:name w:val="toc 3"/>
    <w:basedOn w:val="Normal"/>
    <w:next w:val="Normal"/>
    <w:autoRedefine/>
    <w:uiPriority w:val="39"/>
    <w:unhideWhenUsed/>
    <w:qFormat/>
    <w:pPr>
      <w:ind w:left="440"/>
    </w:pPr>
  </w:style>
  <w:style w:type="paragraph" w:styleId="Caption">
    <w:name w:val="caption"/>
    <w:basedOn w:val="Normal"/>
    <w:next w:val="Normal"/>
    <w:uiPriority w:val="35"/>
    <w:unhideWhenUsed/>
    <w:qFormat/>
    <w:rPr>
      <w:b/>
      <w:bCs/>
      <w:sz w:val="20"/>
      <w:szCs w:val="20"/>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rPr>
  </w:style>
  <w:style w:type="character" w:customStyle="1" w:styleId="FooterCoverPageChar">
    <w:name w:val="Footer Cover Page Char"/>
    <w:basedOn w:val="DefaultParagraphFont"/>
    <w:link w:val="FooterCoverPage"/>
    <w:rPr>
      <w:rFonts w:ascii="Times New Roman" w:eastAsia="Calibri"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rPr>
  </w:style>
  <w:style w:type="character" w:customStyle="1" w:styleId="HeaderCoverPageChar">
    <w:name w:val="Header Cover Page Char"/>
    <w:basedOn w:val="DefaultParagraphFont"/>
    <w:link w:val="HeaderCoverPage"/>
    <w:rPr>
      <w:rFonts w:ascii="Times New Roman" w:eastAsia="Calibri" w:hAnsi="Times New Roman" w:cs="Times New Roman"/>
      <w:sz w:val="24"/>
    </w:rPr>
  </w:style>
  <w:style w:type="paragraph" w:styleId="TOC4">
    <w:name w:val="toc 4"/>
    <w:basedOn w:val="Normal"/>
    <w:next w:val="Normal"/>
    <w:autoRedefine/>
    <w:uiPriority w:val="39"/>
    <w:unhideWhenUsed/>
    <w:pPr>
      <w:spacing w:after="100"/>
      <w:ind w:left="660"/>
    </w:pPr>
  </w:style>
  <w:style w:type="paragraph" w:styleId="NoSpacing">
    <w:name w:val="No Spacing"/>
    <w:uiPriority w:val="1"/>
    <w:qFormat/>
    <w:pPr>
      <w:spacing w:after="0" w:line="240" w:lineRule="auto"/>
    </w:pPr>
    <w:rPr>
      <w:rFonts w:ascii="Calibri" w:eastAsia="Calibri" w:hAnsi="Calibri" w:cs="Times New Roman"/>
    </w:rPr>
  </w:style>
  <w:style w:type="character" w:styleId="CommentReference">
    <w:name w:val="annotation reference"/>
    <w:uiPriority w:val="99"/>
    <w:semiHidden/>
    <w:unhideWhenUsed/>
    <w:rPr>
      <w:sz w:val="16"/>
      <w:szCs w:val="16"/>
    </w:rPr>
  </w:style>
  <w:style w:type="character" w:customStyle="1" w:styleId="clear">
    <w:name w:val="clear"/>
    <w:basedOn w:val="DefaultParagraphFont"/>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TableGrid1">
    <w:name w:val="Table Grid1"/>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rPr>
  </w:style>
  <w:style w:type="character" w:customStyle="1" w:styleId="TOCHeadingChar">
    <w:name w:val="TOC Heading Char"/>
    <w:basedOn w:val="Heading1Char"/>
    <w:link w:val="TOCHeading"/>
    <w:uiPriority w:val="39"/>
    <w:rPr>
      <w:rFonts w:ascii="Cambria" w:eastAsia="Times New Roman" w:hAnsi="Cambria" w:cs="Times New Roman"/>
      <w:b/>
      <w:bCs/>
      <w:color w:val="365F91"/>
      <w:kern w:val="32"/>
      <w:sz w:val="28"/>
      <w:szCs w:val="28"/>
      <w:lang w:val="hu-HU" w:eastAsia="ja-JP"/>
    </w:rPr>
  </w:style>
  <w:style w:type="character" w:customStyle="1" w:styleId="FooterSensitivityChar">
    <w:name w:val="Footer Sensitivity Char"/>
    <w:basedOn w:val="TOCHeadingChar"/>
    <w:link w:val="FooterSensitivity"/>
    <w:rPr>
      <w:rFonts w:ascii="Times New Roman" w:eastAsia="Calibri" w:hAnsi="Times New Roman" w:cs="Times New Roman"/>
      <w:b/>
      <w:bCs w:val="0"/>
      <w:color w:val="365F91"/>
      <w:kern w:val="32"/>
      <w:sz w:val="32"/>
      <w:szCs w:val="28"/>
      <w:lang w:val="hu-HU" w:eastAsia="ja-JP"/>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rPr>
  </w:style>
  <w:style w:type="character" w:customStyle="1" w:styleId="HeaderSensitivityChar">
    <w:name w:val="Header Sensitivity Char"/>
    <w:basedOn w:val="TOCHeadingChar"/>
    <w:link w:val="HeaderSensitivity"/>
    <w:rPr>
      <w:rFonts w:ascii="Times New Roman" w:eastAsia="Calibri" w:hAnsi="Times New Roman" w:cs="Times New Roman"/>
      <w:b/>
      <w:bCs w:val="0"/>
      <w:color w:val="365F91"/>
      <w:kern w:val="32"/>
      <w:sz w:val="32"/>
      <w:szCs w:val="28"/>
      <w:lang w:val="hu-HU" w:eastAsia="ja-JP"/>
    </w:rPr>
  </w:style>
  <w:style w:type="table" w:customStyle="1" w:styleId="TableGrid5">
    <w:name w:val="Table Grid5"/>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4678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urityMarking">
    <w:name w:val="SecurityMarking"/>
    <w:basedOn w:val="Normal"/>
    <w:rsid w:val="006B33D0"/>
    <w:pPr>
      <w:spacing w:after="0"/>
      <w:ind w:left="5103"/>
    </w:pPr>
    <w:rPr>
      <w:rFonts w:ascii="Times New Roman" w:eastAsiaTheme="minorHAnsi" w:hAnsi="Times New Roman"/>
      <w:sz w:val="28"/>
    </w:rPr>
  </w:style>
  <w:style w:type="paragraph" w:customStyle="1" w:styleId="DateMarking">
    <w:name w:val="DateMarking"/>
    <w:basedOn w:val="Normal"/>
    <w:rsid w:val="006B33D0"/>
    <w:pPr>
      <w:spacing w:after="0"/>
      <w:ind w:left="5103"/>
    </w:pPr>
    <w:rPr>
      <w:rFonts w:ascii="Times New Roman" w:eastAsiaTheme="minorHAnsi" w:hAnsi="Times New Roman"/>
      <w:i/>
      <w:sz w:val="28"/>
    </w:rPr>
  </w:style>
  <w:style w:type="paragraph" w:customStyle="1" w:styleId="ReleasableTo">
    <w:name w:val="ReleasableTo"/>
    <w:basedOn w:val="Normal"/>
    <w:rsid w:val="006B33D0"/>
    <w:pPr>
      <w:spacing w:after="0"/>
      <w:ind w:left="5103"/>
    </w:pPr>
    <w:rPr>
      <w:rFonts w:ascii="Times New Roman" w:eastAsiaTheme="minorHAnsi" w:hAnsi="Times New Roman"/>
      <w:i/>
      <w:sz w:val="28"/>
    </w:rPr>
  </w:style>
  <w:style w:type="paragraph" w:customStyle="1" w:styleId="HeaderSensitivityRight">
    <w:name w:val="Header Sensitivity Right"/>
    <w:basedOn w:val="Normal"/>
    <w:rsid w:val="006B33D0"/>
    <w:pPr>
      <w:spacing w:after="120" w:line="240" w:lineRule="auto"/>
      <w:jc w:val="right"/>
    </w:pPr>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361495">
      <w:bodyDiv w:val="1"/>
      <w:marLeft w:val="0"/>
      <w:marRight w:val="0"/>
      <w:marTop w:val="0"/>
      <w:marBottom w:val="0"/>
      <w:divBdr>
        <w:top w:val="none" w:sz="0" w:space="0" w:color="auto"/>
        <w:left w:val="none" w:sz="0" w:space="0" w:color="auto"/>
        <w:bottom w:val="none" w:sz="0" w:space="0" w:color="auto"/>
        <w:right w:val="none" w:sz="0" w:space="0" w:color="auto"/>
      </w:divBdr>
    </w:div>
    <w:div w:id="93596496">
      <w:bodyDiv w:val="1"/>
      <w:marLeft w:val="0"/>
      <w:marRight w:val="0"/>
      <w:marTop w:val="0"/>
      <w:marBottom w:val="0"/>
      <w:divBdr>
        <w:top w:val="none" w:sz="0" w:space="0" w:color="auto"/>
        <w:left w:val="none" w:sz="0" w:space="0" w:color="auto"/>
        <w:bottom w:val="none" w:sz="0" w:space="0" w:color="auto"/>
        <w:right w:val="none" w:sz="0" w:space="0" w:color="auto"/>
      </w:divBdr>
    </w:div>
    <w:div w:id="133959825">
      <w:bodyDiv w:val="1"/>
      <w:marLeft w:val="0"/>
      <w:marRight w:val="0"/>
      <w:marTop w:val="0"/>
      <w:marBottom w:val="0"/>
      <w:divBdr>
        <w:top w:val="none" w:sz="0" w:space="0" w:color="auto"/>
        <w:left w:val="none" w:sz="0" w:space="0" w:color="auto"/>
        <w:bottom w:val="none" w:sz="0" w:space="0" w:color="auto"/>
        <w:right w:val="none" w:sz="0" w:space="0" w:color="auto"/>
      </w:divBdr>
    </w:div>
    <w:div w:id="255866945">
      <w:bodyDiv w:val="1"/>
      <w:marLeft w:val="0"/>
      <w:marRight w:val="0"/>
      <w:marTop w:val="0"/>
      <w:marBottom w:val="0"/>
      <w:divBdr>
        <w:top w:val="none" w:sz="0" w:space="0" w:color="auto"/>
        <w:left w:val="none" w:sz="0" w:space="0" w:color="auto"/>
        <w:bottom w:val="none" w:sz="0" w:space="0" w:color="auto"/>
        <w:right w:val="none" w:sz="0" w:space="0" w:color="auto"/>
      </w:divBdr>
    </w:div>
    <w:div w:id="275797483">
      <w:bodyDiv w:val="1"/>
      <w:marLeft w:val="0"/>
      <w:marRight w:val="0"/>
      <w:marTop w:val="0"/>
      <w:marBottom w:val="0"/>
      <w:divBdr>
        <w:top w:val="none" w:sz="0" w:space="0" w:color="auto"/>
        <w:left w:val="none" w:sz="0" w:space="0" w:color="auto"/>
        <w:bottom w:val="none" w:sz="0" w:space="0" w:color="auto"/>
        <w:right w:val="none" w:sz="0" w:space="0" w:color="auto"/>
      </w:divBdr>
    </w:div>
    <w:div w:id="290207403">
      <w:bodyDiv w:val="1"/>
      <w:marLeft w:val="0"/>
      <w:marRight w:val="0"/>
      <w:marTop w:val="0"/>
      <w:marBottom w:val="0"/>
      <w:divBdr>
        <w:top w:val="none" w:sz="0" w:space="0" w:color="auto"/>
        <w:left w:val="none" w:sz="0" w:space="0" w:color="auto"/>
        <w:bottom w:val="none" w:sz="0" w:space="0" w:color="auto"/>
        <w:right w:val="none" w:sz="0" w:space="0" w:color="auto"/>
      </w:divBdr>
    </w:div>
    <w:div w:id="364062195">
      <w:bodyDiv w:val="1"/>
      <w:marLeft w:val="0"/>
      <w:marRight w:val="0"/>
      <w:marTop w:val="0"/>
      <w:marBottom w:val="0"/>
      <w:divBdr>
        <w:top w:val="none" w:sz="0" w:space="0" w:color="auto"/>
        <w:left w:val="none" w:sz="0" w:space="0" w:color="auto"/>
        <w:bottom w:val="none" w:sz="0" w:space="0" w:color="auto"/>
        <w:right w:val="none" w:sz="0" w:space="0" w:color="auto"/>
      </w:divBdr>
      <w:divsChild>
        <w:div w:id="1461415837">
          <w:marLeft w:val="0"/>
          <w:marRight w:val="0"/>
          <w:marTop w:val="0"/>
          <w:marBottom w:val="0"/>
          <w:divBdr>
            <w:top w:val="none" w:sz="0" w:space="0" w:color="auto"/>
            <w:left w:val="none" w:sz="0" w:space="0" w:color="auto"/>
            <w:bottom w:val="none" w:sz="0" w:space="0" w:color="auto"/>
            <w:right w:val="none" w:sz="0" w:space="0" w:color="auto"/>
          </w:divBdr>
        </w:div>
      </w:divsChild>
    </w:div>
    <w:div w:id="372270018">
      <w:bodyDiv w:val="1"/>
      <w:marLeft w:val="0"/>
      <w:marRight w:val="0"/>
      <w:marTop w:val="0"/>
      <w:marBottom w:val="0"/>
      <w:divBdr>
        <w:top w:val="none" w:sz="0" w:space="0" w:color="auto"/>
        <w:left w:val="none" w:sz="0" w:space="0" w:color="auto"/>
        <w:bottom w:val="none" w:sz="0" w:space="0" w:color="auto"/>
        <w:right w:val="none" w:sz="0" w:space="0" w:color="auto"/>
      </w:divBdr>
      <w:divsChild>
        <w:div w:id="2046782589">
          <w:marLeft w:val="0"/>
          <w:marRight w:val="0"/>
          <w:marTop w:val="0"/>
          <w:marBottom w:val="0"/>
          <w:divBdr>
            <w:top w:val="none" w:sz="0" w:space="0" w:color="auto"/>
            <w:left w:val="none" w:sz="0" w:space="0" w:color="auto"/>
            <w:bottom w:val="none" w:sz="0" w:space="0" w:color="auto"/>
            <w:right w:val="none" w:sz="0" w:space="0" w:color="auto"/>
          </w:divBdr>
        </w:div>
        <w:div w:id="302003568">
          <w:marLeft w:val="0"/>
          <w:marRight w:val="0"/>
          <w:marTop w:val="0"/>
          <w:marBottom w:val="0"/>
          <w:divBdr>
            <w:top w:val="none" w:sz="0" w:space="0" w:color="auto"/>
            <w:left w:val="none" w:sz="0" w:space="0" w:color="auto"/>
            <w:bottom w:val="none" w:sz="0" w:space="0" w:color="auto"/>
            <w:right w:val="none" w:sz="0" w:space="0" w:color="auto"/>
          </w:divBdr>
        </w:div>
        <w:div w:id="805123812">
          <w:marLeft w:val="0"/>
          <w:marRight w:val="0"/>
          <w:marTop w:val="0"/>
          <w:marBottom w:val="0"/>
          <w:divBdr>
            <w:top w:val="none" w:sz="0" w:space="0" w:color="auto"/>
            <w:left w:val="none" w:sz="0" w:space="0" w:color="auto"/>
            <w:bottom w:val="none" w:sz="0" w:space="0" w:color="auto"/>
            <w:right w:val="none" w:sz="0" w:space="0" w:color="auto"/>
          </w:divBdr>
        </w:div>
        <w:div w:id="1823505275">
          <w:marLeft w:val="0"/>
          <w:marRight w:val="0"/>
          <w:marTop w:val="0"/>
          <w:marBottom w:val="0"/>
          <w:divBdr>
            <w:top w:val="none" w:sz="0" w:space="0" w:color="auto"/>
            <w:left w:val="none" w:sz="0" w:space="0" w:color="auto"/>
            <w:bottom w:val="none" w:sz="0" w:space="0" w:color="auto"/>
            <w:right w:val="none" w:sz="0" w:space="0" w:color="auto"/>
          </w:divBdr>
        </w:div>
        <w:div w:id="975600029">
          <w:marLeft w:val="0"/>
          <w:marRight w:val="0"/>
          <w:marTop w:val="0"/>
          <w:marBottom w:val="0"/>
          <w:divBdr>
            <w:top w:val="none" w:sz="0" w:space="0" w:color="auto"/>
            <w:left w:val="none" w:sz="0" w:space="0" w:color="auto"/>
            <w:bottom w:val="none" w:sz="0" w:space="0" w:color="auto"/>
            <w:right w:val="none" w:sz="0" w:space="0" w:color="auto"/>
          </w:divBdr>
        </w:div>
      </w:divsChild>
    </w:div>
    <w:div w:id="382825163">
      <w:bodyDiv w:val="1"/>
      <w:marLeft w:val="0"/>
      <w:marRight w:val="0"/>
      <w:marTop w:val="0"/>
      <w:marBottom w:val="0"/>
      <w:divBdr>
        <w:top w:val="none" w:sz="0" w:space="0" w:color="auto"/>
        <w:left w:val="none" w:sz="0" w:space="0" w:color="auto"/>
        <w:bottom w:val="none" w:sz="0" w:space="0" w:color="auto"/>
        <w:right w:val="none" w:sz="0" w:space="0" w:color="auto"/>
      </w:divBdr>
      <w:divsChild>
        <w:div w:id="1072195181">
          <w:marLeft w:val="0"/>
          <w:marRight w:val="0"/>
          <w:marTop w:val="0"/>
          <w:marBottom w:val="0"/>
          <w:divBdr>
            <w:top w:val="none" w:sz="0" w:space="0" w:color="auto"/>
            <w:left w:val="none" w:sz="0" w:space="0" w:color="auto"/>
            <w:bottom w:val="none" w:sz="0" w:space="0" w:color="auto"/>
            <w:right w:val="none" w:sz="0" w:space="0" w:color="auto"/>
          </w:divBdr>
          <w:divsChild>
            <w:div w:id="1886259599">
              <w:marLeft w:val="0"/>
              <w:marRight w:val="0"/>
              <w:marTop w:val="0"/>
              <w:marBottom w:val="0"/>
              <w:divBdr>
                <w:top w:val="none" w:sz="0" w:space="0" w:color="auto"/>
                <w:left w:val="none" w:sz="0" w:space="0" w:color="auto"/>
                <w:bottom w:val="none" w:sz="0" w:space="0" w:color="auto"/>
                <w:right w:val="none" w:sz="0" w:space="0" w:color="auto"/>
              </w:divBdr>
              <w:divsChild>
                <w:div w:id="1709329333">
                  <w:marLeft w:val="0"/>
                  <w:marRight w:val="0"/>
                  <w:marTop w:val="0"/>
                  <w:marBottom w:val="0"/>
                  <w:divBdr>
                    <w:top w:val="none" w:sz="0" w:space="0" w:color="auto"/>
                    <w:left w:val="none" w:sz="0" w:space="0" w:color="auto"/>
                    <w:bottom w:val="none" w:sz="0" w:space="0" w:color="auto"/>
                    <w:right w:val="none" w:sz="0" w:space="0" w:color="auto"/>
                  </w:divBdr>
                  <w:divsChild>
                    <w:div w:id="1583679908">
                      <w:marLeft w:val="0"/>
                      <w:marRight w:val="0"/>
                      <w:marTop w:val="0"/>
                      <w:marBottom w:val="0"/>
                      <w:divBdr>
                        <w:top w:val="none" w:sz="0" w:space="0" w:color="auto"/>
                        <w:left w:val="none" w:sz="0" w:space="0" w:color="auto"/>
                        <w:bottom w:val="none" w:sz="0" w:space="0" w:color="auto"/>
                        <w:right w:val="none" w:sz="0" w:space="0" w:color="auto"/>
                      </w:divBdr>
                      <w:divsChild>
                        <w:div w:id="1452434118">
                          <w:marLeft w:val="0"/>
                          <w:marRight w:val="0"/>
                          <w:marTop w:val="0"/>
                          <w:marBottom w:val="0"/>
                          <w:divBdr>
                            <w:top w:val="none" w:sz="0" w:space="0" w:color="auto"/>
                            <w:left w:val="none" w:sz="0" w:space="0" w:color="auto"/>
                            <w:bottom w:val="none" w:sz="0" w:space="0" w:color="auto"/>
                            <w:right w:val="none" w:sz="0" w:space="0" w:color="auto"/>
                          </w:divBdr>
                          <w:divsChild>
                            <w:div w:id="1843818149">
                              <w:marLeft w:val="0"/>
                              <w:marRight w:val="0"/>
                              <w:marTop w:val="0"/>
                              <w:marBottom w:val="0"/>
                              <w:divBdr>
                                <w:top w:val="none" w:sz="0" w:space="0" w:color="auto"/>
                                <w:left w:val="none" w:sz="0" w:space="0" w:color="auto"/>
                                <w:bottom w:val="none" w:sz="0" w:space="0" w:color="auto"/>
                                <w:right w:val="none" w:sz="0" w:space="0" w:color="auto"/>
                              </w:divBdr>
                              <w:divsChild>
                                <w:div w:id="757288114">
                                  <w:marLeft w:val="0"/>
                                  <w:marRight w:val="0"/>
                                  <w:marTop w:val="0"/>
                                  <w:marBottom w:val="0"/>
                                  <w:divBdr>
                                    <w:top w:val="none" w:sz="0" w:space="0" w:color="auto"/>
                                    <w:left w:val="none" w:sz="0" w:space="0" w:color="auto"/>
                                    <w:bottom w:val="none" w:sz="0" w:space="0" w:color="auto"/>
                                    <w:right w:val="none" w:sz="0" w:space="0" w:color="auto"/>
                                  </w:divBdr>
                                  <w:divsChild>
                                    <w:div w:id="7983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6711484">
      <w:bodyDiv w:val="1"/>
      <w:marLeft w:val="0"/>
      <w:marRight w:val="0"/>
      <w:marTop w:val="0"/>
      <w:marBottom w:val="0"/>
      <w:divBdr>
        <w:top w:val="none" w:sz="0" w:space="0" w:color="auto"/>
        <w:left w:val="none" w:sz="0" w:space="0" w:color="auto"/>
        <w:bottom w:val="none" w:sz="0" w:space="0" w:color="auto"/>
        <w:right w:val="none" w:sz="0" w:space="0" w:color="auto"/>
      </w:divBdr>
    </w:div>
    <w:div w:id="414322125">
      <w:bodyDiv w:val="1"/>
      <w:marLeft w:val="0"/>
      <w:marRight w:val="0"/>
      <w:marTop w:val="0"/>
      <w:marBottom w:val="0"/>
      <w:divBdr>
        <w:top w:val="none" w:sz="0" w:space="0" w:color="auto"/>
        <w:left w:val="none" w:sz="0" w:space="0" w:color="auto"/>
        <w:bottom w:val="none" w:sz="0" w:space="0" w:color="auto"/>
        <w:right w:val="none" w:sz="0" w:space="0" w:color="auto"/>
      </w:divBdr>
    </w:div>
    <w:div w:id="414471705">
      <w:bodyDiv w:val="1"/>
      <w:marLeft w:val="0"/>
      <w:marRight w:val="0"/>
      <w:marTop w:val="0"/>
      <w:marBottom w:val="0"/>
      <w:divBdr>
        <w:top w:val="none" w:sz="0" w:space="0" w:color="auto"/>
        <w:left w:val="none" w:sz="0" w:space="0" w:color="auto"/>
        <w:bottom w:val="none" w:sz="0" w:space="0" w:color="auto"/>
        <w:right w:val="none" w:sz="0" w:space="0" w:color="auto"/>
      </w:divBdr>
    </w:div>
    <w:div w:id="457072976">
      <w:bodyDiv w:val="1"/>
      <w:marLeft w:val="0"/>
      <w:marRight w:val="0"/>
      <w:marTop w:val="0"/>
      <w:marBottom w:val="0"/>
      <w:divBdr>
        <w:top w:val="none" w:sz="0" w:space="0" w:color="auto"/>
        <w:left w:val="none" w:sz="0" w:space="0" w:color="auto"/>
        <w:bottom w:val="none" w:sz="0" w:space="0" w:color="auto"/>
        <w:right w:val="none" w:sz="0" w:space="0" w:color="auto"/>
      </w:divBdr>
    </w:div>
    <w:div w:id="484980193">
      <w:bodyDiv w:val="1"/>
      <w:marLeft w:val="0"/>
      <w:marRight w:val="0"/>
      <w:marTop w:val="0"/>
      <w:marBottom w:val="0"/>
      <w:divBdr>
        <w:top w:val="none" w:sz="0" w:space="0" w:color="auto"/>
        <w:left w:val="none" w:sz="0" w:space="0" w:color="auto"/>
        <w:bottom w:val="none" w:sz="0" w:space="0" w:color="auto"/>
        <w:right w:val="none" w:sz="0" w:space="0" w:color="auto"/>
      </w:divBdr>
    </w:div>
    <w:div w:id="503974906">
      <w:bodyDiv w:val="1"/>
      <w:marLeft w:val="0"/>
      <w:marRight w:val="0"/>
      <w:marTop w:val="0"/>
      <w:marBottom w:val="0"/>
      <w:divBdr>
        <w:top w:val="none" w:sz="0" w:space="0" w:color="auto"/>
        <w:left w:val="none" w:sz="0" w:space="0" w:color="auto"/>
        <w:bottom w:val="none" w:sz="0" w:space="0" w:color="auto"/>
        <w:right w:val="none" w:sz="0" w:space="0" w:color="auto"/>
      </w:divBdr>
    </w:div>
    <w:div w:id="653223400">
      <w:bodyDiv w:val="1"/>
      <w:marLeft w:val="0"/>
      <w:marRight w:val="0"/>
      <w:marTop w:val="0"/>
      <w:marBottom w:val="0"/>
      <w:divBdr>
        <w:top w:val="none" w:sz="0" w:space="0" w:color="auto"/>
        <w:left w:val="none" w:sz="0" w:space="0" w:color="auto"/>
        <w:bottom w:val="none" w:sz="0" w:space="0" w:color="auto"/>
        <w:right w:val="none" w:sz="0" w:space="0" w:color="auto"/>
      </w:divBdr>
    </w:div>
    <w:div w:id="690716501">
      <w:bodyDiv w:val="1"/>
      <w:marLeft w:val="0"/>
      <w:marRight w:val="0"/>
      <w:marTop w:val="0"/>
      <w:marBottom w:val="0"/>
      <w:divBdr>
        <w:top w:val="none" w:sz="0" w:space="0" w:color="auto"/>
        <w:left w:val="none" w:sz="0" w:space="0" w:color="auto"/>
        <w:bottom w:val="none" w:sz="0" w:space="0" w:color="auto"/>
        <w:right w:val="none" w:sz="0" w:space="0" w:color="auto"/>
      </w:divBdr>
    </w:div>
    <w:div w:id="752094506">
      <w:bodyDiv w:val="1"/>
      <w:marLeft w:val="0"/>
      <w:marRight w:val="0"/>
      <w:marTop w:val="0"/>
      <w:marBottom w:val="0"/>
      <w:divBdr>
        <w:top w:val="none" w:sz="0" w:space="0" w:color="auto"/>
        <w:left w:val="none" w:sz="0" w:space="0" w:color="auto"/>
        <w:bottom w:val="none" w:sz="0" w:space="0" w:color="auto"/>
        <w:right w:val="none" w:sz="0" w:space="0" w:color="auto"/>
      </w:divBdr>
    </w:div>
    <w:div w:id="797643879">
      <w:bodyDiv w:val="1"/>
      <w:marLeft w:val="0"/>
      <w:marRight w:val="0"/>
      <w:marTop w:val="0"/>
      <w:marBottom w:val="0"/>
      <w:divBdr>
        <w:top w:val="none" w:sz="0" w:space="0" w:color="auto"/>
        <w:left w:val="none" w:sz="0" w:space="0" w:color="auto"/>
        <w:bottom w:val="none" w:sz="0" w:space="0" w:color="auto"/>
        <w:right w:val="none" w:sz="0" w:space="0" w:color="auto"/>
      </w:divBdr>
    </w:div>
    <w:div w:id="942765932">
      <w:bodyDiv w:val="1"/>
      <w:marLeft w:val="0"/>
      <w:marRight w:val="0"/>
      <w:marTop w:val="0"/>
      <w:marBottom w:val="0"/>
      <w:divBdr>
        <w:top w:val="none" w:sz="0" w:space="0" w:color="auto"/>
        <w:left w:val="none" w:sz="0" w:space="0" w:color="auto"/>
        <w:bottom w:val="none" w:sz="0" w:space="0" w:color="auto"/>
        <w:right w:val="none" w:sz="0" w:space="0" w:color="auto"/>
      </w:divBdr>
    </w:div>
    <w:div w:id="946347997">
      <w:bodyDiv w:val="1"/>
      <w:marLeft w:val="0"/>
      <w:marRight w:val="0"/>
      <w:marTop w:val="0"/>
      <w:marBottom w:val="0"/>
      <w:divBdr>
        <w:top w:val="none" w:sz="0" w:space="0" w:color="auto"/>
        <w:left w:val="none" w:sz="0" w:space="0" w:color="auto"/>
        <w:bottom w:val="none" w:sz="0" w:space="0" w:color="auto"/>
        <w:right w:val="none" w:sz="0" w:space="0" w:color="auto"/>
      </w:divBdr>
    </w:div>
    <w:div w:id="1109006879">
      <w:bodyDiv w:val="1"/>
      <w:marLeft w:val="0"/>
      <w:marRight w:val="0"/>
      <w:marTop w:val="0"/>
      <w:marBottom w:val="0"/>
      <w:divBdr>
        <w:top w:val="none" w:sz="0" w:space="0" w:color="auto"/>
        <w:left w:val="none" w:sz="0" w:space="0" w:color="auto"/>
        <w:bottom w:val="none" w:sz="0" w:space="0" w:color="auto"/>
        <w:right w:val="none" w:sz="0" w:space="0" w:color="auto"/>
      </w:divBdr>
    </w:div>
    <w:div w:id="1168448656">
      <w:bodyDiv w:val="1"/>
      <w:marLeft w:val="0"/>
      <w:marRight w:val="0"/>
      <w:marTop w:val="0"/>
      <w:marBottom w:val="0"/>
      <w:divBdr>
        <w:top w:val="none" w:sz="0" w:space="0" w:color="auto"/>
        <w:left w:val="none" w:sz="0" w:space="0" w:color="auto"/>
        <w:bottom w:val="none" w:sz="0" w:space="0" w:color="auto"/>
        <w:right w:val="none" w:sz="0" w:space="0" w:color="auto"/>
      </w:divBdr>
    </w:div>
    <w:div w:id="1230732294">
      <w:bodyDiv w:val="1"/>
      <w:marLeft w:val="0"/>
      <w:marRight w:val="0"/>
      <w:marTop w:val="0"/>
      <w:marBottom w:val="0"/>
      <w:divBdr>
        <w:top w:val="none" w:sz="0" w:space="0" w:color="auto"/>
        <w:left w:val="none" w:sz="0" w:space="0" w:color="auto"/>
        <w:bottom w:val="none" w:sz="0" w:space="0" w:color="auto"/>
        <w:right w:val="none" w:sz="0" w:space="0" w:color="auto"/>
      </w:divBdr>
    </w:div>
    <w:div w:id="1268191800">
      <w:bodyDiv w:val="1"/>
      <w:marLeft w:val="0"/>
      <w:marRight w:val="0"/>
      <w:marTop w:val="0"/>
      <w:marBottom w:val="0"/>
      <w:divBdr>
        <w:top w:val="none" w:sz="0" w:space="0" w:color="auto"/>
        <w:left w:val="none" w:sz="0" w:space="0" w:color="auto"/>
        <w:bottom w:val="none" w:sz="0" w:space="0" w:color="auto"/>
        <w:right w:val="none" w:sz="0" w:space="0" w:color="auto"/>
      </w:divBdr>
    </w:div>
    <w:div w:id="1344358518">
      <w:bodyDiv w:val="1"/>
      <w:marLeft w:val="0"/>
      <w:marRight w:val="0"/>
      <w:marTop w:val="0"/>
      <w:marBottom w:val="0"/>
      <w:divBdr>
        <w:top w:val="none" w:sz="0" w:space="0" w:color="auto"/>
        <w:left w:val="none" w:sz="0" w:space="0" w:color="auto"/>
        <w:bottom w:val="none" w:sz="0" w:space="0" w:color="auto"/>
        <w:right w:val="none" w:sz="0" w:space="0" w:color="auto"/>
      </w:divBdr>
    </w:div>
    <w:div w:id="1436095905">
      <w:bodyDiv w:val="1"/>
      <w:marLeft w:val="0"/>
      <w:marRight w:val="0"/>
      <w:marTop w:val="0"/>
      <w:marBottom w:val="0"/>
      <w:divBdr>
        <w:top w:val="none" w:sz="0" w:space="0" w:color="auto"/>
        <w:left w:val="none" w:sz="0" w:space="0" w:color="auto"/>
        <w:bottom w:val="none" w:sz="0" w:space="0" w:color="auto"/>
        <w:right w:val="none" w:sz="0" w:space="0" w:color="auto"/>
      </w:divBdr>
    </w:div>
    <w:div w:id="1444837507">
      <w:bodyDiv w:val="1"/>
      <w:marLeft w:val="0"/>
      <w:marRight w:val="0"/>
      <w:marTop w:val="0"/>
      <w:marBottom w:val="0"/>
      <w:divBdr>
        <w:top w:val="none" w:sz="0" w:space="0" w:color="auto"/>
        <w:left w:val="none" w:sz="0" w:space="0" w:color="auto"/>
        <w:bottom w:val="none" w:sz="0" w:space="0" w:color="auto"/>
        <w:right w:val="none" w:sz="0" w:space="0" w:color="auto"/>
      </w:divBdr>
    </w:div>
    <w:div w:id="1589078938">
      <w:bodyDiv w:val="1"/>
      <w:marLeft w:val="0"/>
      <w:marRight w:val="0"/>
      <w:marTop w:val="0"/>
      <w:marBottom w:val="0"/>
      <w:divBdr>
        <w:top w:val="none" w:sz="0" w:space="0" w:color="auto"/>
        <w:left w:val="none" w:sz="0" w:space="0" w:color="auto"/>
        <w:bottom w:val="none" w:sz="0" w:space="0" w:color="auto"/>
        <w:right w:val="none" w:sz="0" w:space="0" w:color="auto"/>
      </w:divBdr>
    </w:div>
    <w:div w:id="1713337364">
      <w:bodyDiv w:val="1"/>
      <w:marLeft w:val="0"/>
      <w:marRight w:val="0"/>
      <w:marTop w:val="0"/>
      <w:marBottom w:val="0"/>
      <w:divBdr>
        <w:top w:val="none" w:sz="0" w:space="0" w:color="auto"/>
        <w:left w:val="none" w:sz="0" w:space="0" w:color="auto"/>
        <w:bottom w:val="none" w:sz="0" w:space="0" w:color="auto"/>
        <w:right w:val="none" w:sz="0" w:space="0" w:color="auto"/>
      </w:divBdr>
    </w:div>
    <w:div w:id="1733575401">
      <w:bodyDiv w:val="1"/>
      <w:marLeft w:val="0"/>
      <w:marRight w:val="0"/>
      <w:marTop w:val="0"/>
      <w:marBottom w:val="0"/>
      <w:divBdr>
        <w:top w:val="none" w:sz="0" w:space="0" w:color="auto"/>
        <w:left w:val="none" w:sz="0" w:space="0" w:color="auto"/>
        <w:bottom w:val="none" w:sz="0" w:space="0" w:color="auto"/>
        <w:right w:val="none" w:sz="0" w:space="0" w:color="auto"/>
      </w:divBdr>
    </w:div>
    <w:div w:id="1739478285">
      <w:bodyDiv w:val="1"/>
      <w:marLeft w:val="0"/>
      <w:marRight w:val="0"/>
      <w:marTop w:val="0"/>
      <w:marBottom w:val="0"/>
      <w:divBdr>
        <w:top w:val="none" w:sz="0" w:space="0" w:color="auto"/>
        <w:left w:val="none" w:sz="0" w:space="0" w:color="auto"/>
        <w:bottom w:val="none" w:sz="0" w:space="0" w:color="auto"/>
        <w:right w:val="none" w:sz="0" w:space="0" w:color="auto"/>
      </w:divBdr>
    </w:div>
    <w:div w:id="1745953170">
      <w:bodyDiv w:val="1"/>
      <w:marLeft w:val="0"/>
      <w:marRight w:val="0"/>
      <w:marTop w:val="0"/>
      <w:marBottom w:val="0"/>
      <w:divBdr>
        <w:top w:val="none" w:sz="0" w:space="0" w:color="auto"/>
        <w:left w:val="none" w:sz="0" w:space="0" w:color="auto"/>
        <w:bottom w:val="none" w:sz="0" w:space="0" w:color="auto"/>
        <w:right w:val="none" w:sz="0" w:space="0" w:color="auto"/>
      </w:divBdr>
    </w:div>
    <w:div w:id="1765101787">
      <w:bodyDiv w:val="1"/>
      <w:marLeft w:val="0"/>
      <w:marRight w:val="0"/>
      <w:marTop w:val="0"/>
      <w:marBottom w:val="0"/>
      <w:divBdr>
        <w:top w:val="none" w:sz="0" w:space="0" w:color="auto"/>
        <w:left w:val="none" w:sz="0" w:space="0" w:color="auto"/>
        <w:bottom w:val="none" w:sz="0" w:space="0" w:color="auto"/>
        <w:right w:val="none" w:sz="0" w:space="0" w:color="auto"/>
      </w:divBdr>
    </w:div>
    <w:div w:id="1765104420">
      <w:bodyDiv w:val="1"/>
      <w:marLeft w:val="0"/>
      <w:marRight w:val="0"/>
      <w:marTop w:val="0"/>
      <w:marBottom w:val="0"/>
      <w:divBdr>
        <w:top w:val="none" w:sz="0" w:space="0" w:color="auto"/>
        <w:left w:val="none" w:sz="0" w:space="0" w:color="auto"/>
        <w:bottom w:val="none" w:sz="0" w:space="0" w:color="auto"/>
        <w:right w:val="none" w:sz="0" w:space="0" w:color="auto"/>
      </w:divBdr>
    </w:div>
    <w:div w:id="1793939123">
      <w:bodyDiv w:val="1"/>
      <w:marLeft w:val="0"/>
      <w:marRight w:val="0"/>
      <w:marTop w:val="0"/>
      <w:marBottom w:val="0"/>
      <w:divBdr>
        <w:top w:val="none" w:sz="0" w:space="0" w:color="auto"/>
        <w:left w:val="none" w:sz="0" w:space="0" w:color="auto"/>
        <w:bottom w:val="none" w:sz="0" w:space="0" w:color="auto"/>
        <w:right w:val="none" w:sz="0" w:space="0" w:color="auto"/>
      </w:divBdr>
    </w:div>
    <w:div w:id="1859201110">
      <w:bodyDiv w:val="1"/>
      <w:marLeft w:val="0"/>
      <w:marRight w:val="0"/>
      <w:marTop w:val="0"/>
      <w:marBottom w:val="0"/>
      <w:divBdr>
        <w:top w:val="none" w:sz="0" w:space="0" w:color="auto"/>
        <w:left w:val="none" w:sz="0" w:space="0" w:color="auto"/>
        <w:bottom w:val="none" w:sz="0" w:space="0" w:color="auto"/>
        <w:right w:val="none" w:sz="0" w:space="0" w:color="auto"/>
      </w:divBdr>
      <w:divsChild>
        <w:div w:id="1262105219">
          <w:marLeft w:val="0"/>
          <w:marRight w:val="0"/>
          <w:marTop w:val="0"/>
          <w:marBottom w:val="0"/>
          <w:divBdr>
            <w:top w:val="none" w:sz="0" w:space="0" w:color="auto"/>
            <w:left w:val="none" w:sz="0" w:space="0" w:color="auto"/>
            <w:bottom w:val="none" w:sz="0" w:space="0" w:color="auto"/>
            <w:right w:val="none" w:sz="0" w:space="0" w:color="auto"/>
          </w:divBdr>
          <w:divsChild>
            <w:div w:id="1047146044">
              <w:marLeft w:val="0"/>
              <w:marRight w:val="0"/>
              <w:marTop w:val="0"/>
              <w:marBottom w:val="0"/>
              <w:divBdr>
                <w:top w:val="none" w:sz="0" w:space="0" w:color="auto"/>
                <w:left w:val="none" w:sz="0" w:space="0" w:color="auto"/>
                <w:bottom w:val="none" w:sz="0" w:space="0" w:color="auto"/>
                <w:right w:val="none" w:sz="0" w:space="0" w:color="auto"/>
              </w:divBdr>
              <w:divsChild>
                <w:div w:id="809054003">
                  <w:marLeft w:val="0"/>
                  <w:marRight w:val="0"/>
                  <w:marTop w:val="0"/>
                  <w:marBottom w:val="0"/>
                  <w:divBdr>
                    <w:top w:val="none" w:sz="0" w:space="0" w:color="auto"/>
                    <w:left w:val="none" w:sz="0" w:space="0" w:color="auto"/>
                    <w:bottom w:val="none" w:sz="0" w:space="0" w:color="auto"/>
                    <w:right w:val="none" w:sz="0" w:space="0" w:color="auto"/>
                  </w:divBdr>
                  <w:divsChild>
                    <w:div w:id="1645574807">
                      <w:marLeft w:val="0"/>
                      <w:marRight w:val="0"/>
                      <w:marTop w:val="0"/>
                      <w:marBottom w:val="0"/>
                      <w:divBdr>
                        <w:top w:val="none" w:sz="0" w:space="0" w:color="auto"/>
                        <w:left w:val="none" w:sz="0" w:space="0" w:color="auto"/>
                        <w:bottom w:val="none" w:sz="0" w:space="0" w:color="auto"/>
                        <w:right w:val="none" w:sz="0" w:space="0" w:color="auto"/>
                      </w:divBdr>
                      <w:divsChild>
                        <w:div w:id="980187837">
                          <w:marLeft w:val="0"/>
                          <w:marRight w:val="0"/>
                          <w:marTop w:val="0"/>
                          <w:marBottom w:val="0"/>
                          <w:divBdr>
                            <w:top w:val="none" w:sz="0" w:space="0" w:color="auto"/>
                            <w:left w:val="none" w:sz="0" w:space="0" w:color="auto"/>
                            <w:bottom w:val="none" w:sz="0" w:space="0" w:color="auto"/>
                            <w:right w:val="none" w:sz="0" w:space="0" w:color="auto"/>
                          </w:divBdr>
                          <w:divsChild>
                            <w:div w:id="600185095">
                              <w:marLeft w:val="0"/>
                              <w:marRight w:val="0"/>
                              <w:marTop w:val="0"/>
                              <w:marBottom w:val="0"/>
                              <w:divBdr>
                                <w:top w:val="none" w:sz="0" w:space="0" w:color="auto"/>
                                <w:left w:val="none" w:sz="0" w:space="0" w:color="auto"/>
                                <w:bottom w:val="none" w:sz="0" w:space="0" w:color="auto"/>
                                <w:right w:val="none" w:sz="0" w:space="0" w:color="auto"/>
                              </w:divBdr>
                              <w:divsChild>
                                <w:div w:id="421731457">
                                  <w:marLeft w:val="0"/>
                                  <w:marRight w:val="0"/>
                                  <w:marTop w:val="0"/>
                                  <w:marBottom w:val="0"/>
                                  <w:divBdr>
                                    <w:top w:val="none" w:sz="0" w:space="0" w:color="auto"/>
                                    <w:left w:val="none" w:sz="0" w:space="0" w:color="auto"/>
                                    <w:bottom w:val="none" w:sz="0" w:space="0" w:color="auto"/>
                                    <w:right w:val="none" w:sz="0" w:space="0" w:color="auto"/>
                                  </w:divBdr>
                                  <w:divsChild>
                                    <w:div w:id="1216620166">
                                      <w:marLeft w:val="0"/>
                                      <w:marRight w:val="0"/>
                                      <w:marTop w:val="0"/>
                                      <w:marBottom w:val="0"/>
                                      <w:divBdr>
                                        <w:top w:val="none" w:sz="0" w:space="0" w:color="auto"/>
                                        <w:left w:val="none" w:sz="0" w:space="0" w:color="auto"/>
                                        <w:bottom w:val="none" w:sz="0" w:space="0" w:color="auto"/>
                                        <w:right w:val="none" w:sz="0" w:space="0" w:color="auto"/>
                                      </w:divBdr>
                                    </w:div>
                                    <w:div w:id="1953970728">
                                      <w:marLeft w:val="0"/>
                                      <w:marRight w:val="0"/>
                                      <w:marTop w:val="0"/>
                                      <w:marBottom w:val="0"/>
                                      <w:divBdr>
                                        <w:top w:val="none" w:sz="0" w:space="0" w:color="auto"/>
                                        <w:left w:val="none" w:sz="0" w:space="0" w:color="auto"/>
                                        <w:bottom w:val="none" w:sz="0" w:space="0" w:color="auto"/>
                                        <w:right w:val="none" w:sz="0" w:space="0" w:color="auto"/>
                                      </w:divBdr>
                                      <w:divsChild>
                                        <w:div w:id="10985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808309">
      <w:bodyDiv w:val="1"/>
      <w:marLeft w:val="0"/>
      <w:marRight w:val="0"/>
      <w:marTop w:val="0"/>
      <w:marBottom w:val="0"/>
      <w:divBdr>
        <w:top w:val="none" w:sz="0" w:space="0" w:color="auto"/>
        <w:left w:val="none" w:sz="0" w:space="0" w:color="auto"/>
        <w:bottom w:val="none" w:sz="0" w:space="0" w:color="auto"/>
        <w:right w:val="none" w:sz="0" w:space="0" w:color="auto"/>
      </w:divBdr>
    </w:div>
    <w:div w:id="2016879733">
      <w:bodyDiv w:val="1"/>
      <w:marLeft w:val="0"/>
      <w:marRight w:val="0"/>
      <w:marTop w:val="0"/>
      <w:marBottom w:val="0"/>
      <w:divBdr>
        <w:top w:val="none" w:sz="0" w:space="0" w:color="auto"/>
        <w:left w:val="none" w:sz="0" w:space="0" w:color="auto"/>
        <w:bottom w:val="none" w:sz="0" w:space="0" w:color="auto"/>
        <w:right w:val="none" w:sz="0" w:space="0" w:color="auto"/>
      </w:divBdr>
    </w:div>
    <w:div w:id="2020963727">
      <w:bodyDiv w:val="1"/>
      <w:marLeft w:val="0"/>
      <w:marRight w:val="0"/>
      <w:marTop w:val="0"/>
      <w:marBottom w:val="0"/>
      <w:divBdr>
        <w:top w:val="none" w:sz="0" w:space="0" w:color="auto"/>
        <w:left w:val="none" w:sz="0" w:space="0" w:color="auto"/>
        <w:bottom w:val="none" w:sz="0" w:space="0" w:color="auto"/>
        <w:right w:val="none" w:sz="0" w:space="0" w:color="auto"/>
      </w:divBdr>
    </w:div>
    <w:div w:id="2024278107">
      <w:bodyDiv w:val="1"/>
      <w:marLeft w:val="0"/>
      <w:marRight w:val="0"/>
      <w:marTop w:val="0"/>
      <w:marBottom w:val="0"/>
      <w:divBdr>
        <w:top w:val="none" w:sz="0" w:space="0" w:color="auto"/>
        <w:left w:val="none" w:sz="0" w:space="0" w:color="auto"/>
        <w:bottom w:val="none" w:sz="0" w:space="0" w:color="auto"/>
        <w:right w:val="none" w:sz="0" w:space="0" w:color="auto"/>
      </w:divBdr>
    </w:div>
    <w:div w:id="2098013947">
      <w:bodyDiv w:val="1"/>
      <w:marLeft w:val="0"/>
      <w:marRight w:val="0"/>
      <w:marTop w:val="0"/>
      <w:marBottom w:val="0"/>
      <w:divBdr>
        <w:top w:val="none" w:sz="0" w:space="0" w:color="auto"/>
        <w:left w:val="none" w:sz="0" w:space="0" w:color="auto"/>
        <w:bottom w:val="none" w:sz="0" w:space="0" w:color="auto"/>
        <w:right w:val="none" w:sz="0" w:space="0" w:color="auto"/>
      </w:divBdr>
    </w:div>
    <w:div w:id="2120753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hyperlink" Target="http://epp.eurostat.ec.europa.eu/tgm/table.do?tab=table&amp;init=1&amp;plugin=1&amp;language=en&amp;pcode=tec00115" TargetMode="External"/><Relationship Id="rId26" Type="http://schemas.openxmlformats.org/officeDocument/2006/relationships/footer" Target="footer5.xml"/><Relationship Id="rId39" Type="http://schemas.openxmlformats.org/officeDocument/2006/relationships/header" Target="header11.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footer" Target="footer9.xml"/><Relationship Id="rId42" Type="http://schemas.openxmlformats.org/officeDocument/2006/relationships/header" Target="header12.xml"/><Relationship Id="rId47"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oter" Target="footer4.xml"/><Relationship Id="rId33" Type="http://schemas.openxmlformats.org/officeDocument/2006/relationships/header" Target="header9.xml"/><Relationship Id="rId38"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1.xml"/><Relationship Id="rId29" Type="http://schemas.openxmlformats.org/officeDocument/2006/relationships/header" Target="header7.xml"/><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footer" Target="footer8.xml"/><Relationship Id="rId37" Type="http://schemas.openxmlformats.org/officeDocument/2006/relationships/image" Target="media/image9.jpeg"/><Relationship Id="rId40" Type="http://schemas.openxmlformats.org/officeDocument/2006/relationships/footer" Target="footer10.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image" Target="media/image8.jpe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footer" Target="footer7.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image" Target="media/image7.png"/><Relationship Id="rId43" Type="http://schemas.openxmlformats.org/officeDocument/2006/relationships/footer" Target="footer12.xm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HU/TXT/?qid=1536584176375&amp;uri=CELEX%3A02014L0065-20160701" TargetMode="External"/><Relationship Id="rId2" Type="http://schemas.openxmlformats.org/officeDocument/2006/relationships/hyperlink" Target="https://eur-lex.europa.eu/legal-content/HU/TXT/?qid=1573044977057&amp;uri=CELEX:32018L0410" TargetMode="External"/><Relationship Id="rId1" Type="http://schemas.openxmlformats.org/officeDocument/2006/relationships/hyperlink" Target="http://ec.europa.eu/clima/policies/ets/auctioning/documentation_en.htm" TargetMode="External"/><Relationship Id="rId5" Type="http://schemas.openxmlformats.org/officeDocument/2006/relationships/hyperlink" Target="https://eur-lex.europa.eu/legal-content/HU/TXT/PDF/?uri=CELEX:52019XC0516(01)&amp;from=HU" TargetMode="External"/><Relationship Id="rId4" Type="http://schemas.openxmlformats.org/officeDocument/2006/relationships/hyperlink" Target="https://eur-lex.europa.eu/legal-content/HU/TXT/PDF/?uri=CELEX:52018XC0516(01)&amp;from=H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5"/>
          <c:order val="0"/>
          <c:tx>
            <c:strRef>
              <c:f>'MSR composition'!$A$7</c:f>
              <c:strCache>
                <c:ptCount val="1"/>
                <c:pt idx="0">
                  <c:v>NER 300 monetisation by EIB</c:v>
                </c:pt>
              </c:strCache>
            </c:strRef>
          </c:tx>
          <c:spPr>
            <a:solidFill>
              <a:schemeClr val="accent6"/>
            </a:solidFill>
            <a:ln>
              <a:noFill/>
            </a:ln>
            <a:effectLst/>
          </c:spPr>
          <c:invertIfNegative val="0"/>
          <c:val>
            <c:numRef>
              <c:f>'MSR composition'!$B$7</c:f>
              <c:numCache>
                <c:formatCode>#,##0</c:formatCode>
                <c:ptCount val="1"/>
                <c:pt idx="0">
                  <c:v>300000000</c:v>
                </c:pt>
              </c:numCache>
            </c:numRef>
          </c:val>
          <c:extLst>
            <c:ext xmlns:c16="http://schemas.microsoft.com/office/drawing/2014/chart" uri="{C3380CC4-5D6E-409C-BE32-E72D297353CC}">
              <c16:uniqueId val="{00000000-9912-4BFD-8E82-9FBB85F3FD61}"/>
            </c:ext>
          </c:extLst>
        </c:ser>
        <c:ser>
          <c:idx val="7"/>
          <c:order val="1"/>
          <c:tx>
            <c:strRef>
              <c:f>'MSR composition'!$A$9</c:f>
              <c:strCache>
                <c:ptCount val="1"/>
                <c:pt idx="0">
                  <c:v>Early auctions</c:v>
                </c:pt>
              </c:strCache>
            </c:strRef>
          </c:tx>
          <c:spPr>
            <a:solidFill>
              <a:schemeClr val="accent2">
                <a:lumMod val="60000"/>
              </a:schemeClr>
            </a:solidFill>
            <a:ln>
              <a:noFill/>
            </a:ln>
            <a:effectLst/>
          </c:spPr>
          <c:invertIfNegative val="0"/>
          <c:val>
            <c:numRef>
              <c:f>'MSR composition'!$B$9</c:f>
              <c:numCache>
                <c:formatCode>_-* #,##0\ _€_-;\-* #,##0\ _€_-;_-* "-"??\ _€_-;_-@_-</c:formatCode>
                <c:ptCount val="1"/>
                <c:pt idx="0">
                  <c:v>89701500</c:v>
                </c:pt>
              </c:numCache>
            </c:numRef>
          </c:val>
          <c:extLst>
            <c:ext xmlns:c16="http://schemas.microsoft.com/office/drawing/2014/chart" uri="{C3380CC4-5D6E-409C-BE32-E72D297353CC}">
              <c16:uniqueId val="{00000001-9912-4BFD-8E82-9FBB85F3FD61}"/>
            </c:ext>
          </c:extLst>
        </c:ser>
        <c:ser>
          <c:idx val="0"/>
          <c:order val="2"/>
          <c:tx>
            <c:strRef>
              <c:f>'MSR composition'!$A$2</c:f>
              <c:strCache>
                <c:ptCount val="1"/>
                <c:pt idx="0">
                  <c:v>Banking from phase 2</c:v>
                </c:pt>
              </c:strCache>
            </c:strRef>
          </c:tx>
          <c:spPr>
            <a:solidFill>
              <a:schemeClr val="accent1"/>
            </a:solidFill>
            <a:ln>
              <a:noFill/>
            </a:ln>
            <a:effectLst/>
          </c:spPr>
          <c:invertIfNegative val="0"/>
          <c:val>
            <c:numRef>
              <c:f>'MSR composition'!$B$2</c:f>
              <c:numCache>
                <c:formatCode>#,##0</c:formatCode>
                <c:ptCount val="1"/>
                <c:pt idx="0">
                  <c:v>1749540826</c:v>
                </c:pt>
              </c:numCache>
            </c:numRef>
          </c:val>
          <c:extLst>
            <c:ext xmlns:c16="http://schemas.microsoft.com/office/drawing/2014/chart" uri="{C3380CC4-5D6E-409C-BE32-E72D297353CC}">
              <c16:uniqueId val="{00000002-9912-4BFD-8E82-9FBB85F3FD61}"/>
            </c:ext>
          </c:extLst>
        </c:ser>
        <c:ser>
          <c:idx val="6"/>
          <c:order val="3"/>
          <c:tx>
            <c:strRef>
              <c:f>'MSR composition'!$A$8</c:f>
              <c:strCache>
                <c:ptCount val="1"/>
                <c:pt idx="0">
                  <c:v>International credits exchanged</c:v>
                </c:pt>
              </c:strCache>
            </c:strRef>
          </c:tx>
          <c:spPr>
            <a:solidFill>
              <a:schemeClr val="accent1">
                <a:lumMod val="60000"/>
              </a:schemeClr>
            </a:solidFill>
            <a:ln>
              <a:noFill/>
            </a:ln>
            <a:effectLst/>
          </c:spPr>
          <c:invertIfNegative val="0"/>
          <c:val>
            <c:numRef>
              <c:f>'MSR composition'!$B$8</c:f>
              <c:numCache>
                <c:formatCode>#,##0</c:formatCode>
                <c:ptCount val="1"/>
                <c:pt idx="0">
                  <c:v>434049616</c:v>
                </c:pt>
              </c:numCache>
            </c:numRef>
          </c:val>
          <c:extLst>
            <c:ext xmlns:c16="http://schemas.microsoft.com/office/drawing/2014/chart" uri="{C3380CC4-5D6E-409C-BE32-E72D297353CC}">
              <c16:uniqueId val="{00000003-9912-4BFD-8E82-9FBB85F3FD61}"/>
            </c:ext>
          </c:extLst>
        </c:ser>
        <c:ser>
          <c:idx val="1"/>
          <c:order val="4"/>
          <c:tx>
            <c:strRef>
              <c:f>'MSR composition'!$A$3</c:f>
              <c:strCache>
                <c:ptCount val="1"/>
                <c:pt idx="0">
                  <c:v>Free allocation</c:v>
                </c:pt>
              </c:strCache>
            </c:strRef>
          </c:tx>
          <c:spPr>
            <a:solidFill>
              <a:schemeClr val="accent2"/>
            </a:solidFill>
            <a:ln>
              <a:noFill/>
            </a:ln>
            <a:effectLst/>
          </c:spPr>
          <c:invertIfNegative val="0"/>
          <c:val>
            <c:numRef>
              <c:f>'MSR composition'!$B$3</c:f>
              <c:numCache>
                <c:formatCode>General</c:formatCode>
                <c:ptCount val="1"/>
                <c:pt idx="0">
                  <c:v>4606725157</c:v>
                </c:pt>
              </c:numCache>
            </c:numRef>
          </c:val>
          <c:extLst>
            <c:ext xmlns:c16="http://schemas.microsoft.com/office/drawing/2014/chart" uri="{C3380CC4-5D6E-409C-BE32-E72D297353CC}">
              <c16:uniqueId val="{00000004-9912-4BFD-8E82-9FBB85F3FD61}"/>
            </c:ext>
          </c:extLst>
        </c:ser>
        <c:ser>
          <c:idx val="2"/>
          <c:order val="5"/>
          <c:tx>
            <c:strRef>
              <c:f>'MSR composition'!$A$4</c:f>
              <c:strCache>
                <c:ptCount val="1"/>
                <c:pt idx="0">
                  <c:v>Free allocation (NER)</c:v>
                </c:pt>
              </c:strCache>
            </c:strRef>
          </c:tx>
          <c:spPr>
            <a:solidFill>
              <a:schemeClr val="accent3"/>
            </a:solidFill>
            <a:ln>
              <a:noFill/>
            </a:ln>
            <a:effectLst/>
          </c:spPr>
          <c:invertIfNegative val="0"/>
          <c:val>
            <c:numRef>
              <c:f>'MSR composition'!$B$4</c:f>
              <c:numCache>
                <c:formatCode>General</c:formatCode>
                <c:ptCount val="1"/>
                <c:pt idx="0">
                  <c:v>113573605</c:v>
                </c:pt>
              </c:numCache>
            </c:numRef>
          </c:val>
          <c:extLst>
            <c:ext xmlns:c16="http://schemas.microsoft.com/office/drawing/2014/chart" uri="{C3380CC4-5D6E-409C-BE32-E72D297353CC}">
              <c16:uniqueId val="{00000005-9912-4BFD-8E82-9FBB85F3FD61}"/>
            </c:ext>
          </c:extLst>
        </c:ser>
        <c:ser>
          <c:idx val="3"/>
          <c:order val="6"/>
          <c:tx>
            <c:strRef>
              <c:f>'MSR composition'!$A$5</c:f>
              <c:strCache>
                <c:ptCount val="1"/>
                <c:pt idx="0">
                  <c:v>Free allocation (10c)</c:v>
                </c:pt>
              </c:strCache>
            </c:strRef>
          </c:tx>
          <c:spPr>
            <a:solidFill>
              <a:schemeClr val="accent4"/>
            </a:solidFill>
            <a:ln>
              <a:noFill/>
            </a:ln>
            <a:effectLst/>
          </c:spPr>
          <c:invertIfNegative val="0"/>
          <c:val>
            <c:numRef>
              <c:f>'MSR composition'!$B$5</c:f>
              <c:numCache>
                <c:formatCode>General</c:formatCode>
                <c:ptCount val="1"/>
                <c:pt idx="0">
                  <c:v>441724736</c:v>
                </c:pt>
              </c:numCache>
            </c:numRef>
          </c:val>
          <c:extLst>
            <c:ext xmlns:c16="http://schemas.microsoft.com/office/drawing/2014/chart" uri="{C3380CC4-5D6E-409C-BE32-E72D297353CC}">
              <c16:uniqueId val="{00000006-9912-4BFD-8E82-9FBB85F3FD61}"/>
            </c:ext>
          </c:extLst>
        </c:ser>
        <c:ser>
          <c:idx val="4"/>
          <c:order val="7"/>
          <c:tx>
            <c:strRef>
              <c:f>'MSR composition'!$A$6</c:f>
              <c:strCache>
                <c:ptCount val="1"/>
                <c:pt idx="0">
                  <c:v>Auctioned allowances</c:v>
                </c:pt>
              </c:strCache>
            </c:strRef>
          </c:tx>
          <c:spPr>
            <a:solidFill>
              <a:schemeClr val="accent5"/>
            </a:solidFill>
            <a:ln>
              <a:noFill/>
            </a:ln>
            <a:effectLst/>
          </c:spPr>
          <c:invertIfNegative val="0"/>
          <c:val>
            <c:numRef>
              <c:f>'MSR composition'!$B$6</c:f>
              <c:numCache>
                <c:formatCode>#,##0</c:formatCode>
                <c:ptCount val="1"/>
                <c:pt idx="0">
                  <c:v>4551506500</c:v>
                </c:pt>
              </c:numCache>
            </c:numRef>
          </c:val>
          <c:extLst>
            <c:ext xmlns:c16="http://schemas.microsoft.com/office/drawing/2014/chart" uri="{C3380CC4-5D6E-409C-BE32-E72D297353CC}">
              <c16:uniqueId val="{00000007-9912-4BFD-8E82-9FBB85F3FD61}"/>
            </c:ext>
          </c:extLst>
        </c:ser>
        <c:dLbls>
          <c:showLegendKey val="0"/>
          <c:showVal val="0"/>
          <c:showCatName val="0"/>
          <c:showSerName val="0"/>
          <c:showPercent val="0"/>
          <c:showBubbleSize val="0"/>
        </c:dLbls>
        <c:gapWidth val="75"/>
        <c:overlap val="100"/>
        <c:axId val="308982528"/>
        <c:axId val="308984064"/>
      </c:barChart>
      <c:catAx>
        <c:axId val="308982528"/>
        <c:scaling>
          <c:orientation val="minMax"/>
        </c:scaling>
        <c:delete val="1"/>
        <c:axPos val="b"/>
        <c:numFmt formatCode="General" sourceLinked="1"/>
        <c:majorTickMark val="none"/>
        <c:minorTickMark val="none"/>
        <c:tickLblPos val="nextTo"/>
        <c:crossAx val="308984064"/>
        <c:crosses val="autoZero"/>
        <c:auto val="1"/>
        <c:lblAlgn val="ctr"/>
        <c:lblOffset val="100"/>
        <c:noMultiLvlLbl val="0"/>
      </c:catAx>
      <c:valAx>
        <c:axId val="308984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982528"/>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'MSR composition'!$A$14</c:f>
              <c:strCache>
                <c:ptCount val="1"/>
                <c:pt idx="0">
                  <c:v>Verified emissions</c:v>
                </c:pt>
              </c:strCache>
            </c:strRef>
          </c:tx>
          <c:spPr>
            <a:solidFill>
              <a:schemeClr val="accent1"/>
            </a:solidFill>
            <a:ln>
              <a:noFill/>
            </a:ln>
            <a:effectLst/>
          </c:spPr>
          <c:invertIfNegative val="0"/>
          <c:val>
            <c:numRef>
              <c:f>'MSR composition'!$B$14</c:f>
              <c:numCache>
                <c:formatCode>#,##0</c:formatCode>
                <c:ptCount val="1"/>
                <c:pt idx="0">
                  <c:v>10631597033</c:v>
                </c:pt>
              </c:numCache>
            </c:numRef>
          </c:val>
          <c:extLst>
            <c:ext xmlns:c16="http://schemas.microsoft.com/office/drawing/2014/chart" uri="{C3380CC4-5D6E-409C-BE32-E72D297353CC}">
              <c16:uniqueId val="{00000000-89A6-4A8F-A8DA-E72B095DDE62}"/>
            </c:ext>
          </c:extLst>
        </c:ser>
        <c:ser>
          <c:idx val="1"/>
          <c:order val="1"/>
          <c:tx>
            <c:strRef>
              <c:f>'MSR composition'!$A$15</c:f>
              <c:strCache>
                <c:ptCount val="1"/>
                <c:pt idx="0">
                  <c:v>Cancellations</c:v>
                </c:pt>
              </c:strCache>
            </c:strRef>
          </c:tx>
          <c:spPr>
            <a:solidFill>
              <a:schemeClr val="accent3"/>
            </a:solidFill>
            <a:ln>
              <a:noFill/>
            </a:ln>
            <a:effectLst/>
          </c:spPr>
          <c:invertIfNegative val="0"/>
          <c:val>
            <c:numRef>
              <c:f>'MSR composition'!$B$15</c:f>
              <c:numCache>
                <c:formatCode>#,##0</c:formatCode>
                <c:ptCount val="1"/>
                <c:pt idx="0">
                  <c:v>315083</c:v>
                </c:pt>
              </c:numCache>
            </c:numRef>
          </c:val>
          <c:extLst>
            <c:ext xmlns:c16="http://schemas.microsoft.com/office/drawing/2014/chart" uri="{C3380CC4-5D6E-409C-BE32-E72D297353CC}">
              <c16:uniqueId val="{00000001-89A6-4A8F-A8DA-E72B095DDE62}"/>
            </c:ext>
          </c:extLst>
        </c:ser>
        <c:dLbls>
          <c:showLegendKey val="0"/>
          <c:showVal val="0"/>
          <c:showCatName val="0"/>
          <c:showSerName val="0"/>
          <c:showPercent val="0"/>
          <c:showBubbleSize val="0"/>
        </c:dLbls>
        <c:gapWidth val="75"/>
        <c:overlap val="100"/>
        <c:axId val="332016640"/>
        <c:axId val="332034816"/>
      </c:barChart>
      <c:catAx>
        <c:axId val="332016640"/>
        <c:scaling>
          <c:orientation val="minMax"/>
        </c:scaling>
        <c:delete val="1"/>
        <c:axPos val="b"/>
        <c:numFmt formatCode="General" sourceLinked="1"/>
        <c:majorTickMark val="none"/>
        <c:minorTickMark val="none"/>
        <c:tickLblPos val="nextTo"/>
        <c:crossAx val="332034816"/>
        <c:crosses val="autoZero"/>
        <c:auto val="1"/>
        <c:lblAlgn val="ctr"/>
        <c:lblOffset val="100"/>
        <c:noMultiLvlLbl val="0"/>
      </c:catAx>
      <c:valAx>
        <c:axId val="332034816"/>
        <c:scaling>
          <c:orientation val="minMax"/>
          <c:max val="14000000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2016640"/>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chemeClr val="bg1">
            <a:lumMod val="85000"/>
          </a:schemeClr>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77373-18D4-42F8-B755-A2B793A64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59</Pages>
  <Words>11116</Words>
  <Characters>72590</Characters>
  <Application>Microsoft Office Word</Application>
  <DocSecurity>0</DocSecurity>
  <Lines>3156</Lines>
  <Paragraphs>1946</Paragraphs>
  <ScaleCrop>false</ScaleCrop>
  <HeadingPairs>
    <vt:vector size="6" baseType="variant">
      <vt:variant>
        <vt:lpstr>Title</vt:lpstr>
      </vt:variant>
      <vt:variant>
        <vt:i4>1</vt:i4>
      </vt:variant>
      <vt:variant>
        <vt:lpstr>Titel</vt:lpstr>
      </vt:variant>
      <vt:variant>
        <vt:i4>1</vt:i4>
      </vt:variant>
      <vt:variant>
        <vt:lpstr>Titolo</vt:lpstr>
      </vt:variant>
      <vt:variant>
        <vt:i4>1</vt:i4>
      </vt:variant>
    </vt:vector>
  </HeadingPairs>
  <TitlesOfParts>
    <vt:vector size="3" baseType="lpstr">
      <vt:lpstr/>
      <vt:lpstr/>
      <vt:lpstr/>
    </vt:vector>
  </TitlesOfParts>
  <Manager/>
  <Company/>
  <LinksUpToDate>false</LinksUpToDate>
  <CharactersWithSpaces>81760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TORRE UNGUREANU Ana-Claudia (SG)</cp:lastModifiedBy>
  <cp:revision>5</cp:revision>
  <cp:lastPrinted>2018-11-08T09:30:00Z</cp:lastPrinted>
  <dcterms:created xsi:type="dcterms:W3CDTF">2020-01-03T08:42:00Z</dcterms:created>
  <dcterms:modified xsi:type="dcterms:W3CDTF">2020-01-16T08:13:00Z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Last edited using">
    <vt:lpwstr>LW 7.0, Build 20190717</vt:lpwstr>
  </property>
  <property fmtid="{D5CDD505-2E9C-101B-9397-08002B2CF9AE}" pid="7" name="_DocHome">
    <vt:i4>-1319363200</vt:i4>
  </property>
  <property fmtid="{D5CDD505-2E9C-101B-9397-08002B2CF9AE}" pid="8" name="Created using">
    <vt:lpwstr>LW 6.0.1, Build 20180503</vt:lpwstr>
  </property>
  <property fmtid="{D5CDD505-2E9C-101B-9397-08002B2CF9AE}" pid="9" name="CPTemplateID">
    <vt:lpwstr>CP-006</vt:lpwstr>
  </property>
</Properties>
</file>