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406624D2-BBF2-4CFB-8486-59B78A4C15DA" style="width:450.8pt;height:320.8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0"/>
          <w:cols w:space="720"/>
          <w:docGrid w:linePitch="360"/>
        </w:sectPr>
      </w:pPr>
    </w:p>
    <w:bookmarkStart w:id="1" w:name="_GoBack"/>
    <w:bookmarkEnd w:id="1"/>
    <w:p>
      <w:pPr>
        <w:pStyle w:val="TOC2"/>
        <w:tabs>
          <w:tab w:val="right" w:leader="dot" w:pos="9106"/>
        </w:tabs>
        <w:rPr>
          <w:rFonts w:asciiTheme="minorHAnsi" w:eastAsiaTheme="minorEastAsia" w:hAnsiTheme="minorHAnsi" w:cstheme="minorBidi"/>
          <w:noProof/>
          <w:color w:val="auto"/>
          <w:sz w:val="22"/>
          <w:szCs w:val="22"/>
          <w:lang w:val="en-US" w:bidi="ar-SA"/>
        </w:rPr>
      </w:pPr>
      <w:r>
        <w:rPr>
          <w:noProof/>
        </w:rPr>
        <w:lastRenderedPageBreak/>
        <w:fldChar w:fldCharType="begin"/>
      </w:r>
      <w:r>
        <w:rPr>
          <w:noProof/>
        </w:rPr>
        <w:instrText xml:space="preserve"> TOC \o "1-5" \h \z </w:instrText>
      </w:r>
      <w:r>
        <w:rPr>
          <w:noProof/>
        </w:rPr>
        <w:fldChar w:fldCharType="separate"/>
      </w:r>
      <w:hyperlink w:anchor="_Toc29489600" w:history="1">
        <w:r>
          <w:rPr>
            <w:rStyle w:val="Hyperlink"/>
            <w:noProof/>
          </w:rPr>
          <w:t>Ε</w:t>
        </w:r>
        <w:r>
          <w:rPr>
            <w:rStyle w:val="Hyperlink"/>
            <w:smallCaps/>
            <w:noProof/>
          </w:rPr>
          <w:t>ισαγωγή</w:t>
        </w:r>
        <w:r>
          <w:rPr>
            <w:noProof/>
            <w:webHidden/>
          </w:rPr>
          <w:tab/>
        </w:r>
        <w:r>
          <w:rPr>
            <w:noProof/>
            <w:webHidden/>
          </w:rPr>
          <w:fldChar w:fldCharType="begin"/>
        </w:r>
        <w:r>
          <w:rPr>
            <w:noProof/>
            <w:webHidden/>
          </w:rPr>
          <w:instrText xml:space="preserve"> PAGEREF _Toc29489600 \h </w:instrText>
        </w:r>
        <w:r>
          <w:rPr>
            <w:noProof/>
            <w:webHidden/>
          </w:rPr>
        </w:r>
        <w:r>
          <w:rPr>
            <w:noProof/>
            <w:webHidden/>
          </w:rPr>
          <w:fldChar w:fldCharType="separate"/>
        </w:r>
        <w:r>
          <w:rPr>
            <w:noProof/>
            <w:webHidden/>
          </w:rPr>
          <w:t>2</w:t>
        </w:r>
        <w:r>
          <w:rPr>
            <w:noProof/>
            <w:webHidden/>
          </w:rPr>
          <w:fldChar w:fldCharType="end"/>
        </w:r>
      </w:hyperlink>
    </w:p>
    <w:p>
      <w:pPr>
        <w:pStyle w:val="TOC2"/>
        <w:tabs>
          <w:tab w:val="right" w:leader="dot" w:pos="9106"/>
        </w:tabs>
        <w:rPr>
          <w:rFonts w:asciiTheme="minorHAnsi" w:eastAsiaTheme="minorEastAsia" w:hAnsiTheme="minorHAnsi" w:cstheme="minorBidi"/>
          <w:noProof/>
          <w:color w:val="auto"/>
          <w:sz w:val="22"/>
          <w:szCs w:val="22"/>
          <w:lang w:val="en-US" w:bidi="ar-SA"/>
        </w:rPr>
      </w:pPr>
      <w:hyperlink w:anchor="_Toc29489601" w:history="1">
        <w:r>
          <w:rPr>
            <w:rStyle w:val="Hyperlink"/>
            <w:noProof/>
          </w:rPr>
          <w:t>Ε</w:t>
        </w:r>
        <w:r>
          <w:rPr>
            <w:rStyle w:val="Hyperlink"/>
            <w:smallCaps/>
            <w:noProof/>
          </w:rPr>
          <w:t xml:space="preserve">πιχειρήσεις ανθρωπιστικής βοήθειας που </w:t>
        </w:r>
        <w:r>
          <w:rPr>
            <w:rStyle w:val="Hyperlink"/>
            <w:noProof/>
          </w:rPr>
          <w:t>χρηματοδοτήθηκαν το 2018</w:t>
        </w:r>
        <w:r>
          <w:rPr>
            <w:noProof/>
            <w:webHidden/>
          </w:rPr>
          <w:tab/>
        </w:r>
        <w:r>
          <w:rPr>
            <w:noProof/>
            <w:webHidden/>
          </w:rPr>
          <w:fldChar w:fldCharType="begin"/>
        </w:r>
        <w:r>
          <w:rPr>
            <w:noProof/>
            <w:webHidden/>
          </w:rPr>
          <w:instrText xml:space="preserve"> PAGEREF _Toc29489601 \h </w:instrText>
        </w:r>
        <w:r>
          <w:rPr>
            <w:noProof/>
            <w:webHidden/>
          </w:rPr>
        </w:r>
        <w:r>
          <w:rPr>
            <w:noProof/>
            <w:webHidden/>
          </w:rPr>
          <w:fldChar w:fldCharType="separate"/>
        </w:r>
        <w:r>
          <w:rPr>
            <w:noProof/>
            <w:webHidden/>
          </w:rPr>
          <w:t>2</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val="en-US" w:bidi="ar-SA"/>
        </w:rPr>
      </w:pPr>
      <w:hyperlink w:anchor="_Toc29489602" w:history="1">
        <w:r>
          <w:rPr>
            <w:rStyle w:val="Hyperlink"/>
            <w:noProof/>
          </w:rPr>
          <w:t>Επισκόπηση των κύριων επιχειρήσεων ανθρωπιστικής βοήθειας που χρηματοδοτήθηκαν το 2018</w:t>
        </w:r>
        <w:r>
          <w:rPr>
            <w:noProof/>
            <w:webHidden/>
          </w:rPr>
          <w:tab/>
        </w:r>
        <w:r>
          <w:rPr>
            <w:noProof/>
            <w:webHidden/>
          </w:rPr>
          <w:fldChar w:fldCharType="begin"/>
        </w:r>
        <w:r>
          <w:rPr>
            <w:noProof/>
            <w:webHidden/>
          </w:rPr>
          <w:instrText xml:space="preserve"> PAGEREF _Toc29489602 \h </w:instrText>
        </w:r>
        <w:r>
          <w:rPr>
            <w:noProof/>
            <w:webHidden/>
          </w:rPr>
        </w:r>
        <w:r>
          <w:rPr>
            <w:noProof/>
            <w:webHidden/>
          </w:rPr>
          <w:fldChar w:fldCharType="separate"/>
        </w:r>
        <w:r>
          <w:rPr>
            <w:noProof/>
            <w:webHidden/>
          </w:rPr>
          <w:t>3</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val="en-US" w:bidi="ar-SA"/>
        </w:rPr>
      </w:pPr>
      <w:hyperlink w:anchor="_Toc29489603" w:history="1">
        <w:r>
          <w:rPr>
            <w:rStyle w:val="Hyperlink"/>
            <w:noProof/>
          </w:rPr>
          <w:t>Οριζόντιες προτεραιότητες</w:t>
        </w:r>
        <w:r>
          <w:rPr>
            <w:noProof/>
            <w:webHidden/>
          </w:rPr>
          <w:tab/>
        </w:r>
        <w:r>
          <w:rPr>
            <w:noProof/>
            <w:webHidden/>
          </w:rPr>
          <w:fldChar w:fldCharType="begin"/>
        </w:r>
        <w:r>
          <w:rPr>
            <w:noProof/>
            <w:webHidden/>
          </w:rPr>
          <w:instrText xml:space="preserve"> PAGEREF _Toc29489603 \h </w:instrText>
        </w:r>
        <w:r>
          <w:rPr>
            <w:noProof/>
            <w:webHidden/>
          </w:rPr>
        </w:r>
        <w:r>
          <w:rPr>
            <w:noProof/>
            <w:webHidden/>
          </w:rPr>
          <w:fldChar w:fldCharType="separate"/>
        </w:r>
        <w:r>
          <w:rPr>
            <w:noProof/>
            <w:webHidden/>
          </w:rPr>
          <w:t>10</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val="en-US" w:bidi="ar-SA"/>
        </w:rPr>
      </w:pPr>
      <w:hyperlink w:anchor="_Toc29489604" w:history="1">
        <w:r>
          <w:rPr>
            <w:rStyle w:val="Hyperlink"/>
            <w:noProof/>
          </w:rPr>
          <w:t>Σύνοψη αξιολογήσεων που ολοκληρώθηκαν το 2018</w:t>
        </w:r>
        <w:r>
          <w:rPr>
            <w:noProof/>
            <w:webHidden/>
          </w:rPr>
          <w:tab/>
        </w:r>
        <w:r>
          <w:rPr>
            <w:noProof/>
            <w:webHidden/>
          </w:rPr>
          <w:fldChar w:fldCharType="begin"/>
        </w:r>
        <w:r>
          <w:rPr>
            <w:noProof/>
            <w:webHidden/>
          </w:rPr>
          <w:instrText xml:space="preserve"> PAGEREF _Toc29489604 \h </w:instrText>
        </w:r>
        <w:r>
          <w:rPr>
            <w:noProof/>
            <w:webHidden/>
          </w:rPr>
        </w:r>
        <w:r>
          <w:rPr>
            <w:noProof/>
            <w:webHidden/>
          </w:rPr>
          <w:fldChar w:fldCharType="separate"/>
        </w:r>
        <w:r>
          <w:rPr>
            <w:noProof/>
            <w:webHidden/>
          </w:rPr>
          <w:t>12</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val="en-US" w:bidi="ar-SA"/>
        </w:rPr>
      </w:pPr>
      <w:hyperlink w:anchor="_Toc29489605" w:history="1">
        <w:r>
          <w:rPr>
            <w:rStyle w:val="Hyperlink"/>
            <w:noProof/>
          </w:rPr>
          <w:t>Προϋπολογισμός 2018</w:t>
        </w:r>
        <w:r>
          <w:rPr>
            <w:noProof/>
            <w:webHidden/>
          </w:rPr>
          <w:tab/>
        </w:r>
        <w:r>
          <w:rPr>
            <w:noProof/>
            <w:webHidden/>
          </w:rPr>
          <w:fldChar w:fldCharType="begin"/>
        </w:r>
        <w:r>
          <w:rPr>
            <w:noProof/>
            <w:webHidden/>
          </w:rPr>
          <w:instrText xml:space="preserve"> PAGEREF _Toc29489605 \h </w:instrText>
        </w:r>
        <w:r>
          <w:rPr>
            <w:noProof/>
            <w:webHidden/>
          </w:rPr>
        </w:r>
        <w:r>
          <w:rPr>
            <w:noProof/>
            <w:webHidden/>
          </w:rPr>
          <w:fldChar w:fldCharType="separate"/>
        </w:r>
        <w:r>
          <w:rPr>
            <w:noProof/>
            <w:webHidden/>
          </w:rPr>
          <w:t>13</w:t>
        </w:r>
        <w:r>
          <w:rPr>
            <w:noProof/>
            <w:webHidden/>
          </w:rPr>
          <w:fldChar w:fldCharType="end"/>
        </w:r>
      </w:hyperlink>
    </w:p>
    <w:p>
      <w:pPr>
        <w:pStyle w:val="TOC2"/>
        <w:tabs>
          <w:tab w:val="right" w:leader="dot" w:pos="9106"/>
        </w:tabs>
        <w:rPr>
          <w:rFonts w:asciiTheme="minorHAnsi" w:eastAsiaTheme="minorEastAsia" w:hAnsiTheme="minorHAnsi" w:cstheme="minorBidi"/>
          <w:noProof/>
          <w:color w:val="auto"/>
          <w:sz w:val="22"/>
          <w:szCs w:val="22"/>
          <w:lang w:val="en-US" w:bidi="ar-SA"/>
        </w:rPr>
      </w:pPr>
      <w:hyperlink w:anchor="_Toc29489606" w:history="1">
        <w:r>
          <w:rPr>
            <w:rStyle w:val="Hyperlink"/>
            <w:noProof/>
          </w:rPr>
          <w:t>Σ</w:t>
        </w:r>
        <w:r>
          <w:rPr>
            <w:rStyle w:val="Hyperlink"/>
            <w:smallCaps/>
            <w:noProof/>
          </w:rPr>
          <w:t>υμπληρωματικές πληροφορίες και πηγές</w:t>
        </w:r>
        <w:r>
          <w:rPr>
            <w:noProof/>
            <w:webHidden/>
          </w:rPr>
          <w:tab/>
        </w:r>
        <w:r>
          <w:rPr>
            <w:noProof/>
            <w:webHidden/>
          </w:rPr>
          <w:fldChar w:fldCharType="begin"/>
        </w:r>
        <w:r>
          <w:rPr>
            <w:noProof/>
            <w:webHidden/>
          </w:rPr>
          <w:instrText xml:space="preserve"> PAGEREF _Toc29489606 \h </w:instrText>
        </w:r>
        <w:r>
          <w:rPr>
            <w:noProof/>
            <w:webHidden/>
          </w:rPr>
        </w:r>
        <w:r>
          <w:rPr>
            <w:noProof/>
            <w:webHidden/>
          </w:rPr>
          <w:fldChar w:fldCharType="separate"/>
        </w:r>
        <w:r>
          <w:rPr>
            <w:noProof/>
            <w:webHidden/>
          </w:rPr>
          <w:t>14</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val="en-US" w:bidi="ar-SA"/>
        </w:rPr>
      </w:pPr>
      <w:hyperlink w:anchor="_Toc29489607" w:history="1">
        <w:r>
          <w:rPr>
            <w:rStyle w:val="Hyperlink"/>
            <w:noProof/>
          </w:rPr>
          <w:t>Κατάλογος εταίρων που υπέγραψαν τη σύμβαση-πλαίσιο εταιρικής σχέσης του 2014</w:t>
        </w:r>
        <w:r>
          <w:rPr>
            <w:noProof/>
            <w:webHidden/>
          </w:rPr>
          <w:tab/>
        </w:r>
        <w:r>
          <w:rPr>
            <w:noProof/>
            <w:webHidden/>
          </w:rPr>
          <w:fldChar w:fldCharType="begin"/>
        </w:r>
        <w:r>
          <w:rPr>
            <w:noProof/>
            <w:webHidden/>
          </w:rPr>
          <w:instrText xml:space="preserve"> PAGEREF _Toc29489607 \h </w:instrText>
        </w:r>
        <w:r>
          <w:rPr>
            <w:noProof/>
            <w:webHidden/>
          </w:rPr>
        </w:r>
        <w:r>
          <w:rPr>
            <w:noProof/>
            <w:webHidden/>
          </w:rPr>
          <w:fldChar w:fldCharType="separate"/>
        </w:r>
        <w:r>
          <w:rPr>
            <w:noProof/>
            <w:webHidden/>
          </w:rPr>
          <w:t>15</w:t>
        </w:r>
        <w:r>
          <w:rPr>
            <w:noProof/>
            <w:webHidden/>
          </w:rPr>
          <w:fldChar w:fldCharType="end"/>
        </w:r>
      </w:hyperlink>
    </w:p>
    <w:p>
      <w:pPr>
        <w:pStyle w:val="TOC2"/>
        <w:shd w:val="clear" w:color="auto" w:fill="auto"/>
        <w:tabs>
          <w:tab w:val="left" w:leader="dot" w:pos="8872"/>
        </w:tabs>
        <w:rPr>
          <w:noProof/>
        </w:rPr>
        <w:sectPr>
          <w:headerReference w:type="even" r:id="rId16"/>
          <w:headerReference w:type="default" r:id="rId17"/>
          <w:footerReference w:type="even" r:id="rId18"/>
          <w:footerReference w:type="default" r:id="rId19"/>
          <w:headerReference w:type="first" r:id="rId20"/>
          <w:footerReference w:type="first" r:id="rId21"/>
          <w:pgSz w:w="11900" w:h="16840"/>
          <w:pgMar w:top="1656" w:right="1410" w:bottom="9614" w:left="1374" w:header="0" w:footer="3" w:gutter="0"/>
          <w:pgNumType w:start="1"/>
          <w:cols w:space="720"/>
          <w:noEndnote/>
          <w:docGrid w:linePitch="360"/>
        </w:sectPr>
      </w:pPr>
      <w:r>
        <w:rPr>
          <w:noProof/>
        </w:rPr>
        <w:fldChar w:fldCharType="end"/>
      </w:r>
    </w:p>
    <w:p>
      <w:pPr>
        <w:pStyle w:val="Heading210"/>
        <w:keepNext/>
        <w:keepLines/>
        <w:shd w:val="clear" w:color="auto" w:fill="auto"/>
        <w:spacing w:after="330"/>
        <w:ind w:left="20"/>
        <w:rPr>
          <w:noProof/>
        </w:rPr>
      </w:pPr>
      <w:bookmarkStart w:id="2" w:name="_Toc29489600"/>
      <w:bookmarkStart w:id="3" w:name="bookmark13"/>
      <w:r>
        <w:rPr>
          <w:rStyle w:val="Heading211"/>
          <w:b/>
          <w:bCs/>
          <w:noProof/>
        </w:rPr>
        <w:t>Ε</w:t>
      </w:r>
      <w:r>
        <w:rPr>
          <w:rStyle w:val="Heading21SmallCaps"/>
          <w:b/>
          <w:bCs/>
          <w:noProof/>
        </w:rPr>
        <w:t>ισαγωγή</w:t>
      </w:r>
      <w:bookmarkEnd w:id="2"/>
    </w:p>
    <w:p>
      <w:pPr>
        <w:pStyle w:val="Bodytext20"/>
        <w:shd w:val="clear" w:color="auto" w:fill="auto"/>
        <w:spacing w:after="410" w:line="317" w:lineRule="exact"/>
        <w:ind w:firstLine="0"/>
        <w:jc w:val="both"/>
        <w:rPr>
          <w:noProof/>
        </w:rPr>
      </w:pPr>
      <w:r>
        <w:rPr>
          <w:noProof/>
        </w:rPr>
        <w:t xml:space="preserve">Η παρούσα έκθεση παρουσιάζει τις κυριότερες δραστηριότητες και τα σημαντικότερα αποτελέσματα πολιτικής που έχει να επιδείξει η Ευρωπαϊκή Επιτροπή στον τομέα της ανθρωπιστικής βοήθειας της Ένωσης για το 2018. </w:t>
      </w:r>
      <w:bookmarkStart w:id="4" w:name="bookmark4"/>
      <w:r>
        <w:rPr>
          <w:noProof/>
        </w:rPr>
        <w:t>Η έκθεση καταρτίστηκε σύμφωνα με το άρθρο 19 του κανονισμού (ΕΚ) αριθ. 1257/96 του Συμβουλίου, της 20ής Ιουνίου 1996</w:t>
      </w:r>
      <w:bookmarkEnd w:id="4"/>
      <w:r>
        <w:rPr>
          <w:noProof/>
        </w:rPr>
        <w:t>.</w:t>
      </w:r>
    </w:p>
    <w:p>
      <w:pPr>
        <w:pStyle w:val="Heading210"/>
        <w:keepNext/>
        <w:keepLines/>
        <w:shd w:val="clear" w:color="auto" w:fill="auto"/>
        <w:spacing w:after="0"/>
        <w:ind w:left="20"/>
        <w:rPr>
          <w:rStyle w:val="Bodytext41"/>
          <w:b/>
          <w:bCs/>
          <w:noProof/>
        </w:rPr>
      </w:pPr>
      <w:bookmarkStart w:id="5" w:name="_Toc29489601"/>
      <w:r>
        <w:rPr>
          <w:rStyle w:val="Heading211"/>
          <w:b/>
          <w:bCs/>
          <w:noProof/>
        </w:rPr>
        <w:t>Ε</w:t>
      </w:r>
      <w:r>
        <w:rPr>
          <w:rStyle w:val="Heading21SmallCaps"/>
          <w:b/>
          <w:bCs/>
          <w:noProof/>
        </w:rPr>
        <w:t xml:space="preserve">πιχειρήσεις ανθρωπιστικής βοήθειας που </w:t>
      </w:r>
      <w:r>
        <w:rPr>
          <w:rStyle w:val="Bodytext41"/>
          <w:b/>
          <w:bCs/>
          <w:noProof/>
        </w:rPr>
        <w:t>χρηματοδοτήθηκαν το 2018</w:t>
      </w:r>
      <w:bookmarkEnd w:id="5"/>
    </w:p>
    <w:p>
      <w:pPr>
        <w:pStyle w:val="Heading210"/>
        <w:keepNext/>
        <w:keepLines/>
        <w:shd w:val="clear" w:color="auto" w:fill="auto"/>
        <w:spacing w:after="0"/>
        <w:ind w:left="20"/>
        <w:rPr>
          <w:noProof/>
        </w:rPr>
      </w:pPr>
    </w:p>
    <w:p>
      <w:pPr>
        <w:pStyle w:val="Footnote10"/>
        <w:spacing w:line="276" w:lineRule="auto"/>
        <w:rPr>
          <w:noProof/>
          <w:sz w:val="24"/>
          <w:szCs w:val="24"/>
        </w:rPr>
      </w:pPr>
      <w:r>
        <w:rPr>
          <w:noProof/>
          <w:sz w:val="24"/>
          <w:szCs w:val="24"/>
        </w:rPr>
        <w:t xml:space="preserve">Τις τελευταίες δεκαετίες έχει αυξηθεί η πολυπλοκότητα και η σοβαρότητα των ανθρωπιστικών κρίσεων. Η σύγκρουση παρέμεινε η κύρια αιτία των ανθρωπιστικών αναγκών, ενώ λόγω των φυσικών καταστροφών πολλοί άνθρωποι συνέχισαν να χρειάζονται βοήθεια έκτακτης ανάγκης.  Το 2018 περισσότεροι από 134 εκατομμύρια άνθρωποι χρειάστηκαν βοήθεια. </w:t>
      </w:r>
    </w:p>
    <w:p>
      <w:pPr>
        <w:pStyle w:val="Footnote10"/>
        <w:spacing w:line="276" w:lineRule="auto"/>
        <w:rPr>
          <w:noProof/>
          <w:sz w:val="24"/>
          <w:szCs w:val="24"/>
        </w:rPr>
      </w:pPr>
    </w:p>
    <w:p>
      <w:pPr>
        <w:pStyle w:val="Footnote10"/>
        <w:spacing w:line="276" w:lineRule="auto"/>
        <w:rPr>
          <w:noProof/>
          <w:sz w:val="24"/>
          <w:szCs w:val="24"/>
        </w:rPr>
      </w:pPr>
      <w:r>
        <w:rPr>
          <w:noProof/>
          <w:sz w:val="24"/>
          <w:szCs w:val="24"/>
        </w:rPr>
        <w:t xml:space="preserve">Η ΕΕ εξακολούθησε να είναι ένας από τους μεγαλύτερους χορηγούς ανθρωπιστικής βοήθειας, παρέχοντας αρωγή και στήριξη στα πλέον ευάλωτα άτομα μέσω της κινητοποίησης τόσο της ανθρωπιστικής βοήθειας όσο και της βοήθειας πολιτικής προστασίας. Εντούτοις, η ταχεία απόκριση σε αναδυόμενες κρίσεις εξακολούθησε να αποτελεί πρόκληση λόγω των περιορισμών όσον αφορά την πρόσβαση και την ασφάλεια.  </w:t>
      </w:r>
    </w:p>
    <w:p>
      <w:pPr>
        <w:pStyle w:val="Footnote10"/>
        <w:spacing w:line="276" w:lineRule="auto"/>
        <w:rPr>
          <w:noProof/>
          <w:sz w:val="24"/>
          <w:szCs w:val="24"/>
        </w:rPr>
      </w:pPr>
    </w:p>
    <w:p>
      <w:pPr>
        <w:pStyle w:val="Footnote10"/>
        <w:spacing w:line="276" w:lineRule="auto"/>
        <w:rPr>
          <w:noProof/>
          <w:sz w:val="24"/>
          <w:szCs w:val="24"/>
        </w:rPr>
      </w:pPr>
      <w:r>
        <w:rPr>
          <w:noProof/>
          <w:sz w:val="24"/>
          <w:szCs w:val="24"/>
        </w:rPr>
        <w:t xml:space="preserve">Η Ευρωπαϊκή Επιτροπή πρωτοστάτησε στην αντιμετώπιση κρίσεων στην ΕΕ, με τη χρηματοδότηση επιχειρήσεων ανθρωπιστικής βοήθειας με περισσότερα από 1,8 δισ. EUR (η έκκληση των Ηνωμένων Εθνών για ανθρωπιστική βοήθεια ήταν 25,4 δισ. USD) σε περισσότερες από 90 χώρες με ιδιαίτερη έμφαση στη στήριξη πληθυσμών που πλήττονται από συγκρούσεις στο εσωτερικό της Συρίας, καθώς και των προσφύγων σε γειτονικές χώρες. </w:t>
      </w:r>
    </w:p>
    <w:p>
      <w:pPr>
        <w:pStyle w:val="Footnote10"/>
        <w:spacing w:line="276" w:lineRule="auto"/>
        <w:rPr>
          <w:noProof/>
          <w:sz w:val="24"/>
          <w:szCs w:val="24"/>
        </w:rPr>
      </w:pPr>
    </w:p>
    <w:p>
      <w:pPr>
        <w:pStyle w:val="Footnote10"/>
        <w:spacing w:line="276" w:lineRule="auto"/>
        <w:rPr>
          <w:noProof/>
          <w:sz w:val="24"/>
          <w:szCs w:val="24"/>
        </w:rPr>
      </w:pPr>
      <w:r>
        <w:rPr>
          <w:noProof/>
          <w:sz w:val="24"/>
          <w:szCs w:val="24"/>
        </w:rPr>
        <w:t>Η προώθηση ανθρωπιστικής βοήθειας βασισμένης σε αρχές και του σεβασμού του διεθνούς ανθρωπιστικού δικαίου (ΔΑΔ) ήταν στο επίκεντρο των στόχων της Επιτροπής. Η ΕΕ συνέχισε να διαδραματίζει διεθνώς ηγετικό ρόλο προεδρεύοντας σε δύο ομάδες χορηγών: την Ομάδα Υποστήριξης Δωρητών της Διεθνούς Επιτροπής του Ερυθρού Σταυρού και την ομάδα Χρηστής Ανθρωπιστικής Χορηγίας (στη δεύτερη συμπροήδρευσε μαζί με την Ελβετία). Επιπλέον, η Επιτροπή ανέλαβε την ηγεσία της παγκόσμιας πρωτοβουλίας «Πρόσκληση για ανάληψη δράσης για την προστασία από τη σεξουαλική και την έμφυλη βία σε περιπτώσεις έκτακτης ανάγκης» έως τον Ιανουάριο του 2019. Η σεξουαλική και η έμφυλη βία σε περιπτώσεις έκτακτης ανάγκης και η εκπαίδευση σε καταστάσεις έκτακτης ανάγκης παρέμειναν σημαντικές προτεραιότητες για τις ανθρωπιστικές δράσεις της ΕΕ.</w:t>
      </w:r>
    </w:p>
    <w:p>
      <w:pPr>
        <w:pStyle w:val="Footnote10"/>
        <w:spacing w:line="276" w:lineRule="auto"/>
        <w:rPr>
          <w:noProof/>
          <w:sz w:val="24"/>
          <w:szCs w:val="24"/>
        </w:rPr>
      </w:pPr>
    </w:p>
    <w:p>
      <w:pPr>
        <w:pStyle w:val="Footnote10"/>
        <w:spacing w:line="276" w:lineRule="auto"/>
        <w:rPr>
          <w:noProof/>
          <w:sz w:val="24"/>
          <w:szCs w:val="24"/>
        </w:rPr>
      </w:pPr>
      <w:r>
        <w:rPr>
          <w:noProof/>
          <w:sz w:val="24"/>
          <w:szCs w:val="24"/>
        </w:rPr>
        <w:t>Η Επιτροπή προέβη σε ενέργειες για την ενίσχυση της ανθεκτικότητας ως απάντηση στις κρίσεις και την αστάθεια που εξαπλώνεται σε ολόκληρο τον κόσμο. Στο πλαίσιο αυτό, η Επιτροπή σημείωσε πρόοδο όσον αφορά την εφαρμογή της σύνδεσης μεταξύ ανθρωπιστικής βοήθειας και ανάπτυξης. Το στοιχείο ειρήνης της σύνδεσης εγκρίθηκε κατά την άτυπη συνεδρίαση του Συμβουλίου Εξωτερικών Υποθέσεων για την Ανάπτυξη τον Σεπτέμβριο του 2018, η οποία κατέληξε στο συμπέρασμα ότι η «τριπλή» σύνδεση (μεταξύ ανθρωπιστικής βοήθειας, ανάπτυξης, ειρήνης) θα πρέπει να αντιμετωπίσει τις παρατεταμένες κρίσεις μέσω ανθρωπιστικής δράσης βάσει αρχών.</w:t>
      </w:r>
    </w:p>
    <w:p>
      <w:pPr>
        <w:pStyle w:val="Footnote10"/>
        <w:spacing w:line="276" w:lineRule="auto"/>
        <w:rPr>
          <w:noProof/>
          <w:sz w:val="24"/>
          <w:szCs w:val="24"/>
        </w:rPr>
      </w:pPr>
    </w:p>
    <w:p>
      <w:pPr>
        <w:pStyle w:val="Footnote10"/>
        <w:spacing w:line="276" w:lineRule="auto"/>
        <w:rPr>
          <w:rStyle w:val="Heading311"/>
          <w:noProof/>
        </w:rPr>
      </w:pPr>
      <w:r>
        <w:rPr>
          <w:noProof/>
          <w:sz w:val="24"/>
          <w:szCs w:val="24"/>
        </w:rPr>
        <w:t xml:space="preserve">Η Επιτροπή συνέχισε τις προσπάθειες για μεγαλύτερη αποδοτικότητα σε σχέση με το κόστος, σύμφωνα με τις δεσμεύσεις της «Μεγάλης Συμφωνίας» μεταξύ των χορηγών και των επιχειρησιακών οργανισμών στο πλαίσιο της Παγκόσμιας Ανθρωπιστικής Διάσκεψης Κορυφής. Υπό αυτό το πρίσμα, η Επιτροπή εξέδωσε οδηγίες για τις μεταφορές μετρητών μεγάλης κλίμακας, οι οποίες διασφαλίζουν ότι το μεγαλύτερο μέρος της χρηματοδότησης καταλήγει στους δικαιούχους και ότι το μικρότερο μέρος δαπανάται σε διοικητικά έξοδα. Στο πλαίσιο αυτό, η ΕΕ συνέχισε να αναπτύσσει το μεγαλύτερο χρηματοδοτικό της πρόγραμμα – το Κοινωνικό Δίχτυ Ασφαλείας Έκτακτης Ανάγκης (ESSN) για τους πρόσφυγες στην Τουρκία.  </w:t>
      </w:r>
      <w:bookmarkStart w:id="6" w:name="bookmark6"/>
    </w:p>
    <w:p>
      <w:pPr>
        <w:pStyle w:val="Heading310"/>
        <w:keepNext/>
        <w:keepLines/>
        <w:shd w:val="clear" w:color="auto" w:fill="auto"/>
        <w:spacing w:after="260"/>
        <w:ind w:firstLine="0"/>
        <w:jc w:val="both"/>
        <w:rPr>
          <w:noProof/>
          <w:sz w:val="28"/>
        </w:rPr>
      </w:pPr>
      <w:bookmarkStart w:id="7" w:name="_Toc29489602"/>
      <w:r>
        <w:rPr>
          <w:rStyle w:val="Heading311"/>
          <w:b/>
          <w:bCs/>
          <w:noProof/>
          <w:sz w:val="28"/>
        </w:rPr>
        <w:t>Επισκόπηση των κύριων επιχειρήσεων ανθρωπιστικής βοήθειας που χρηματοδοτήθηκαν το 201</w:t>
      </w:r>
      <w:bookmarkEnd w:id="6"/>
      <w:r>
        <w:rPr>
          <w:rStyle w:val="Heading311"/>
          <w:b/>
          <w:bCs/>
          <w:noProof/>
          <w:sz w:val="28"/>
        </w:rPr>
        <w:t>8</w:t>
      </w:r>
      <w:bookmarkEnd w:id="7"/>
    </w:p>
    <w:p>
      <w:pPr>
        <w:spacing w:after="240" w:line="276" w:lineRule="auto"/>
        <w:jc w:val="both"/>
        <w:rPr>
          <w:noProof/>
        </w:rPr>
      </w:pPr>
      <w:r>
        <w:rPr>
          <w:noProof/>
        </w:rPr>
        <w:t>Η Ευρωπαϊκή Επιτροπή παρενέβη σε ευρύ φάσμα κρίσεων και καταστροφών παγκοσμίως, ορισμένες από τις οποίες παρουσιάζονται παρακάτω.</w:t>
      </w:r>
    </w:p>
    <w:p>
      <w:pPr>
        <w:spacing w:after="240" w:line="276" w:lineRule="auto"/>
        <w:jc w:val="both"/>
        <w:rPr>
          <w:b/>
          <w:bCs/>
          <w:noProof/>
        </w:rPr>
      </w:pPr>
      <w:r>
        <w:rPr>
          <w:b/>
          <w:bCs/>
          <w:noProof/>
        </w:rPr>
        <w:t>Αντιμετώπιση έκτακτων αναγκών</w:t>
      </w:r>
    </w:p>
    <w:p>
      <w:pPr>
        <w:pStyle w:val="Text1"/>
        <w:spacing w:line="276" w:lineRule="auto"/>
        <w:ind w:left="0"/>
        <w:rPr>
          <w:noProof/>
        </w:rPr>
      </w:pPr>
      <w:r>
        <w:rPr>
          <w:noProof/>
        </w:rPr>
        <w:t>Η Επιτροπή χρησιμοποίησε μια ειδική εργαλειοθήκη έκτακτης ανάγκης για την ταχεία αντιμετώπιση των νέων καταστάσεων έκτακτης ανάγκης και για τις σοβαρά οξυνόμενες υφιστάμενες κρίσεις που δεν μπορούσαν να προβλεφθούν κατά το στάδιο της έγκρισης της ετήσιας απόφασης χρηματοδότησης. Η εργαλειοθήκη έκτακτης ανάγκης περιλαμβάνει τέσσερα μέσα: το μέσο ALERT (Acute Large Emergency Response Tool), το μέσο για την καταπολέμηση επιδημιών, το μέσο για τη χρηματοδότηση αποκρίσεων μικρής κλίμακας και τη στήριξη του έκτακτου ταμείου για την αντιμετώπιση καταστροφών (DREF) της Διεθνούς Ομοσπονδίας των Εταιρειών του Ερυθρού Σταυρού και της Ερυθράς Ημισελήνου (ΔΟΕΕΣ).</w:t>
      </w:r>
    </w:p>
    <w:p>
      <w:pPr>
        <w:pStyle w:val="Text1"/>
        <w:spacing w:line="276" w:lineRule="auto"/>
        <w:ind w:left="0"/>
        <w:rPr>
          <w:noProof/>
          <w:szCs w:val="24"/>
        </w:rPr>
      </w:pPr>
      <w:r>
        <w:rPr>
          <w:noProof/>
        </w:rPr>
        <w:t xml:space="preserve">Το ALERT παρέχει ταχεία πρώτης γραμμής χρηματοδότηση για άμεση απόκριση σε μεγάλης κλίμακας φυσικές καταστροφές αιφνίδιας επέλευσης που πλήττουν περισσότερους από 100 000 ανθρώπους. Το 2018 διατέθηκαν 8,65 εκατ. EUR προκειμένου να αντιμετωπιστούν σοβαρές πλημμύρες στην Κένυα, την Αιθιοπία και τη Νιγηρία, σεισμοί και ένα τσουνάμι στην Ινδονησία και οι συνέπειες ενός τροπικού κυκλώνα στις Φιλιππίνες. </w:t>
      </w:r>
    </w:p>
    <w:p>
      <w:pPr>
        <w:widowControl/>
        <w:autoSpaceDN w:val="0"/>
        <w:spacing w:after="240" w:line="276" w:lineRule="auto"/>
        <w:ind w:right="-34"/>
        <w:jc w:val="both"/>
        <w:rPr>
          <w:noProof/>
          <w:color w:val="auto"/>
          <w:szCs w:val="20"/>
        </w:rPr>
      </w:pPr>
      <w:r>
        <w:rPr>
          <w:noProof/>
          <w:color w:val="auto"/>
          <w:szCs w:val="20"/>
        </w:rPr>
        <w:t>Το μέσο για την καταπολέμηση επιδημιών παρείχε επείγουσα χρηματοδότηση για πέντε επιδημίες: τον πυρετό Lassa (Νιγηρία), τον ιό Έμπολα (Λαϊκή Δημοκρατία του Κονγκό), τη χολέρα (Τζιμπουτί, Νίγηρας και Ζιμπάμπουε). Το δαπανηθέν ποσό ανήλθε σε 2 775 εκατ. EUR.</w:t>
      </w:r>
    </w:p>
    <w:p>
      <w:pPr>
        <w:widowControl/>
        <w:autoSpaceDN w:val="0"/>
        <w:spacing w:after="240" w:line="276" w:lineRule="auto"/>
        <w:jc w:val="both"/>
        <w:rPr>
          <w:noProof/>
        </w:rPr>
      </w:pPr>
      <w:r>
        <w:rPr>
          <w:noProof/>
          <w:color w:val="auto"/>
          <w:szCs w:val="20"/>
        </w:rPr>
        <w:t xml:space="preserve">Το μέσο για τη χρηματοδότηση αποκρίσεων μικρής κλίμακας χρησιμοποιήθηκε για την αντιμετώπιση </w:t>
      </w:r>
      <w:r>
        <w:rPr>
          <w:noProof/>
        </w:rPr>
        <w:t>επτά καταστροφών συνολικού ύψους 2 225 εκατ. EUR, ειδικότερα των εξής: Τόνγκα (τροπική καταιγίδα), Νιγηρία (μετακίνηση προσφύγων), Νικαράγουα (εμφύλια διαμάχη), Γουατεμάλα (έκρηξη ηφαιστείου), Λάος (κατάρρευση φράγματος), Βενεζουέλα (πλημμύρες) και Αϊτή (σεισμός).</w:t>
      </w:r>
    </w:p>
    <w:p>
      <w:pPr>
        <w:spacing w:line="276" w:lineRule="auto"/>
        <w:jc w:val="both"/>
        <w:rPr>
          <w:i/>
          <w:noProof/>
        </w:rPr>
      </w:pPr>
      <w:r>
        <w:rPr>
          <w:noProof/>
        </w:rPr>
        <w:t xml:space="preserve">Η Ευρωπαϊκή Επιτροπή ήταν επίσης ένας από τους βασικούς χορηγούς του DREF, συνεισφέροντας συνολικά ποσό ύψους 3,9 εκατ. EUR σε 39 επιχειρήσεις, το οποίο αντιστοιχεί περίπου στο 25 % των πόρων του 2018. </w:t>
      </w:r>
    </w:p>
    <w:p>
      <w:pPr>
        <w:spacing w:line="276" w:lineRule="auto"/>
        <w:jc w:val="both"/>
        <w:rPr>
          <w:i/>
          <w:noProof/>
          <w:color w:val="FF0000"/>
        </w:rPr>
      </w:pPr>
    </w:p>
    <w:p>
      <w:pPr>
        <w:spacing w:before="120" w:after="120"/>
        <w:jc w:val="both"/>
        <w:rPr>
          <w:b/>
          <w:bCs/>
          <w:noProof/>
        </w:rPr>
      </w:pPr>
      <w:r>
        <w:rPr>
          <w:b/>
          <w:bCs/>
          <w:noProof/>
        </w:rPr>
        <w:t>Η κρίση στη Συρία</w:t>
      </w:r>
    </w:p>
    <w:p>
      <w:pPr>
        <w:spacing w:after="240" w:line="276" w:lineRule="auto"/>
        <w:jc w:val="both"/>
        <w:rPr>
          <w:noProof/>
        </w:rPr>
      </w:pPr>
      <w:r>
        <w:rPr>
          <w:noProof/>
        </w:rPr>
        <w:t>Το 2018 η κρίση στη Συρία μπήκε στον όγδοο χρόνο. Κατά τη διάρκεια αυτών των ετών, επιθέσεις και αλλαγές στον έλεγχο των εδαφών είχαν ως αποτέλεσμα μαζικούς εκτοπισμούς, απώλεια ανθρώπινων ζωών και τρομερές δοκιμασίες για περισσότερους από 13 εκατομμύρια ανθρώπους. Η Επιτροπή παρείχε συνδρομή διάσωσης, κυρίως με διάθεση τροφίμων, φαρμάκων, νερού και στέγης. Από τις δράσεις της Επιτροπής επωφελήθηκαν πληθυσμοί στο εσωτερικό της Συρίας καθώς και Σύριοι πρόσφυγες στον Λίβανο, την Ιορδανία και την Αίγυπτο. Η ανθρωπιστική βοήθεια της Επιτροπής ανήλθε σε 260 εκατ. EUR.</w:t>
      </w:r>
    </w:p>
    <w:p>
      <w:pPr>
        <w:spacing w:after="240" w:line="276" w:lineRule="auto"/>
        <w:jc w:val="both"/>
        <w:rPr>
          <w:noProof/>
        </w:rPr>
      </w:pPr>
      <w:r>
        <w:rPr>
          <w:noProof/>
        </w:rPr>
        <w:t xml:space="preserve">Επιπλέον, η ΕΕ συμμετείχε σε πολλές διεθνείς διπλωματικές πρωτοβουλίες, όπως η διάσκεψη των Βρυξελλών με θέμα «Στηρίζοντας το μέλλον της Συρίας και της ευρύτερης περιοχής», η ανθρωπιστική ειδική ομάδα της διεθνούς ομάδας στήριξης της Συρίας στη Γενεύη, οι συναντήσεις ανώτερων υπαλλήλων που οργανώθηκαν στο Όσλο και το Βερολίνο και άλλες προσπάθειες ευαισθητοποίησης για την προώθηση του σεβασμού των ανθρωπιστικών αρχών και του Διεθνούς Ανθρωπιστικού Δικαίου (ΔΑΔ). Η διάσκεψη των Βρυξελλών ενίσχυσε την ευαισθητοποίηση σχετικά με την κατάσταση των πληγέντων αμάχων στη Συρία, με δεσμεύσεις συνολικού ύψους 3,5 δισ. EUR για το 2018, καθώς και πολυετείς δεσμεύσεις ύψους 2,7 δισ. EUR για την περίοδο 2019-2020. </w:t>
      </w:r>
    </w:p>
    <w:p>
      <w:pPr>
        <w:widowControl/>
        <w:spacing w:after="240" w:line="276" w:lineRule="auto"/>
        <w:jc w:val="both"/>
        <w:rPr>
          <w:b/>
          <w:noProof/>
        </w:rPr>
      </w:pPr>
      <w:r>
        <w:rPr>
          <w:b/>
          <w:noProof/>
        </w:rPr>
        <w:t xml:space="preserve">Τουρκία </w:t>
      </w:r>
    </w:p>
    <w:p>
      <w:pPr>
        <w:widowControl/>
        <w:spacing w:after="240" w:line="276" w:lineRule="auto"/>
        <w:jc w:val="both"/>
        <w:rPr>
          <w:noProof/>
          <w:color w:val="auto"/>
        </w:rPr>
      </w:pPr>
      <w:r>
        <w:rPr>
          <w:noProof/>
          <w:color w:val="auto"/>
        </w:rPr>
        <w:t>Τον Ιούνιο του 2018 η ΕΕ συμφώνησε να παρέχει επιπλέον 3 δισ. EUR για τη Διευκόλυνση της ΕΕ για τους Πρόσφυγες στην Τουρκία, προκειμένου να προσφέρει στήριξη σε Σύριους πρόσφυγες. Στο πλαίσιο της δεύτερης δόσης, 550 εκατ. EUR δεσμεύτηκαν το 2018, από τα οποία 50 εκατ. EUR για ανθρωπιστική βοήθεια, κυρίως για την προστασία και την υγεία. Συνεπώς, η συνολική χρηματοδότηση για ανθρωπιστική βοήθεια στο πλαίσιο της Διευκόλυνσης υπερέβη το  1,45 δισ. EUR.</w:t>
      </w:r>
    </w:p>
    <w:p>
      <w:pPr>
        <w:widowControl/>
        <w:spacing w:after="240" w:line="276" w:lineRule="auto"/>
        <w:jc w:val="both"/>
        <w:rPr>
          <w:noProof/>
          <w:color w:val="auto"/>
        </w:rPr>
      </w:pPr>
      <w:r>
        <w:rPr>
          <w:noProof/>
          <w:color w:val="auto"/>
        </w:rPr>
        <w:t>Το εμβληματικό ανθρωπιστικό πρόγραμμα της Διευκόλυνσης, το Κοινωνικό Δίχτυ Ασφαλείας Έκτακτης Ανάγκης (ESSN), συνέχισε να αντιμετωπίζει τις βασικές ανάγκες και τις ανάγκες προστασίας 1,7 εκατομμυρίου δικαιούχων. Ήταν το μεγαλύτερο μεμονωμένο έργο ανθρωπιστικής βοήθειας στην ιστορία της ΕΕ. Με βάση το ESSN, η ΕΕ χρηματοδότησε το Πρόγραμμα για την υπό όρους μεταφορά χρημάτων για την εκπαίδευση από τις αρχές του 2017, και έως τον Δεκέμβριο του 2018 παρείχε στήριξη για την τακτική σχολική φοίτηση 517 000 παιδιών.</w:t>
      </w:r>
    </w:p>
    <w:p>
      <w:pPr>
        <w:spacing w:after="240" w:line="276" w:lineRule="auto"/>
        <w:jc w:val="both"/>
        <w:rPr>
          <w:b/>
          <w:noProof/>
        </w:rPr>
      </w:pPr>
      <w:r>
        <w:rPr>
          <w:b/>
          <w:noProof/>
        </w:rPr>
        <w:t xml:space="preserve">Δυτικά Βαλκάνια </w:t>
      </w:r>
    </w:p>
    <w:p>
      <w:pPr>
        <w:spacing w:after="240" w:line="276" w:lineRule="auto"/>
        <w:jc w:val="both"/>
        <w:rPr>
          <w:noProof/>
          <w:color w:val="auto"/>
        </w:rPr>
      </w:pPr>
      <w:r>
        <w:rPr>
          <w:noProof/>
          <w:color w:val="auto"/>
        </w:rPr>
        <w:t xml:space="preserve">Το 2018 οι δραστηριότητες ανθρωπιστικής βοήθειας της ΕΕ επικεντρώθηκαν κυρίως στη στήριξη σε πρόσφυγες και μετανάστες στη Βοσνία-Ερζεγοβίνη. Τοπικές κοινότητες και διεθνείς οργανισμοί προσέφεραν βασική βοήθεια όπως τρόφιμα, στέγη και βασική υγειονομική περίθαλψη. Εντούτοις, οι δυνατότητές τους επιβαρύνθηκαν υπερβολικά και τον Μάιο του 2018 το Υπουργικό Συμβούλιο της Βοσνίας-Ερζεγοβίνης ζήτησε επίσημα τη βοήθεια της ΕΕ. </w:t>
      </w:r>
    </w:p>
    <w:p>
      <w:pPr>
        <w:spacing w:after="240" w:line="276" w:lineRule="auto"/>
        <w:jc w:val="both"/>
        <w:rPr>
          <w:noProof/>
          <w:color w:val="auto"/>
        </w:rPr>
      </w:pPr>
      <w:r>
        <w:rPr>
          <w:noProof/>
          <w:color w:val="auto"/>
        </w:rPr>
        <w:t>Η Ευρωπαϊκή Επιτροπή διέθεσε 2 εκατ. EUR για ανθρωπιστική βοήθεια το 2018 με σκοπό την παροχή έκτακτης βοήθειας για την αντιμετώπιση των αναγκών προσφύγων και μεταναστών. Η βραχυπρόθεσμη βοήθεια συνοδεύτηκε από μεσοπρόθεσμη απόκριση ύψους 7,2 εκατ. EUR.</w:t>
      </w:r>
    </w:p>
    <w:p>
      <w:pPr>
        <w:widowControl/>
        <w:spacing w:after="240" w:line="276" w:lineRule="auto"/>
        <w:jc w:val="both"/>
        <w:rPr>
          <w:b/>
          <w:noProof/>
        </w:rPr>
      </w:pPr>
      <w:r>
        <w:rPr>
          <w:b/>
          <w:noProof/>
        </w:rPr>
        <w:t>Ουκρανία</w:t>
      </w:r>
    </w:p>
    <w:p>
      <w:pPr>
        <w:pStyle w:val="AARText"/>
        <w:spacing w:line="276" w:lineRule="auto"/>
        <w:rPr>
          <w:rFonts w:ascii="Times New Roman" w:hAnsi="Times New Roman"/>
          <w:noProof/>
          <w:sz w:val="24"/>
        </w:rPr>
      </w:pPr>
      <w:r>
        <w:rPr>
          <w:rFonts w:ascii="Times New Roman" w:hAnsi="Times New Roman"/>
          <w:noProof/>
          <w:sz w:val="24"/>
        </w:rPr>
        <w:t>Έπειτα από τέσσερα και πλέον έτη συγκρούσεων, το 2018 εξακολουθούσαν να υφίστανται ανθρωπιστικές ανάγκες στην ανατολική Ουκρανία. Από τις συγκρούσεις επλήγησαν περισσότεροι από 4,4 εκατ. άνθρωποι, από τους οποίους τουλάχιστον 3,4 εκατ. χρειάζονταν ανθρωπιστική βοήθεια. Η περιορισμένη πρόσβαση της ανθρωπιστικής βοήθειας και οι δυσμενείς πολιτικές εξελίξεις και εξελίξεις στον τομέα της ασφάλειας οδήγησαν στην επιδείνωση της ανθρωπιστικής κατάστασης. Η ανθρωπιστική απόκριση δοκιμάστηκε από την έντονη πολιτικοποίηση της σύγκρουσης και τη μείωση των κονδυλίων χρηματοδότησης των χορηγών.</w:t>
      </w:r>
    </w:p>
    <w:p>
      <w:pPr>
        <w:pStyle w:val="AARText"/>
        <w:spacing w:line="276" w:lineRule="auto"/>
        <w:rPr>
          <w:rFonts w:ascii="Times New Roman" w:hAnsi="Times New Roman"/>
          <w:noProof/>
          <w:sz w:val="24"/>
        </w:rPr>
      </w:pPr>
      <w:r>
        <w:rPr>
          <w:rFonts w:ascii="Times New Roman" w:hAnsi="Times New Roman"/>
          <w:noProof/>
          <w:sz w:val="24"/>
        </w:rPr>
        <w:t xml:space="preserve">Η ΕΕ και τα κράτη μέλη της εξακολούθησαν να συγκαταλέγονται μεταξύ των μεγαλύτερων χορηγών ανθρωπιστικής βοήθειας, με στήριξη συνολικού ύψους 232 εκατ. EUR. Η ΕΕ συνέχισε να παρέχει συνδρομή ζωτικής σημασίας στους πλέον ευάλωτους, προωθώντας συγχρόνως την ομαλή μετάβαση σε μεσοπρόθεσμη και μακροπρόθεσμη βοήθεια σε άλλες περιοχές της ανατολικής Ουκρανίας. </w:t>
      </w:r>
    </w:p>
    <w:p>
      <w:pPr>
        <w:spacing w:after="240" w:line="276" w:lineRule="auto"/>
        <w:jc w:val="both"/>
        <w:rPr>
          <w:noProof/>
        </w:rPr>
      </w:pPr>
      <w:r>
        <w:rPr>
          <w:b/>
          <w:bCs/>
          <w:noProof/>
        </w:rPr>
        <w:t>Η κρίση στην Υεμένη</w:t>
      </w:r>
      <w:r>
        <w:rPr>
          <w:noProof/>
        </w:rPr>
        <w:t xml:space="preserve"> </w:t>
      </w:r>
    </w:p>
    <w:p>
      <w:pPr>
        <w:spacing w:after="240" w:line="276" w:lineRule="auto"/>
        <w:jc w:val="both"/>
        <w:rPr>
          <w:noProof/>
        </w:rPr>
      </w:pPr>
      <w:r>
        <w:rPr>
          <w:noProof/>
        </w:rPr>
        <w:t xml:space="preserve">Η Υεμένη ήταν η μεγαλύτερη ανθρωπιστική κρίση παγκοσμίως με 22,2 εκατ. ανθρώπους σε κατάσταση ανάγκης το 2018. Οι συνεχιζόμενες συγκρούσεις, οι παραβιάσεις του ΔΑΔ και η δυσχερής οικονομική κατάσταση της χώρας προξένησαν τη μεγαλύτερη έκτακτη ανάγκη επισιτιστικής ασφάλειας για 20 εκατομμύρια ανθρώπους. Η επίθεση στην Αλ Χοντέιντα τον Ιούνιο του 2018 εκτόπισε πάνω από 500 000 ανθρώπους και επέτεινε περαιτέρω την κρίση. Επιπλέον, η επιδημία της χολέρας συνεχίστηκε στην Υεμένη. </w:t>
      </w:r>
    </w:p>
    <w:p>
      <w:pPr>
        <w:spacing w:after="240" w:line="276" w:lineRule="auto"/>
        <w:jc w:val="both"/>
        <w:rPr>
          <w:noProof/>
        </w:rPr>
      </w:pPr>
      <w:r>
        <w:rPr>
          <w:noProof/>
        </w:rPr>
        <w:t xml:space="preserve">Κατά τη διάρκεια του 2018, η Επιτροπή κλιμάκωσε την απόκρισή της στην κρίση παρέχοντας 127,5 εκατ. EUR για συνδρομή διάσωσης σε περισσότερους από 14 εκατομμύρια ευάλωτους ανθρώπους. </w:t>
      </w:r>
    </w:p>
    <w:p>
      <w:pPr>
        <w:spacing w:after="240" w:line="276" w:lineRule="auto"/>
        <w:jc w:val="both"/>
        <w:rPr>
          <w:b/>
          <w:noProof/>
        </w:rPr>
      </w:pPr>
      <w:r>
        <w:rPr>
          <w:b/>
          <w:noProof/>
        </w:rPr>
        <w:t>Περιφερειακή κρίση στο Μάλι</w:t>
      </w:r>
    </w:p>
    <w:p>
      <w:pPr>
        <w:spacing w:after="240" w:line="276" w:lineRule="auto"/>
        <w:jc w:val="both"/>
        <w:rPr>
          <w:noProof/>
        </w:rPr>
      </w:pPr>
      <w:r>
        <w:rPr>
          <w:noProof/>
        </w:rPr>
        <w:t xml:space="preserve">Οι ένοπλες συγκρούσεις και η βία αυξήθηκαν, με συνεχιζόμενη εξάπλωση στις γειτονικές χώρες, ειδικότερα: την Μπουρκίνα Φάσο, τη Μαυριτανία και τον Νίγηρα. Εκτοπίστηκαν με τη βία περίπου 390 000 άνθρωποι. Κατά συνέπεια, οι ανθρωπιστικές ανάγκες αυξήθηκαν, ενώ εξακολουθούσαν να υφίστανται προβλήματα όσον αφορά την πρόσβαση. </w:t>
      </w:r>
    </w:p>
    <w:p>
      <w:pPr>
        <w:spacing w:after="240" w:line="276" w:lineRule="auto"/>
        <w:jc w:val="both"/>
        <w:rPr>
          <w:b/>
          <w:noProof/>
          <w:color w:val="FF0000"/>
        </w:rPr>
      </w:pPr>
      <w:r>
        <w:rPr>
          <w:noProof/>
        </w:rPr>
        <w:t>Το 2018 η Επιτροπή χορήγησε ανθρωπιστική βοήθεια ύψους 61 εκατ. EUR, εστιάζοντας κυρίως στην υγεία και τη διατροφή, καλύπτοντας δε το 80 % των υγειονομικών περιφερειών στον Βορρά. Συνολικά, περίπου 160 000 ευάλωτα άτομα έλαβαν επισιτιστική βοήθεια έκτακτης ανάγκης. Πάνω από 124 000 παιδιά κάτω των πέντε ετών που πάσχουν από σοβαρό υποσιτισμό οξείας μορφής έλαβαν επισιτιστική βοήθεια ζωτικής σημασίας και χιλιάδες παιδιά επωφελήθηκαν από τις δραστηριότητες εκπαίδευσης σε καταστάσεις έκτακτης ανάγκης στο βόρειο και κεντρικό Μάλι. Επιπλέον, η Επιτροπή παρείχε επισιτιστική βοήθεια σε περισσότερους από 140 000 πρόσφυγες από το Μάλι στην Μπουρκίνα Φάσο και τον Νίγηρα, καθώς και επισιτιστική βοήθεια και εκπαίδευση σε καταστάσεις έκτακτης ανάγκης σε πρόσφυγες από το Μάλι στη Μαυριτανία.</w:t>
      </w:r>
    </w:p>
    <w:p>
      <w:pPr>
        <w:spacing w:after="240" w:line="276" w:lineRule="auto"/>
        <w:jc w:val="both"/>
        <w:rPr>
          <w:b/>
          <w:noProof/>
        </w:rPr>
      </w:pPr>
      <w:r>
        <w:rPr>
          <w:b/>
          <w:noProof/>
        </w:rPr>
        <w:t>Η κρίση στο Σαχέλ</w:t>
      </w:r>
    </w:p>
    <w:p>
      <w:pPr>
        <w:spacing w:after="240" w:line="276" w:lineRule="auto"/>
        <w:jc w:val="both"/>
        <w:rPr>
          <w:noProof/>
        </w:rPr>
      </w:pPr>
      <w:r>
        <w:rPr>
          <w:noProof/>
        </w:rPr>
        <w:t xml:space="preserve">Το 2018 το Σαχέλ αντιμετώπισε τη χειρότερη επισιτιστική και διατροφική κρίση έπειτα από πολλά χρόνια. Η αυξανόμενη εξάπλωση της σύγκρουσης και μια αγροκτηνοτροφική κρίση επιδείνωσαν την υπάρχουσα πολύπλοκη κατάσταση που επηρεάζει έναν ολοένα και πιο ευάλωτο πληθυσμό. </w:t>
      </w:r>
    </w:p>
    <w:p>
      <w:pPr>
        <w:spacing w:after="240" w:line="276" w:lineRule="auto"/>
        <w:jc w:val="both"/>
        <w:rPr>
          <w:noProof/>
          <w:color w:val="FF0000"/>
        </w:rPr>
      </w:pPr>
      <w:r>
        <w:rPr>
          <w:noProof/>
        </w:rPr>
        <w:t>Η Επιτροπή προσέφερε έκτακτη βοήθεια συνολικού ύψους 272,9 εκατ. EUR για τις διάφορες πληγείσες χώρες. Πάνω από 1,1 εκατ. ευάλωτα άτομα έλαβαν επισιτιστική βοήθεια, ενώ παρασχέθηκε περίθαλψη ζωτικής σημασίας σε περισσότερα από 450 000 παιδιά που πάσχουν από σοβαρό υποσιτισμό οξείας μορφής. Η ΕΕ εργάζεται εντατικά για να υλοποιήσει τη σύνδεση μεταξύ ανθρωπιστικής βοήθειας και ανάπτυξης, μέσω της ενίσχυσης της ανθεκτικότητας του πληγέντος πληθυσμού, μειώνοντας τις ανθρωπιστικές ανάγκες και αντιμετωπίζοντας τις βασικές αιτίες της επισιτιστικής ανασφάλειας και του υποσιτισμού οξείας μορφής.</w:t>
      </w:r>
    </w:p>
    <w:p>
      <w:pPr>
        <w:spacing w:after="240" w:line="276" w:lineRule="auto"/>
        <w:jc w:val="both"/>
        <w:rPr>
          <w:b/>
          <w:noProof/>
        </w:rPr>
      </w:pPr>
      <w:r>
        <w:rPr>
          <w:b/>
          <w:noProof/>
        </w:rPr>
        <w:t>Η κρίση στη λεκάνη της Λίμνης Τσαντ</w:t>
      </w:r>
    </w:p>
    <w:p>
      <w:pPr>
        <w:spacing w:after="240" w:line="276" w:lineRule="auto"/>
        <w:jc w:val="both"/>
        <w:rPr>
          <w:noProof/>
        </w:rPr>
      </w:pPr>
      <w:r>
        <w:rPr>
          <w:noProof/>
        </w:rPr>
        <w:t xml:space="preserve">Το 2018 οι συγκρούσεις και η βία συνέχισαν να πλήττουν σοβαρά 17 εκατομμύρια ανθρώπους που ζουν στην περιοχή. Πάνω από 2,7 εκατομμύρια άνθρωποι, συμπεριλαμβανομένου 1,5 εκατομμυρίου παιδιών, εκτοπίστηκαν αναγκαστικά στο εσωτερικό της χώρας ή σε γειτονικές χώρες. Η επισιτιστική ανασφάλεια οξείας μορφής και ο υποσιτισμός παρέμειναν σε κρίσιμο επίπεδο, με τη σοβαρή επισιτιστική ανασφάλεια να πλήττει 3 εκατομμύρια ανθρώπους. </w:t>
      </w:r>
    </w:p>
    <w:p>
      <w:pPr>
        <w:spacing w:after="240" w:line="276" w:lineRule="auto"/>
        <w:jc w:val="both"/>
        <w:rPr>
          <w:noProof/>
        </w:rPr>
      </w:pPr>
      <w:r>
        <w:rPr>
          <w:noProof/>
        </w:rPr>
        <w:t>Η Επιτροπή διέθεσε πάνω από 105 εκατ. EUR ανταποκρινόμενη στις εκτεταμένες ανθρωπιστικές ανάγκες στις πληγείσες χώρες. Χρησιμοποιήθηκαν σημαντικά κεφάλαια για την παροχή επισιτιστικής βοήθειας, βασικής υγειονομικής περίθαλψης, νερού και αποχέτευσης, στέγης και ειδών οικιακής χρήσης για εκτοπισμένους στο εσωτερικό της χώρας, πρόσφυγες και ευάλωτες κοινότητες υποδοχής. Η διάσκεψη στο Βερολίνο για την περιοχή της Λίμνης Τσαντ τον Σεπτέμβριο του 2018 προσέφερε την ευκαιρία ανανέωσης της διεθνούς δέσμευσης για τη στήριξη των χωρών της Λίμνης Τσαντ. Στη συνέχεια η ΕΕ ανακοίνωσε χρηματοδότηση ύψους 138 εκατ. EUR, η οποία συνδυάζει ανθρωπιστική και αναπτυξιακή βοήθεια.</w:t>
      </w:r>
    </w:p>
    <w:p>
      <w:pPr>
        <w:spacing w:after="240" w:line="276" w:lineRule="auto"/>
        <w:jc w:val="both"/>
        <w:rPr>
          <w:b/>
          <w:noProof/>
        </w:rPr>
      </w:pPr>
      <w:r>
        <w:rPr>
          <w:b/>
          <w:noProof/>
        </w:rPr>
        <w:t>Περιφερειακή κρίση στην Κεντροαφρικανική Δημοκρατία</w:t>
      </w:r>
    </w:p>
    <w:p>
      <w:pPr>
        <w:spacing w:after="240" w:line="276" w:lineRule="auto"/>
        <w:jc w:val="both"/>
        <w:rPr>
          <w:noProof/>
        </w:rPr>
      </w:pPr>
      <w:r>
        <w:rPr>
          <w:noProof/>
        </w:rPr>
        <w:t xml:space="preserve">Η κατάσταση συνέχισε να επιδεινώνεται, με αυξημένη εξάπλωση στις γειτονικές χώρες. Εντάθηκαν οι συρράξεις μεταξύ ενόπλων ομάδων και οι επιθέσεις κατά μελών ανθρωπιστικών οργανώσεων. Περισσότερο από το ήμισυ του πληθυσμού της Κεντροαφρικανικής Δημοκρατίας (περίπου 2,5 εκατομμύρια άνθρωποι) χρειαζόταν ανθρωπιστική βοήθεια. Σχεδόν 2 εκατομμύρια πλήττονταν από επισιτιστική ανασφάλεια οξείας μορφής και τα δύο τρίτα του πληθυσμού δεν είχαν πρόσβαση σε βασική υγειονομική περίθαλψη. Κατά προσέγγιση ένας στους τέσσερις πολίτες  εκτοπίστηκε με τη βία, είτε στο εσωτερικό της χώρας είτε σε γειτονικές χώρες (Καμερούν, Τσαντ και Λαϊκή Δημοκρατία του Κονγκό). </w:t>
      </w:r>
    </w:p>
    <w:p>
      <w:pPr>
        <w:spacing w:after="240" w:line="276" w:lineRule="auto"/>
        <w:jc w:val="both"/>
        <w:rPr>
          <w:noProof/>
        </w:rPr>
      </w:pPr>
      <w:r>
        <w:rPr>
          <w:noProof/>
        </w:rPr>
        <w:t>Η Επιτροπή διέθεσε πάνω από 33 εκατ. EUR για ανθρωπιστική βοήθεια στην κρίση. Η βοήθεια περιλάμβανε στήριξη σε πληθυσμούς που πλήττονται από συγκρούσεις στην Κεντροαφρικανική Δημοκρατία, καθώς και σε πρόσφυγες στις γειτονικές χώρες.</w:t>
      </w:r>
    </w:p>
    <w:p>
      <w:pPr>
        <w:spacing w:after="240" w:line="276" w:lineRule="auto"/>
        <w:jc w:val="both"/>
        <w:rPr>
          <w:b/>
          <w:noProof/>
        </w:rPr>
      </w:pPr>
      <w:r>
        <w:rPr>
          <w:b/>
          <w:noProof/>
        </w:rPr>
        <w:t>Λαϊκή Δημοκρατία του Κονγκό</w:t>
      </w:r>
    </w:p>
    <w:p>
      <w:pPr>
        <w:spacing w:after="240" w:line="276" w:lineRule="auto"/>
        <w:jc w:val="both"/>
        <w:rPr>
          <w:noProof/>
          <w:color w:val="auto"/>
        </w:rPr>
      </w:pPr>
      <w:r>
        <w:rPr>
          <w:noProof/>
          <w:color w:val="auto"/>
        </w:rPr>
        <w:t>Η ανθρωπιστική κατάσταση συνέχισε να επιδεινώνεται, καθώς οι πληθυσμοί πλήττονταν από τις συνεχιζόμενες συγκρούσεις, τον αναγκαστικό εκτοπισμό και την ασταθή πολιτική κατάσταση. Η 10η και μεγαλύτερη επιδημία του ιού Έμπολα στη Λαϊκή Δημοκρατία του Κονγκό διαπιστώθηκε τον Αύγουστο του 2018. Ήταν η πρώτη που εκδηλωνόταν σε περιοχή  πληττόμενη από συγκρούσεις, θέτοντας εμπόδια στην αντιμετώπισή της, καθώς η αντίσταση της τοπικής κοινότητας ήταν βίαιη και ο κίνδυνος εξάπλωσης στην περιοχή μεγάλος. Επιπλέον, περισσότεροι από 13 εκατομμύρια άνθρωποι υπέφεραν από επισιτιστική ανασφάλεια στη Λαϊκή Δημοκρατία του Κονγκό, αριθμός διπλάσιος σε σχέση με το 2017. Περίπου 4,5 εκατομμύρια άνθρωποι εκτοπίστηκαν αναγκαστικά τα προηγούμενα χρόνια και άλλοι 800 000 Κονγκολέζοι αναζήτησαν καταφύγιο σε γειτονικές χώρες.</w:t>
      </w:r>
    </w:p>
    <w:p>
      <w:pPr>
        <w:spacing w:after="240" w:line="276" w:lineRule="auto"/>
        <w:jc w:val="both"/>
        <w:rPr>
          <w:noProof/>
          <w:color w:val="auto"/>
        </w:rPr>
      </w:pPr>
      <w:r>
        <w:rPr>
          <w:noProof/>
          <w:color w:val="auto"/>
        </w:rPr>
        <w:t xml:space="preserve">Η χρηματοδότηση της ΕΕ ανήλθε σε πάνω από 80 εκατ. EUR, με έμφαση στη βοήθεια ζωτικής σημασίας και στην υλικοτεχνική υποστήριξη μέσω των ανθρωπιστικών αεροπορικών υπηρεσιών της. Όσον αφορά την αντιμετώπιση του ιού Έμπολα, η ΕΕ συνεργάστηκε στενά με την κυβέρνηση της Λαϊκής Δημοκρατίας του Κονγκό και βασικούς εταίρους, παρέχοντας τεχνική εμπειρογνωσία, υλικοτεχνική υποστήριξη και πράξεις χρηματοδότησης, και σε γειτονικές χώρες. </w:t>
      </w:r>
    </w:p>
    <w:p>
      <w:pPr>
        <w:spacing w:after="240" w:line="276" w:lineRule="auto"/>
        <w:jc w:val="both"/>
        <w:rPr>
          <w:b/>
          <w:noProof/>
        </w:rPr>
      </w:pPr>
      <w:r>
        <w:rPr>
          <w:b/>
          <w:noProof/>
        </w:rPr>
        <w:t>Σομαλία</w:t>
      </w:r>
    </w:p>
    <w:p>
      <w:pPr>
        <w:spacing w:after="240" w:line="276" w:lineRule="auto"/>
        <w:jc w:val="both"/>
        <w:rPr>
          <w:bCs/>
          <w:noProof/>
          <w:color w:val="auto"/>
        </w:rPr>
      </w:pPr>
      <w:r>
        <w:rPr>
          <w:bCs/>
          <w:noProof/>
          <w:color w:val="auto"/>
        </w:rPr>
        <w:t xml:space="preserve">Οι ανθρωπιστικές ανάγκες παρέμειναν σε υψηλά επίπεδα εξαιτίας της έντονης ξηρασίας και των συνεχιζόμενων ένοπλων συγκρούσεων. Η επισιτιστική ασφάλεια και η διατροφική κατάσταση παρέμειναν σε κρίσιμα επίπεδα με 6,2 εκατομμύρια ανθρώπους —τον μισό πληθυσμό— να χρειάζονται ανθρωπιστική βοήθεια. Σε αυτό τον αριθμό περιλαμβάνονταν 2,6 εκατομμύρια εσωτερικά εκτοπισμένα άτομα που ζούσαν σε πυκνοκατοικημένους οικισμούς και ήταν εκτεθειμένα σε κινδύνους·, εξ αυτών 300 000 άνθρωποι είχαν εκδιωχθεί βίαια από δημόσια περιουσία σε αστικές περιοχές. </w:t>
      </w:r>
    </w:p>
    <w:p>
      <w:pPr>
        <w:spacing w:after="240" w:line="276" w:lineRule="auto"/>
        <w:jc w:val="both"/>
        <w:rPr>
          <w:bCs/>
          <w:noProof/>
          <w:color w:val="auto"/>
        </w:rPr>
      </w:pPr>
      <w:r>
        <w:rPr>
          <w:bCs/>
          <w:noProof/>
          <w:color w:val="auto"/>
        </w:rPr>
        <w:t>Η χορήγηση 89 εκατ. EUR από την ΕΕ έδωσε τη δυνατότητα σε εταίρους να παράσχουν βοήθεια ζωτικής σημασίας υπό μορφή χρημάτων, υγειονομικής και διατροφικής φροντίδας, στέγης, νερού, αποχέτευσης και εγκαταστάσεων υγιεινής. Με την ανθρωπιστική βοήθεια και τις ευνοϊκές βροχοπτώσεις, ο αριθμός των ανθρώπων με σοβαρή επισιτιστική ανασφάλεια μειώθηκε κατά 54 % από το 2017 έως το 2018. Λήφθηκαν πρωτοβουλίες για τη μετάβαση από την αντιμετώπιση έκτακτης ανάγκης σε ένα δίχτυ ασφαλείας προβλέψιμο και ικανό για την αντιμετώπιση κλυδωνισμών, σε συνεργασία με χορηγούς αναπτυξιακής βοήθειας. Η ανθρωπιστική κατάσταση παραμένει εύθραυστη και οι ανάγκες υπερβαίνουν τα πριν από την κρίση επίπεδα προ διετίας.</w:t>
      </w:r>
    </w:p>
    <w:p>
      <w:pPr>
        <w:spacing w:after="240" w:line="276" w:lineRule="auto"/>
        <w:jc w:val="both"/>
        <w:rPr>
          <w:b/>
          <w:noProof/>
        </w:rPr>
      </w:pPr>
      <w:r>
        <w:rPr>
          <w:b/>
          <w:noProof/>
        </w:rPr>
        <w:t>Αιθιοπία</w:t>
      </w:r>
    </w:p>
    <w:p>
      <w:pPr>
        <w:spacing w:after="240" w:line="276" w:lineRule="auto"/>
        <w:jc w:val="both"/>
        <w:rPr>
          <w:noProof/>
          <w:color w:val="auto"/>
        </w:rPr>
      </w:pPr>
      <w:r>
        <w:rPr>
          <w:noProof/>
          <w:color w:val="auto"/>
        </w:rPr>
        <w:t xml:space="preserve">Από το 2017 η διεθνοτική βία είχε ως αποτέλεσμα 3 εκατομμύρια εσωτερικά εκτοπισμένα άτομα. Με μια πολιτική ανοίγματος, η Αιθιοπία υποδέχτηκε έναν από τους μεγαλύτερους αριθμούς προσφύγων στην Αφρική: πάνω από 900 000 πρόσφυγες από το Νότιο Σουδάν, τη Σομαλία και την Ερυθραία. Οι ανθρωπιστικοί φορείς ανησυχούσαν για την έλλειψη επαρκούς βοήθειας στις νέες αυτές αφίξεις, κάτι το οποίο οδήγησε σε πολύ υψηλά ποσοστά υποσιτισμού. </w:t>
      </w:r>
    </w:p>
    <w:p>
      <w:pPr>
        <w:spacing w:after="240" w:line="276" w:lineRule="auto"/>
        <w:jc w:val="both"/>
        <w:rPr>
          <w:noProof/>
          <w:color w:val="auto"/>
        </w:rPr>
      </w:pPr>
      <w:r>
        <w:rPr>
          <w:noProof/>
          <w:color w:val="auto"/>
        </w:rPr>
        <w:t>Το 2018 η Επιτροπή συνεισέφερε 63 εκατ. EUR για την αντιμετώπιση των αναγκών των ανθρώπων που πλήττονταν από την κρίση στην Αιθιοπία. Σε συνεργασία με εταίρους, η ΕΕ χορήγησε βοήθεια σε πρόσφυγες από το Νότιο Σουδάν και την Ερυθραία εξασφαλίζοντάς τους τρόφιμα, στέγη, βασικά είδη οικιακής χρήσης, θεραπεία υποσιτισμού, νερό και αποχέτευση. Το μεγαλύτερο μερίδιο της χρηματοδότησης προορίστηκε για τους εσωτερικά εκτοπισμένους που έπρεπε να δραπετεύσουν από τη βία και την καταστροφή των σπιτιών και των μέσων βιοπορισμού τους.</w:t>
      </w:r>
    </w:p>
    <w:p>
      <w:pPr>
        <w:spacing w:after="240" w:line="276" w:lineRule="auto"/>
        <w:jc w:val="both"/>
        <w:rPr>
          <w:b/>
          <w:noProof/>
        </w:rPr>
      </w:pPr>
      <w:r>
        <w:rPr>
          <w:b/>
          <w:noProof/>
        </w:rPr>
        <w:t>Σουδάν</w:t>
      </w:r>
    </w:p>
    <w:p>
      <w:pPr>
        <w:spacing w:after="240" w:line="276" w:lineRule="auto"/>
        <w:jc w:val="both"/>
        <w:rPr>
          <w:noProof/>
          <w:color w:val="auto"/>
        </w:rPr>
      </w:pPr>
      <w:r>
        <w:rPr>
          <w:noProof/>
          <w:color w:val="auto"/>
        </w:rPr>
        <w:t>Η κοινωνικοοικονομική κρίση που ξεκίνησε στις αρχές του 2018 κατέληξε σε επιδείνωση της ανθρωπιστικής κατάστασης. Η ανεπαρκής πρόσβαση κυρίως σε τρόφιμα και υγειονομική περίθαλψη, σε συνδυασμό με αρνητικούς μηχανισμούς αντιμετώπισης, προκάλεσαν επίσης αυξημένες ανάγκες προστασίας. Πολλοί άνθρωποι αντιμετώπισαν επισιτιστική ανασφάλεια ήδη κατά την περίοδο συγκομιδής, η οποία επιδεινώθηκε κατά τη μη παραγωγική περίοδο πλήττοντας περίπου 6 εκατομμύρια άτομα, προκαλώντας υψηλή τρωτότητα και κρίσιμα επίπεδα σοβαρού υποσιτισμού οξείας μορφής. Οι αυξανόμενοι περιορισμοί στη φυσική πρόσβαση σε μετρητά δημιούργησαν επιπρόσθετα εμπόδια.</w:t>
      </w:r>
    </w:p>
    <w:p>
      <w:pPr>
        <w:spacing w:after="240" w:line="276" w:lineRule="auto"/>
        <w:jc w:val="both"/>
        <w:rPr>
          <w:noProof/>
          <w:color w:val="auto"/>
        </w:rPr>
      </w:pPr>
      <w:r>
        <w:rPr>
          <w:noProof/>
          <w:color w:val="auto"/>
        </w:rPr>
        <w:t>Η Επιτροπή, προκειμένου να ανταποκριθεί στις αυξανόμενες ανθρωπιστικές ανάγκες στο Σουδάν, διέθεσε 41 εκατ. EUR για να στηρίξει την αντιμετώπιση των πιο επιτακτικών αναγκών.</w:t>
      </w:r>
    </w:p>
    <w:p>
      <w:pPr>
        <w:spacing w:after="240" w:line="276" w:lineRule="auto"/>
        <w:jc w:val="both"/>
        <w:rPr>
          <w:b/>
          <w:noProof/>
        </w:rPr>
      </w:pPr>
      <w:r>
        <w:rPr>
          <w:b/>
          <w:noProof/>
        </w:rPr>
        <w:t>Βενεζουέλα</w:t>
      </w:r>
    </w:p>
    <w:p>
      <w:pPr>
        <w:widowControl/>
        <w:spacing w:after="240" w:line="276" w:lineRule="auto"/>
        <w:jc w:val="both"/>
        <w:rPr>
          <w:noProof/>
          <w:color w:val="auto"/>
        </w:rPr>
      </w:pPr>
      <w:r>
        <w:rPr>
          <w:noProof/>
          <w:color w:val="auto"/>
        </w:rPr>
        <w:t xml:space="preserve">Οι συνθήκες διαβίωσης του πληθυσμού επιδεινώθηκαν λόγω κοινωνικοοικονομικής και πολιτικής κρίσης. Η έλλειψη φαρμάκων, σε συνδυασμό με δραστική μείωση των ικανοτήτων του συστήματος υγείας, οδήγησε σε έλλειψη θεραπευτικής αγωγής για αυξανόμενο αριθμό ανθρώπων. Αρκετές μεγάλης έκτασης επιδημίες λοιμωδών νοσημάτων εκδηλώθηκαν ως αποτέλεσμα της διακοπής προγραμμάτων πρόληψης, της επιδείνωσης των υγειονομικών συνθηκών και των μειωμένων ποσοστών εμβολιασμού. Τα ποσοστά υποσιτισμού υπερέβησαν τα όρια έκτακτης ανάγκης σε πολλές περιοχές. Τα ποσοστά ανθρωποκτονιών και βίας συνέχισαν να είναι από τα υψηλότερα παγκοσμίως. Έως το τέλος του 2018, πάνω από 3,2 εκατομμύρια άνθρωποι είχαν εγκαταλείψει τη χώρα, κατευθυνόμενοι κυρίως προς την Κολομβία, το Περού, το Εκουαδόρ και τη Βραζιλία. </w:t>
      </w:r>
    </w:p>
    <w:p>
      <w:pPr>
        <w:widowControl/>
        <w:spacing w:after="240" w:line="276" w:lineRule="auto"/>
        <w:jc w:val="both"/>
        <w:rPr>
          <w:noProof/>
          <w:color w:val="auto"/>
        </w:rPr>
      </w:pPr>
      <w:r>
        <w:rPr>
          <w:noProof/>
          <w:color w:val="auto"/>
        </w:rPr>
        <w:t>Η ΕΕ διέθεσε συνολικά 32 εκατ. EUR για την παροχή κυρίως υγειονομικών και διατροφικών υπηρεσιών, νερού και αποχέτευσης, προστασίας, εκπαίδευσης σε καταστάσεις έκτακτης ανάγκης, καθώς και στήριξης των κοινοτήτων υποδοχής. Το ποσό αυτό περιλαμβάνει αύξηση ύψους 7 εκατ. EUR από το Ευρωπαϊκό Ταμείο Ανάπτυξης για τη στήριξη των πιεστικών ανθρωπιστικών αναγκών.</w:t>
      </w:r>
    </w:p>
    <w:p>
      <w:pPr>
        <w:spacing w:after="240" w:line="276" w:lineRule="auto"/>
        <w:jc w:val="both"/>
        <w:rPr>
          <w:b/>
          <w:noProof/>
        </w:rPr>
      </w:pPr>
      <w:r>
        <w:rPr>
          <w:b/>
          <w:noProof/>
        </w:rPr>
        <w:t xml:space="preserve">Κολομβία </w:t>
      </w:r>
    </w:p>
    <w:p>
      <w:pPr>
        <w:widowControl/>
        <w:spacing w:after="240" w:line="276" w:lineRule="auto"/>
        <w:jc w:val="both"/>
        <w:rPr>
          <w:noProof/>
          <w:color w:val="auto"/>
        </w:rPr>
      </w:pPr>
      <w:r>
        <w:rPr>
          <w:noProof/>
          <w:color w:val="auto"/>
        </w:rPr>
        <w:t xml:space="preserve">Οι ανθρωπιστικές ανάγκες αυξήθηκαν, ο σεβασμός του ΔΑΔ τέθηκε υπό αμφισβήτηση και η βία κατά αμάχων από ένοπλες ομάδες προκάλεσε εκτοπισμό πληθυσμών. Πάνω από 150 000 άνθρωποι εκτοπίστηκαν το 2018 και 1 εκατομμύριο υπέστη περιορισμό και εμπόδια στην κινητικότητα. Έως το τέλος του έτους, οι γειτονικές χώρες υποδέχτηκαν περίπου 300 000 Κολομβιανούς πρόσφυγες. Συγχρόνως, η κλιμάκωση της κρίσης στη Βενεζουέλα οδήγησε πολλούς ανθρώπους να καταφύγουν στην Κολομβία. Η χώρα διέτρεχε επίσης υψηλό κίνδυνο φυσικών καταστροφών και οι περιοχές που πλήττονται από συγκρούσεις παρείχαν μόνο περιορισμένη πρόσβαση σε φορείς παροχής πρώτων βοηθειών. </w:t>
      </w:r>
    </w:p>
    <w:p>
      <w:pPr>
        <w:widowControl/>
        <w:spacing w:after="240" w:line="276" w:lineRule="auto"/>
        <w:jc w:val="both"/>
        <w:rPr>
          <w:noProof/>
          <w:color w:val="auto"/>
        </w:rPr>
      </w:pPr>
      <w:r>
        <w:rPr>
          <w:noProof/>
          <w:color w:val="auto"/>
        </w:rPr>
        <w:t>Η Επιτροπή διέθεσε 8,56 εκατ. EUR προκειμένου να βοηθήσει τον πληθυσμό που πλήττεται από συγκρούσεις και να ενισχύσει την ικανότητα ετοιμότητας για την αντιμετώπιση καταστροφών. Οι τομείς βοήθειας περιλάμβαναν: προστασία, υγειονομική περίθαλψη, νερό και αποχέτευση για τις πιο ευάλωτες ομάδες, εκπαίδευση σε καταστάσεις έκτακτης ανάγκης, καθώς και ετοιμότητα για την αντιμετώπιση καταστροφών.</w:t>
      </w:r>
    </w:p>
    <w:p>
      <w:pPr>
        <w:spacing w:after="240" w:line="276" w:lineRule="auto"/>
        <w:jc w:val="both"/>
        <w:rPr>
          <w:b/>
          <w:noProof/>
        </w:rPr>
      </w:pPr>
      <w:r>
        <w:rPr>
          <w:b/>
          <w:noProof/>
        </w:rPr>
        <w:t xml:space="preserve">Αϊτή </w:t>
      </w:r>
    </w:p>
    <w:p>
      <w:pPr>
        <w:widowControl/>
        <w:spacing w:after="240" w:line="276" w:lineRule="auto"/>
        <w:jc w:val="both"/>
        <w:rPr>
          <w:noProof/>
          <w:color w:val="auto"/>
        </w:rPr>
      </w:pPr>
      <w:r>
        <w:rPr>
          <w:noProof/>
          <w:color w:val="auto"/>
        </w:rPr>
        <w:t xml:space="preserve">Η Αϊτή αντιμετώπισε σοβαρή επισιτιστική ανασφάλεια κατά τη διάρκεια του έτους, με πάνω από 1,3 εκατομμύριο. ανθρώπους σε οξεία επισιτιστική κρίση. Η συχνότητα υποσιτισμού οξείας μορφής σε παιδιά κάτω των πέντε ετών παρέμεινε υψηλή και πάνω από τα επίπεδα έκτακτης ανάγκης του ΠΟΥ σε αρκετές περιοχές. Δύο και πλέον χρόνια μετά τον τυφώνα Matthew, πάνω από 140 000 πληγέντα νοικοκυριά εξακολουθούσαν να μην έχουν πρόσβαση σε αντισεισμικά καταλύματα, ούτε σε νερό και αποχέτευση.  </w:t>
      </w:r>
    </w:p>
    <w:p>
      <w:pPr>
        <w:widowControl/>
        <w:spacing w:after="240" w:line="276" w:lineRule="auto"/>
        <w:jc w:val="both"/>
        <w:rPr>
          <w:noProof/>
          <w:color w:val="auto"/>
        </w:rPr>
      </w:pPr>
      <w:r>
        <w:rPr>
          <w:noProof/>
          <w:color w:val="auto"/>
        </w:rPr>
        <w:t>Το 2018 η ΕΕ δαπάνησε 12 εκατ. EUR για την οξεία επισιτιστική ανασφάλεια και τη στήριξη του συντονισμού ανθρωπιστικών επιχειρήσεων. Επιπλέον, επενδύθηκαν 3,4 εκατ. EUR σε πρωτοβουλίες ετοιμότητας για την αντιμετώπιση καταστροφών, τη στήριξη ικανοτήτων ταχείας αντίδρασης, τις τεχνικές κατασκευής καταλυμάτων ανθεκτικών σε καταστροφές και την ετοιμότητα για την αντιμετώπιση της ξηρασίας. Η ΕΕ χορήγησε επίσης μη επισιτιστικά είδη αξίας 200 000 EUR μετά τον σεισμό του Οκτωβρίου.</w:t>
      </w:r>
    </w:p>
    <w:p>
      <w:pPr>
        <w:spacing w:after="240" w:line="276" w:lineRule="auto"/>
        <w:jc w:val="both"/>
        <w:rPr>
          <w:b/>
          <w:noProof/>
        </w:rPr>
      </w:pPr>
      <w:r>
        <w:rPr>
          <w:b/>
          <w:noProof/>
        </w:rPr>
        <w:t>Αφγανιστάν</w:t>
      </w:r>
    </w:p>
    <w:p>
      <w:pPr>
        <w:spacing w:after="240" w:line="276" w:lineRule="auto"/>
        <w:jc w:val="both"/>
        <w:rPr>
          <w:noProof/>
          <w:color w:val="auto"/>
        </w:rPr>
      </w:pPr>
      <w:r>
        <w:rPr>
          <w:noProof/>
          <w:color w:val="auto"/>
        </w:rPr>
        <w:t xml:space="preserve">Η συνεχιζόμενη σύγκρουση, η οποία μπαίνει στον 18ο χρόνο, επέφερε αυξανόμενο αριθμό άμαχων θυμάτων και νέες εκτοπίσεις. Η χώρα επλήγη επίσης από σοβαρή ξηρασία με τεράστιες επιπτώσεις στη γεωργική παραγωγή, οι οποίες επηρέασαν πάνω από 13 εκατομμύρια ανθρώπους. Από τους 600 000 νέους εσωτερικά εκτοπισμένους και τους σχεδόν 820 000 πρόσφυγες (καταγεγραμμένους και μη) που επέστρεψαν από το Ιράν και το Πακιστάν το 2018, πολλοί ήταν εκείνοι που είχαν ανάγκη βοήθειας. Περίπου 13,5 εκατομμύρια άνθρωποι αντιμετώπιζαν κατάσταση επισιτιστικής ανασφάλειας,  6 εκατομμύρια περισσότεροι από το προηγούμενο έτος. </w:t>
      </w:r>
    </w:p>
    <w:p>
      <w:pPr>
        <w:spacing w:after="240" w:line="276" w:lineRule="auto"/>
        <w:jc w:val="both"/>
        <w:rPr>
          <w:noProof/>
          <w:color w:val="auto"/>
        </w:rPr>
      </w:pPr>
      <w:r>
        <w:rPr>
          <w:noProof/>
          <w:color w:val="auto"/>
        </w:rPr>
        <w:t>Η ΕΕ συνέχισε να παρέχει βοήθεια ζωτικής σημασίας μεταξύ άλλων και σε περιοχές που δεν υποστηρίζονται από άλλους φορείς, παρά τις απαιτητικές συνθήκες όσον αφορά την ασφάλεια. 46 εκατ. EUR διατέθηκαν το 2018 για τη στήριξη επιχειρήσεων αρωγής.</w:t>
      </w:r>
    </w:p>
    <w:p>
      <w:pPr>
        <w:spacing w:after="240" w:line="276" w:lineRule="auto"/>
        <w:jc w:val="both"/>
        <w:rPr>
          <w:b/>
          <w:noProof/>
        </w:rPr>
      </w:pPr>
      <w:r>
        <w:rPr>
          <w:b/>
          <w:noProof/>
        </w:rPr>
        <w:t xml:space="preserve">Η κρίση των Ροχίνγκια </w:t>
      </w:r>
    </w:p>
    <w:p>
      <w:pPr>
        <w:widowControl/>
        <w:spacing w:after="240" w:line="276" w:lineRule="auto"/>
        <w:jc w:val="both"/>
        <w:rPr>
          <w:noProof/>
          <w:color w:val="auto"/>
        </w:rPr>
      </w:pPr>
      <w:r>
        <w:rPr>
          <w:noProof/>
          <w:color w:val="auto"/>
        </w:rPr>
        <w:t xml:space="preserve">Μετά τους μαζικούς εκτοπισμούς το 2017, περίπου ένα εκατομμύριο ανιθαγενείς πρόσφυγες διέμεναν το 2018 στο Cox’s Bazar στο Μπανγκλαντές. Οι περισσότεροι έμεναν σε έναν υπερβολικά πυκνοκατοικημένο μεγάλο καταυλισμό και βασίζονταν αποκλειστικά στην ανθρωπιστική βοήθεια, χωρίς ελευθερία μετακίνησης και ευκαιρίες βιοπορισμού. Ο εκτοπισμός από τη Μιανμάρ σχεδόν τριπλασίασε τον συνολικό πληθυσμό του Cox’s Bazar, δημιουργώντας εντάσεις με τις τοπικές κοινότητες. </w:t>
      </w:r>
    </w:p>
    <w:p>
      <w:pPr>
        <w:widowControl/>
        <w:spacing w:after="240" w:line="276" w:lineRule="auto"/>
        <w:jc w:val="both"/>
        <w:rPr>
          <w:noProof/>
          <w:color w:val="auto"/>
        </w:rPr>
      </w:pPr>
      <w:r>
        <w:rPr>
          <w:noProof/>
          <w:color w:val="auto"/>
        </w:rPr>
        <w:t>Η ΕΕ παρείχε 46 εκατ. EUR σε ανθρωπιστική βοήθεια για την κρίση, τόσο στο Μπαγκλαντές όσο και στη Μιανμάρ, με τη μορφή βασικής υγειονομικής περίθαλψης, νερού, αποχέτευσης, στέγης, διατροφής, προστασίας, ψυχολογικής υποστήριξης και βοήθειας μείωσης των κινδύνων καταστροφών.</w:t>
      </w:r>
    </w:p>
    <w:p>
      <w:pPr>
        <w:pStyle w:val="Heading310"/>
        <w:keepNext/>
        <w:keepLines/>
        <w:shd w:val="clear" w:color="auto" w:fill="auto"/>
        <w:spacing w:after="240" w:line="276" w:lineRule="auto"/>
        <w:ind w:firstLine="0"/>
        <w:jc w:val="both"/>
        <w:rPr>
          <w:noProof/>
          <w:sz w:val="28"/>
          <w:u w:val="single"/>
        </w:rPr>
      </w:pPr>
    </w:p>
    <w:p>
      <w:pPr>
        <w:pStyle w:val="Heading310"/>
        <w:keepNext/>
        <w:keepLines/>
        <w:shd w:val="clear" w:color="auto" w:fill="auto"/>
        <w:spacing w:after="240" w:line="276" w:lineRule="auto"/>
        <w:ind w:firstLine="0"/>
        <w:jc w:val="both"/>
        <w:rPr>
          <w:noProof/>
          <w:sz w:val="28"/>
          <w:u w:val="single"/>
        </w:rPr>
      </w:pPr>
      <w:bookmarkStart w:id="8" w:name="_Toc29489603"/>
      <w:r>
        <w:rPr>
          <w:noProof/>
          <w:sz w:val="28"/>
          <w:u w:val="single"/>
        </w:rPr>
        <w:t>Οριζόντιες προτεραιότητες</w:t>
      </w:r>
      <w:bookmarkEnd w:id="8"/>
    </w:p>
    <w:p>
      <w:pPr>
        <w:spacing w:after="240" w:line="276" w:lineRule="auto"/>
        <w:jc w:val="both"/>
        <w:rPr>
          <w:b/>
          <w:noProof/>
        </w:rPr>
      </w:pPr>
      <w:r>
        <w:rPr>
          <w:b/>
          <w:noProof/>
        </w:rPr>
        <w:t>Εκπαίδευση σε καταστάσεις έκτακτης ανάγκης</w:t>
      </w:r>
    </w:p>
    <w:p>
      <w:pPr>
        <w:spacing w:after="240" w:line="276" w:lineRule="auto"/>
        <w:jc w:val="both"/>
        <w:rPr>
          <w:noProof/>
        </w:rPr>
      </w:pPr>
      <w:r>
        <w:rPr>
          <w:noProof/>
        </w:rPr>
        <w:t xml:space="preserve">Το 2018 η Ευρωπαϊκή Επιτροπή αφιέρωσε το 8,5 % του προϋπολογισμού της στον τομέα της ανθρωπιστικής βοήθειας σε δραστηριότητες εκπαίδευσης σε καταστάσεις έκτακτης ανάγκης σε 34 χώρες (ποσό ύψους 91,6 εκατ. EUR), υπερβαίνοντας έτσι τον στόχο του 8 % για το έτος. Το 2018 η Επιτροπή χορήγησε επίσης στην Ελλάδα 1,4 εκατ. EUR χρηματοδότησης στον τομέα της εκπαίδευσης σε καταστάσεις έκτακτης ανάγκης στο πλαίσιο του Μέσου Στήριξης Έκτακτης Ανάγκης. Από τη βοήθεια για την εκπαίδευση σε καταστάσεις έκτακτης ανάγκης επωφελήθηκαν 1,25 εκατ. δικαιούχοι, στους οποίους δόθηκε η δυνατότητα για σίγουρη πρόσβαση σε ασφαλή και ποιοτική εκπαίδευση στις πλέον ευάλωτες καταστάσεις. </w:t>
      </w:r>
    </w:p>
    <w:p>
      <w:pPr>
        <w:spacing w:after="240" w:line="276" w:lineRule="auto"/>
        <w:jc w:val="both"/>
        <w:rPr>
          <w:noProof/>
        </w:rPr>
      </w:pPr>
      <w:r>
        <w:rPr>
          <w:noProof/>
        </w:rPr>
        <w:t>Η Επιτροπή εξέδωσε επίσης ανακοίνωση για την εκπαίδευση σε καταστάσεις έκτακτης ανάγκης και παρατεταμένων κρίσεων</w:t>
      </w:r>
      <w:r>
        <w:rPr>
          <w:rStyle w:val="FootnoteReference"/>
          <w:noProof/>
          <w:lang w:val="en-GB"/>
        </w:rPr>
        <w:footnoteReference w:id="1"/>
      </w:r>
      <w:r>
        <w:rPr>
          <w:noProof/>
        </w:rPr>
        <w:t xml:space="preserve"> τον Μάιο του 2018. Το νέο πλαίσιο πολιτικής θα επιτρέψει στην ΕΕ να αξιοποιήσει πόρους με περισσότερο προβλέψιμο, ευέλικτο και αποτελεσματικό τρόπο με βάση μια ολιστική και συντονισμένη προσέγγιση της σύνδεσης μεταξύ ανθρωπιστικής βοήθειας και ανάπτυξης και σαφείς στρατηγικές προτεραιότητες. Τα κράτη μέλη της ΕΕ ενέκριναν το πλαίσιο πολιτικής μέσω των συμπερασμάτων του Συμβουλίου</w:t>
      </w:r>
      <w:r>
        <w:rPr>
          <w:rStyle w:val="FootnoteReference"/>
          <w:noProof/>
          <w:lang w:val="en-GB"/>
        </w:rPr>
        <w:footnoteReference w:id="2"/>
      </w:r>
      <w:r>
        <w:rPr>
          <w:noProof/>
        </w:rPr>
        <w:t xml:space="preserve"> τα οποία εκδόθηκαν τον Νοέμβριο του 2018.</w:t>
      </w:r>
    </w:p>
    <w:p>
      <w:pPr>
        <w:spacing w:after="240" w:line="276" w:lineRule="auto"/>
        <w:jc w:val="both"/>
        <w:rPr>
          <w:b/>
          <w:noProof/>
        </w:rPr>
      </w:pPr>
      <w:r>
        <w:rPr>
          <w:b/>
          <w:noProof/>
        </w:rPr>
        <w:t>Χρηματική ενίσχυση</w:t>
      </w:r>
    </w:p>
    <w:p>
      <w:pPr>
        <w:spacing w:after="240" w:line="276" w:lineRule="auto"/>
        <w:jc w:val="both"/>
        <w:rPr>
          <w:noProof/>
        </w:rPr>
      </w:pPr>
      <w:r>
        <w:rPr>
          <w:noProof/>
        </w:rPr>
        <w:t>Οι μεταφορές χρημάτων συχνά είναι πιο αποτελεσματικές και οικονομικά αποδοτικές από άλλες μορφές ενίσχυσης, όπως αναγνωρίστηκε από τη διεθνή κοινότητα κατά την Παγκόσμια Ανθρωπιστική Διάσκεψη Κορυφής και τη Μεγάλη Συμφωνία, και όπως επαναβεβαιώθηκε στο καθοδηγητικό σημείωμα για τις μεταφορές μετρητών (Νοέμβριος 2017). Με μειωμένο κόστος συναλλαγών, η βοήθεια φτάνει απευθείας στους δικαιούχους και έχει τον μέγιστο αντίκτυπο με  συμφέροντα από οικονομική άποψη τρόπο. Επιπλέον, οι μεταφορές χρημάτων στηρίζουν τις τοπικές αγορές και θέτουν τα θεμέλια για την ανάκαμψη και την ανθεκτικότητα των κοινοτήτων.</w:t>
      </w:r>
    </w:p>
    <w:p>
      <w:pPr>
        <w:spacing w:after="240" w:line="276" w:lineRule="auto"/>
        <w:jc w:val="both"/>
        <w:rPr>
          <w:noProof/>
        </w:rPr>
      </w:pPr>
      <w:r>
        <w:rPr>
          <w:noProof/>
        </w:rPr>
        <w:t xml:space="preserve">Η Ευρωπαϊκή Επιτροπή αξιοποίησε επιτυχώς όλες τις ευκαιρίες για  αύξηση της χρήσης μετρητών σε επιχειρήσεις στην Τουρκία, την Ελλάδα, τη Σομαλία, τον Λίβανο, την Ιορδανία, το Αφγανιστάν και το Ιράκ. </w:t>
      </w:r>
    </w:p>
    <w:p>
      <w:pPr>
        <w:spacing w:after="240" w:line="276" w:lineRule="auto"/>
        <w:jc w:val="both"/>
        <w:rPr>
          <w:b/>
          <w:noProof/>
        </w:rPr>
      </w:pPr>
      <w:r>
        <w:rPr>
          <w:b/>
          <w:noProof/>
        </w:rPr>
        <w:t>Καινοτομία και δέσμευση του ιδιωτικού τομέα</w:t>
      </w:r>
    </w:p>
    <w:p>
      <w:pPr>
        <w:spacing w:after="240" w:line="276" w:lineRule="auto"/>
        <w:jc w:val="both"/>
        <w:rPr>
          <w:noProof/>
        </w:rPr>
      </w:pPr>
      <w:r>
        <w:rPr>
          <w:noProof/>
        </w:rPr>
        <w:t xml:space="preserve">Το 2018 η Επιτροπή συμμετείχε στην παγκόσμια συζήτηση σχετικά με την καινοτομία στον τομέα της ανθρωπιστικής βοήθειας και τη δέσμευση του ιδιωτικού τομέα, κυρίως στην ετήσια συνάντηση του Παγκόσμιου Οικονομικού Φόρουμ, στο τμήμα ανθρωπιστικών υποθέσεων του Οικονομικού και Κοινωνικού Συμβουλίου (ECOSOC) και στη Γενική Συνέλευση των Ηνωμένων Εθνών. </w:t>
      </w:r>
    </w:p>
    <w:p>
      <w:pPr>
        <w:spacing w:after="240" w:line="276" w:lineRule="auto"/>
        <w:jc w:val="both"/>
        <w:rPr>
          <w:noProof/>
        </w:rPr>
      </w:pPr>
      <w:r>
        <w:rPr>
          <w:noProof/>
        </w:rPr>
        <w:t>Η Επιτροπή συνέχισε να υποστηρίζει την ανάπτυξη καινοτόμων προσεγγίσεων, αξιοποιώντας τις ευκαιρίες που προσφέρουν τα προγράμματα της ΕΕ για έρευνα και καινοτομία. Για παράδειγμα, το 2018 δρομολογήθηκαν τρία βραβεία του προγράμματος «Ορίζων 2020» του Ευρωπαϊκού Συμβουλίου Καινοτομίας που έχουν άμεση συνάφεια με τον ανθρωπιστικό τομέα: για την οικονομικά προσιτή τεχνολογία αιχμής στον τομέα της ανθρωπιστικής βοήθειας (Affordable High-Tech for Humanitarian Aid), για τα συστήματα έγκαιρης προειδοποίησης για επιδημίες (Early Warning for Epidemics) και για την τεχνολογία blockchain για κοινωνικά αγαθά (Blockchains for Social Good).</w:t>
      </w:r>
    </w:p>
    <w:p>
      <w:pPr>
        <w:spacing w:after="240" w:line="276" w:lineRule="auto"/>
        <w:jc w:val="both"/>
        <w:rPr>
          <w:b/>
          <w:noProof/>
        </w:rPr>
      </w:pPr>
    </w:p>
    <w:p>
      <w:pPr>
        <w:spacing w:after="240" w:line="276" w:lineRule="auto"/>
        <w:jc w:val="both"/>
        <w:rPr>
          <w:b/>
          <w:noProof/>
        </w:rPr>
      </w:pPr>
      <w:r>
        <w:rPr>
          <w:b/>
          <w:noProof/>
        </w:rPr>
        <w:t>Η ΕΕ επικεφαλής στην πρόσκληση για ανάληψη δράσης για την προστασία από τη σεξουαλική και την έμφυλη βία σε περιπτώσεις έκτακτης ανάγκης</w:t>
      </w:r>
    </w:p>
    <w:p>
      <w:pPr>
        <w:spacing w:after="240" w:line="276" w:lineRule="auto"/>
        <w:jc w:val="both"/>
        <w:rPr>
          <w:noProof/>
        </w:rPr>
      </w:pPr>
      <w:r>
        <w:rPr>
          <w:noProof/>
        </w:rPr>
        <w:t xml:space="preserve">Από τον Ιούνιο του 2017 έως τον Δεκέμβριο του 2018, η Επιτροπή ανέλαβε επικεφαλής της παγκόσμιας ανθρωπιστικής πρωτοβουλίας «Πρόσκληση για ανάληψη δράσης για την προστασία από τη σεξουαλική και την έμφυλη βία σε περιπτώσεις έκτακτης ανάγκης». Η παγκόσμια πρωτοβουλία συγκεντρώνει 82 εταίρους (κράτη, χορηγούς, διεθνείς οργανισμούς και ΜΚΟ), αποσκοπώντας στην προώθηση της αλλαγής και της λογοδοσίας στο ανθρωπιστικό σύστημα για να αντιμετωπίζεται η σεξουαλική και η έμφυλη βία από τα πρώιμα στάδια μιας κρίσης. Η Επιτροπή δραστηριοποιείται σε αυτή την πρωτοβουλία από τη δημιουργία της (2013) και έγινε ο παγκόσμιος ηγέτης της τον Ιούνιο του 2017. </w:t>
      </w:r>
    </w:p>
    <w:p>
      <w:pPr>
        <w:spacing w:after="240" w:line="276" w:lineRule="auto"/>
        <w:jc w:val="both"/>
        <w:rPr>
          <w:noProof/>
        </w:rPr>
      </w:pPr>
      <w:r>
        <w:rPr>
          <w:noProof/>
        </w:rPr>
        <w:t>Καθ’ όλη τη διάρκεια του 2017 και του 2018, η Ευρωπαϊκή Επιτροπή διέθεσε περίπου 62 εκατ. EUR για ανθρωπιστική βοήθεια για την πρόληψη και την αντιμετώπιση της σεξουαλικής και έμφυλης βίας παγκοσμίως.</w:t>
      </w:r>
    </w:p>
    <w:p>
      <w:pPr>
        <w:spacing w:after="240" w:line="276" w:lineRule="auto"/>
        <w:jc w:val="both"/>
        <w:rPr>
          <w:b/>
          <w:noProof/>
        </w:rPr>
      </w:pPr>
      <w:r>
        <w:rPr>
          <w:b/>
          <w:noProof/>
        </w:rPr>
        <w:t>ECHO Flight (Αφρική) και στήριξη των ανθρωπιστικών υπηρεσιών αεροπορικής μεταφοράς</w:t>
      </w:r>
    </w:p>
    <w:p>
      <w:pPr>
        <w:spacing w:after="240" w:line="276" w:lineRule="auto"/>
        <w:jc w:val="both"/>
        <w:rPr>
          <w:rFonts w:cs="Roboto-Regular"/>
          <w:noProof/>
        </w:rPr>
      </w:pPr>
      <w:r>
        <w:rPr>
          <w:noProof/>
        </w:rPr>
        <w:t xml:space="preserve">Οι ανθρωπιστικές αεροπορικές υπηρεσίες είναι σημαντικές για την προσέγγιση των πληθυσμών που χρήζουν βοήθειας, όταν οι υποδομές δεν είναι αξιόπιστες. Εκτός από τη μεταφορά ανθρωπιστικής βοήθειας και εργαζομένων, οι ανθρωπιστικές αεροπορικές υπηρεσίες πραγματοποιούν ιατρικές εκκενώσεις και εκκενώσεις για λόγους ασφαλείας. </w:t>
      </w:r>
    </w:p>
    <w:p>
      <w:pPr>
        <w:spacing w:after="240" w:line="276" w:lineRule="auto"/>
        <w:jc w:val="both"/>
        <w:rPr>
          <w:rFonts w:cs="Roboto-Regular"/>
          <w:noProof/>
        </w:rPr>
      </w:pPr>
      <w:r>
        <w:rPr>
          <w:noProof/>
        </w:rPr>
        <w:t>Η Επιτροπή έχει τη δική της ανθρωπιστική αεροπορική υπηρεσία, την «ECHO Flight», με κόμβους στην Κένυα, την Ουγκάντα, τη Λαϊκή Δημοκρατία του Κονγκό και το Μάλι. Το 2018 η υπηρεσία, με έξι αεροσκάφη, υποστήριξε το προσωπικό ανθρωπιστικής βοήθειας σε περισσότερα από 250 έργα, μετέφερε 26 176 εργαζομένους ανθρωπιστικών οργανώσεων και 230 τόνους εμπορευμάτων. Ο προϋπολογισμός της ECHO Flight ανερχόταν σε 14,6 εκατ. EUR και η υπηρεσία παρεχόταν δωρεάν για εταίρους και ανθρωπιστικές οργανώσεις.</w:t>
      </w:r>
    </w:p>
    <w:p>
      <w:pPr>
        <w:spacing w:after="240" w:line="276" w:lineRule="auto"/>
        <w:jc w:val="both"/>
        <w:rPr>
          <w:rFonts w:cs="Roboto-Regular"/>
          <w:noProof/>
        </w:rPr>
      </w:pPr>
      <w:r>
        <w:rPr>
          <w:noProof/>
        </w:rPr>
        <w:t>Η Επιτροπή υποστήριξε και άλλες μη κερδοσκοπικές αεροπορικές ανθρωπιστικές υπηρεσίες. Το 2018 συνεισέφερε 24,5 εκατ. EUR στο ΠΠΤ/Ανθρωπιστική Αεροπορική Υπηρεσία των Ηνωμένων Εθνών και 750 000 EUR στις επιχειρήσεις του Mission Aviation Fellowship στο Αφγανιστάν.</w:t>
      </w:r>
    </w:p>
    <w:p>
      <w:pPr>
        <w:pStyle w:val="Heading310"/>
        <w:spacing w:after="240" w:line="276" w:lineRule="auto"/>
        <w:ind w:firstLine="0"/>
        <w:jc w:val="left"/>
        <w:rPr>
          <w:noProof/>
          <w:sz w:val="28"/>
          <w:u w:val="single"/>
        </w:rPr>
      </w:pPr>
      <w:bookmarkStart w:id="9" w:name="_Toc29489604"/>
      <w:r>
        <w:rPr>
          <w:noProof/>
          <w:sz w:val="28"/>
          <w:u w:val="single"/>
        </w:rPr>
        <w:t>Σύνοψη αξιολογήσεων που ολοκληρώθηκαν το 2018</w:t>
      </w:r>
      <w:bookmarkEnd w:id="9"/>
    </w:p>
    <w:p>
      <w:pPr>
        <w:spacing w:after="240" w:line="276" w:lineRule="auto"/>
        <w:jc w:val="both"/>
        <w:rPr>
          <w:b/>
          <w:noProof/>
        </w:rPr>
      </w:pPr>
      <w:hyperlink r:id="rId22" w:history="1">
        <w:r>
          <w:rPr>
            <w:rStyle w:val="Hyperlink"/>
            <w:noProof/>
          </w:rPr>
          <w:t>Συνολική αξιολόγηση της ανθρωπιστικής βοήθειας της ΕΕ, 2012-2016</w:t>
        </w:r>
      </w:hyperlink>
    </w:p>
    <w:p>
      <w:pPr>
        <w:spacing w:after="240" w:line="276" w:lineRule="auto"/>
        <w:jc w:val="both"/>
        <w:rPr>
          <w:noProof/>
        </w:rPr>
      </w:pPr>
      <w:r>
        <w:rPr>
          <w:noProof/>
        </w:rPr>
        <w:t xml:space="preserve">Από την αξιολόγηση προέκυψε ότι η ΕΕ είναι χορηγός βάσει αρχών και αναγκών με μοναδικά χαρακτηριστικά, όπως η προσέγγισή της όσον αφορά τις εταιρικές σχέσεις, το επιτόπιο δίκτυο της και οι συνεισφορές της στη διαμόρφωση του ανθρωπιστικού συστήματος.  Τα κονδύλια του προϋπολογισμού κρίθηκε ότι είναι κατάλληλα για την αντιμετώπιση των αναγκών στοχευμένων πληθυσμών και των στόχων ανθρωπιστικής βοήθειας, καθώς και ότι βασίζονται σε ολοκληρωμένες και αξιόπιστες εκτιμήσεις αναγκών. Εν γένει, οι δράσεις αξιολογήθηκαν ως οικονομικά αποδοτικές. </w:t>
      </w:r>
    </w:p>
    <w:p>
      <w:pPr>
        <w:spacing w:after="240" w:line="276" w:lineRule="auto"/>
        <w:jc w:val="both"/>
        <w:rPr>
          <w:noProof/>
        </w:rPr>
      </w:pPr>
      <w:r>
        <w:rPr>
          <w:noProof/>
        </w:rPr>
        <w:t>Στους τομείς που χρήζουν βελτίωσης περιλαμβάνονται τα εξής: ανάπτυξη μιας περισσότερο προγραμματικής προσέγγισης για τις εταιρικές σχέσεις μεταξύ της ΕΕ και των εταίρων της· αύξηση της συμμετοχής τοπικών εταίρων υλοποίησης· κλιμάκωση των επιτυχημένων καινοτόμων προσεγγίσεων και βελτίωση της υποβολής εκθέσεων· προώθηση συνεργειών με δραστηριότητες πολιτικής προστασίας· και καλύτερη διάδοση της φιλοσοφίας των στρατηγικών κατευθύνσεων της ΕΕ.</w:t>
      </w:r>
    </w:p>
    <w:p>
      <w:pPr>
        <w:spacing w:after="240" w:line="276" w:lineRule="auto"/>
        <w:jc w:val="both"/>
        <w:rPr>
          <w:noProof/>
        </w:rPr>
      </w:pPr>
    </w:p>
    <w:p>
      <w:pPr>
        <w:spacing w:after="240" w:line="276" w:lineRule="auto"/>
        <w:jc w:val="both"/>
        <w:rPr>
          <w:b/>
          <w:noProof/>
          <w:u w:val="single"/>
        </w:rPr>
      </w:pPr>
      <w:hyperlink r:id="rId23" w:history="1">
        <w:r>
          <w:rPr>
            <w:rStyle w:val="Hyperlink"/>
            <w:noProof/>
          </w:rPr>
          <w:t>Αξιολόγηση της ανθρωπιστικής υλικοτεχνικής υποστήριξης στο πλαίσιο της δράσης πολιτικής προστασίας και της ανθρωπιστικής δράσης της ΕΕ, 2013-2017</w:t>
        </w:r>
      </w:hyperlink>
    </w:p>
    <w:p>
      <w:pPr>
        <w:spacing w:after="240" w:line="276" w:lineRule="auto"/>
        <w:jc w:val="both"/>
        <w:rPr>
          <w:noProof/>
        </w:rPr>
      </w:pPr>
      <w:r>
        <w:rPr>
          <w:noProof/>
        </w:rPr>
        <w:t>Η αξιολόγηση κάλυψε τις επενδύσεις της Επιτροπής στις ανθρωπιστικές αεροπορικές υπηρεσίες, πρωτοβουλίες βελτίωσης συστημάτων ανθρωπιστικής υλικοτεχνικής υποστήριξης και τη χρηματοδότηση για τα υλικοτεχνικά στοιχεία των έργων της Επιτροπής. Κατέληξε στο συμπέρασμα ότι οι επενδύσεις της Επιτροπής σε κέντρα υλικοτεχνικής υποστήριξης και στην κατάρτιση, καθώς και η υποστήριξη της Επιτροπής στην ανάπτυξη της Παγκόσμιας Ομάδας για την Υλικοτεχνική Υποστήριξη (Global Logistics Cluster), είχαν μακροπρόθεσμα οφέλη. Επιπλέον, η στήριξη προς τις αεροπορικές υπηρεσίες παραμένει ιδιαίτερα σημαντική.</w:t>
      </w:r>
    </w:p>
    <w:p>
      <w:pPr>
        <w:spacing w:after="240" w:line="276" w:lineRule="auto"/>
        <w:jc w:val="both"/>
        <w:rPr>
          <w:noProof/>
        </w:rPr>
      </w:pPr>
      <w:r>
        <w:rPr>
          <w:noProof/>
        </w:rPr>
        <w:t>Η αξιολόγηση συνέστησε  να αναπτύξει η Επιτροπή μια ανθρωπιστική πολιτική υλικοτεχνικής υποστήριξης και να επικεντρώνεται περισσότερο στην υλικοτεχνική υποστήριξη με συμφωνίες εταιρικής σχέσης, αξιολόγηση των κρίσεων και εργαλεία σχεδιασμού. Επίσης, πρότεινε τρόπους περαιτέρω προώθησης της πρωτοπορίας στον τομέα της υλικοτεχνικής υποστήριξης, της συνεργασίας με άλλους ανθρωπιστικούς φορείς για την επίτευξη μεγαλύτερης αποτελεσματικότητας και τη βελτίωση των αποτελεσμάτων.</w:t>
      </w:r>
    </w:p>
    <w:p>
      <w:pPr>
        <w:spacing w:after="240" w:line="276" w:lineRule="auto"/>
        <w:jc w:val="both"/>
        <w:rPr>
          <w:b/>
          <w:noProof/>
          <w:u w:val="single"/>
        </w:rPr>
      </w:pPr>
      <w:hyperlink r:id="rId24" w:history="1">
        <w:r>
          <w:rPr>
            <w:rStyle w:val="Hyperlink"/>
            <w:noProof/>
          </w:rPr>
          <w:t>Αξιολόγηση της παρέμβασης ανθρωπιστικής βοήθειας της ΕΕ στην περιοχή των Μεγάλων Λιμνών της Αφρικής, 2013-2017</w:t>
        </w:r>
      </w:hyperlink>
    </w:p>
    <w:p>
      <w:pPr>
        <w:spacing w:after="240" w:line="276" w:lineRule="auto"/>
        <w:jc w:val="both"/>
        <w:rPr>
          <w:noProof/>
        </w:rPr>
      </w:pPr>
      <w:r>
        <w:rPr>
          <w:noProof/>
        </w:rPr>
        <w:t xml:space="preserve">Η αξιολόγηση παρείχε εκτίμηση των παρεμβάσεων ανθρωπιστικής βοήθειας της ΕΕ στην περιοχή των Μεγάλων Λιμνών της Αφρικής από το 2013 έως το 2017. Τα κονδύλια του προϋπολογισμού δεν ήταν αναλογικά με τις αυξανόμενες ανάγκες στην περιοχή, το οποίο σήμαινε ότι η Επιτροπή έπρεπε να περιορίσει τις παρεμβάσεις της στη βασική αποστολή διάσωσης. Παρ’ όλα αυτά, η στρατηγική που υιοθετήθηκε προσαρμόστηκε στην εξέλιξη των αναγκών, στο πλαίσιο των δράσεων επιτεύχθηκε υψηλό επίπεδο συνοχής και η Επιτροπή διαδραμάτισε βασικό ρόλο στις δομές συντονισμού της ανθρωπιστικής βοήθειας στην περιοχή. </w:t>
      </w:r>
    </w:p>
    <w:p>
      <w:pPr>
        <w:spacing w:after="240" w:line="276" w:lineRule="auto"/>
        <w:jc w:val="both"/>
        <w:rPr>
          <w:noProof/>
        </w:rPr>
      </w:pPr>
      <w:r>
        <w:rPr>
          <w:noProof/>
        </w:rPr>
        <w:t xml:space="preserve">Από την αξιολόγηση διαπιστώθηκαν συγκεκριμένες πτυχές που συμβάλλουν στην αποτελεσματικότητα της ΓΔ ECHO, π.χ. ισχυρές διαδικασίες παρακολούθησης. Περιθώριο βελτίωσης επισημάνθηκε σε σχέση με τις διαδικασίες «νέας υποβολής αίτησης» (π.χ. για ανανέωση επιχορήγησης προς έναν εταίρο υλοποίησης για τη συνέχιση  συγκεκριμένης δράσης) και/ή πολυετή έργα. </w:t>
      </w:r>
    </w:p>
    <w:p>
      <w:pPr>
        <w:pStyle w:val="Heading310"/>
        <w:keepNext/>
        <w:keepLines/>
        <w:shd w:val="clear" w:color="auto" w:fill="auto"/>
        <w:spacing w:after="0" w:line="557" w:lineRule="exact"/>
        <w:ind w:left="260"/>
        <w:jc w:val="left"/>
        <w:rPr>
          <w:noProof/>
          <w:sz w:val="28"/>
          <w:u w:val="single"/>
        </w:rPr>
      </w:pPr>
      <w:bookmarkStart w:id="10" w:name="_Toc29489605"/>
      <w:r>
        <w:rPr>
          <w:noProof/>
          <w:sz w:val="28"/>
          <w:u w:val="single"/>
        </w:rPr>
        <w:t>Προϋπολογισμός 2018</w:t>
      </w:r>
      <w:bookmarkEnd w:id="3"/>
      <w:bookmarkEnd w:id="10"/>
    </w:p>
    <w:p>
      <w:pPr>
        <w:pStyle w:val="Bodytext20"/>
        <w:numPr>
          <w:ilvl w:val="0"/>
          <w:numId w:val="3"/>
        </w:numPr>
        <w:shd w:val="clear" w:color="auto" w:fill="auto"/>
        <w:tabs>
          <w:tab w:val="left" w:pos="330"/>
        </w:tabs>
        <w:spacing w:after="0" w:line="557" w:lineRule="exact"/>
        <w:ind w:left="260" w:hanging="260"/>
        <w:rPr>
          <w:noProof/>
        </w:rPr>
      </w:pPr>
      <w:r>
        <w:rPr>
          <w:noProof/>
        </w:rPr>
        <w:t>Κατάλογος συμφωνιών χρηματοδότησης που σύναψε η Επιτροπή στον τομέα της ανθρωπιστικής βοήθειας</w:t>
      </w:r>
      <w:r>
        <w:rPr>
          <w:rStyle w:val="FootnoteReference"/>
          <w:noProof/>
          <w:lang w:val="en-GB"/>
        </w:rPr>
        <w:footnoteReference w:id="3"/>
      </w:r>
      <w:r>
        <w:rPr>
          <w:noProof/>
        </w:rPr>
        <w:t xml:space="preserve">: </w:t>
      </w:r>
    </w:p>
    <w:p>
      <w:pPr>
        <w:pStyle w:val="Bodytext20"/>
        <w:shd w:val="clear" w:color="auto" w:fill="auto"/>
        <w:tabs>
          <w:tab w:val="left" w:pos="354"/>
        </w:tabs>
        <w:spacing w:after="0" w:line="557" w:lineRule="exact"/>
        <w:ind w:left="260" w:firstLine="0"/>
        <w:rPr>
          <w:noProof/>
        </w:rPr>
      </w:pPr>
      <w:r>
        <w:rPr>
          <w:noProof/>
        </w:rPr>
        <w:t xml:space="preserve">Οι συμφωνίες ανθρωπιστικής βοήθειας που συνάφθηκαν με την ΕΕ είναι </w:t>
      </w:r>
      <w:hyperlink r:id="rId25" w:tgtFrame="_blank" w:history="1">
        <w:r>
          <w:rPr>
            <w:noProof/>
          </w:rPr>
          <w:t>διαθέσιμες στον δικτυακό τόπο του Συστήματος Δημοσιονομικής Διαφάνειας (FTS)</w:t>
        </w:r>
      </w:hyperlink>
      <w:r>
        <w:rPr>
          <w:noProof/>
        </w:rPr>
        <w:t xml:space="preserve"> </w:t>
      </w:r>
    </w:p>
    <w:p>
      <w:pPr>
        <w:pStyle w:val="Bodytext20"/>
        <w:numPr>
          <w:ilvl w:val="0"/>
          <w:numId w:val="3"/>
        </w:numPr>
        <w:shd w:val="clear" w:color="auto" w:fill="auto"/>
        <w:tabs>
          <w:tab w:val="left" w:pos="354"/>
        </w:tabs>
        <w:spacing w:after="0" w:line="557" w:lineRule="exact"/>
        <w:ind w:left="260" w:hanging="260"/>
        <w:rPr>
          <w:noProof/>
        </w:rPr>
      </w:pPr>
      <w:r>
        <w:rPr>
          <w:noProof/>
        </w:rPr>
        <w:t>Εκτέλεση του προϋπολογισμού ανθρωπιστικής βοήθειας για το 2018</w:t>
      </w:r>
    </w:p>
    <w:p>
      <w:pPr>
        <w:pStyle w:val="Bodytext20"/>
        <w:shd w:val="clear" w:color="auto" w:fill="auto"/>
        <w:tabs>
          <w:tab w:val="left" w:pos="354"/>
        </w:tabs>
        <w:spacing w:after="0" w:line="557" w:lineRule="exact"/>
        <w:ind w:firstLine="0"/>
        <w:rPr>
          <w:noProof/>
        </w:rPr>
      </w:pPr>
    </w:p>
    <w:p>
      <w:pPr>
        <w:pStyle w:val="Bodytext20"/>
        <w:shd w:val="clear" w:color="auto" w:fill="auto"/>
        <w:tabs>
          <w:tab w:val="left" w:pos="354"/>
        </w:tabs>
        <w:spacing w:after="0" w:line="557" w:lineRule="exact"/>
        <w:ind w:firstLine="0"/>
        <w:rPr>
          <w:noProof/>
        </w:rPr>
      </w:pPr>
    </w:p>
    <w:p>
      <w:pPr>
        <w:pStyle w:val="Bodytext20"/>
        <w:shd w:val="clear" w:color="auto" w:fill="auto"/>
        <w:tabs>
          <w:tab w:val="left" w:pos="354"/>
        </w:tabs>
        <w:spacing w:after="0" w:line="557" w:lineRule="exact"/>
        <w:ind w:firstLine="0"/>
        <w:rPr>
          <w:noProof/>
        </w:rPr>
      </w:pPr>
    </w:p>
    <w:tbl>
      <w:tblPr>
        <w:tblW w:w="8986" w:type="dxa"/>
        <w:tblInd w:w="70" w:type="dxa"/>
        <w:tblCellMar>
          <w:left w:w="70" w:type="dxa"/>
          <w:right w:w="70" w:type="dxa"/>
        </w:tblCellMar>
        <w:tblLook w:val="04A0" w:firstRow="1" w:lastRow="0" w:firstColumn="1" w:lastColumn="0" w:noHBand="0" w:noVBand="1"/>
      </w:tblPr>
      <w:tblGrid>
        <w:gridCol w:w="6139"/>
        <w:gridCol w:w="146"/>
        <w:gridCol w:w="1689"/>
        <w:gridCol w:w="146"/>
        <w:gridCol w:w="866"/>
      </w:tblGrid>
      <w:tr>
        <w:trPr>
          <w:trHeight w:val="540"/>
        </w:trPr>
        <w:tc>
          <w:tcPr>
            <w:tcW w:w="8986" w:type="dxa"/>
            <w:gridSpan w:val="5"/>
            <w:tcBorders>
              <w:top w:val="nil"/>
              <w:left w:val="nil"/>
              <w:bottom w:val="nil"/>
              <w:right w:val="nil"/>
            </w:tcBorders>
            <w:shd w:val="clear" w:color="000000" w:fill="FF6600"/>
            <w:noWrap/>
            <w:vAlign w:val="center"/>
            <w:hideMark/>
          </w:tcPr>
          <w:p>
            <w:pPr>
              <w:widowControl/>
              <w:jc w:val="center"/>
              <w:rPr>
                <w:rFonts w:ascii="Arial Narrow" w:hAnsi="Arial Narrow" w:cs="Arial"/>
                <w:b/>
                <w:bCs/>
                <w:noProof/>
                <w:sz w:val="32"/>
                <w:szCs w:val="32"/>
              </w:rPr>
            </w:pPr>
            <w:r>
              <w:rPr>
                <w:rFonts w:ascii="Arial Narrow" w:hAnsi="Arial Narrow"/>
                <w:b/>
                <w:bCs/>
                <w:noProof/>
                <w:sz w:val="32"/>
                <w:szCs w:val="32"/>
              </w:rPr>
              <w:t>ΕΚΤΕΛΕΣΗ ΤΟΥ ΠΡΟΫΠΟΛΟΓΙΣΜΟΥ ΤΗΣ ΕΕ ΓΙΑ ΤΟ 2018</w:t>
            </w:r>
          </w:p>
        </w:tc>
      </w:tr>
      <w:tr>
        <w:trPr>
          <w:trHeight w:val="90"/>
        </w:trPr>
        <w:tc>
          <w:tcPr>
            <w:tcW w:w="6139" w:type="dxa"/>
            <w:tcBorders>
              <w:top w:val="nil"/>
              <w:left w:val="nil"/>
              <w:bottom w:val="nil"/>
              <w:right w:val="nil"/>
            </w:tcBorders>
            <w:shd w:val="clear" w:color="auto" w:fill="auto"/>
            <w:noWrap/>
            <w:vAlign w:val="center"/>
            <w:hideMark/>
          </w:tcPr>
          <w:p>
            <w:pPr>
              <w:widowControl/>
              <w:jc w:val="center"/>
              <w:rPr>
                <w:rFonts w:ascii="Arial Narrow" w:hAnsi="Arial Narrow" w:cs="Arial"/>
                <w:b/>
                <w:bCs/>
                <w:noProof/>
                <w:sz w:val="32"/>
                <w:szCs w:val="32"/>
                <w:lang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eastAsia="fr-BE" w:bidi="ar-SA"/>
              </w:rPr>
            </w:pPr>
          </w:p>
        </w:tc>
      </w:tr>
      <w:tr>
        <w:trPr>
          <w:trHeight w:val="315"/>
        </w:trPr>
        <w:tc>
          <w:tcPr>
            <w:tcW w:w="8986" w:type="dxa"/>
            <w:gridSpan w:val="5"/>
            <w:tcBorders>
              <w:top w:val="nil"/>
              <w:left w:val="nil"/>
              <w:bottom w:val="nil"/>
              <w:right w:val="nil"/>
            </w:tcBorders>
            <w:shd w:val="clear" w:color="000000" w:fill="FF6600"/>
            <w:noWrap/>
            <w:vAlign w:val="center"/>
            <w:hideMark/>
          </w:tcPr>
          <w:p>
            <w:pPr>
              <w:widowControl/>
              <w:jc w:val="center"/>
              <w:rPr>
                <w:rFonts w:ascii="Arial Narrow" w:hAnsi="Arial Narrow" w:cs="Arial"/>
                <w:i/>
                <w:iCs/>
                <w:noProof/>
                <w:sz w:val="22"/>
                <w:szCs w:val="22"/>
              </w:rPr>
            </w:pPr>
            <w:r>
              <w:rPr>
                <w:rFonts w:ascii="Arial Narrow" w:hAnsi="Arial Narrow"/>
                <w:i/>
                <w:iCs/>
                <w:noProof/>
                <w:sz w:val="22"/>
                <w:szCs w:val="22"/>
              </w:rPr>
              <w:t>Μη συμπεριλαμβανομένων των εξωτερικών εσόδων για ειδικό προορισμό από τα κράτη μέλη</w:t>
            </w:r>
          </w:p>
        </w:tc>
      </w:tr>
      <w:tr>
        <w:trPr>
          <w:trHeight w:val="360"/>
        </w:trPr>
        <w:tc>
          <w:tcPr>
            <w:tcW w:w="6139" w:type="dxa"/>
            <w:tcBorders>
              <w:top w:val="nil"/>
              <w:left w:val="nil"/>
              <w:bottom w:val="nil"/>
              <w:right w:val="nil"/>
            </w:tcBorders>
            <w:shd w:val="clear" w:color="auto" w:fill="auto"/>
            <w:noWrap/>
            <w:vAlign w:val="center"/>
            <w:hideMark/>
          </w:tcPr>
          <w:p>
            <w:pPr>
              <w:widowControl/>
              <w:jc w:val="center"/>
              <w:rPr>
                <w:rFonts w:ascii="Arial Narrow" w:hAnsi="Arial Narrow" w:cs="Arial"/>
                <w:i/>
                <w:iCs/>
                <w:noProof/>
                <w:sz w:val="22"/>
                <w:szCs w:val="22"/>
                <w:lang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eastAsia="fr-BE" w:bidi="ar-SA"/>
              </w:rPr>
            </w:pPr>
          </w:p>
        </w:tc>
      </w:tr>
      <w:tr>
        <w:trPr>
          <w:trHeight w:val="435"/>
        </w:trPr>
        <w:tc>
          <w:tcPr>
            <w:tcW w:w="6139" w:type="dxa"/>
            <w:tcBorders>
              <w:top w:val="nil"/>
              <w:left w:val="nil"/>
              <w:bottom w:val="nil"/>
              <w:right w:val="nil"/>
            </w:tcBorders>
            <w:shd w:val="clear" w:color="000000" w:fill="FF6600"/>
            <w:noWrap/>
            <w:vAlign w:val="center"/>
            <w:hideMark/>
          </w:tcPr>
          <w:p>
            <w:pPr>
              <w:widowControl/>
              <w:jc w:val="center"/>
              <w:rPr>
                <w:rFonts w:ascii="Arial Narrow" w:hAnsi="Arial Narrow" w:cs="Arial"/>
                <w:b/>
                <w:bCs/>
                <w:noProof/>
                <w:sz w:val="22"/>
                <w:szCs w:val="22"/>
              </w:rPr>
            </w:pPr>
            <w:r>
              <w:rPr>
                <w:rFonts w:ascii="Arial Narrow" w:hAnsi="Arial Narrow"/>
                <w:b/>
                <w:bCs/>
                <w:noProof/>
                <w:sz w:val="22"/>
                <w:szCs w:val="22"/>
              </w:rPr>
              <w:t>Περιοχή/χώρα</w:t>
            </w:r>
          </w:p>
        </w:tc>
        <w:tc>
          <w:tcPr>
            <w:tcW w:w="146" w:type="dxa"/>
            <w:tcBorders>
              <w:top w:val="nil"/>
              <w:left w:val="nil"/>
              <w:bottom w:val="nil"/>
              <w:right w:val="nil"/>
            </w:tcBorders>
            <w:shd w:val="clear" w:color="auto" w:fill="auto"/>
            <w:noWrap/>
            <w:vAlign w:val="center"/>
            <w:hideMark/>
          </w:tcPr>
          <w:p>
            <w:pPr>
              <w:widowControl/>
              <w:jc w:val="center"/>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6600"/>
            <w:noWrap/>
            <w:vAlign w:val="center"/>
            <w:hideMark/>
          </w:tcPr>
          <w:p>
            <w:pPr>
              <w:widowControl/>
              <w:jc w:val="center"/>
              <w:rPr>
                <w:rFonts w:ascii="Arial Narrow" w:hAnsi="Arial Narrow" w:cs="Arial"/>
                <w:b/>
                <w:bCs/>
                <w:noProof/>
                <w:sz w:val="22"/>
                <w:szCs w:val="22"/>
              </w:rPr>
            </w:pPr>
            <w:r>
              <w:rPr>
                <w:rFonts w:ascii="Arial Narrow" w:hAnsi="Arial Narrow"/>
                <w:b/>
                <w:bCs/>
                <w:noProof/>
                <w:sz w:val="22"/>
                <w:szCs w:val="22"/>
              </w:rPr>
              <w:t>Ποσό</w:t>
            </w:r>
          </w:p>
        </w:tc>
        <w:tc>
          <w:tcPr>
            <w:tcW w:w="146" w:type="dxa"/>
            <w:tcBorders>
              <w:top w:val="nil"/>
              <w:left w:val="nil"/>
              <w:bottom w:val="nil"/>
              <w:right w:val="nil"/>
            </w:tcBorders>
            <w:shd w:val="clear" w:color="auto" w:fill="auto"/>
            <w:noWrap/>
            <w:vAlign w:val="center"/>
            <w:hideMark/>
          </w:tcPr>
          <w:p>
            <w:pPr>
              <w:widowControl/>
              <w:jc w:val="center"/>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6600"/>
            <w:noWrap/>
            <w:vAlign w:val="center"/>
            <w:hideMark/>
          </w:tcPr>
          <w:p>
            <w:pPr>
              <w:widowControl/>
              <w:jc w:val="center"/>
              <w:rPr>
                <w:rFonts w:ascii="Arial Narrow" w:hAnsi="Arial Narrow" w:cs="Arial"/>
                <w:b/>
                <w:bCs/>
                <w:noProof/>
                <w:sz w:val="22"/>
                <w:szCs w:val="22"/>
              </w:rPr>
            </w:pPr>
            <w:r>
              <w:rPr>
                <w:rFonts w:ascii="Arial Narrow" w:hAnsi="Arial Narrow"/>
                <w:b/>
                <w:bCs/>
                <w:noProof/>
                <w:sz w:val="22"/>
                <w:szCs w:val="22"/>
              </w:rPr>
              <w:t>%</w:t>
            </w:r>
          </w:p>
        </w:tc>
      </w:tr>
      <w:tr>
        <w:trPr>
          <w:trHeight w:val="75"/>
        </w:trPr>
        <w:tc>
          <w:tcPr>
            <w:tcW w:w="6139" w:type="dxa"/>
            <w:tcBorders>
              <w:top w:val="nil"/>
              <w:left w:val="nil"/>
              <w:bottom w:val="nil"/>
              <w:right w:val="nil"/>
            </w:tcBorders>
            <w:shd w:val="clear" w:color="auto" w:fill="auto"/>
            <w:noWrap/>
            <w:vAlign w:val="center"/>
            <w:hideMark/>
          </w:tcPr>
          <w:p>
            <w:pPr>
              <w:widowControl/>
              <w:jc w:val="center"/>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jc w:val="center"/>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jc w:val="center"/>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jc w:val="center"/>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jc w:val="center"/>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Αφρική</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651</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37 %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Σουδάν &amp; Νότιο Σουδάν</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86</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Κεντρική Αφρική</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95</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Περιοχή των Μεγάλων Λιμνών</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70</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Κέρας της Αφρικής</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200</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Μεσημβρινή Αφρική, Ινδικός Ωκεανός</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11</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Δυτική Αφρική</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160</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Βόρεια Αφρική</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19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Αφρική</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10</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Μέση Ανατολή και χώρες της Ανατολικής Γειτονίας</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552</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32 %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Μέση Ανατολή</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474</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Ανατολική γειτονία</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79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Ασία, Ειρηνικός</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116</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7 %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75"/>
        </w:trPr>
        <w:tc>
          <w:tcPr>
            <w:tcW w:w="613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Νότια, Δυτική και Κεντρική Ασία</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57</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Νοτιοανατολική Ασία και Ειρηνικός</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59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Λατινική Αμερική, Καραϊβική</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73</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4 %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Λατινική Αμερική</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52</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Καραϊβική</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21</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Παγκόσμιες καταστροφές</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36</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2 %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Πολιτική προστασία</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41</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2 %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Εθελοντές ανθρωπιστικής βοήθειας της ΕΕ</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Στήριξη έκτακτης ανάγκης εντός της Ένωσης</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199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11 %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Συμπληρωματικές επιχειρήσεις και στήριξη</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67</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4 %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435"/>
        </w:trPr>
        <w:tc>
          <w:tcPr>
            <w:tcW w:w="6139" w:type="dxa"/>
            <w:tcBorders>
              <w:top w:val="nil"/>
              <w:left w:val="nil"/>
              <w:bottom w:val="nil"/>
              <w:right w:val="nil"/>
            </w:tcBorders>
            <w:shd w:val="clear" w:color="000000" w:fill="FF6600"/>
            <w:noWrap/>
            <w:vAlign w:val="center"/>
            <w:hideMark/>
          </w:tcPr>
          <w:p>
            <w:pPr>
              <w:widowControl/>
              <w:rPr>
                <w:rFonts w:ascii="Arial Narrow" w:hAnsi="Arial Narrow" w:cs="Arial"/>
                <w:b/>
                <w:bCs/>
                <w:noProof/>
                <w:sz w:val="22"/>
                <w:szCs w:val="22"/>
              </w:rPr>
            </w:pPr>
            <w:r>
              <w:rPr>
                <w:rFonts w:ascii="Arial Narrow" w:hAnsi="Arial Narrow"/>
                <w:b/>
                <w:bCs/>
                <w:noProof/>
                <w:sz w:val="22"/>
                <w:szCs w:val="22"/>
              </w:rPr>
              <w:t>ΣΥΝΟΛΟ</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6600"/>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1 753</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6600"/>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100 %</w:t>
            </w:r>
          </w:p>
        </w:tc>
      </w:tr>
      <w:tr>
        <w:trPr>
          <w:trHeight w:val="13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jc w:val="center"/>
              <w:rPr>
                <w:rFonts w:ascii="Arial Narrow" w:hAnsi="Arial Narrow" w:cs="Arial"/>
                <w:i/>
                <w:iCs/>
                <w:noProof/>
                <w:sz w:val="20"/>
                <w:szCs w:val="20"/>
              </w:rPr>
            </w:pPr>
            <w:r>
              <w:rPr>
                <w:rFonts w:ascii="Arial Narrow" w:hAnsi="Arial Narrow"/>
                <w:i/>
                <w:iCs/>
                <w:noProof/>
                <w:sz w:val="20"/>
                <w:szCs w:val="20"/>
              </w:rPr>
              <w:t>(σε εκατ. EUR)</w:t>
            </w:r>
          </w:p>
        </w:tc>
        <w:tc>
          <w:tcPr>
            <w:tcW w:w="146" w:type="dxa"/>
            <w:tcBorders>
              <w:top w:val="nil"/>
              <w:left w:val="nil"/>
              <w:bottom w:val="nil"/>
              <w:right w:val="nil"/>
            </w:tcBorders>
            <w:shd w:val="clear" w:color="auto" w:fill="auto"/>
            <w:noWrap/>
            <w:vAlign w:val="center"/>
            <w:hideMark/>
          </w:tcPr>
          <w:p>
            <w:pPr>
              <w:widowControl/>
              <w:jc w:val="center"/>
              <w:rPr>
                <w:rFonts w:ascii="Arial Narrow" w:hAnsi="Arial Narrow" w:cs="Arial"/>
                <w:i/>
                <w:iCs/>
                <w:noProof/>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bl>
    <w:p>
      <w:pPr>
        <w:pStyle w:val="Bodytext20"/>
        <w:shd w:val="clear" w:color="auto" w:fill="auto"/>
        <w:tabs>
          <w:tab w:val="left" w:pos="354"/>
        </w:tabs>
        <w:spacing w:after="0" w:line="557" w:lineRule="exact"/>
        <w:ind w:firstLine="0"/>
        <w:rPr>
          <w:noProof/>
          <w:lang w:val="en-GB"/>
        </w:rPr>
      </w:pPr>
    </w:p>
    <w:p>
      <w:pPr>
        <w:pStyle w:val="Bodytext20"/>
        <w:shd w:val="clear" w:color="auto" w:fill="auto"/>
        <w:tabs>
          <w:tab w:val="left" w:pos="354"/>
        </w:tabs>
        <w:spacing w:after="0" w:line="557" w:lineRule="exact"/>
        <w:ind w:firstLine="0"/>
        <w:rPr>
          <w:noProof/>
          <w:lang w:val="en-GB"/>
        </w:rPr>
      </w:pPr>
    </w:p>
    <w:p>
      <w:pPr>
        <w:pStyle w:val="Bodytext20"/>
        <w:shd w:val="clear" w:color="auto" w:fill="auto"/>
        <w:tabs>
          <w:tab w:val="left" w:pos="354"/>
        </w:tabs>
        <w:spacing w:after="0" w:line="557" w:lineRule="exact"/>
        <w:ind w:firstLine="0"/>
        <w:rPr>
          <w:noProof/>
          <w:lang w:val="en-GB"/>
        </w:rPr>
      </w:pPr>
    </w:p>
    <w:p>
      <w:pPr>
        <w:pStyle w:val="Bodytext20"/>
        <w:shd w:val="clear" w:color="auto" w:fill="auto"/>
        <w:tabs>
          <w:tab w:val="left" w:pos="354"/>
        </w:tabs>
        <w:spacing w:after="0" w:line="557" w:lineRule="exact"/>
        <w:ind w:firstLine="0"/>
        <w:rPr>
          <w:noProof/>
          <w:lang w:val="en-GB"/>
        </w:rPr>
      </w:pPr>
    </w:p>
    <w:p>
      <w:pPr>
        <w:pStyle w:val="Bodytext20"/>
        <w:shd w:val="clear" w:color="auto" w:fill="auto"/>
        <w:tabs>
          <w:tab w:val="left" w:pos="354"/>
        </w:tabs>
        <w:spacing w:after="0" w:line="557" w:lineRule="exact"/>
        <w:ind w:firstLine="0"/>
        <w:rPr>
          <w:noProof/>
          <w:lang w:val="en-GB"/>
        </w:rPr>
      </w:pPr>
    </w:p>
    <w:p>
      <w:pPr>
        <w:pStyle w:val="Bodytext20"/>
        <w:shd w:val="clear" w:color="auto" w:fill="auto"/>
        <w:tabs>
          <w:tab w:val="left" w:pos="354"/>
        </w:tabs>
        <w:spacing w:after="0" w:line="557" w:lineRule="exact"/>
        <w:ind w:firstLine="0"/>
        <w:rPr>
          <w:noProof/>
          <w:lang w:val="en-GB"/>
        </w:rPr>
      </w:pPr>
    </w:p>
    <w:p>
      <w:pPr>
        <w:pStyle w:val="Heading210"/>
        <w:keepNext/>
        <w:keepLines/>
        <w:shd w:val="clear" w:color="auto" w:fill="auto"/>
        <w:spacing w:before="663" w:after="381"/>
        <w:ind w:left="20"/>
        <w:rPr>
          <w:noProof/>
        </w:rPr>
      </w:pPr>
      <w:bookmarkStart w:id="11" w:name="_Toc29489606"/>
      <w:r>
        <w:rPr>
          <w:rStyle w:val="Heading211"/>
          <w:b/>
          <w:bCs/>
          <w:noProof/>
        </w:rPr>
        <w:t>Σ</w:t>
      </w:r>
      <w:r>
        <w:rPr>
          <w:rStyle w:val="Heading21SmallCaps"/>
          <w:b/>
          <w:bCs/>
          <w:noProof/>
        </w:rPr>
        <w:t>υμπληρωματικές πληροφορίες και πηγές</w:t>
      </w:r>
      <w:bookmarkEnd w:id="11"/>
    </w:p>
    <w:p>
      <w:pPr>
        <w:pStyle w:val="Bodytext20"/>
        <w:numPr>
          <w:ilvl w:val="0"/>
          <w:numId w:val="6"/>
        </w:numPr>
        <w:shd w:val="clear" w:color="auto" w:fill="auto"/>
        <w:spacing w:after="0" w:line="276" w:lineRule="auto"/>
        <w:ind w:left="720" w:right="4960" w:hanging="260"/>
        <w:rPr>
          <w:noProof/>
        </w:rPr>
      </w:pPr>
      <w:bookmarkStart w:id="12" w:name="bookmark15"/>
      <w:r>
        <w:rPr>
          <w:noProof/>
        </w:rPr>
        <w:t xml:space="preserve">Γενικές πληροφορίες σχετικά με τη ΓΔ ECHO: </w:t>
      </w:r>
    </w:p>
    <w:p>
      <w:pPr>
        <w:pStyle w:val="Bodytext20"/>
        <w:shd w:val="clear" w:color="auto" w:fill="auto"/>
        <w:spacing w:after="0" w:line="276" w:lineRule="auto"/>
        <w:ind w:left="720" w:right="4960" w:firstLine="0"/>
        <w:rPr>
          <w:noProof/>
        </w:rPr>
      </w:pPr>
      <w:hyperlink r:id="rId26" w:history="1">
        <w:r>
          <w:rPr>
            <w:rStyle w:val="Bodytext21"/>
            <w:noProof/>
          </w:rPr>
          <w:t>http://ec.europa.eu/echo/en</w:t>
        </w:r>
        <w:bookmarkEnd w:id="12"/>
      </w:hyperlink>
    </w:p>
    <w:p>
      <w:pPr>
        <w:pStyle w:val="Bodytext20"/>
        <w:numPr>
          <w:ilvl w:val="0"/>
          <w:numId w:val="6"/>
        </w:numPr>
        <w:shd w:val="clear" w:color="auto" w:fill="auto"/>
        <w:spacing w:after="0" w:line="276" w:lineRule="auto"/>
        <w:ind w:left="720" w:right="81" w:hanging="260"/>
        <w:rPr>
          <w:noProof/>
        </w:rPr>
      </w:pPr>
      <w:r>
        <w:rPr>
          <w:noProof/>
        </w:rPr>
        <w:t>Οικονομικές πληροφορίες σχετικά με τις δραστηριότητες της Ευρωπαϊκής Επιτροπής το 2018 στον τομέα της ανθρωπιστικής βοήθειας:</w:t>
      </w:r>
    </w:p>
    <w:p>
      <w:pPr>
        <w:pStyle w:val="Bodytext20"/>
        <w:shd w:val="clear" w:color="auto" w:fill="auto"/>
        <w:spacing w:after="0" w:line="276" w:lineRule="auto"/>
        <w:ind w:left="720" w:right="81" w:firstLine="0"/>
        <w:rPr>
          <w:noProof/>
          <w:u w:val="single"/>
        </w:rPr>
      </w:pPr>
      <w:hyperlink r:id="rId27" w:history="1">
        <w:r>
          <w:rPr>
            <w:noProof/>
            <w:u w:val="single"/>
          </w:rPr>
          <w:t>https://ec.europa.eu/echo/financing-decisions-hips-2018_en</w:t>
        </w:r>
      </w:hyperlink>
    </w:p>
    <w:p>
      <w:pPr>
        <w:pStyle w:val="Bodytext20"/>
        <w:numPr>
          <w:ilvl w:val="0"/>
          <w:numId w:val="6"/>
        </w:numPr>
        <w:shd w:val="clear" w:color="auto" w:fill="auto"/>
        <w:spacing w:after="0" w:line="276" w:lineRule="auto"/>
        <w:ind w:left="720" w:right="81" w:hanging="260"/>
        <w:rPr>
          <w:noProof/>
        </w:rPr>
      </w:pPr>
      <w:r>
        <w:rPr>
          <w:noProof/>
        </w:rPr>
        <w:t xml:space="preserve">Επιχειρησιακές πληροφορίες σχετικά με προηγούμενα έτη: </w:t>
      </w:r>
    </w:p>
    <w:p>
      <w:pPr>
        <w:pStyle w:val="Bodytext20"/>
        <w:shd w:val="clear" w:color="auto" w:fill="auto"/>
        <w:spacing w:after="0" w:line="276" w:lineRule="auto"/>
        <w:ind w:left="720" w:right="81" w:firstLine="0"/>
        <w:rPr>
          <w:noProof/>
        </w:rPr>
      </w:pPr>
      <w:hyperlink r:id="rId28" w:history="1">
        <w:r>
          <w:rPr>
            <w:rStyle w:val="Bodytext21"/>
            <w:noProof/>
          </w:rPr>
          <w:t>http://ec.europa.eu/echo/about/annual reports en.htm</w:t>
        </w:r>
      </w:hyperlink>
    </w:p>
    <w:p>
      <w:pPr>
        <w:pStyle w:val="Bodytext20"/>
        <w:numPr>
          <w:ilvl w:val="0"/>
          <w:numId w:val="6"/>
        </w:numPr>
        <w:shd w:val="clear" w:color="auto" w:fill="auto"/>
        <w:tabs>
          <w:tab w:val="left" w:pos="732"/>
        </w:tabs>
        <w:spacing w:after="0" w:line="276" w:lineRule="auto"/>
        <w:ind w:left="740" w:right="1660"/>
        <w:rPr>
          <w:noProof/>
        </w:rPr>
      </w:pPr>
      <w:r>
        <w:rPr>
          <w:noProof/>
        </w:rPr>
        <w:t xml:space="preserve">Ετήσια έκθεση δραστηριοτήτων 2018, ΓΔ ECHO: </w:t>
      </w:r>
      <w:r>
        <w:rPr>
          <w:rStyle w:val="Bodytext21"/>
          <w:noProof/>
        </w:rPr>
        <w:t>https://ec.europa.eu/info/publications/annual-activity-report-2018-european-civil-protection-and-humanitarian-aid-operations-echo_en</w:t>
      </w:r>
    </w:p>
    <w:p>
      <w:pPr>
        <w:pStyle w:val="Bodytext20"/>
        <w:numPr>
          <w:ilvl w:val="0"/>
          <w:numId w:val="6"/>
        </w:numPr>
        <w:shd w:val="clear" w:color="auto" w:fill="auto"/>
        <w:tabs>
          <w:tab w:val="left" w:pos="732"/>
        </w:tabs>
        <w:spacing w:after="0" w:line="276" w:lineRule="auto"/>
        <w:ind w:left="740" w:right="1660"/>
        <w:rPr>
          <w:noProof/>
        </w:rPr>
      </w:pPr>
      <w:r>
        <w:rPr>
          <w:noProof/>
        </w:rPr>
        <w:t xml:space="preserve">Ετήσια έκθεση του 2018 για τη διαχείριση και τις επιδόσεις: </w:t>
      </w:r>
      <w:hyperlink r:id="rId29" w:history="1">
        <w:r>
          <w:rPr>
            <w:rStyle w:val="Bodytext21"/>
            <w:noProof/>
          </w:rPr>
          <w:t>https://ec.europa.eu/info/publications/annual-management-and-performance-reports_el</w:t>
        </w:r>
      </w:hyperlink>
    </w:p>
    <w:p>
      <w:pPr>
        <w:pStyle w:val="Bodytext20"/>
        <w:numPr>
          <w:ilvl w:val="0"/>
          <w:numId w:val="6"/>
        </w:numPr>
        <w:shd w:val="clear" w:color="auto" w:fill="auto"/>
        <w:tabs>
          <w:tab w:val="left" w:pos="732"/>
        </w:tabs>
        <w:spacing w:after="0" w:line="276" w:lineRule="auto"/>
        <w:ind w:left="740" w:right="1240"/>
        <w:rPr>
          <w:noProof/>
        </w:rPr>
      </w:pPr>
      <w:r>
        <w:rPr>
          <w:noProof/>
        </w:rPr>
        <w:t xml:space="preserve">Εκθέσεις αξιολόγησης της ΓΔ ECHO: </w:t>
      </w:r>
    </w:p>
    <w:p>
      <w:pPr>
        <w:pStyle w:val="Bodytext20"/>
        <w:shd w:val="clear" w:color="auto" w:fill="auto"/>
        <w:tabs>
          <w:tab w:val="left" w:pos="732"/>
        </w:tabs>
        <w:spacing w:after="0" w:line="276" w:lineRule="auto"/>
        <w:ind w:left="740" w:right="1240" w:firstLine="0"/>
        <w:rPr>
          <w:noProof/>
        </w:rPr>
      </w:pPr>
      <w:hyperlink r:id="rId30" w:history="1">
        <w:r>
          <w:rPr>
            <w:rStyle w:val="Bodytext21"/>
            <w:noProof/>
          </w:rPr>
          <w:t>http://ec.europa.eu/echo/funding-evaluations/evaluations_en</w:t>
        </w:r>
      </w:hyperlink>
    </w:p>
    <w:p>
      <w:pPr>
        <w:pStyle w:val="Bodytext20"/>
        <w:numPr>
          <w:ilvl w:val="0"/>
          <w:numId w:val="6"/>
        </w:numPr>
        <w:shd w:val="clear" w:color="auto" w:fill="auto"/>
        <w:tabs>
          <w:tab w:val="left" w:pos="732"/>
        </w:tabs>
        <w:spacing w:after="0" w:line="276" w:lineRule="auto"/>
        <w:ind w:left="740" w:right="1240"/>
        <w:rPr>
          <w:noProof/>
          <w:u w:val="single"/>
        </w:rPr>
      </w:pPr>
      <w:r>
        <w:rPr>
          <w:noProof/>
        </w:rPr>
        <w:t xml:space="preserve">Δεδομένα σχετικά με τη χρηματοδότηση της ανθρωπιστικής βοήθειας από την Ευρωπαϊκή Επιτροπή και τα κράτη μέλη: </w:t>
      </w:r>
      <w:hyperlink r:id="rId31" w:history="1">
        <w:r>
          <w:rPr>
            <w:noProof/>
            <w:u w:val="single"/>
          </w:rPr>
          <w:t>https://webgate.ec.europa.eu/hac/</w:t>
        </w:r>
      </w:hyperlink>
    </w:p>
    <w:p>
      <w:pPr>
        <w:pStyle w:val="Bodytext20"/>
        <w:shd w:val="clear" w:color="auto" w:fill="auto"/>
        <w:tabs>
          <w:tab w:val="left" w:pos="732"/>
        </w:tabs>
        <w:spacing w:after="0" w:line="322" w:lineRule="exact"/>
        <w:ind w:right="1240" w:firstLine="0"/>
        <w:rPr>
          <w:noProof/>
          <w:lang w:eastAsia="fr-FR" w:bidi="fr-FR"/>
        </w:rPr>
      </w:pPr>
    </w:p>
    <w:p>
      <w:pPr>
        <w:pStyle w:val="Heading310"/>
        <w:keepNext/>
        <w:keepLines/>
        <w:shd w:val="clear" w:color="auto" w:fill="auto"/>
        <w:spacing w:after="0" w:line="557" w:lineRule="exact"/>
        <w:ind w:left="260"/>
        <w:jc w:val="left"/>
        <w:rPr>
          <w:noProof/>
          <w:sz w:val="28"/>
          <w:u w:val="single"/>
        </w:rPr>
      </w:pPr>
      <w:bookmarkStart w:id="13" w:name="_Toc29489607"/>
      <w:r>
        <w:rPr>
          <w:noProof/>
          <w:sz w:val="28"/>
          <w:u w:val="single"/>
        </w:rPr>
        <w:t>Κατάλογος εταίρων που υπέγραψαν τη σύμβαση-πλαίσιο εταιρικής σχέσης του 2014</w:t>
      </w:r>
      <w:bookmarkEnd w:id="13"/>
    </w:p>
    <w:p>
      <w:pPr>
        <w:pStyle w:val="Bodytext20"/>
        <w:shd w:val="clear" w:color="auto" w:fill="auto"/>
        <w:tabs>
          <w:tab w:val="left" w:pos="732"/>
        </w:tabs>
        <w:spacing w:after="0" w:line="322" w:lineRule="exact"/>
        <w:ind w:right="1240" w:firstLine="0"/>
        <w:rPr>
          <w:noProof/>
          <w:sz w:val="28"/>
          <w:szCs w:val="22"/>
          <w:u w:val="single"/>
        </w:rPr>
      </w:pPr>
    </w:p>
    <w:p>
      <w:pPr>
        <w:pStyle w:val="Bodytext20"/>
        <w:shd w:val="clear" w:color="auto" w:fill="auto"/>
        <w:tabs>
          <w:tab w:val="left" w:pos="732"/>
        </w:tabs>
        <w:spacing w:after="0" w:line="322" w:lineRule="exact"/>
        <w:ind w:right="1240" w:firstLine="0"/>
        <w:rPr>
          <w:noProof/>
          <w:color w:val="auto"/>
        </w:rPr>
      </w:pPr>
      <w:hyperlink r:id="rId32" w:history="1">
        <w:r>
          <w:rPr>
            <w:rStyle w:val="Hyperlink"/>
            <w:noProof/>
            <w:color w:val="auto"/>
          </w:rPr>
          <w:t>http://ec.europa.eu/echo/sites/echo-site/files/weblistpartners.pdf</w:t>
        </w:r>
      </w:hyperlink>
    </w:p>
    <w:p>
      <w:pPr>
        <w:pStyle w:val="Bodytext20"/>
        <w:shd w:val="clear" w:color="auto" w:fill="auto"/>
        <w:tabs>
          <w:tab w:val="left" w:pos="732"/>
        </w:tabs>
        <w:spacing w:after="0" w:line="322" w:lineRule="exact"/>
        <w:ind w:right="1240" w:firstLine="0"/>
        <w:rPr>
          <w:noProof/>
        </w:rPr>
      </w:pPr>
    </w:p>
    <w:sectPr>
      <w:headerReference w:type="even" r:id="rId33"/>
      <w:headerReference w:type="default" r:id="rId34"/>
      <w:footerReference w:type="even" r:id="rId35"/>
      <w:footerReference w:type="default" r:id="rId36"/>
      <w:headerReference w:type="first" r:id="rId37"/>
      <w:footerReference w:type="first" r:id="rId38"/>
      <w:pgSz w:w="11900" w:h="16840"/>
      <w:pgMar w:top="914" w:right="1440" w:bottom="1308" w:left="13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pict>
        <v:shapetype id="_x0000_t202" coordsize="21600,21600" o:spt="202" path="m,l,21600r21600,l21600,xe">
          <v:stroke joinstyle="miter"/>
          <v:path gradientshapeok="t" o:connecttype="rect"/>
        </v:shapetype>
        <v:shape id="_x0000_s2049" type="#_x0000_t202" style="position:absolute;margin-left:68.7pt;margin-top:801.4pt;width:10.1pt;height:7.9pt;z-index:-251658752;mso-wrap-style:none;mso-wrap-distance-left:5pt;mso-wrap-distance-right:5pt;mso-position-horizontal-relative:page;mso-position-vertical-relative:page" wrapcoords="0 0" filled="f" stroked="f">
          <v:textbox style="mso-next-textbox:#_x0000_s2049;mso-fit-shape-to-text:t" inset="0,0,0,0">
            <w:txbxContent>
              <w:p>
                <w:pPr>
                  <w:pStyle w:val="Headerorfooter10"/>
                  <w:shd w:val="clear" w:color="auto" w:fill="auto"/>
                  <w:spacing w:line="240" w:lineRule="auto"/>
                </w:pPr>
                <w:r>
                  <w:fldChar w:fldCharType="begin"/>
                </w:r>
                <w:r>
                  <w:instrText xml:space="preserve"> PAGE \* MERGEFORMAT </w:instrText>
                </w:r>
                <w:r>
                  <w:fldChar w:fldCharType="separate"/>
                </w:r>
                <w:r>
                  <w:rPr>
                    <w:rStyle w:val="Headerorfooter1TimesNewRoman11pt"/>
                    <w:rFonts w:eastAsia="Verdana"/>
                    <w:noProof/>
                  </w:rPr>
                  <w:t>1</w:t>
                </w:r>
                <w:r>
                  <w:rPr>
                    <w:rStyle w:val="Headerorfooter1TimesNewRoman11pt"/>
                    <w:rFonts w:eastAsia="Verdana"/>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pict>
        <v:shapetype id="_x0000_t202" coordsize="21600,21600" o:spt="202" path="m,l,21600r21600,l21600,xe">
          <v:stroke joinstyle="miter"/>
          <v:path gradientshapeok="t" o:connecttype="rect"/>
        </v:shapetype>
        <v:shape id="_x0000_s2051" type="#_x0000_t202" style="position:absolute;margin-left:68.7pt;margin-top:801.4pt;width:10.1pt;height:7.9pt;z-index:-251656704;mso-wrap-style:none;mso-wrap-distance-left:5pt;mso-wrap-distance-right:5pt;mso-position-horizontal-relative:page;mso-position-vertical-relative:page" wrapcoords="0 0" filled="f" stroked="f">
          <v:textbox style="mso-next-textbox:#_x0000_s2051;mso-fit-shape-to-text:t" inset="0,0,0,0">
            <w:txbxContent>
              <w:p>
                <w:pPr>
                  <w:pStyle w:val="Headerorfooter10"/>
                  <w:shd w:val="clear" w:color="auto" w:fill="auto"/>
                  <w:spacing w:line="240" w:lineRule="auto"/>
                </w:pPr>
                <w:r>
                  <w:fldChar w:fldCharType="begin"/>
                </w:r>
                <w:r>
                  <w:instrText xml:space="preserve"> PAGE \* MERGEFORMAT </w:instrText>
                </w:r>
                <w:r>
                  <w:fldChar w:fldCharType="separate"/>
                </w:r>
                <w:r>
                  <w:rPr>
                    <w:rStyle w:val="Headerorfooter1TimesNewRoman11pt"/>
                    <w:rFonts w:eastAsia="Verdana"/>
                    <w:noProof/>
                  </w:rPr>
                  <w:t>15</w:t>
                </w:r>
                <w:r>
                  <w:rPr>
                    <w:rStyle w:val="Headerorfooter1TimesNewRoman11pt"/>
                    <w:rFonts w:eastAsia="Verdana"/>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0"/>
        <w:rPr>
          <w:iCs/>
          <w:sz w:val="16"/>
          <w:szCs w:val="16"/>
        </w:rPr>
      </w:pPr>
      <w:r>
        <w:rPr>
          <w:rStyle w:val="FootnoteReference"/>
        </w:rPr>
        <w:footnoteRef/>
      </w:r>
      <w:r>
        <w:rPr>
          <w:iCs/>
          <w:sz w:val="16"/>
          <w:szCs w:val="16"/>
        </w:rPr>
        <w:t xml:space="preserve"> Ανακοίνωση για την εκπαίδευση σε καταστάσεις έκτακτης ανάγκης και παρατεταμένων κρίσεων [COM (2018)304 final της 18.5.2018].</w:t>
      </w:r>
    </w:p>
  </w:footnote>
  <w:footnote w:id="2">
    <w:p>
      <w:pPr>
        <w:pStyle w:val="FootnoteText"/>
        <w:spacing w:after="0"/>
        <w:rPr>
          <w:iCs/>
          <w:sz w:val="16"/>
          <w:szCs w:val="16"/>
        </w:rPr>
      </w:pPr>
      <w:r>
        <w:rPr>
          <w:rStyle w:val="FootnoteReference"/>
        </w:rPr>
        <w:footnoteRef/>
      </w:r>
      <w:r>
        <w:rPr>
          <w:iCs/>
          <w:sz w:val="16"/>
          <w:szCs w:val="16"/>
        </w:rPr>
        <w:t xml:space="preserve"> Συμπεράσματα του Συμβουλίου για την εκπαίδευση σε καταστάσεις έκτακτης ανάγκης και παρατεταμένων κρίσεων (12817/18 της 26ης Νοεμβρίου 2018).</w:t>
      </w:r>
    </w:p>
  </w:footnote>
  <w:footnote w:id="3">
    <w:p>
      <w:pPr>
        <w:pStyle w:val="FootnoteText"/>
      </w:pPr>
      <w:r>
        <w:rPr>
          <w:rStyle w:val="FootnoteReference"/>
        </w:rPr>
        <w:footnoteRef/>
      </w:r>
      <w:r>
        <w:t xml:space="preserve"> </w:t>
      </w:r>
      <w:r>
        <w:rPr>
          <w:sz w:val="16"/>
          <w:szCs w:val="16"/>
        </w:rPr>
        <w:t>Συμπεριλαμβανομένων των ονομασιών των ενδιαφερόμενων οργανισμών εταίρων.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998"/>
    <w:multiLevelType w:val="multilevel"/>
    <w:tmpl w:val="26FC0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63D3D"/>
    <w:multiLevelType w:val="multilevel"/>
    <w:tmpl w:val="266A0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F53F3A"/>
    <w:multiLevelType w:val="hybridMultilevel"/>
    <w:tmpl w:val="BF3E3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F5167C"/>
    <w:multiLevelType w:val="multilevel"/>
    <w:tmpl w:val="89562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E93559"/>
    <w:multiLevelType w:val="multilevel"/>
    <w:tmpl w:val="26FC0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464C38"/>
    <w:multiLevelType w:val="multilevel"/>
    <w:tmpl w:val="90EAD4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fr-FR" w:vendorID="64" w:dllVersion="131078" w:nlCheck="1" w:checkStyle="0"/>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revisionView w:markup="0"/>
  <w:defaultTabStop w:val="708"/>
  <w:hyphenationZone w:val="425"/>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docVars>
    <w:docVar w:name="DocStatus" w:val="Green"/>
    <w:docVar w:name="LW_CORRIGENDUM" w:val="&lt;UNUSED&gt;"/>
    <w:docVar w:name="LW_COVERPAGE_EXISTS" w:val="True"/>
    <w:docVar w:name="LW_COVERPAGE_GUID" w:val="406624D2-BBF2-4CFB-8486-59B78A4C15DA"/>
    <w:docVar w:name="LW_COVERPAGE_TYPE" w:val="1"/>
    <w:docVar w:name="LW_CROSSREFERENCE" w:val="&lt;UNUSED&gt;"/>
    <w:docVar w:name="LW_DocType" w:val="NORMAL"/>
    <w:docVar w:name="LW_EMISSION" w:val="16.1.2020"/>
    <w:docVar w:name="LW_EMISSION_ISODATE" w:val="2020-01-16"/>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917?\u964?\u942?\u963?\u953?\u945? \u941?\u954?\u952?\u949?\u963?\u951? \u963?\u967?\u949?\u964?\u953?\u954?\u940? \u956?\u949? \u964?\u953?\u962? \u949?\u960?\u953?\u967?\u949?\u953?\u961?\u942?\u963?\u949?\u953?\u962? \u945?\u957?\u952?\u961?\u969?\u960?\u953?\u963?\u964?\u953?\u954?\u942?\u962? \u946?\u959?\u942?\u952?\u949?\u953?\u945?\u962? \u964?\u951?\u962? \u917?\u965?\u961?\u969?\u960?\u945?\u970?\u954?\u942?\u962? \u904?\u957?\u969?\u963?\u951?\u962? \u960?\u959?\u965? \u967?\u961?\u951?\u956?\u945?\u964?\u959?\u948?\u959?\u964?\u942?\u952?\u951?\u954?\u945?\u957? \u964?\u959? 2018"/>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l-GR"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1">
    <w:name w:val="Footnote|1_"/>
    <w:basedOn w:val="DefaultParagraphFont"/>
    <w:link w:val="Footnote10"/>
    <w:rPr>
      <w:b w:val="0"/>
      <w:bCs w:val="0"/>
      <w:i w:val="0"/>
      <w:iCs w:val="0"/>
      <w:smallCaps w:val="0"/>
      <w:strike w:val="0"/>
      <w:sz w:val="20"/>
      <w:szCs w:val="20"/>
      <w:u w:val="none"/>
    </w:rPr>
  </w:style>
  <w:style w:type="character" w:customStyle="1" w:styleId="Footnote11">
    <w:name w:val="Footnote|1"/>
    <w:basedOn w:val="Footnote1"/>
    <w:semiHidden/>
    <w:unhideWhenUsed/>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l-GR" w:eastAsia="en-US" w:bidi="en-US"/>
    </w:rPr>
  </w:style>
  <w:style w:type="character" w:customStyle="1" w:styleId="Picturecaption1Exact">
    <w:name w:val="Picture caption|1 Exact"/>
    <w:basedOn w:val="DefaultParagraphFont"/>
    <w:link w:val="Picturecaption1"/>
    <w:rPr>
      <w:rFonts w:ascii="Arial" w:eastAsia="Arial" w:hAnsi="Arial" w:cs="Arial"/>
      <w:b w:val="0"/>
      <w:bCs w:val="0"/>
      <w:i w:val="0"/>
      <w:iCs w:val="0"/>
      <w:smallCaps w:val="0"/>
      <w:strike w:val="0"/>
      <w:sz w:val="22"/>
      <w:szCs w:val="22"/>
      <w:u w:val="none"/>
      <w:lang w:val="el-GR" w:eastAsia="fi-FI" w:bidi="fi-FI"/>
    </w:rPr>
  </w:style>
  <w:style w:type="character" w:customStyle="1" w:styleId="Heading11Exact">
    <w:name w:val="Heading #1|1 Exact"/>
    <w:basedOn w:val="DefaultParagraphFont"/>
    <w:link w:val="Heading11"/>
    <w:rPr>
      <w:rFonts w:ascii="Arial" w:eastAsia="Arial" w:hAnsi="Arial" w:cs="Arial"/>
      <w:b/>
      <w:bCs/>
      <w:i w:val="0"/>
      <w:iCs w:val="0"/>
      <w:smallCaps w:val="0"/>
      <w:strike w:val="0"/>
      <w:sz w:val="46"/>
      <w:szCs w:val="46"/>
      <w:u w:val="none"/>
      <w:lang w:val="el-GR" w:eastAsia="fr-FR" w:bidi="fr-FR"/>
    </w:rPr>
  </w:style>
  <w:style w:type="character" w:customStyle="1" w:styleId="Bodytext2">
    <w:name w:val="Body text|2_"/>
    <w:basedOn w:val="DefaultParagraphFont"/>
    <w:link w:val="Bodytext20"/>
    <w:rPr>
      <w:b w:val="0"/>
      <w:bCs w:val="0"/>
      <w:i w:val="0"/>
      <w:iCs w:val="0"/>
      <w:smallCaps w:val="0"/>
      <w:strike w:val="0"/>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Heading31">
    <w:name w:val="Heading #3|1_"/>
    <w:basedOn w:val="DefaultParagraphFont"/>
    <w:link w:val="Heading310"/>
    <w:rPr>
      <w:b/>
      <w:bCs/>
      <w:i w:val="0"/>
      <w:iCs w:val="0"/>
      <w:smallCaps w:val="0"/>
      <w:strike w:val="0"/>
      <w:sz w:val="22"/>
      <w:szCs w:val="22"/>
      <w:u w:val="none"/>
    </w:rPr>
  </w:style>
  <w:style w:type="character" w:customStyle="1" w:styleId="Headerorfooter1">
    <w:name w:val="Header or footer|1_"/>
    <w:basedOn w:val="DefaultParagraphFont"/>
    <w:link w:val="Headerorfooter10"/>
    <w:rPr>
      <w:rFonts w:ascii="Verdana" w:eastAsia="Verdana" w:hAnsi="Verdana" w:cs="Verdana"/>
      <w:b w:val="0"/>
      <w:bCs w:val="0"/>
      <w:i w:val="0"/>
      <w:iCs w:val="0"/>
      <w:smallCaps w:val="0"/>
      <w:strike w:val="0"/>
      <w:sz w:val="14"/>
      <w:szCs w:val="14"/>
      <w:u w:val="none"/>
    </w:rPr>
  </w:style>
  <w:style w:type="character" w:customStyle="1" w:styleId="Headerorfooter11">
    <w:name w:val="Header or footer|1"/>
    <w:basedOn w:val="Headerorfooter1"/>
    <w:semiHidden/>
    <w:unhideWhenUsed/>
    <w:rPr>
      <w:rFonts w:ascii="Verdana" w:eastAsia="Verdana" w:hAnsi="Verdana" w:cs="Verdana"/>
      <w:b w:val="0"/>
      <w:bCs w:val="0"/>
      <w:i w:val="0"/>
      <w:iCs w:val="0"/>
      <w:smallCaps w:val="0"/>
      <w:strike w:val="0"/>
      <w:color w:val="000000"/>
      <w:spacing w:val="0"/>
      <w:w w:val="100"/>
      <w:position w:val="0"/>
      <w:sz w:val="14"/>
      <w:szCs w:val="14"/>
      <w:u w:val="none"/>
      <w:lang w:val="el-GR" w:eastAsia="en-US" w:bidi="en-US"/>
    </w:rPr>
  </w:style>
  <w:style w:type="character" w:customStyle="1" w:styleId="Headerorfooter1TimesNewRoman11pt">
    <w:name w:val="Header or footer|1 + Times New Roman;11 pt"/>
    <w:basedOn w:val="Headerorfooter1"/>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fr-FR" w:bidi="fr-FR"/>
    </w:rPr>
  </w:style>
  <w:style w:type="character" w:customStyle="1" w:styleId="TOC2Char">
    <w:name w:val="TOC 2 Char"/>
    <w:basedOn w:val="DefaultParagraphFont"/>
    <w:link w:val="TOC2"/>
    <w:rPr>
      <w:b w:val="0"/>
      <w:bCs w:val="0"/>
      <w:i w:val="0"/>
      <w:iCs w:val="0"/>
      <w:smallCaps w:val="0"/>
      <w:strike w:val="0"/>
      <w:u w:val="none"/>
    </w:rPr>
  </w:style>
  <w:style w:type="character" w:customStyle="1" w:styleId="Heading21">
    <w:name w:val="Heading #2|1_"/>
    <w:basedOn w:val="DefaultParagraphFont"/>
    <w:link w:val="Heading210"/>
    <w:rPr>
      <w:b/>
      <w:bCs/>
      <w:i w:val="0"/>
      <w:iCs w:val="0"/>
      <w:smallCaps w:val="0"/>
      <w:strike w:val="0"/>
      <w:sz w:val="32"/>
      <w:szCs w:val="32"/>
      <w:u w:val="none"/>
    </w:rPr>
  </w:style>
  <w:style w:type="character" w:customStyle="1" w:styleId="Heading211">
    <w:name w:val="Heading #2|1"/>
    <w:basedOn w:val="Heading21"/>
    <w:semiHidden/>
    <w:unhideWhenUsed/>
    <w:rPr>
      <w:rFonts w:ascii="Times New Roman" w:eastAsia="Times New Roman" w:hAnsi="Times New Roman" w:cs="Times New Roman"/>
      <w:b/>
      <w:bCs/>
      <w:i w:val="0"/>
      <w:iCs w:val="0"/>
      <w:smallCaps w:val="0"/>
      <w:strike w:val="0"/>
      <w:color w:val="4F81BD"/>
      <w:spacing w:val="0"/>
      <w:w w:val="100"/>
      <w:position w:val="0"/>
      <w:sz w:val="32"/>
      <w:szCs w:val="32"/>
      <w:u w:val="single"/>
      <w:lang w:val="el-GR" w:eastAsia="en-US" w:bidi="en-US"/>
    </w:rPr>
  </w:style>
  <w:style w:type="character" w:customStyle="1" w:styleId="Heading21SmallCaps">
    <w:name w:val="Heading #2|1 + Small Caps"/>
    <w:basedOn w:val="Heading21"/>
    <w:semiHidden/>
    <w:unhideWhenUsed/>
    <w:rPr>
      <w:rFonts w:ascii="Times New Roman" w:eastAsia="Times New Roman" w:hAnsi="Times New Roman" w:cs="Times New Roman"/>
      <w:b/>
      <w:bCs/>
      <w:i w:val="0"/>
      <w:iCs w:val="0"/>
      <w:smallCaps/>
      <w:strike w:val="0"/>
      <w:color w:val="4F81BD"/>
      <w:spacing w:val="0"/>
      <w:w w:val="100"/>
      <w:position w:val="0"/>
      <w:sz w:val="32"/>
      <w:szCs w:val="32"/>
      <w:u w:val="single"/>
      <w:lang w:val="el-GR" w:eastAsia="en-US" w:bidi="en-US"/>
    </w:rPr>
  </w:style>
  <w:style w:type="character" w:customStyle="1" w:styleId="Bodytext4">
    <w:name w:val="Body text|4_"/>
    <w:basedOn w:val="DefaultParagraphFont"/>
    <w:link w:val="Bodytext40"/>
    <w:rPr>
      <w:b/>
      <w:bCs/>
      <w:i w:val="0"/>
      <w:iCs w:val="0"/>
      <w:smallCaps w:val="0"/>
      <w:strike w:val="0"/>
      <w:sz w:val="32"/>
      <w:szCs w:val="32"/>
      <w:u w:val="none"/>
    </w:rPr>
  </w:style>
  <w:style w:type="character" w:customStyle="1" w:styleId="Bodytext41">
    <w:name w:val="Body text|4"/>
    <w:basedOn w:val="Bodytext4"/>
    <w:semiHidden/>
    <w:unhideWhenUsed/>
    <w:rPr>
      <w:rFonts w:ascii="Times New Roman" w:eastAsia="Times New Roman" w:hAnsi="Times New Roman" w:cs="Times New Roman"/>
      <w:b/>
      <w:bCs/>
      <w:i w:val="0"/>
      <w:iCs w:val="0"/>
      <w:smallCaps w:val="0"/>
      <w:strike w:val="0"/>
      <w:color w:val="4F81BD"/>
      <w:spacing w:val="0"/>
      <w:w w:val="100"/>
      <w:position w:val="0"/>
      <w:sz w:val="32"/>
      <w:szCs w:val="32"/>
      <w:u w:val="single"/>
      <w:lang w:val="el-GR" w:eastAsia="en-US" w:bidi="en-US"/>
    </w:rPr>
  </w:style>
  <w:style w:type="character" w:customStyle="1" w:styleId="Heading311">
    <w:name w:val="Heading #3|1"/>
    <w:basedOn w:val="Heading3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n-US" w:bidi="en-US"/>
    </w:rPr>
  </w:style>
  <w:style w:type="character" w:customStyle="1" w:styleId="Bodytext5">
    <w:name w:val="Body text|5_"/>
    <w:basedOn w:val="DefaultParagraphFont"/>
    <w:link w:val="Bodytext50"/>
    <w:rPr>
      <w:b w:val="0"/>
      <w:bCs w:val="0"/>
      <w:i w:val="0"/>
      <w:iCs w:val="0"/>
      <w:smallCaps w:val="0"/>
      <w:strike w:val="0"/>
      <w:sz w:val="20"/>
      <w:szCs w:val="20"/>
      <w:u w:val="none"/>
    </w:rPr>
  </w:style>
  <w:style w:type="character" w:customStyle="1" w:styleId="Bodytext51">
    <w:name w:val="Body text|5"/>
    <w:basedOn w:val="Bodytext5"/>
    <w:semiHidden/>
    <w:unhideWhenUsed/>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l-GR" w:eastAsia="en-US" w:bidi="en-US"/>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l-GR" w:eastAsia="en-US" w:bidi="en-US"/>
    </w:rPr>
  </w:style>
  <w:style w:type="character" w:customStyle="1" w:styleId="Bodytext2Italic">
    <w:name w:val="Body text|2 + 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4"/>
      <w:szCs w:val="24"/>
      <w:u w:val="none"/>
      <w:lang w:val="el-GR"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l-GR"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l-GR" w:eastAsia="en-US" w:bidi="en-US"/>
    </w:rPr>
  </w:style>
  <w:style w:type="character" w:customStyle="1" w:styleId="Tablecaption1">
    <w:name w:val="Table caption|1_"/>
    <w:basedOn w:val="DefaultParagraphFont"/>
    <w:link w:val="Tablecaption10"/>
    <w:rPr>
      <w:b w:val="0"/>
      <w:bCs w:val="0"/>
      <w:i/>
      <w:iCs/>
      <w:smallCaps w:val="0"/>
      <w:strike w:val="0"/>
      <w:sz w:val="22"/>
      <w:szCs w:val="22"/>
      <w:u w:val="none"/>
    </w:rPr>
  </w:style>
  <w:style w:type="character" w:customStyle="1" w:styleId="Bodytext216ptBoldSmallCaps">
    <w:name w:val="Body text|2 + 16 pt;Bold;Small Caps"/>
    <w:basedOn w:val="Bodytext2"/>
    <w:semiHidden/>
    <w:unhideWhenUsed/>
    <w:rPr>
      <w:rFonts w:ascii="Times New Roman" w:eastAsia="Times New Roman" w:hAnsi="Times New Roman" w:cs="Times New Roman"/>
      <w:b/>
      <w:bCs/>
      <w:i w:val="0"/>
      <w:iCs w:val="0"/>
      <w:smallCaps/>
      <w:strike w:val="0"/>
      <w:color w:val="000000"/>
      <w:spacing w:val="0"/>
      <w:w w:val="100"/>
      <w:position w:val="0"/>
      <w:sz w:val="32"/>
      <w:szCs w:val="32"/>
      <w:u w:val="none"/>
      <w:lang w:val="el-GR" w:eastAsia="en-US" w:bidi="en-US"/>
    </w:rPr>
  </w:style>
  <w:style w:type="character" w:customStyle="1" w:styleId="Bodytext216ptBold">
    <w:name w:val="Body text|2 + 16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32"/>
      <w:szCs w:val="32"/>
      <w:u w:val="none"/>
      <w:lang w:val="el-GR" w:eastAsia="en-US" w:bidi="en-US"/>
    </w:rPr>
  </w:style>
  <w:style w:type="character" w:customStyle="1" w:styleId="Bodytext211ptItalic">
    <w:name w:val="Body text|2 + 11 pt;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n-US" w:bidi="en-US"/>
    </w:rPr>
  </w:style>
  <w:style w:type="character" w:customStyle="1" w:styleId="Bodytext211ptBold">
    <w:name w:val="Body text|2 + 11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n-US" w:bidi="en-US"/>
    </w:rPr>
  </w:style>
  <w:style w:type="character" w:customStyle="1" w:styleId="Bodytext211pt">
    <w:name w:val="Body text|2 + 11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n-US" w:bidi="en-US"/>
    </w:rPr>
  </w:style>
  <w:style w:type="character" w:customStyle="1" w:styleId="Bodytext211ptBoldSmallCaps">
    <w:name w:val="Body text|2 + 11 pt;Bold;Small Caps"/>
    <w:basedOn w:val="Bodytext2"/>
    <w:semiHidden/>
    <w:unhideWhenUsed/>
    <w:rPr>
      <w:rFonts w:ascii="Times New Roman" w:eastAsia="Times New Roman" w:hAnsi="Times New Roman" w:cs="Times New Roman"/>
      <w:b/>
      <w:bCs/>
      <w:i w:val="0"/>
      <w:iCs w:val="0"/>
      <w:smallCaps/>
      <w:strike w:val="0"/>
      <w:color w:val="000000"/>
      <w:spacing w:val="0"/>
      <w:w w:val="100"/>
      <w:position w:val="0"/>
      <w:sz w:val="22"/>
      <w:szCs w:val="22"/>
      <w:u w:val="none"/>
      <w:lang w:val="el-GR" w:eastAsia="en-US" w:bidi="en-US"/>
    </w:rPr>
  </w:style>
  <w:style w:type="character" w:customStyle="1" w:styleId="Bodytext211ptBold0">
    <w:name w:val="Body text|2 + 11 pt;Bold"/>
    <w:basedOn w:val="Bodytext2"/>
    <w:semiHidden/>
    <w:unhideWhenUsed/>
    <w:rPr>
      <w:rFonts w:ascii="Times New Roman" w:eastAsia="Times New Roman" w:hAnsi="Times New Roman" w:cs="Times New Roman"/>
      <w:b/>
      <w:bCs/>
      <w:i w:val="0"/>
      <w:iCs w:val="0"/>
      <w:smallCaps w:val="0"/>
      <w:strike w:val="0"/>
      <w:color w:val="FFFFFF"/>
      <w:spacing w:val="0"/>
      <w:w w:val="100"/>
      <w:position w:val="0"/>
      <w:sz w:val="22"/>
      <w:szCs w:val="22"/>
      <w:u w:val="none"/>
      <w:lang w:val="el-GR" w:eastAsia="en-US" w:bidi="en-US"/>
    </w:rPr>
  </w:style>
  <w:style w:type="character" w:customStyle="1" w:styleId="Bodytext210pt">
    <w:name w:val="Body text|2 + 10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n-US" w:bidi="en-US"/>
    </w:rPr>
  </w:style>
  <w:style w:type="paragraph" w:customStyle="1" w:styleId="Footnote10">
    <w:name w:val="Footnote|1"/>
    <w:basedOn w:val="Normal"/>
    <w:link w:val="Footnote1"/>
    <w:qFormat/>
    <w:pPr>
      <w:shd w:val="clear" w:color="auto" w:fill="FFFFFF"/>
      <w:spacing w:line="222" w:lineRule="exact"/>
      <w:jc w:val="both"/>
    </w:pPr>
    <w:rPr>
      <w:sz w:val="20"/>
      <w:szCs w:val="20"/>
    </w:rPr>
  </w:style>
  <w:style w:type="paragraph" w:customStyle="1" w:styleId="Picturecaption1">
    <w:name w:val="Picture caption|1"/>
    <w:basedOn w:val="Normal"/>
    <w:link w:val="Picturecaption1Exact"/>
    <w:qFormat/>
    <w:pPr>
      <w:shd w:val="clear" w:color="auto" w:fill="FFFFFF"/>
      <w:spacing w:line="246" w:lineRule="exact"/>
    </w:pPr>
    <w:rPr>
      <w:rFonts w:ascii="Arial" w:eastAsia="Arial" w:hAnsi="Arial" w:cs="Arial"/>
      <w:sz w:val="22"/>
      <w:szCs w:val="22"/>
      <w:lang w:eastAsia="fi-FI" w:bidi="fi-FI"/>
    </w:rPr>
  </w:style>
  <w:style w:type="paragraph" w:customStyle="1" w:styleId="Heading11">
    <w:name w:val="Heading #1|1"/>
    <w:basedOn w:val="Normal"/>
    <w:link w:val="Heading11Exact"/>
    <w:qFormat/>
    <w:pPr>
      <w:shd w:val="clear" w:color="auto" w:fill="FFFFFF"/>
      <w:spacing w:line="514" w:lineRule="exact"/>
      <w:outlineLvl w:val="0"/>
    </w:pPr>
    <w:rPr>
      <w:rFonts w:ascii="Arial" w:eastAsia="Arial" w:hAnsi="Arial" w:cs="Arial"/>
      <w:b/>
      <w:bCs/>
      <w:sz w:val="46"/>
      <w:szCs w:val="46"/>
      <w:lang w:eastAsia="fr-FR" w:bidi="fr-FR"/>
    </w:rPr>
  </w:style>
  <w:style w:type="paragraph" w:customStyle="1" w:styleId="Bodytext20">
    <w:name w:val="Body text|2"/>
    <w:basedOn w:val="Normal"/>
    <w:link w:val="Bodytext2"/>
    <w:qFormat/>
    <w:pPr>
      <w:shd w:val="clear" w:color="auto" w:fill="FFFFFF"/>
      <w:spacing w:after="1440" w:line="269" w:lineRule="exact"/>
      <w:ind w:hanging="360"/>
    </w:pPr>
  </w:style>
  <w:style w:type="paragraph" w:customStyle="1" w:styleId="Bodytext30">
    <w:name w:val="Body text|3"/>
    <w:basedOn w:val="Normal"/>
    <w:link w:val="Bodytext3"/>
    <w:pPr>
      <w:shd w:val="clear" w:color="auto" w:fill="FFFFFF"/>
      <w:spacing w:before="1440" w:line="244" w:lineRule="exact"/>
    </w:pPr>
    <w:rPr>
      <w:b/>
      <w:bCs/>
      <w:sz w:val="22"/>
      <w:szCs w:val="22"/>
    </w:rPr>
  </w:style>
  <w:style w:type="paragraph" w:customStyle="1" w:styleId="Heading310">
    <w:name w:val="Heading #3|1"/>
    <w:basedOn w:val="Normal"/>
    <w:link w:val="Heading31"/>
    <w:qFormat/>
    <w:pPr>
      <w:shd w:val="clear" w:color="auto" w:fill="FFFFFF"/>
      <w:spacing w:after="440" w:line="244" w:lineRule="exact"/>
      <w:ind w:hanging="260"/>
      <w:jc w:val="center"/>
      <w:outlineLvl w:val="2"/>
    </w:pPr>
    <w:rPr>
      <w:b/>
      <w:bCs/>
      <w:sz w:val="22"/>
      <w:szCs w:val="22"/>
    </w:rPr>
  </w:style>
  <w:style w:type="paragraph" w:customStyle="1" w:styleId="Headerorfooter10">
    <w:name w:val="Header or footer|1"/>
    <w:basedOn w:val="Normal"/>
    <w:link w:val="Headerorfooter1"/>
    <w:qFormat/>
    <w:pPr>
      <w:shd w:val="clear" w:color="auto" w:fill="FFFFFF"/>
      <w:spacing w:line="170" w:lineRule="exact"/>
    </w:pPr>
    <w:rPr>
      <w:rFonts w:ascii="Verdana" w:eastAsia="Verdana" w:hAnsi="Verdana" w:cs="Verdana"/>
      <w:sz w:val="14"/>
      <w:szCs w:val="14"/>
    </w:rPr>
  </w:style>
  <w:style w:type="paragraph" w:styleId="TOC2">
    <w:name w:val="toc 2"/>
    <w:basedOn w:val="Normal"/>
    <w:link w:val="TOC2Char"/>
    <w:autoRedefine/>
    <w:uiPriority w:val="39"/>
    <w:qFormat/>
    <w:pPr>
      <w:shd w:val="clear" w:color="auto" w:fill="FFFFFF"/>
      <w:spacing w:before="440" w:after="120" w:line="266" w:lineRule="exact"/>
      <w:jc w:val="both"/>
    </w:pPr>
  </w:style>
  <w:style w:type="paragraph" w:customStyle="1" w:styleId="Heading210">
    <w:name w:val="Heading #2|1"/>
    <w:basedOn w:val="Normal"/>
    <w:link w:val="Heading21"/>
    <w:qFormat/>
    <w:pPr>
      <w:shd w:val="clear" w:color="auto" w:fill="FFFFFF"/>
      <w:spacing w:after="300" w:line="354" w:lineRule="exact"/>
      <w:jc w:val="center"/>
      <w:outlineLvl w:val="1"/>
    </w:pPr>
    <w:rPr>
      <w:b/>
      <w:bCs/>
      <w:sz w:val="32"/>
      <w:szCs w:val="32"/>
    </w:rPr>
  </w:style>
  <w:style w:type="paragraph" w:customStyle="1" w:styleId="Bodytext40">
    <w:name w:val="Body text|4"/>
    <w:basedOn w:val="Normal"/>
    <w:link w:val="Bodytext4"/>
    <w:pPr>
      <w:shd w:val="clear" w:color="auto" w:fill="FFFFFF"/>
      <w:spacing w:after="300" w:line="354" w:lineRule="exact"/>
    </w:pPr>
    <w:rPr>
      <w:b/>
      <w:bCs/>
      <w:sz w:val="32"/>
      <w:szCs w:val="32"/>
    </w:rPr>
  </w:style>
  <w:style w:type="paragraph" w:customStyle="1" w:styleId="Bodytext50">
    <w:name w:val="Body text|5"/>
    <w:basedOn w:val="Normal"/>
    <w:link w:val="Bodytext5"/>
    <w:pPr>
      <w:shd w:val="clear" w:color="auto" w:fill="FFFFFF"/>
      <w:spacing w:before="260" w:line="222" w:lineRule="exact"/>
      <w:jc w:val="both"/>
    </w:pPr>
    <w:rPr>
      <w:sz w:val="20"/>
      <w:szCs w:val="20"/>
    </w:rPr>
  </w:style>
  <w:style w:type="paragraph" w:customStyle="1" w:styleId="Tablecaption10">
    <w:name w:val="Table caption|1"/>
    <w:basedOn w:val="Normal"/>
    <w:link w:val="Tablecaption1"/>
    <w:qFormat/>
    <w:pPr>
      <w:shd w:val="clear" w:color="auto" w:fill="FFFFFF"/>
      <w:spacing w:line="244" w:lineRule="exact"/>
    </w:pPr>
    <w:rPr>
      <w:i/>
      <w:iCs/>
      <w:sz w:val="22"/>
      <w:szCs w:val="22"/>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Footnote Text Char1 Char Char Char Char Char"/>
    <w:basedOn w:val="Normal"/>
    <w:link w:val="FootnoteTextChar1"/>
    <w:qFormat/>
    <w:pPr>
      <w:autoSpaceDE w:val="0"/>
      <w:autoSpaceDN w:val="0"/>
      <w:adjustRightInd w:val="0"/>
      <w:spacing w:after="120"/>
      <w:ind w:left="284" w:hanging="284"/>
      <w:jc w:val="both"/>
    </w:pPr>
    <w:rPr>
      <w:rFonts w:ascii="Verdana" w:hAnsi="Verdana"/>
      <w:color w:val="auto"/>
      <w:sz w:val="20"/>
      <w:szCs w:val="20"/>
      <w:lang w:eastAsia="en-GB" w:bidi="ar-SA"/>
    </w:rPr>
  </w:style>
  <w:style w:type="character" w:customStyle="1" w:styleId="FootnoteTextChar">
    <w:name w:val="Footnote Text Char"/>
    <w:basedOn w:val="DefaultParagraphFont"/>
    <w:uiPriority w:val="99"/>
    <w:semiHidden/>
    <w:rPr>
      <w:color w:val="000000"/>
      <w:sz w:val="20"/>
      <w:szCs w:val="20"/>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1 Char Char1,Footnote Text Char Char Char1 Char Char1"/>
    <w:link w:val="FootnoteText"/>
    <w:locked/>
    <w:rPr>
      <w:rFonts w:ascii="Verdana" w:hAnsi="Verdana"/>
      <w:sz w:val="20"/>
      <w:szCs w:val="20"/>
      <w:lang w:val="el-GR" w:eastAsia="en-GB" w:bidi="ar-SA"/>
    </w:rPr>
  </w:style>
  <w:style w:type="character" w:styleId="Hyperlink">
    <w:name w:val="Hyperlink"/>
    <w:uiPriority w:val="99"/>
    <w:rPr>
      <w:color w:val="0000FF"/>
      <w:u w:val="single"/>
    </w:rPr>
  </w:style>
  <w:style w:type="character" w:customStyle="1" w:styleId="FootnoteTextCharChar">
    <w:name w:val="Footnote Text Char Char"/>
    <w:aliases w:val="Footnote Text Char1 Char Char,Footnote Text Char Char Char Char,Footnote Text Char1 Char Char Char Char,Footnote Text Char Char Char Char Char Char,Footnote Text Char1 Char1 Char Char,Footnote Text Char Char Char1 Char Char"/>
    <w:rPr>
      <w:lang w:val="el-GR" w:eastAsia="ko-KR" w:bidi="ar-SA"/>
    </w:rPr>
  </w:style>
  <w:style w:type="character" w:styleId="FootnoteReference">
    <w:name w:val="footnote reference"/>
    <w:aliases w:val="Footnote symbol,Footnote reference number,Footnote,Times 10 Point,Exposant 3 Point,Ref,de nota al pie,note TESI,SUPERS,EN Footnote Reference,EN Footnote text,-E Fußnotenzeichen, BVI fnr,Footnote number,Footnote Reference Number,BVI f"/>
    <w:link w:val="Nota"/>
    <w:qFormat/>
    <w:rPr>
      <w:vertAlign w:val="superscript"/>
    </w:rPr>
  </w:style>
  <w:style w:type="paragraph" w:customStyle="1" w:styleId="AARText">
    <w:name w:val="AAR Text"/>
    <w:basedOn w:val="Normal"/>
    <w:link w:val="AARTextChar"/>
    <w:qFormat/>
    <w:pPr>
      <w:autoSpaceDE w:val="0"/>
      <w:autoSpaceDN w:val="0"/>
      <w:adjustRightInd w:val="0"/>
      <w:spacing w:after="240"/>
      <w:jc w:val="both"/>
    </w:pPr>
    <w:rPr>
      <w:rFonts w:ascii="Verdana" w:hAnsi="Verdana"/>
      <w:color w:val="auto"/>
      <w:sz w:val="20"/>
      <w:lang w:eastAsia="en-GB" w:bidi="ar-SA"/>
    </w:rPr>
  </w:style>
  <w:style w:type="character" w:customStyle="1" w:styleId="AARTextChar">
    <w:name w:val="AAR Text Char"/>
    <w:link w:val="AARText"/>
    <w:rPr>
      <w:rFonts w:ascii="Verdana" w:hAnsi="Verdana"/>
      <w:sz w:val="20"/>
      <w:lang w:val="el-GR" w:eastAsia="en-GB" w:bidi="ar-SA"/>
    </w:rPr>
  </w:style>
  <w:style w:type="paragraph" w:customStyle="1" w:styleId="Nota">
    <w:name w:val="Nota"/>
    <w:aliases w:val=" Char1,Char1,(NECG) Footnote Reference,fr,Appel note de bas de p,o,Style 6,Signature Ch"/>
    <w:basedOn w:val="Normal"/>
    <w:link w:val="FootnoteReference"/>
    <w:pPr>
      <w:widowControl/>
      <w:spacing w:after="160" w:line="240" w:lineRule="exact"/>
    </w:pPr>
    <w:rPr>
      <w:color w:val="auto"/>
      <w:vertAlign w:val="superscript"/>
    </w:rPr>
  </w:style>
  <w:style w:type="paragraph" w:styleId="ListParagraph">
    <w:name w:val="List Paragraph"/>
    <w:basedOn w:val="Normal"/>
    <w:uiPriority w:val="34"/>
    <w:qFormat/>
    <w:pPr>
      <w:widowControl/>
      <w:ind w:left="1440" w:hanging="360"/>
    </w:pPr>
    <w:rPr>
      <w:rFonts w:ascii="Verdana" w:eastAsia="Calibri" w:hAnsi="Verdana" w:cs="Calibri"/>
      <w:b/>
      <w:i/>
      <w:color w:val="auto"/>
      <w:sz w:val="20"/>
      <w:szCs w:val="22"/>
      <w:lang w:bidi="ar-SA"/>
    </w:rPr>
  </w:style>
  <w:style w:type="table" w:styleId="TableGrid">
    <w:name w:val="Table Grid"/>
    <w:basedOn w:val="TableNormal"/>
    <w:uiPriority w:val="59"/>
    <w:pPr>
      <w:autoSpaceDE w:val="0"/>
      <w:autoSpaceDN w:val="0"/>
      <w:adjustRightInd w:val="0"/>
    </w:pPr>
    <w:rPr>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pPr>
      <w:spacing w:after="100"/>
      <w:ind w:left="720"/>
    </w:pPr>
  </w:style>
  <w:style w:type="character" w:customStyle="1" w:styleId="m-7373738379908728024bumpedfont15">
    <w:name w:val="m_-7373738379908728024bumpedfont15"/>
    <w:rPr>
      <w:lang w:val="el-GR"/>
    </w:r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80"/>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color w:val="00000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000000"/>
      <w:sz w:val="20"/>
      <w:szCs w:val="20"/>
    </w:rPr>
  </w:style>
  <w:style w:type="paragraph" w:customStyle="1" w:styleId="Text1">
    <w:name w:val="Text 1"/>
    <w:basedOn w:val="Normal"/>
    <w:link w:val="Text1Char"/>
    <w:pPr>
      <w:widowControl/>
      <w:spacing w:after="240"/>
      <w:ind w:left="482"/>
      <w:jc w:val="both"/>
    </w:pPr>
    <w:rPr>
      <w:color w:val="auto"/>
      <w:szCs w:val="20"/>
      <w:lang w:bidi="ar-SA"/>
    </w:rPr>
  </w:style>
  <w:style w:type="character" w:customStyle="1" w:styleId="Text1Char">
    <w:name w:val="Text 1 Char"/>
    <w:basedOn w:val="DefaultParagraphFont"/>
    <w:link w:val="Text1"/>
    <w:rPr>
      <w:szCs w:val="20"/>
      <w:lang w:val="el-GR"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jc w:val="both"/>
    </w:pPr>
    <w:rPr>
      <w:rFonts w:eastAsiaTheme="minorHAnsi"/>
      <w:color w:val="auto"/>
      <w:szCs w:val="22"/>
      <w:lang w:bidi="ar-SA"/>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TOC2Char"/>
    <w:link w:val="FooterCoverPage"/>
    <w:rPr>
      <w:b w:val="0"/>
      <w:bCs w:val="0"/>
      <w:i w:val="0"/>
      <w:iCs w:val="0"/>
      <w:smallCaps w:val="0"/>
      <w:strike w:val="0"/>
      <w:color w:val="000000"/>
      <w:u w:val="no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OC2Char"/>
    <w:link w:val="FooterSensitivity"/>
    <w:rPr>
      <w:b/>
      <w:bCs w:val="0"/>
      <w:i w:val="0"/>
      <w:iCs w:val="0"/>
      <w:smallCaps w:val="0"/>
      <w:strike w:val="0"/>
      <w:color w:val="000000"/>
      <w:sz w:val="32"/>
      <w:u w:val="non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TOC2Char"/>
    <w:link w:val="HeaderCoverPage"/>
    <w:rPr>
      <w:b w:val="0"/>
      <w:bCs w:val="0"/>
      <w:i w:val="0"/>
      <w:iCs w:val="0"/>
      <w:smallCaps w:val="0"/>
      <w:strike w:val="0"/>
      <w:color w:val="000000"/>
      <w:u w:val="no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2Char"/>
    <w:link w:val="HeaderSensitivity"/>
    <w:rPr>
      <w:b/>
      <w:bCs w:val="0"/>
      <w:i w:val="0"/>
      <w:iCs w:val="0"/>
      <w:smallCaps w:val="0"/>
      <w:strike w:val="0"/>
      <w:color w:val="000000"/>
      <w:sz w:val="32"/>
      <w:u w:val="non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OC2Char"/>
    <w:link w:val="HeaderSensitivityRight"/>
    <w:rPr>
      <w:b w:val="0"/>
      <w:bCs w:val="0"/>
      <w:i w:val="0"/>
      <w:iCs w:val="0"/>
      <w:smallCaps w:val="0"/>
      <w:strike w:val="0"/>
      <w:color w:val="000000"/>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14656">
      <w:bodyDiv w:val="1"/>
      <w:marLeft w:val="0"/>
      <w:marRight w:val="0"/>
      <w:marTop w:val="0"/>
      <w:marBottom w:val="0"/>
      <w:divBdr>
        <w:top w:val="none" w:sz="0" w:space="0" w:color="auto"/>
        <w:left w:val="none" w:sz="0" w:space="0" w:color="auto"/>
        <w:bottom w:val="none" w:sz="0" w:space="0" w:color="auto"/>
        <w:right w:val="none" w:sz="0" w:space="0" w:color="auto"/>
      </w:divBdr>
    </w:div>
    <w:div w:id="1404377741">
      <w:bodyDiv w:val="1"/>
      <w:marLeft w:val="0"/>
      <w:marRight w:val="0"/>
      <w:marTop w:val="0"/>
      <w:marBottom w:val="0"/>
      <w:divBdr>
        <w:top w:val="none" w:sz="0" w:space="0" w:color="auto"/>
        <w:left w:val="none" w:sz="0" w:space="0" w:color="auto"/>
        <w:bottom w:val="none" w:sz="0" w:space="0" w:color="auto"/>
        <w:right w:val="none" w:sz="0" w:space="0" w:color="auto"/>
      </w:divBdr>
    </w:div>
    <w:div w:id="165166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ec.europa.eu/echo/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ec.europa.eu/budget/fts/index_en.htm"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ec.europa.eu/info/publications/annual-management-and-performance-reports_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publications.europa.eu/en/publication-detail/-/publication/5407980e-25db-11e9-8d04-01aa75ed71a1/language-en/format-PDF/source-88119730" TargetMode="External"/><Relationship Id="rId32" Type="http://schemas.openxmlformats.org/officeDocument/2006/relationships/hyperlink" Target="http://ec.europa.eu/echo/sites/echo-site/files/weblistpartners.pdf"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publications.europa.eu/en/publication-detail/-/publication/2c0ab9b4-358a-11e9-8d04-01aa75ed71a1/language-en/format-PDF/source-88119646" TargetMode="External"/><Relationship Id="rId28" Type="http://schemas.openxmlformats.org/officeDocument/2006/relationships/hyperlink" Target="http://ec.europa.eu/echo/about/annual_reports_en.htm" TargetMode="Externa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webgate.ec.europa.eu/ha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ec.europa.eu/echo/sites/echo-site/files/swd_2019_3_f1_staff_working_paper_en_v2_p1_1005651.pdf" TargetMode="External"/><Relationship Id="rId27" Type="http://schemas.openxmlformats.org/officeDocument/2006/relationships/hyperlink" Target="https://ec.europa.eu/echo/financing-decisions-hips-2018_en" TargetMode="External"/><Relationship Id="rId30" Type="http://schemas.openxmlformats.org/officeDocument/2006/relationships/hyperlink" Target="http://ec.europa.eu/echo/funding-evaluations/evaluations_en" TargetMode="Externa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B5FA17-6904-43D2-9B13-C2CB6CAF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16</Pages>
  <Words>5074</Words>
  <Characters>31618</Characters>
  <Application>Microsoft Office Word</Application>
  <DocSecurity>0</DocSecurity>
  <Lines>832</Lines>
  <Paragraphs>229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25</cp:revision>
  <dcterms:created xsi:type="dcterms:W3CDTF">2019-11-12T12:43:00Z</dcterms:created>
  <dcterms:modified xsi:type="dcterms:W3CDTF">2020-01-13T15:22:00Z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