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alt="64850C38-4EC2-435D-918D-BA64116A1CE3" style="width:450pt;height:307.5pt">
            <v:imagedata r:id="rId9" o:title=""/>
          </v:shape>
        </w:pict>
      </w:r>
    </w:p>
    <w:bookmarkEnd w:id="0"/>
    <w:p>
      <w:pPr>
        <w:pStyle w:val="Pagedecouverture"/>
        <w:rPr>
          <w:noProof/>
        </w:rPr>
        <w:sectPr>
          <w:headerReference w:type="even" r:id="rId10"/>
          <w:headerReference w:type="default" r:id="rId11"/>
          <w:footerReference w:type="even" r:id="rId12"/>
          <w:footerReference w:type="default" r:id="rId13"/>
          <w:headerReference w:type="first" r:id="rId14"/>
          <w:footerReference w:type="first" r:id="rId15"/>
          <w:pgSz w:w="11900" w:h="16840"/>
          <w:pgMar w:top="1134" w:right="1417" w:bottom="1134" w:left="1417" w:header="709" w:footer="709" w:gutter="0"/>
          <w:pgNumType w:start="0"/>
          <w:cols w:space="720"/>
          <w:docGrid w:linePitch="360"/>
        </w:sectPr>
      </w:pPr>
    </w:p>
    <w:bookmarkStart w:id="1" w:name="_GoBack"/>
    <w:bookmarkEnd w:id="1"/>
    <w:p>
      <w:pPr>
        <w:pStyle w:val="TOC2"/>
        <w:tabs>
          <w:tab w:val="right" w:leader="dot" w:pos="9106"/>
        </w:tabs>
        <w:rPr>
          <w:rFonts w:asciiTheme="minorHAnsi" w:eastAsiaTheme="minorEastAsia" w:hAnsiTheme="minorHAnsi" w:cstheme="minorBidi"/>
          <w:noProof/>
          <w:color w:val="auto"/>
          <w:sz w:val="22"/>
          <w:szCs w:val="22"/>
          <w:lang w:val="en-US" w:bidi="ar-SA"/>
        </w:rPr>
      </w:pPr>
      <w:r>
        <w:rPr>
          <w:noProof/>
        </w:rPr>
        <w:lastRenderedPageBreak/>
        <w:fldChar w:fldCharType="begin"/>
      </w:r>
      <w:r>
        <w:rPr>
          <w:noProof/>
        </w:rPr>
        <w:instrText xml:space="preserve"> TOC \o "1-5" \h \z </w:instrText>
      </w:r>
      <w:r>
        <w:rPr>
          <w:noProof/>
        </w:rPr>
        <w:fldChar w:fldCharType="separate"/>
      </w:r>
      <w:hyperlink w:anchor="_Toc29297482" w:history="1">
        <w:r>
          <w:rPr>
            <w:rStyle w:val="Hyperlink"/>
            <w:noProof/>
          </w:rPr>
          <w:t>Į</w:t>
        </w:r>
        <w:r>
          <w:rPr>
            <w:rStyle w:val="Hyperlink"/>
            <w:smallCaps/>
            <w:noProof/>
          </w:rPr>
          <w:t>vadas</w:t>
        </w:r>
        <w:r>
          <w:rPr>
            <w:noProof/>
            <w:webHidden/>
          </w:rPr>
          <w:tab/>
        </w:r>
        <w:r>
          <w:rPr>
            <w:noProof/>
            <w:webHidden/>
          </w:rPr>
          <w:fldChar w:fldCharType="begin"/>
        </w:r>
        <w:r>
          <w:rPr>
            <w:noProof/>
            <w:webHidden/>
          </w:rPr>
          <w:instrText xml:space="preserve"> PAGEREF _Toc29297482 \h </w:instrText>
        </w:r>
        <w:r>
          <w:rPr>
            <w:noProof/>
            <w:webHidden/>
          </w:rPr>
        </w:r>
        <w:r>
          <w:rPr>
            <w:noProof/>
            <w:webHidden/>
          </w:rPr>
          <w:fldChar w:fldCharType="separate"/>
        </w:r>
        <w:r>
          <w:rPr>
            <w:noProof/>
            <w:webHidden/>
          </w:rPr>
          <w:t>2</w:t>
        </w:r>
        <w:r>
          <w:rPr>
            <w:noProof/>
            <w:webHidden/>
          </w:rPr>
          <w:fldChar w:fldCharType="end"/>
        </w:r>
      </w:hyperlink>
    </w:p>
    <w:p>
      <w:pPr>
        <w:pStyle w:val="TOC2"/>
        <w:tabs>
          <w:tab w:val="right" w:leader="dot" w:pos="9106"/>
        </w:tabs>
        <w:rPr>
          <w:rFonts w:asciiTheme="minorHAnsi" w:eastAsiaTheme="minorEastAsia" w:hAnsiTheme="minorHAnsi" w:cstheme="minorBidi"/>
          <w:noProof/>
          <w:color w:val="auto"/>
          <w:sz w:val="22"/>
          <w:szCs w:val="22"/>
          <w:lang w:val="en-US" w:bidi="ar-SA"/>
        </w:rPr>
      </w:pPr>
      <w:hyperlink w:anchor="_Toc29297483" w:history="1">
        <w:r>
          <w:rPr>
            <w:rStyle w:val="Hyperlink"/>
            <w:noProof/>
          </w:rPr>
          <w:t xml:space="preserve">2018 m. remtos </w:t>
        </w:r>
        <w:r>
          <w:rPr>
            <w:rStyle w:val="Hyperlink"/>
            <w:smallCaps/>
            <w:noProof/>
          </w:rPr>
          <w:t>humanitarinės pagalbos operacijos</w:t>
        </w:r>
        <w:r>
          <w:rPr>
            <w:noProof/>
            <w:webHidden/>
          </w:rPr>
          <w:tab/>
        </w:r>
        <w:r>
          <w:rPr>
            <w:noProof/>
            <w:webHidden/>
          </w:rPr>
          <w:fldChar w:fldCharType="begin"/>
        </w:r>
        <w:r>
          <w:rPr>
            <w:noProof/>
            <w:webHidden/>
          </w:rPr>
          <w:instrText xml:space="preserve"> PAGEREF _Toc29297483 \h </w:instrText>
        </w:r>
        <w:r>
          <w:rPr>
            <w:noProof/>
            <w:webHidden/>
          </w:rPr>
        </w:r>
        <w:r>
          <w:rPr>
            <w:noProof/>
            <w:webHidden/>
          </w:rPr>
          <w:fldChar w:fldCharType="separate"/>
        </w:r>
        <w:r>
          <w:rPr>
            <w:noProof/>
            <w:webHidden/>
          </w:rPr>
          <w:t>2</w:t>
        </w:r>
        <w:r>
          <w:rPr>
            <w:noProof/>
            <w:webHidden/>
          </w:rPr>
          <w:fldChar w:fldCharType="end"/>
        </w:r>
      </w:hyperlink>
    </w:p>
    <w:p>
      <w:pPr>
        <w:pStyle w:val="TOC3"/>
        <w:tabs>
          <w:tab w:val="right" w:leader="dot" w:pos="9106"/>
        </w:tabs>
        <w:rPr>
          <w:rFonts w:asciiTheme="minorHAnsi" w:eastAsiaTheme="minorEastAsia" w:hAnsiTheme="minorHAnsi" w:cstheme="minorBidi"/>
          <w:noProof/>
          <w:color w:val="auto"/>
          <w:sz w:val="22"/>
          <w:szCs w:val="22"/>
          <w:lang w:val="en-US" w:bidi="ar-SA"/>
        </w:rPr>
      </w:pPr>
      <w:hyperlink w:anchor="_Toc29297484" w:history="1">
        <w:r>
          <w:rPr>
            <w:rStyle w:val="Hyperlink"/>
            <w:noProof/>
          </w:rPr>
          <w:t>Pagrindinių 2018 m. remtų humanitarinės pagalbos operacijų apžvalga</w:t>
        </w:r>
        <w:r>
          <w:rPr>
            <w:noProof/>
            <w:webHidden/>
          </w:rPr>
          <w:tab/>
        </w:r>
        <w:r>
          <w:rPr>
            <w:noProof/>
            <w:webHidden/>
          </w:rPr>
          <w:fldChar w:fldCharType="begin"/>
        </w:r>
        <w:r>
          <w:rPr>
            <w:noProof/>
            <w:webHidden/>
          </w:rPr>
          <w:instrText xml:space="preserve"> PAGEREF _Toc29297484 \h </w:instrText>
        </w:r>
        <w:r>
          <w:rPr>
            <w:noProof/>
            <w:webHidden/>
          </w:rPr>
        </w:r>
        <w:r>
          <w:rPr>
            <w:noProof/>
            <w:webHidden/>
          </w:rPr>
          <w:fldChar w:fldCharType="separate"/>
        </w:r>
        <w:r>
          <w:rPr>
            <w:noProof/>
            <w:webHidden/>
          </w:rPr>
          <w:t>3</w:t>
        </w:r>
        <w:r>
          <w:rPr>
            <w:noProof/>
            <w:webHidden/>
          </w:rPr>
          <w:fldChar w:fldCharType="end"/>
        </w:r>
      </w:hyperlink>
    </w:p>
    <w:p>
      <w:pPr>
        <w:pStyle w:val="TOC3"/>
        <w:tabs>
          <w:tab w:val="right" w:leader="dot" w:pos="9106"/>
        </w:tabs>
        <w:rPr>
          <w:rFonts w:asciiTheme="minorHAnsi" w:eastAsiaTheme="minorEastAsia" w:hAnsiTheme="minorHAnsi" w:cstheme="minorBidi"/>
          <w:noProof/>
          <w:color w:val="auto"/>
          <w:sz w:val="22"/>
          <w:szCs w:val="22"/>
          <w:lang w:val="en-US" w:bidi="ar-SA"/>
        </w:rPr>
      </w:pPr>
      <w:hyperlink w:anchor="_Toc29297485" w:history="1">
        <w:r>
          <w:rPr>
            <w:rStyle w:val="Hyperlink"/>
            <w:noProof/>
          </w:rPr>
          <w:t>Horizontalieji prioritetai</w:t>
        </w:r>
        <w:r>
          <w:rPr>
            <w:noProof/>
            <w:webHidden/>
          </w:rPr>
          <w:tab/>
        </w:r>
        <w:r>
          <w:rPr>
            <w:noProof/>
            <w:webHidden/>
          </w:rPr>
          <w:fldChar w:fldCharType="begin"/>
        </w:r>
        <w:r>
          <w:rPr>
            <w:noProof/>
            <w:webHidden/>
          </w:rPr>
          <w:instrText xml:space="preserve"> PAGEREF _Toc29297485 \h </w:instrText>
        </w:r>
        <w:r>
          <w:rPr>
            <w:noProof/>
            <w:webHidden/>
          </w:rPr>
        </w:r>
        <w:r>
          <w:rPr>
            <w:noProof/>
            <w:webHidden/>
          </w:rPr>
          <w:fldChar w:fldCharType="separate"/>
        </w:r>
        <w:r>
          <w:rPr>
            <w:noProof/>
            <w:webHidden/>
          </w:rPr>
          <w:t>9</w:t>
        </w:r>
        <w:r>
          <w:rPr>
            <w:noProof/>
            <w:webHidden/>
          </w:rPr>
          <w:fldChar w:fldCharType="end"/>
        </w:r>
      </w:hyperlink>
    </w:p>
    <w:p>
      <w:pPr>
        <w:pStyle w:val="TOC3"/>
        <w:tabs>
          <w:tab w:val="right" w:leader="dot" w:pos="9106"/>
        </w:tabs>
        <w:rPr>
          <w:rFonts w:asciiTheme="minorHAnsi" w:eastAsiaTheme="minorEastAsia" w:hAnsiTheme="minorHAnsi" w:cstheme="minorBidi"/>
          <w:noProof/>
          <w:color w:val="auto"/>
          <w:sz w:val="22"/>
          <w:szCs w:val="22"/>
          <w:lang w:val="en-US" w:bidi="ar-SA"/>
        </w:rPr>
      </w:pPr>
      <w:hyperlink w:anchor="_Toc29297486" w:history="1">
        <w:r>
          <w:rPr>
            <w:rStyle w:val="Hyperlink"/>
            <w:noProof/>
          </w:rPr>
          <w:t>2018 m. atliktų vertinimų santrauka</w:t>
        </w:r>
        <w:r>
          <w:rPr>
            <w:noProof/>
            <w:webHidden/>
          </w:rPr>
          <w:tab/>
        </w:r>
        <w:r>
          <w:rPr>
            <w:noProof/>
            <w:webHidden/>
          </w:rPr>
          <w:fldChar w:fldCharType="begin"/>
        </w:r>
        <w:r>
          <w:rPr>
            <w:noProof/>
            <w:webHidden/>
          </w:rPr>
          <w:instrText xml:space="preserve"> PAGEREF _Toc29297486 \h </w:instrText>
        </w:r>
        <w:r>
          <w:rPr>
            <w:noProof/>
            <w:webHidden/>
          </w:rPr>
        </w:r>
        <w:r>
          <w:rPr>
            <w:noProof/>
            <w:webHidden/>
          </w:rPr>
          <w:fldChar w:fldCharType="separate"/>
        </w:r>
        <w:r>
          <w:rPr>
            <w:noProof/>
            <w:webHidden/>
          </w:rPr>
          <w:t>11</w:t>
        </w:r>
        <w:r>
          <w:rPr>
            <w:noProof/>
            <w:webHidden/>
          </w:rPr>
          <w:fldChar w:fldCharType="end"/>
        </w:r>
      </w:hyperlink>
    </w:p>
    <w:p>
      <w:pPr>
        <w:pStyle w:val="TOC3"/>
        <w:tabs>
          <w:tab w:val="right" w:leader="dot" w:pos="9106"/>
        </w:tabs>
        <w:rPr>
          <w:rFonts w:asciiTheme="minorHAnsi" w:eastAsiaTheme="minorEastAsia" w:hAnsiTheme="minorHAnsi" w:cstheme="minorBidi"/>
          <w:noProof/>
          <w:color w:val="auto"/>
          <w:sz w:val="22"/>
          <w:szCs w:val="22"/>
          <w:lang w:val="en-US" w:bidi="ar-SA"/>
        </w:rPr>
      </w:pPr>
      <w:hyperlink w:anchor="_Toc29297487" w:history="1">
        <w:r>
          <w:rPr>
            <w:rStyle w:val="Hyperlink"/>
            <w:noProof/>
          </w:rPr>
          <w:t>2018 m. biudžetas</w:t>
        </w:r>
        <w:r>
          <w:rPr>
            <w:noProof/>
            <w:webHidden/>
          </w:rPr>
          <w:tab/>
        </w:r>
        <w:r>
          <w:rPr>
            <w:noProof/>
            <w:webHidden/>
          </w:rPr>
          <w:fldChar w:fldCharType="begin"/>
        </w:r>
        <w:r>
          <w:rPr>
            <w:noProof/>
            <w:webHidden/>
          </w:rPr>
          <w:instrText xml:space="preserve"> PAGEREF _Toc29297487 \h </w:instrText>
        </w:r>
        <w:r>
          <w:rPr>
            <w:noProof/>
            <w:webHidden/>
          </w:rPr>
        </w:r>
        <w:r>
          <w:rPr>
            <w:noProof/>
            <w:webHidden/>
          </w:rPr>
          <w:fldChar w:fldCharType="separate"/>
        </w:r>
        <w:r>
          <w:rPr>
            <w:noProof/>
            <w:webHidden/>
          </w:rPr>
          <w:t>12</w:t>
        </w:r>
        <w:r>
          <w:rPr>
            <w:noProof/>
            <w:webHidden/>
          </w:rPr>
          <w:fldChar w:fldCharType="end"/>
        </w:r>
      </w:hyperlink>
    </w:p>
    <w:p>
      <w:pPr>
        <w:pStyle w:val="TOC2"/>
        <w:tabs>
          <w:tab w:val="right" w:leader="dot" w:pos="9106"/>
        </w:tabs>
        <w:rPr>
          <w:rFonts w:asciiTheme="minorHAnsi" w:eastAsiaTheme="minorEastAsia" w:hAnsiTheme="minorHAnsi" w:cstheme="minorBidi"/>
          <w:noProof/>
          <w:color w:val="auto"/>
          <w:sz w:val="22"/>
          <w:szCs w:val="22"/>
          <w:lang w:val="en-US" w:bidi="ar-SA"/>
        </w:rPr>
      </w:pPr>
      <w:hyperlink w:anchor="_Toc29297488" w:history="1">
        <w:r>
          <w:rPr>
            <w:rStyle w:val="Hyperlink"/>
            <w:noProof/>
          </w:rPr>
          <w:t>P</w:t>
        </w:r>
        <w:r>
          <w:rPr>
            <w:rStyle w:val="Hyperlink"/>
            <w:smallCaps/>
            <w:noProof/>
          </w:rPr>
          <w:t>apildoma informacija ir šaltiniai</w:t>
        </w:r>
        <w:r>
          <w:rPr>
            <w:noProof/>
            <w:webHidden/>
          </w:rPr>
          <w:tab/>
        </w:r>
        <w:r>
          <w:rPr>
            <w:noProof/>
            <w:webHidden/>
          </w:rPr>
          <w:fldChar w:fldCharType="begin"/>
        </w:r>
        <w:r>
          <w:rPr>
            <w:noProof/>
            <w:webHidden/>
          </w:rPr>
          <w:instrText xml:space="preserve"> PAGEREF _Toc29297488 \h </w:instrText>
        </w:r>
        <w:r>
          <w:rPr>
            <w:noProof/>
            <w:webHidden/>
          </w:rPr>
        </w:r>
        <w:r>
          <w:rPr>
            <w:noProof/>
            <w:webHidden/>
          </w:rPr>
          <w:fldChar w:fldCharType="separate"/>
        </w:r>
        <w:r>
          <w:rPr>
            <w:noProof/>
            <w:webHidden/>
          </w:rPr>
          <w:t>13</w:t>
        </w:r>
        <w:r>
          <w:rPr>
            <w:noProof/>
            <w:webHidden/>
          </w:rPr>
          <w:fldChar w:fldCharType="end"/>
        </w:r>
      </w:hyperlink>
    </w:p>
    <w:p>
      <w:pPr>
        <w:pStyle w:val="TOC3"/>
        <w:tabs>
          <w:tab w:val="right" w:leader="dot" w:pos="9106"/>
        </w:tabs>
        <w:rPr>
          <w:rFonts w:asciiTheme="minorHAnsi" w:eastAsiaTheme="minorEastAsia" w:hAnsiTheme="minorHAnsi" w:cstheme="minorBidi"/>
          <w:noProof/>
          <w:color w:val="auto"/>
          <w:sz w:val="22"/>
          <w:szCs w:val="22"/>
          <w:lang w:val="en-US" w:bidi="ar-SA"/>
        </w:rPr>
      </w:pPr>
      <w:hyperlink w:anchor="_Toc29297489" w:history="1">
        <w:r>
          <w:rPr>
            <w:rStyle w:val="Hyperlink"/>
            <w:noProof/>
          </w:rPr>
          <w:t>Partnerių, pasirašiusių 2014 m. Partnerystės pagrindų susitarimą, sąrašas</w:t>
        </w:r>
        <w:r>
          <w:rPr>
            <w:noProof/>
            <w:webHidden/>
          </w:rPr>
          <w:tab/>
        </w:r>
        <w:r>
          <w:rPr>
            <w:noProof/>
            <w:webHidden/>
          </w:rPr>
          <w:fldChar w:fldCharType="begin"/>
        </w:r>
        <w:r>
          <w:rPr>
            <w:noProof/>
            <w:webHidden/>
          </w:rPr>
          <w:instrText xml:space="preserve"> PAGEREF _Toc29297489 \h </w:instrText>
        </w:r>
        <w:r>
          <w:rPr>
            <w:noProof/>
            <w:webHidden/>
          </w:rPr>
        </w:r>
        <w:r>
          <w:rPr>
            <w:noProof/>
            <w:webHidden/>
          </w:rPr>
          <w:fldChar w:fldCharType="separate"/>
        </w:r>
        <w:r>
          <w:rPr>
            <w:noProof/>
            <w:webHidden/>
          </w:rPr>
          <w:t>14</w:t>
        </w:r>
        <w:r>
          <w:rPr>
            <w:noProof/>
            <w:webHidden/>
          </w:rPr>
          <w:fldChar w:fldCharType="end"/>
        </w:r>
      </w:hyperlink>
    </w:p>
    <w:p>
      <w:pPr>
        <w:pStyle w:val="TOC2"/>
        <w:shd w:val="clear" w:color="auto" w:fill="auto"/>
        <w:tabs>
          <w:tab w:val="left" w:leader="dot" w:pos="8872"/>
        </w:tabs>
        <w:rPr>
          <w:noProof/>
        </w:rPr>
        <w:sectPr>
          <w:headerReference w:type="even" r:id="rId16"/>
          <w:headerReference w:type="default" r:id="rId17"/>
          <w:footerReference w:type="even" r:id="rId18"/>
          <w:footerReference w:type="default" r:id="rId19"/>
          <w:headerReference w:type="first" r:id="rId20"/>
          <w:footerReference w:type="first" r:id="rId21"/>
          <w:pgSz w:w="11900" w:h="16840"/>
          <w:pgMar w:top="1656" w:right="1410" w:bottom="9614" w:left="1374" w:header="0" w:footer="3" w:gutter="0"/>
          <w:pgNumType w:start="1"/>
          <w:cols w:space="720"/>
          <w:noEndnote/>
          <w:docGrid w:linePitch="360"/>
        </w:sectPr>
      </w:pPr>
      <w:r>
        <w:rPr>
          <w:noProof/>
        </w:rPr>
        <w:fldChar w:fldCharType="end"/>
      </w:r>
    </w:p>
    <w:p>
      <w:pPr>
        <w:pStyle w:val="Heading210"/>
        <w:keepNext/>
        <w:keepLines/>
        <w:shd w:val="clear" w:color="auto" w:fill="auto"/>
        <w:spacing w:after="330"/>
        <w:ind w:left="20"/>
        <w:rPr>
          <w:noProof/>
        </w:rPr>
      </w:pPr>
      <w:bookmarkStart w:id="2" w:name="_Toc29297482"/>
      <w:bookmarkStart w:id="3" w:name="bookmark13"/>
      <w:r>
        <w:rPr>
          <w:rStyle w:val="Heading211"/>
          <w:b/>
          <w:bCs/>
          <w:noProof/>
        </w:rPr>
        <w:t>Į</w:t>
      </w:r>
      <w:r>
        <w:rPr>
          <w:rStyle w:val="Heading21SmallCaps"/>
          <w:b/>
          <w:bCs/>
          <w:noProof/>
        </w:rPr>
        <w:t>vadas</w:t>
      </w:r>
      <w:bookmarkEnd w:id="2"/>
    </w:p>
    <w:p>
      <w:pPr>
        <w:pStyle w:val="Bodytext20"/>
        <w:shd w:val="clear" w:color="auto" w:fill="auto"/>
        <w:spacing w:after="410" w:line="317" w:lineRule="exact"/>
        <w:ind w:firstLine="0"/>
        <w:jc w:val="both"/>
        <w:rPr>
          <w:noProof/>
        </w:rPr>
      </w:pPr>
      <w:r>
        <w:rPr>
          <w:noProof/>
        </w:rPr>
        <w:t xml:space="preserve">Šioje ataskaitoje pristatoma svarbiausia Sąjungos humanitarinės pagalbos veikla ir politikos rezultatai 2018 m., įgyvendinti per Europos Komisiją. </w:t>
      </w:r>
      <w:bookmarkStart w:id="4" w:name="bookmark4"/>
      <w:r>
        <w:rPr>
          <w:noProof/>
        </w:rPr>
        <w:t>Ši ataskaita parengta pagal 1996 m. birželio 20 d. Tarybos reglamento (EB) Nr. 1257/96 19 straipsnį</w:t>
      </w:r>
      <w:bookmarkEnd w:id="4"/>
      <w:r>
        <w:rPr>
          <w:noProof/>
        </w:rPr>
        <w:t>.</w:t>
      </w:r>
    </w:p>
    <w:p>
      <w:pPr>
        <w:pStyle w:val="Heading210"/>
        <w:keepNext/>
        <w:keepLines/>
        <w:shd w:val="clear" w:color="auto" w:fill="auto"/>
        <w:spacing w:after="0"/>
        <w:ind w:left="20"/>
        <w:rPr>
          <w:rStyle w:val="Bodytext41"/>
          <w:b/>
          <w:bCs/>
          <w:noProof/>
        </w:rPr>
      </w:pPr>
      <w:bookmarkStart w:id="5" w:name="_Toc29297483"/>
      <w:r>
        <w:rPr>
          <w:rStyle w:val="Bodytext41"/>
          <w:b/>
          <w:bCs/>
          <w:noProof/>
        </w:rPr>
        <w:t xml:space="preserve">2018 m. remtos </w:t>
      </w:r>
      <w:r>
        <w:rPr>
          <w:rStyle w:val="Heading21SmallCaps"/>
          <w:b/>
          <w:bCs/>
          <w:noProof/>
        </w:rPr>
        <w:t>humanitarinės pagalbos operacijos</w:t>
      </w:r>
      <w:bookmarkEnd w:id="5"/>
    </w:p>
    <w:p>
      <w:pPr>
        <w:pStyle w:val="Heading210"/>
        <w:keepNext/>
        <w:keepLines/>
        <w:shd w:val="clear" w:color="auto" w:fill="auto"/>
        <w:spacing w:after="0"/>
        <w:ind w:left="20"/>
        <w:rPr>
          <w:noProof/>
          <w:lang w:val="en-GB"/>
        </w:rPr>
      </w:pPr>
    </w:p>
    <w:p>
      <w:pPr>
        <w:pStyle w:val="Footnote10"/>
        <w:spacing w:line="276" w:lineRule="auto"/>
        <w:rPr>
          <w:noProof/>
          <w:sz w:val="24"/>
          <w:szCs w:val="24"/>
        </w:rPr>
      </w:pPr>
      <w:r>
        <w:rPr>
          <w:noProof/>
          <w:sz w:val="24"/>
          <w:szCs w:val="24"/>
        </w:rPr>
        <w:t xml:space="preserve">Per pastaruosius dešimtmečius humanitarinės krizės tapo sudėtingesnės ir sunkesnės. Humanitarinius poreikius, kaip ir anksčiau, daugiausia lėmė konfliktai, o dėl gaivalinių nelaimių daugybei žmonių ir toliau buvo reikalinga pagalba ekstremaliosios situacijos atveju. 2018 m. pagalbos reikėjo daugiau kaip 134 mln. asmenų. </w:t>
      </w:r>
    </w:p>
    <w:p>
      <w:pPr>
        <w:pStyle w:val="Footnote10"/>
        <w:spacing w:line="276" w:lineRule="auto"/>
        <w:rPr>
          <w:noProof/>
          <w:sz w:val="24"/>
          <w:szCs w:val="24"/>
          <w:lang w:val="en-GB"/>
        </w:rPr>
      </w:pPr>
    </w:p>
    <w:p>
      <w:pPr>
        <w:pStyle w:val="Footnote10"/>
        <w:spacing w:line="276" w:lineRule="auto"/>
        <w:rPr>
          <w:noProof/>
          <w:sz w:val="24"/>
          <w:szCs w:val="24"/>
        </w:rPr>
      </w:pPr>
      <w:r>
        <w:rPr>
          <w:noProof/>
          <w:sz w:val="24"/>
          <w:szCs w:val="24"/>
        </w:rPr>
        <w:t xml:space="preserve">ES ir toliau buvo viena iš didžiausių humanitarinės pagalbos teikėjų. Sutelkusi tiek humanitarinės, tiek civilinės saugos pagalbos išteklius, ji teikė pagalbą ir paramą pažeidžiamiausiems asmenims. Vis dėlto dėl su prieiga ir saugumu susijusių apribojimų tebebuvo sudėtinga greitai reaguoti į kylančias krizes.  </w:t>
      </w:r>
    </w:p>
    <w:p>
      <w:pPr>
        <w:pStyle w:val="Footnote10"/>
        <w:spacing w:line="276" w:lineRule="auto"/>
        <w:rPr>
          <w:noProof/>
          <w:sz w:val="24"/>
          <w:szCs w:val="24"/>
          <w:lang w:val="en-GB"/>
        </w:rPr>
      </w:pPr>
    </w:p>
    <w:p>
      <w:pPr>
        <w:pStyle w:val="Footnote10"/>
        <w:spacing w:line="276" w:lineRule="auto"/>
        <w:rPr>
          <w:noProof/>
          <w:sz w:val="24"/>
          <w:szCs w:val="24"/>
        </w:rPr>
      </w:pPr>
      <w:r>
        <w:rPr>
          <w:noProof/>
          <w:sz w:val="24"/>
          <w:szCs w:val="24"/>
        </w:rPr>
        <w:t xml:space="preserve">ES reaguojant į krizes, Europos Komisija atliko pagrindinį vaidmenį – ji daugiau kaip 90-yje šalių vykdytoms humanitarinės pagalbos operacijoms finansuoti skyrė daugiau kaip 1,8 mlrd. EUR (JT humanitarinės pagalbos poreikiams patenkinti buvo prašiusios skirti 25,4 mlrd. JAV dolerių), itin daug dėmesio skirdama pastangoms paremti nuo konflikto nukentėjusius Sirijos gyventojus ir kaimyninėse šalyse esančius pabėgėlius. </w:t>
      </w:r>
    </w:p>
    <w:p>
      <w:pPr>
        <w:pStyle w:val="Footnote10"/>
        <w:spacing w:line="276" w:lineRule="auto"/>
        <w:rPr>
          <w:noProof/>
          <w:sz w:val="24"/>
          <w:szCs w:val="24"/>
          <w:lang w:val="en-GB"/>
        </w:rPr>
      </w:pPr>
    </w:p>
    <w:p>
      <w:pPr>
        <w:pStyle w:val="Footnote10"/>
        <w:spacing w:line="276" w:lineRule="auto"/>
        <w:rPr>
          <w:noProof/>
          <w:sz w:val="24"/>
          <w:szCs w:val="24"/>
        </w:rPr>
      </w:pPr>
      <w:r>
        <w:rPr>
          <w:noProof/>
          <w:sz w:val="24"/>
          <w:szCs w:val="24"/>
        </w:rPr>
        <w:t>Pagrindiniai Komisijos tikslai buvo skatinti teikti principinę humanitarinę pagalbą ir laikytis tarptautinės humanitarinės teisės (THT) nuostatų. Tarptautiniu lygmeniu ES ir toliau atliko pagrindinį vaidmenį pirmininkaudama dviem paramos teikėjų grupėms: Tarptautinio Raudonojo Kryžiaus komiteto Paramos teikėjų rėmimo grupei ir Humanitarinės pagalbos gerosios patirties iniciatyvos grupei (pastarajai ES pirmininkavo kartu su Šveicarija). Be to, iki 2019 m. sausio mėn. Komisija vadovavo įgyvendinant visuotinę iniciatyvą „Raginimas imtis veiksmų siekiant apsaugoti nuo smurto dėl lyties ekstremaliųjų situacijų atveju“. Apsauga nuo smurto dėl lyties ir švietimas ekstremaliosiose situacijose (ŠES) ir toliau buvo pagrindiniai ES humanitarinių operacijų prioritetai.</w:t>
      </w:r>
    </w:p>
    <w:p>
      <w:pPr>
        <w:pStyle w:val="Footnote10"/>
        <w:spacing w:line="276" w:lineRule="auto"/>
        <w:rPr>
          <w:noProof/>
          <w:sz w:val="24"/>
          <w:szCs w:val="24"/>
          <w:lang w:val="en-GB"/>
        </w:rPr>
      </w:pPr>
    </w:p>
    <w:p>
      <w:pPr>
        <w:pStyle w:val="Footnote10"/>
        <w:spacing w:line="276" w:lineRule="auto"/>
        <w:rPr>
          <w:noProof/>
          <w:sz w:val="24"/>
          <w:szCs w:val="24"/>
        </w:rPr>
      </w:pPr>
      <w:r>
        <w:rPr>
          <w:noProof/>
          <w:sz w:val="24"/>
          <w:szCs w:val="24"/>
        </w:rPr>
        <w:t>Komisija toliau stengėsi didinti atsparumą reaguojant į krizes ir stabdyti nestabilumo plitimą visame pasaulyje. Šioje srityje Komisija padarė pažangą užtikrindama humanitarinės pagalbos ir vystymosi tarpusavio sąsają. 2018 m. rugsėjo mėn. vykusiame neoficialiame Užsienio reikalų tarybos posėdyje vystymosi klausimais buvo patvirtintas šios sąsajos taikos elementas ir padaryta išvada, kad trejopa sąsaja (humanitarinė pagalba, vystymasis ir taika) turėtų padėti spręsti užsitęsusių krizių problemą, šiuo tikslu vykdant principines humanitarines operacijas.</w:t>
      </w:r>
    </w:p>
    <w:p>
      <w:pPr>
        <w:pStyle w:val="Footnote10"/>
        <w:spacing w:line="276" w:lineRule="auto"/>
        <w:rPr>
          <w:noProof/>
          <w:sz w:val="24"/>
          <w:szCs w:val="24"/>
          <w:lang w:val="en-GB"/>
        </w:rPr>
      </w:pPr>
    </w:p>
    <w:p>
      <w:pPr>
        <w:pStyle w:val="Footnote10"/>
        <w:spacing w:line="276" w:lineRule="auto"/>
        <w:rPr>
          <w:rStyle w:val="Heading311"/>
          <w:noProof/>
        </w:rPr>
      </w:pPr>
      <w:r>
        <w:rPr>
          <w:noProof/>
          <w:sz w:val="24"/>
          <w:szCs w:val="24"/>
        </w:rPr>
        <w:t xml:space="preserve">Komisija, laikydamasi paramos teikėjų ir įgyvendinimo agentūrų pasaulio aukščiausiojo lygio susitikimo humanitariniais klausimais metu sudaryto susitarimo „Grand Bargain“ įpareigojimų, toliau stengėsi didinti išlaidų veiksmingumą. Šioje srityje Komisija paskelbė Didelio masto grynųjų pinigų pervedimo gaires, kuriomis užtikrinama, kad paramos gavėjus pasiektų daugiau lėšų ir kad mažiau lėšų būtų skiriama administracinėms išlaidoms. Atsižvelgdama į tai, ES toliau plėtojo savo didžiausią paramos grynaisiais pinigais programą – pabėgėliams Turkijoje skirtą Neatidėliotinos minimalios socialinės apsaugos sistemą.  </w:t>
      </w:r>
      <w:bookmarkStart w:id="6" w:name="bookmark6"/>
      <w:r>
        <w:rPr>
          <w:noProof/>
          <w:lang w:val="en-GB"/>
        </w:rPr>
        <w:br/>
      </w:r>
    </w:p>
    <w:p>
      <w:pPr>
        <w:pStyle w:val="Heading310"/>
        <w:keepNext/>
        <w:keepLines/>
        <w:shd w:val="clear" w:color="auto" w:fill="auto"/>
        <w:spacing w:after="260"/>
        <w:ind w:firstLine="0"/>
        <w:jc w:val="both"/>
        <w:rPr>
          <w:noProof/>
          <w:sz w:val="28"/>
        </w:rPr>
      </w:pPr>
      <w:bookmarkStart w:id="7" w:name="_Toc29297484"/>
      <w:r>
        <w:rPr>
          <w:rStyle w:val="Heading311"/>
          <w:b/>
          <w:bCs/>
          <w:noProof/>
          <w:sz w:val="28"/>
        </w:rPr>
        <w:t>Pagrindinių 2018 m. remtų humanitarinės pagalbos operacijų apžvalg</w:t>
      </w:r>
      <w:bookmarkEnd w:id="6"/>
      <w:r>
        <w:rPr>
          <w:rStyle w:val="Heading311"/>
          <w:b/>
          <w:bCs/>
          <w:noProof/>
          <w:sz w:val="28"/>
        </w:rPr>
        <w:t>a</w:t>
      </w:r>
      <w:bookmarkEnd w:id="7"/>
    </w:p>
    <w:p>
      <w:pPr>
        <w:spacing w:after="240" w:line="276" w:lineRule="auto"/>
        <w:jc w:val="both"/>
        <w:rPr>
          <w:noProof/>
        </w:rPr>
      </w:pPr>
      <w:r>
        <w:rPr>
          <w:noProof/>
        </w:rPr>
        <w:t>Europos Komisija padėjo reaguoti į daug įvairių visame pasaulyje kilusių krizių ir nelaimių. Kai kurios iš jų apibūdinamos toliau.</w:t>
      </w:r>
    </w:p>
    <w:p>
      <w:pPr>
        <w:spacing w:after="240" w:line="276" w:lineRule="auto"/>
        <w:jc w:val="both"/>
        <w:rPr>
          <w:b/>
          <w:bCs/>
          <w:noProof/>
        </w:rPr>
      </w:pPr>
      <w:r>
        <w:rPr>
          <w:b/>
          <w:bCs/>
          <w:noProof/>
        </w:rPr>
        <w:t>Reagavimas į nelaimes</w:t>
      </w:r>
    </w:p>
    <w:p>
      <w:pPr>
        <w:pStyle w:val="Text1"/>
        <w:spacing w:line="276" w:lineRule="auto"/>
        <w:ind w:left="0"/>
        <w:rPr>
          <w:noProof/>
        </w:rPr>
      </w:pPr>
      <w:r>
        <w:rPr>
          <w:noProof/>
        </w:rPr>
        <w:t>Siekdama greitai reaguoti į naujas ekstremaliąsias situacijas ir sparčiai didėjančias esamas krizes, kurių nebuvo galima numatyti priimant metinį finansavimo sprendimą, Komisija naudojosi specialiu Neatidėliotinos pagalbos priemonių rinkiniu. Šį Neatidėliotinos pagalbos priemonių rinkinį sudaro keturios priemonės: Reagavimo į staigias didelio masto nelaimes priemonė (angl. ALERT), Epidemijoms skirta priemonė, Nedidelio masto atsako priemonė ir parama Tarptautinės Raudonojo Kryžiaus ir Raudonojo Pusmėnulio draugijų federacijos (angl. IFRC) Neatidėliotinos pagalbos nelaimės atveju fondui (angl. DREF).</w:t>
      </w:r>
    </w:p>
    <w:p>
      <w:pPr>
        <w:pStyle w:val="Text1"/>
        <w:spacing w:line="276" w:lineRule="auto"/>
        <w:ind w:left="0"/>
        <w:rPr>
          <w:noProof/>
          <w:szCs w:val="24"/>
        </w:rPr>
      </w:pPr>
      <w:r>
        <w:rPr>
          <w:noProof/>
        </w:rPr>
        <w:t xml:space="preserve">Taikant priemonę ALERT teikiamas greitas skubus finansavimas, kad būtų galima greitai reaguoti į staigiai prasidedančias didelio masto gaivalines nelaimes, nuo kurių nukenčia daugiau kaip 100 000 asmenų. 2018 m., siekiant padėti suvaldyti didelius potvynius Kenijoje, Etiopijoje ir Nigerijoje, žemės drebėjimus ir cunamį Indonezijoje, taip pat tropinio ciklono padarinius Filipinuose, buvo skirta 8,65 mln. EUR. </w:t>
      </w:r>
    </w:p>
    <w:p>
      <w:pPr>
        <w:widowControl/>
        <w:autoSpaceDN w:val="0"/>
        <w:spacing w:after="240" w:line="276" w:lineRule="auto"/>
        <w:ind w:right="-34"/>
        <w:jc w:val="both"/>
        <w:rPr>
          <w:noProof/>
          <w:color w:val="auto"/>
          <w:szCs w:val="20"/>
        </w:rPr>
      </w:pPr>
      <w:r>
        <w:rPr>
          <w:noProof/>
          <w:color w:val="auto"/>
          <w:szCs w:val="20"/>
        </w:rPr>
        <w:t>Pagal Epidemijoms skirtą priemonę buvo skubiai skirta lėšų penkiems protrūkiams – Laso karštligės (Nigerijoje), Ebolos virusinės ligos (Kongo Demokratinėje Respublikoje) ir choleros (Džibutyje, Nigeryje ir Zimbabvėje) – suvaldyti. Iš viso buvo išmokėta 2,775 mln. EUR.</w:t>
      </w:r>
    </w:p>
    <w:p>
      <w:pPr>
        <w:widowControl/>
        <w:autoSpaceDN w:val="0"/>
        <w:spacing w:after="240" w:line="276" w:lineRule="auto"/>
        <w:jc w:val="both"/>
        <w:rPr>
          <w:noProof/>
        </w:rPr>
      </w:pPr>
      <w:r>
        <w:rPr>
          <w:noProof/>
          <w:color w:val="auto"/>
          <w:szCs w:val="20"/>
        </w:rPr>
        <w:t xml:space="preserve">Pagal Nedidelio masto atsako priemonę, </w:t>
      </w:r>
      <w:r>
        <w:rPr>
          <w:noProof/>
        </w:rPr>
        <w:t>siekiant suvaldyti septynias nelaimes (tropinę audrą Tongoje, pabėgėlių srautus Nigerijoje, pilietinius neramumus Nikaragvoje, ugnikalnio išsiveržimą Gvatemaloje, užtvankos griūtį Laose, potvynius Venesueloje ir žemės drebėjimą Haityje), iš viso buvo paskirstyta 2,225 mln. EUR.</w:t>
      </w:r>
    </w:p>
    <w:p>
      <w:pPr>
        <w:spacing w:line="276" w:lineRule="auto"/>
        <w:jc w:val="both"/>
        <w:rPr>
          <w:i/>
          <w:noProof/>
        </w:rPr>
      </w:pPr>
      <w:r>
        <w:rPr>
          <w:noProof/>
        </w:rPr>
        <w:t xml:space="preserve">Europos Komisija taip pat buvo viena iš pagrindinių Neatidėliotinos pagalbos nelaimės atveju fondo rėmėjų – ji prisidėjo prie 39 operacijų, iš viso skyrusi 3,9 mln. EUR, t. y. apie 25 proc. šio fondo 2018 m. biudžeto. </w:t>
      </w:r>
    </w:p>
    <w:p>
      <w:pPr>
        <w:spacing w:line="276" w:lineRule="auto"/>
        <w:jc w:val="both"/>
        <w:rPr>
          <w:i/>
          <w:noProof/>
          <w:color w:val="FF0000"/>
          <w:lang w:val="en-GB"/>
        </w:rPr>
      </w:pPr>
    </w:p>
    <w:p>
      <w:pPr>
        <w:spacing w:before="120" w:after="120"/>
        <w:jc w:val="both"/>
        <w:rPr>
          <w:b/>
          <w:bCs/>
          <w:noProof/>
        </w:rPr>
      </w:pPr>
      <w:r>
        <w:rPr>
          <w:b/>
          <w:bCs/>
          <w:noProof/>
        </w:rPr>
        <w:t>Sirijos krizė</w:t>
      </w:r>
    </w:p>
    <w:p>
      <w:pPr>
        <w:spacing w:after="240" w:line="276" w:lineRule="auto"/>
        <w:jc w:val="both"/>
        <w:rPr>
          <w:noProof/>
        </w:rPr>
      </w:pPr>
      <w:r>
        <w:rPr>
          <w:noProof/>
        </w:rPr>
        <w:t>2018-ieji buvo jau aštuntieji Sirijos krizės metai. Per tą laiką dėl puldinėjimų ir teritorinės kontrolės pokyčių daugiau kaip 13 mln. asmenų buvo priverstinai perkelti, žuvo arba buvo sužeisti ir patyrė milžiniškų kančių. Komisija teikė gyvybiškai svarbią pagalbą, daugiausia aprūpindama maistu, vaistais, vandeniu ir pastoge. Šia Komisijos pagalba pasinaudojo Sirijos gyventojai, taip pat Libane, Jordanijoje ir Egipte esantys Sirijos pabėgėliai. Komisijos humanitarinei pagalbai skirtos lėšos siekė 260 mln. EUR.</w:t>
      </w:r>
    </w:p>
    <w:p>
      <w:pPr>
        <w:spacing w:after="240" w:line="276" w:lineRule="auto"/>
        <w:jc w:val="both"/>
        <w:rPr>
          <w:noProof/>
        </w:rPr>
      </w:pPr>
      <w:r>
        <w:rPr>
          <w:noProof/>
        </w:rPr>
        <w:t xml:space="preserve">Be to, ES dalyvavo įgyvendinant keletą tarptautinių diplomatinių iniciatyvų, pavyzdžiui, Briuselyje surengtoje konferencijoje „Parama Sirijos ir viso regiono ateičiai“, Ženevoje vykusiame Tarptautinės paramos Sirijai grupės Humanitarinės pagalbos darbo grupės susitikime ir Osle bei Berlyne surengtuose vyresniųjų pareigūnų susitikimuose, taip pat palaikė kitas pastangas skatinti laikytis humanitarinių principų ir THT. Briuselyje vykusios konferencijos metu buvo atkreiptas dėmesys į sudėtingą nukentėjusių civilių gyventojų padėtį Sirijoje, taip pat į įsipareigojimus 2018 m. iš viso skirti 3,5 mlrd. EUR, o 2019–2020 m. – 2,7 mlrd. EUR. </w:t>
      </w:r>
    </w:p>
    <w:p>
      <w:pPr>
        <w:widowControl/>
        <w:spacing w:after="240" w:line="276" w:lineRule="auto"/>
        <w:jc w:val="both"/>
        <w:rPr>
          <w:b/>
          <w:noProof/>
        </w:rPr>
      </w:pPr>
      <w:r>
        <w:rPr>
          <w:b/>
          <w:noProof/>
        </w:rPr>
        <w:t xml:space="preserve">Turkija </w:t>
      </w:r>
    </w:p>
    <w:p>
      <w:pPr>
        <w:widowControl/>
        <w:spacing w:after="240" w:line="276" w:lineRule="auto"/>
        <w:jc w:val="both"/>
        <w:rPr>
          <w:noProof/>
          <w:color w:val="auto"/>
        </w:rPr>
      </w:pPr>
      <w:r>
        <w:rPr>
          <w:noProof/>
          <w:color w:val="auto"/>
        </w:rPr>
        <w:t>2018 m. birželio mėn. ES susitarė ES pabėgėlių Turkijoje rėmimo priemonei skirti papildomus 3 mlrd. EUR. Ši suma numatyta Sirijos pabėgėliams remti. Pagal šią antrąją dalį 2018 m. buvo įsipareigota skirti 550 mln. EUR, iš kurių 50 mln. EUR – humanitarinei pagalbai, daugiausia apsaugos ir sveikatos priežiūros srityse. Taigi iš viso pagal šią priemonę humanitarinei pagalbai įsipareigota skirti daugiau kaip 1,45 mlrd. EUR.</w:t>
      </w:r>
    </w:p>
    <w:p>
      <w:pPr>
        <w:widowControl/>
        <w:spacing w:after="240" w:line="276" w:lineRule="auto"/>
        <w:jc w:val="both"/>
        <w:rPr>
          <w:noProof/>
          <w:color w:val="auto"/>
        </w:rPr>
      </w:pPr>
      <w:r>
        <w:rPr>
          <w:noProof/>
          <w:color w:val="auto"/>
        </w:rPr>
        <w:t>Pagal šią priemonę įgyvendinant pavyzdinę humanitarinės pagalbos programą „Neatidėliotinos minimalios socialinės apsaugos sistema“ buvo toliau tenkinami 1,7 mln. paramos gavėjų pagrindiniai poreikiai ir apsaugos poreikiai. Tai buvo didžiausias humanitarinės pagalbos projektas per visą ES istoriją. Remdamasi Neatidėliotinos minimalios socialinės apsaugos sistema, ES nuo 2017 m. pradžios finansavo Sąlyginio pinigų pervedimo švietimui (angl. CCTE) projektą ir iki 2018 m. gruodžio mėn. padėjo užtikrinti, kad 517 000 vaikų nuolat lankytų mokyklą.</w:t>
      </w:r>
    </w:p>
    <w:p>
      <w:pPr>
        <w:spacing w:after="240" w:line="276" w:lineRule="auto"/>
        <w:jc w:val="both"/>
        <w:rPr>
          <w:b/>
          <w:noProof/>
        </w:rPr>
      </w:pPr>
      <w:r>
        <w:rPr>
          <w:b/>
          <w:noProof/>
        </w:rPr>
        <w:t xml:space="preserve">Vakarų Balkanai </w:t>
      </w:r>
    </w:p>
    <w:p>
      <w:pPr>
        <w:spacing w:after="240" w:line="276" w:lineRule="auto"/>
        <w:jc w:val="both"/>
        <w:rPr>
          <w:noProof/>
          <w:color w:val="auto"/>
        </w:rPr>
      </w:pPr>
      <w:r>
        <w:rPr>
          <w:noProof/>
          <w:color w:val="auto"/>
        </w:rPr>
        <w:t xml:space="preserve">2018 m. ES vykdant humanitarinę veiklą daugiausia dėmesio buvo skiriama paramai pabėgėliams ir migrantams Bosnijoje ir Hercegovinoje. Vietos bendruomenės ir tarptautinės organizacijos teikė pagrindinę pagalbą, pavyzdžiui, aprūpino maistu ir pastoge, ir pagrindines sveikatos priežiūros paslaugas. Vis dėlto jų pajėgumų nepakako, ir 2018 m. gegužės mėn. Bosnijos ir Hercegovinos Ministrų Taryba oficialiai paprašė ES pagalbos. </w:t>
      </w:r>
    </w:p>
    <w:p>
      <w:pPr>
        <w:spacing w:after="240" w:line="276" w:lineRule="auto"/>
        <w:jc w:val="both"/>
        <w:rPr>
          <w:noProof/>
          <w:color w:val="auto"/>
        </w:rPr>
      </w:pPr>
      <w:r>
        <w:rPr>
          <w:noProof/>
          <w:color w:val="auto"/>
        </w:rPr>
        <w:t>Kad būtų galima suteikti pagalbą ekstremaliosios situacijos atveju ir patenkinti pabėgėlių ir migrantų poreikius, 2018 m. Europos Komisija humanitarinės pagalbos reikmėms skyrė 2 mln. EUR. Trumpalaikė pagalba buvo papildyta 7,2 mln. EUR vertės vidutinės trukmės reagavimo priemonėmis.</w:t>
      </w:r>
    </w:p>
    <w:p>
      <w:pPr>
        <w:widowControl/>
        <w:spacing w:after="240" w:line="276" w:lineRule="auto"/>
        <w:jc w:val="both"/>
        <w:rPr>
          <w:b/>
          <w:noProof/>
        </w:rPr>
      </w:pPr>
      <w:r>
        <w:rPr>
          <w:b/>
          <w:noProof/>
        </w:rPr>
        <w:t>Ukraina</w:t>
      </w:r>
    </w:p>
    <w:p>
      <w:pPr>
        <w:pStyle w:val="AARText"/>
        <w:spacing w:line="276" w:lineRule="auto"/>
        <w:rPr>
          <w:rFonts w:ascii="Times New Roman" w:hAnsi="Times New Roman"/>
          <w:noProof/>
          <w:sz w:val="24"/>
        </w:rPr>
      </w:pPr>
      <w:r>
        <w:rPr>
          <w:rFonts w:ascii="Times New Roman" w:hAnsi="Times New Roman"/>
          <w:noProof/>
          <w:sz w:val="24"/>
        </w:rPr>
        <w:t>2018 m., po daugiau kaip ketverių besitęsiančio konflikto metų, Rytų Ukrainoje vis dar buvo reikalinga humanitarinė pagalba. Nuo šio konflikto nukentėjo daugiau kaip 4,4 mln. asmenų, iš kurių bent 3,4 mln. reikėjo humanitarinės pagalbos. Humanitarinė padėtis pablogėjo dėl ribotų galimybių teikti humanitarinę pagalbą ir nepalankių politinės ir saugumo padėties pokyčių. Galimybes suteikti humanitarinę pagalbą apsunkino tai, kad šis konfliktas buvo itin politizuotas ir kad paramos teikėjai ėmė skirti mažiau lėšų.</w:t>
      </w:r>
    </w:p>
    <w:p>
      <w:pPr>
        <w:pStyle w:val="AARText"/>
        <w:spacing w:line="276" w:lineRule="auto"/>
        <w:rPr>
          <w:rFonts w:ascii="Times New Roman" w:hAnsi="Times New Roman"/>
          <w:noProof/>
          <w:sz w:val="24"/>
        </w:rPr>
      </w:pPr>
      <w:r>
        <w:rPr>
          <w:rFonts w:ascii="Times New Roman" w:hAnsi="Times New Roman"/>
          <w:noProof/>
          <w:sz w:val="24"/>
        </w:rPr>
        <w:t xml:space="preserve">ES ir jos valstybės narės ir toliau buvo vienos iš didžiausių humanitarinės pagalbos teikėjų, iš viso skyrusios 232 mln. EUR vertės paramą. ES toliau teikė gyvybiškai svarbią pagalbą pažeidžiamiausiems asmenims, kartu skatindama kitose Rytų Ukrainos vietovėse sklandžiai pereiti prie vidutinės trukmės ir ilgalaikės pagalbos. </w:t>
      </w:r>
    </w:p>
    <w:p>
      <w:pPr>
        <w:spacing w:after="240" w:line="276" w:lineRule="auto"/>
        <w:jc w:val="both"/>
        <w:rPr>
          <w:noProof/>
        </w:rPr>
      </w:pPr>
      <w:r>
        <w:rPr>
          <w:b/>
          <w:bCs/>
          <w:noProof/>
        </w:rPr>
        <w:t>Jemeno krizė</w:t>
      </w:r>
      <w:r>
        <w:rPr>
          <w:noProof/>
        </w:rPr>
        <w:t xml:space="preserve"> </w:t>
      </w:r>
    </w:p>
    <w:p>
      <w:pPr>
        <w:spacing w:after="240" w:line="276" w:lineRule="auto"/>
        <w:jc w:val="both"/>
        <w:rPr>
          <w:noProof/>
        </w:rPr>
      </w:pPr>
      <w:r>
        <w:rPr>
          <w:noProof/>
        </w:rPr>
        <w:t xml:space="preserve">Jemene kilusi humanitarinė krizė buvo didžiausia pasaulyje – 2018 m. pagalba buvo reikalinga 22,2 mln. asmenų. Dėl tebesitęsiančio konflikto, THT pažeidimų ir prastos šalies ekonominės padėties 20 mln. asmenų pateko į aprūpinimo maistu požiūriu sudėtingiausią ekstremaliąją situaciją. 2018 m. birželio mėn. prasidėjus al Chudaidos puolimui buvo perkelta daugiau kaip 500 000 asmenų ir krizė dar padidėjo. Be to, Jemene tęsėsi choleros protrūkis. </w:t>
      </w:r>
    </w:p>
    <w:p>
      <w:pPr>
        <w:spacing w:after="240" w:line="276" w:lineRule="auto"/>
        <w:jc w:val="both"/>
        <w:rPr>
          <w:noProof/>
        </w:rPr>
      </w:pPr>
      <w:r>
        <w:rPr>
          <w:noProof/>
        </w:rPr>
        <w:t xml:space="preserve">2018 m. Komisija sustiprino savo atsaką į šią krizę, daugiau kaip 14 mln. pažeidžiamų asmenų suteikusi 127,5 mln. EUR vertės gyvybiškai svarbią pagalbą. </w:t>
      </w:r>
    </w:p>
    <w:p>
      <w:pPr>
        <w:spacing w:after="240" w:line="276" w:lineRule="auto"/>
        <w:jc w:val="both"/>
        <w:rPr>
          <w:b/>
          <w:noProof/>
        </w:rPr>
      </w:pPr>
      <w:r>
        <w:rPr>
          <w:b/>
          <w:noProof/>
        </w:rPr>
        <w:t>Malio regioninė krizė</w:t>
      </w:r>
    </w:p>
    <w:p>
      <w:pPr>
        <w:spacing w:after="240" w:line="276" w:lineRule="auto"/>
        <w:jc w:val="both"/>
        <w:rPr>
          <w:noProof/>
        </w:rPr>
      </w:pPr>
      <w:r>
        <w:rPr>
          <w:noProof/>
        </w:rPr>
        <w:t xml:space="preserve">Padaugėjo ginkluotų konfliktų ir smurto atvejų, o jų šalutinis poveikis toliau plito į kaimynines šalis: Burkina Fasą, Mauritaniją ir Nigerį. Priverstinai perkelta apie 390 000 asmenų, todėl didėjo humanitariniai poreikiai, tačiau su galimybėmis suteikti humanitarinę pagalbą susiję sunkumai neišnyko. </w:t>
      </w:r>
    </w:p>
    <w:p>
      <w:pPr>
        <w:spacing w:after="240" w:line="276" w:lineRule="auto"/>
        <w:jc w:val="both"/>
        <w:rPr>
          <w:b/>
          <w:noProof/>
          <w:color w:val="FF0000"/>
        </w:rPr>
      </w:pPr>
      <w:r>
        <w:rPr>
          <w:noProof/>
        </w:rPr>
        <w:t>2018 m. Komisija suteikė 61 mln. EUR vertės humanitarinę pagalbą, daugiausia dėmesio skirdama sveikatos priežiūrai ir mitybai. Ji aprėpė 80 proc. šiaurinės dalies sveikatos priežiūros apylinkių. Iš viso skubi pagalba maisto srityje suteikta apie 160 000 pažeidžiamų asmenų. Daugiau kaip 124 000 vaikų iki penkerių metų, kenčiantiems nuo sunkaus ūminio neprievalgio (angl. SAM), suteikta gyvybiškai svarbi pagalba mitybos srityje, o tūkstančiams vaikų šiaurinėje ir centrinėje Malio dalyse sudarytos sąlygos pasinaudoti pagal ŠES iniciatyvą vykdoma veikla. Be to, Komisija daugiau kaip 140 000 Malio pabėgėlių, esančių Burkina Fase ir Nigeryje, suteikė pagalbą maisto srityje, o Mauritanijoje esantiems Malio pabėgėliams – pagalbą maisto srityje ir ŠES galimybių.</w:t>
      </w:r>
    </w:p>
    <w:p>
      <w:pPr>
        <w:spacing w:after="240" w:line="276" w:lineRule="auto"/>
        <w:jc w:val="both"/>
        <w:rPr>
          <w:b/>
          <w:noProof/>
        </w:rPr>
      </w:pPr>
      <w:r>
        <w:rPr>
          <w:b/>
          <w:noProof/>
        </w:rPr>
        <w:t>Sahelio krizė</w:t>
      </w:r>
    </w:p>
    <w:p>
      <w:pPr>
        <w:spacing w:after="240" w:line="276" w:lineRule="auto"/>
        <w:jc w:val="both"/>
        <w:rPr>
          <w:noProof/>
        </w:rPr>
      </w:pPr>
      <w:r>
        <w:rPr>
          <w:noProof/>
        </w:rPr>
        <w:t xml:space="preserve">2018 m. Sahelyje kilo didžiausia per daugelį metų maisto ir mitybos krizė. Dėl vis labiau plintančių konfliktų ir žemės ūkio bei kaimo sektoriaus krizės pablogėjo ir taip sudėtinga padėtis, o tai padarė neigiamą poveikį vis labiau pažeidžiamiems gyventojams. </w:t>
      </w:r>
    </w:p>
    <w:p>
      <w:pPr>
        <w:spacing w:after="240" w:line="276" w:lineRule="auto"/>
        <w:jc w:val="both"/>
        <w:rPr>
          <w:noProof/>
          <w:color w:val="FF0000"/>
        </w:rPr>
      </w:pPr>
      <w:r>
        <w:rPr>
          <w:noProof/>
        </w:rPr>
        <w:t>Įvairioms nukentėjusioms šalims Komisija suteikė pagalbą ekstremaliosios situacijos atveju, kurios bendra vertė siekė 272,9 mln. EUR. Daugiau kaip 1,1 mln. pažeidžiamų asmenų suteikta pagalba maisto srityje, o daugiau kaip 450 000 vaikų, kenčiančių nuo sunkaus ūminio neprievalgio, – gyvybiškai svarbus gydymas. ES aktyviai stengiasi užtikrinti humanitarinės pagalbos ir vystymosi tarpusavio sąsają didindama nukentėjusių gyventojų atsparumą, mažindama humanitarinius poreikius ir šalindama pagrindines maisto stygiaus ir ūminio neprievalgio priežastis.</w:t>
      </w:r>
    </w:p>
    <w:p>
      <w:pPr>
        <w:spacing w:after="240" w:line="276" w:lineRule="auto"/>
        <w:jc w:val="both"/>
        <w:rPr>
          <w:b/>
          <w:noProof/>
        </w:rPr>
      </w:pPr>
      <w:r>
        <w:rPr>
          <w:b/>
          <w:noProof/>
        </w:rPr>
        <w:t>Čado ežero baseino krizė</w:t>
      </w:r>
    </w:p>
    <w:p>
      <w:pPr>
        <w:spacing w:after="240" w:line="276" w:lineRule="auto"/>
        <w:jc w:val="both"/>
        <w:rPr>
          <w:noProof/>
        </w:rPr>
      </w:pPr>
      <w:r>
        <w:rPr>
          <w:noProof/>
        </w:rPr>
        <w:t xml:space="preserve">2018 m. konfliktai ir smurtas ir toliau darė didelį neigiamą poveikį 17 mln. šioje vietovėje gyvenančių asmenų. Šalių viduje arba į kaimynines šalis buvo priverstinai perkelta daugiau kaip 2,7 mln. asmenų, įskaitant 1,5 mln. vaikų. Itin didelis maisto stygius ir neprievalgis išliko kritinio lygio – maisto labai stigo 3 mln. asmenų. </w:t>
      </w:r>
    </w:p>
    <w:p>
      <w:pPr>
        <w:spacing w:after="240" w:line="276" w:lineRule="auto"/>
        <w:jc w:val="both"/>
        <w:rPr>
          <w:noProof/>
        </w:rPr>
      </w:pPr>
      <w:r>
        <w:rPr>
          <w:noProof/>
        </w:rPr>
        <w:t>Siekdama patenkinti įvairius humanitarinius poreikius nukentėjusiose šalyse, Komisija skyrė daugiau kaip 105 mln. EUR. Daug lėšų panaudota siekiant šalių viduje perkeltiems asmenims, pabėgėliams ir pažeidžiamoms priimančiosioms bendruomenėms suteikti pagalbą maisto srityje, užtikrinti pagrindinę sveikatos priežiūrą, galimybes gauti vandens ir naudotis sanitarijos paslaugomis, taip pat juos aprūpinti pastoge ir namų ūkio reikmenimis. 2018 m. rugsėjo mėn. surengta Berlyno konferencija dėl Čado ežero regiono buvo galimybė atnaujinti tarptautinius įsipareigojimus remti Čado ežero regiono šalis. Jos metu ES paskelbė humanitarinei pagalbai ir paramai vystymuisi skirsianti 138 mln. EUR.</w:t>
      </w:r>
    </w:p>
    <w:p>
      <w:pPr>
        <w:spacing w:after="240" w:line="276" w:lineRule="auto"/>
        <w:jc w:val="both"/>
        <w:rPr>
          <w:b/>
          <w:noProof/>
        </w:rPr>
      </w:pPr>
      <w:r>
        <w:rPr>
          <w:b/>
          <w:noProof/>
        </w:rPr>
        <w:t>Centrinės Afrikos Respublikos regioninė krizė</w:t>
      </w:r>
    </w:p>
    <w:p>
      <w:pPr>
        <w:spacing w:after="240" w:line="276" w:lineRule="auto"/>
        <w:jc w:val="both"/>
        <w:rPr>
          <w:noProof/>
        </w:rPr>
      </w:pPr>
      <w:r>
        <w:rPr>
          <w:noProof/>
        </w:rPr>
        <w:t xml:space="preserve">Padėtis ir toliau blogėjo, ir tai darė didesnį šalutinį poveikį kaimyninėms šalims. Stiprėjo ginkluotų grupuočių tarpusavio kova ir buvo dažniau rengiami išpuoliai prieš humanitarinę pagalbą teikiančius darbuotojus. Humanitarinės pagalbos reikėjo daugiau kaip pusei Centrinės Afrikos Respublikos gyventojų (maždaug 2,5 mln. asmenų). Beveik 2 mln. asmenų itin stigo maisto, o du trečdaliai gyventojų neturėjo galimybės naudotis pagrindinėmis sveikatos priežiūros paslaugomis. Maždaug kas ketvirtas pilietis buvo priverstinai perkeltas arba šalies viduje, arba į kaimynines šalis (Kamerūną, Čadą ir Kongo Demokratinę Respubliką). </w:t>
      </w:r>
    </w:p>
    <w:p>
      <w:pPr>
        <w:spacing w:after="240" w:line="276" w:lineRule="auto"/>
        <w:jc w:val="both"/>
        <w:rPr>
          <w:noProof/>
        </w:rPr>
      </w:pPr>
      <w:r>
        <w:rPr>
          <w:noProof/>
        </w:rPr>
        <w:t>Komisija šiai krizei įveikti skyrė daugiau kaip 33 mln. EUR vertės humanitarinę pagalbą. Tai buvo, be kita ko, skubi parama nuo konflikto nukentėjusiems Centrinės Afrikos Respublikos gyventojams, taip pat kaimyninėse šalyse esantiems pabėgėliams.</w:t>
      </w:r>
    </w:p>
    <w:p>
      <w:pPr>
        <w:spacing w:after="240" w:line="276" w:lineRule="auto"/>
        <w:jc w:val="both"/>
        <w:rPr>
          <w:b/>
          <w:noProof/>
        </w:rPr>
      </w:pPr>
      <w:r>
        <w:rPr>
          <w:b/>
          <w:noProof/>
        </w:rPr>
        <w:t>Kongo Demokratinė Respublika</w:t>
      </w:r>
    </w:p>
    <w:p>
      <w:pPr>
        <w:spacing w:after="240" w:line="276" w:lineRule="auto"/>
        <w:jc w:val="both"/>
        <w:rPr>
          <w:noProof/>
          <w:color w:val="auto"/>
        </w:rPr>
      </w:pPr>
      <w:r>
        <w:rPr>
          <w:noProof/>
          <w:color w:val="auto"/>
        </w:rPr>
        <w:t>Humanitarinė padėtis ir toliau blogėjo, nes gyventojams neigiamą poveikį darė tokie veiksniai kaip besitęsiantis konfliktas, priverstinis gyventojų perkėlimas ir nestabili politinė padėtis. 2018 m. rugpjūčio mėn. Kongo Demokratinėje Respublikoje buvo paskelbtas dešimtasis ir didžiausias Ebolos viruso protrūkis. Šis protrūkis pirmiausia kilo nuo konflikto nukentėjusioje teritorijoje; tai apsunkino reagavimo veiksmus, nes bendruomenė ėmėsi smurtinio pasipriešinimo ir kilo didelė išplitimo visame regione rizika. Be to, Kongo Demokratinėje Respublikoje maisto stygių patyrė daugiau 13 mln. asmenų, t. y. du kartus daugiau negu 2017 m. Per pastaruosius metus buvo priverstinai perkelta apie 4,5 mln. asmenų ir dar 800 000 Kongo gyventojų ieškojo prieglobsčio kaimyninėse šalyse.</w:t>
      </w:r>
    </w:p>
    <w:p>
      <w:pPr>
        <w:spacing w:after="240" w:line="276" w:lineRule="auto"/>
        <w:jc w:val="both"/>
        <w:rPr>
          <w:noProof/>
          <w:color w:val="auto"/>
        </w:rPr>
      </w:pPr>
      <w:r>
        <w:rPr>
          <w:noProof/>
          <w:color w:val="auto"/>
        </w:rPr>
        <w:t xml:space="preserve">ES skyrė daugiau kaip 80 mln. EUR, daugiausia dėmesio skirdama gyvybiškai svarbiai pagalbai ir logistinei paramai, kurios buvo teikiamos pasitelkiant jos humanitarines oro pajėgas. Kalbant apie reagavimą į Ebolos viruso protrūkį, ES glaudžiai bendradarbiavo su Kongo Demokratinės Respublikos vyriausybe ir pagrindiniais partneriais dalydamasi techninėmis žiniomis, teikdama logistinę paramą ir finansuodama operacijas, be kita ko, kaimyninėse šalyse. </w:t>
      </w:r>
    </w:p>
    <w:p>
      <w:pPr>
        <w:spacing w:after="240" w:line="276" w:lineRule="auto"/>
        <w:jc w:val="both"/>
        <w:rPr>
          <w:b/>
          <w:noProof/>
        </w:rPr>
      </w:pPr>
      <w:r>
        <w:rPr>
          <w:b/>
          <w:noProof/>
        </w:rPr>
        <w:t>Somalis</w:t>
      </w:r>
    </w:p>
    <w:p>
      <w:pPr>
        <w:spacing w:after="240" w:line="276" w:lineRule="auto"/>
        <w:jc w:val="both"/>
        <w:rPr>
          <w:bCs/>
          <w:noProof/>
          <w:color w:val="auto"/>
        </w:rPr>
      </w:pPr>
      <w:r>
        <w:rPr>
          <w:bCs/>
          <w:noProof/>
          <w:color w:val="auto"/>
        </w:rPr>
        <w:t xml:space="preserve">Dėl didelės sausros ir besitęsiančio ginkluoto konflikto humanitariniai poreikiai išliko dideli. Aprūpinimo maistu ir mitybos padėtis tebebuvo kritinė – humanitarinės pagalbos reikėjo 6,2 mln. asmenų, t. y. pusei visų gyventojų. Iš šių asmenų 2,6 mln. buvo šalies viduje perkelti asmenys, kurie gyveno perpildytose gyvenvietėse ir kuriems kilo su apsauga susijęs pavojus; iš jų 300 000 asmenų buvo priverstinai iškeldinti iš miesto teritorijose esančių valstybei priklausančių pastatų. </w:t>
      </w:r>
    </w:p>
    <w:p>
      <w:pPr>
        <w:spacing w:after="240" w:line="276" w:lineRule="auto"/>
        <w:jc w:val="both"/>
        <w:rPr>
          <w:bCs/>
          <w:noProof/>
          <w:color w:val="auto"/>
        </w:rPr>
      </w:pPr>
      <w:r>
        <w:rPr>
          <w:bCs/>
          <w:noProof/>
          <w:color w:val="auto"/>
        </w:rPr>
        <w:t>ES skyrus 89 mln. EUR, partneriai galėjo suteikti gyvybiškai svarbią pagalbą: aprūpinti grynaisiais pinigais, užtikrinti sveikatos ir mitybos priežiūrą, pastogę, sudaryti sąlygas gauti vandens ir naudotis sanitarijos paslaugomis, padėti pasirūpinti asmens higiena. Suteikus humanitarinę pagalbą ir prasidėjus naudingoms liūtims, 2017–2018 m. asmenų, kuriems labai stigo maisto, skaičius sumažėjo 54 proc. Bendradarbiaujant su kitais paramos vystymuisi teikėjais, imtasi iniciatyvų pereiti nuo reagavimo į nelaimes prie sukrėtimams atsparių ir prognozuojamų apsaugos priemonių. Humanitarinė padėtis tebėra nestabili, o poreikiai viršija prieš dvejus metus, t. y. prieš krizę, buvusį lygį.</w:t>
      </w:r>
    </w:p>
    <w:p>
      <w:pPr>
        <w:spacing w:after="240" w:line="276" w:lineRule="auto"/>
        <w:jc w:val="both"/>
        <w:rPr>
          <w:b/>
          <w:noProof/>
        </w:rPr>
      </w:pPr>
      <w:r>
        <w:rPr>
          <w:b/>
          <w:noProof/>
        </w:rPr>
        <w:t>Etiopija</w:t>
      </w:r>
    </w:p>
    <w:p>
      <w:pPr>
        <w:spacing w:after="240" w:line="276" w:lineRule="auto"/>
        <w:jc w:val="both"/>
        <w:rPr>
          <w:noProof/>
          <w:color w:val="auto"/>
        </w:rPr>
      </w:pPr>
      <w:r>
        <w:rPr>
          <w:noProof/>
          <w:color w:val="auto"/>
        </w:rPr>
        <w:t xml:space="preserve">Nuo 2017 m. dėl etninių grupių smurto šalies viduje buvo perkelta 3 mln. asmenų. Įgyvendindama vadinamąją atvirų durų politiką, Etiopija Afrikoje buvo priėmusi kone daugiausia pabėgėlių – daugiau kaip 900 000 pabėgėlių iš Eritrėjos, Pietų Sudano ir Somalio. Humanitarinės pagalbos teikėjai buvo susirūpinę dėl to, kad šiems naujiems atvykėliams trūksta tinkamos pagalbos, nes jiems atvykus labai padidėjo neprievalgio lygis. </w:t>
      </w:r>
    </w:p>
    <w:p>
      <w:pPr>
        <w:spacing w:after="240" w:line="276" w:lineRule="auto"/>
        <w:jc w:val="both"/>
        <w:rPr>
          <w:noProof/>
          <w:color w:val="auto"/>
        </w:rPr>
      </w:pPr>
      <w:r>
        <w:rPr>
          <w:noProof/>
          <w:color w:val="auto"/>
        </w:rPr>
        <w:t>2018 m. Komisija nuo krizės nukentėjusių asmenų poreikiams patenkinti Etiopijoje skyrė 63 mln. EUR. Bendradarbiaudama su partneriais, ES padėjo pabėgėliams iš Pietų Sudano ir Eritrėjos apsirūpinti maistu, pastoge ir svarbiausiais namų ūkio reikmenimis, mažinti neprievalgį, gauti vandens ir sanitarijos priemonių. Didžiausia šių lėšų dalis buvo skirta šalies viduje perkeltiems asmenims, kurie turėjo bėgti nuo tokių reiškinių kaip smurtas, namų sugriovimas ir pragyvenimo šaltinių sunaikinimas.</w:t>
      </w:r>
    </w:p>
    <w:p>
      <w:pPr>
        <w:spacing w:after="240" w:line="276" w:lineRule="auto"/>
        <w:jc w:val="both"/>
        <w:rPr>
          <w:b/>
          <w:noProof/>
        </w:rPr>
      </w:pPr>
      <w:r>
        <w:rPr>
          <w:b/>
          <w:noProof/>
        </w:rPr>
        <w:t>Sudanas</w:t>
      </w:r>
    </w:p>
    <w:p>
      <w:pPr>
        <w:spacing w:after="240" w:line="276" w:lineRule="auto"/>
        <w:jc w:val="both"/>
        <w:rPr>
          <w:noProof/>
          <w:color w:val="auto"/>
        </w:rPr>
      </w:pPr>
      <w:r>
        <w:rPr>
          <w:noProof/>
          <w:color w:val="auto"/>
        </w:rPr>
        <w:t>2018 m. pradžioje prasidėjo socialinė ir ekonominė krizė, todėl pablogėjo humanitarinė padėtis. Dėl nedidelių galimybių gauti maisto ir naudotis sveikatos priežiūros paslaugomis bei neveiksmingų krizės įveikimo mechanizmų taip pat padidėjo su apsauga susiję poreikiai. Daugeliui žmonių maisto stigo jau derliaus nuėmimo laikotarpiu, o nederlingais metais padėtis dar pablogėjo – maisto stigo maždaug 6 mln. asmenų. Dėl to žmonės tapo itin pažeidžiami, o sunkus ūminis neprievalgis pasiekė kritinį lygį. Dėl didėjančių apribojimų, susijusių su fizinėmis galimybėmis gauti grynųjų pinigų, atsirado papildomų sunkumų.</w:t>
      </w:r>
    </w:p>
    <w:p>
      <w:pPr>
        <w:spacing w:after="240" w:line="276" w:lineRule="auto"/>
        <w:jc w:val="both"/>
        <w:rPr>
          <w:noProof/>
          <w:color w:val="auto"/>
        </w:rPr>
      </w:pPr>
      <w:r>
        <w:rPr>
          <w:noProof/>
          <w:color w:val="auto"/>
        </w:rPr>
        <w:t>Siekdama patenkinti didėjančius humanitarinius poreikius Sudane, Komisija sutelkė 41 mln. EUR sumą, kad padėtų patenkinti skubiausius poreikius.</w:t>
      </w:r>
    </w:p>
    <w:p>
      <w:pPr>
        <w:spacing w:after="240" w:line="276" w:lineRule="auto"/>
        <w:jc w:val="both"/>
        <w:rPr>
          <w:b/>
          <w:noProof/>
        </w:rPr>
      </w:pPr>
      <w:r>
        <w:rPr>
          <w:b/>
          <w:noProof/>
        </w:rPr>
        <w:t>Venesuela</w:t>
      </w:r>
    </w:p>
    <w:p>
      <w:pPr>
        <w:widowControl/>
        <w:spacing w:after="240" w:line="276" w:lineRule="auto"/>
        <w:jc w:val="both"/>
        <w:rPr>
          <w:noProof/>
          <w:color w:val="auto"/>
        </w:rPr>
      </w:pPr>
      <w:r>
        <w:rPr>
          <w:noProof/>
          <w:color w:val="auto"/>
        </w:rPr>
        <w:t xml:space="preserve">Dėl socialinės, ekonominės ir politinės krizės pablogėjo gyventojų gyvenimo sąlygos. Pradėjus trūkti vaistų ir itin sumažėjus sveikatos priežiūros sistemos pajėgumams, vis daugiau žmonių negavo reikiamo gydymo. Nutraukus įgyvendinamas prevencines programas, pablogėjus sanitarinėms sąlygoms ir sumažėjus skiepijimo apimčiai, kilo keletas didelių infekcinių ligų protrūkių. Neprievalgio lygis daugelyje vietovių viršijo kritines ribas. Žmogžudysčių ir smurto rodikliai tebebuvo vieni didžiausių pasaulyje. Iki 2018 m. pabaigos iš šalies išvyko daugiau kaip 3,2 mln. asmenų, daugiausia į Kolumbiją, Peru, Ekvadorą ir Braziliją. </w:t>
      </w:r>
    </w:p>
    <w:p>
      <w:pPr>
        <w:widowControl/>
        <w:spacing w:after="240" w:line="276" w:lineRule="auto"/>
        <w:jc w:val="both"/>
        <w:rPr>
          <w:noProof/>
          <w:color w:val="auto"/>
        </w:rPr>
      </w:pPr>
      <w:r>
        <w:rPr>
          <w:noProof/>
          <w:color w:val="auto"/>
        </w:rPr>
        <w:t>Kad būtų teikiamos pirmiausia su sveikatos priežiūra ir mityba susijusios paslaugos, užtikrinamos galimybės gauti vandens ir naudotis sanitarijos paslaugomis, apsauga, ŠES ir parama priimančiosioms bendruomenėms, ES iš viso skyrė 32 mln. EUR. Ši suma taip pat apima 7 mln. EUR padidintą paramą iš EPF, skirtą skubiems humanitariniams poreikiams patenkinti.</w:t>
      </w:r>
    </w:p>
    <w:p>
      <w:pPr>
        <w:spacing w:after="240" w:line="276" w:lineRule="auto"/>
        <w:jc w:val="both"/>
        <w:rPr>
          <w:b/>
          <w:noProof/>
        </w:rPr>
      </w:pPr>
      <w:r>
        <w:rPr>
          <w:b/>
          <w:noProof/>
        </w:rPr>
        <w:t xml:space="preserve">Kolumbija </w:t>
      </w:r>
    </w:p>
    <w:p>
      <w:pPr>
        <w:widowControl/>
        <w:spacing w:after="240" w:line="276" w:lineRule="auto"/>
        <w:jc w:val="both"/>
        <w:rPr>
          <w:noProof/>
          <w:color w:val="auto"/>
        </w:rPr>
      </w:pPr>
      <w:r>
        <w:rPr>
          <w:noProof/>
          <w:color w:val="auto"/>
        </w:rPr>
        <w:t xml:space="preserve">Didėjo humanitariniai poreikiai, kilo sunkumų užtikrinant THT laikymąsi, o dėl ginkluotų grupuočių smurto prieš civilius gyventojus pastarieji buvo priversti persikelti. 2018 m. buvo perkelta daugiau kaip 150 000 asmenų, o 1 mln. buvo pritaikytos įkalinimo priemonės ir judumo apribojimai. Iki metų pabaigos kaimyninės šalys priglobė apie 300 000 Kolumbijos pabėgėlių. Tuo pat metu, paaštrėjus krizei Venesueloje, žmonės buvo priversti bėgti į Kolumbiją. Šalyje taip pat buvo iškilusi didelė gaivalinių nelaimių grėsmė, o nuo konfliktų nukentėjusiose vietovėse nebuvo daug galimybių kreiptis į pagalbos teikėjus. </w:t>
      </w:r>
    </w:p>
    <w:p>
      <w:pPr>
        <w:widowControl/>
        <w:spacing w:after="240" w:line="276" w:lineRule="auto"/>
        <w:jc w:val="both"/>
        <w:rPr>
          <w:noProof/>
          <w:color w:val="auto"/>
        </w:rPr>
      </w:pPr>
      <w:r>
        <w:rPr>
          <w:noProof/>
          <w:color w:val="auto"/>
        </w:rPr>
        <w:t>Komisija, siekdama padėti nuo konfliktų nukentėjusiems žmonėms ir stiprinti pasirengimo nelaimėms pajėgumus, skyrė 8,56 mln. EUR. Pagalba buvo teikiama, be kita ko, pažeidžiamiausių asmenų grupių apsaugos, sveikatos priežiūros, galimybių gauti vandens ir naudotis sanitarijos paslaugomis, ŠES ir pasirengimo nelaimėms srityse.</w:t>
      </w:r>
    </w:p>
    <w:p>
      <w:pPr>
        <w:spacing w:after="240" w:line="276" w:lineRule="auto"/>
        <w:jc w:val="both"/>
        <w:rPr>
          <w:b/>
          <w:noProof/>
        </w:rPr>
      </w:pPr>
      <w:r>
        <w:rPr>
          <w:b/>
          <w:noProof/>
        </w:rPr>
        <w:t xml:space="preserve">Haitis </w:t>
      </w:r>
    </w:p>
    <w:p>
      <w:pPr>
        <w:widowControl/>
        <w:spacing w:after="240" w:line="276" w:lineRule="auto"/>
        <w:jc w:val="both"/>
        <w:rPr>
          <w:noProof/>
          <w:color w:val="auto"/>
        </w:rPr>
      </w:pPr>
      <w:r>
        <w:rPr>
          <w:noProof/>
          <w:color w:val="auto"/>
        </w:rPr>
        <w:t xml:space="preserve">Tais metais Haityje maisto stygius pasiekė kritinį lygį – į didelę maisto krizę buvo patekę daugiau kaip 1,3 mln. asmenų. Didelio vaikų iki penkerių metų neprievalgio rodikliai išliko aukšti ir keliose vietovėse viršijo PSO nustatytą kritinį lygį. Praėjus daugiau kaip dvejiems metams po uragano „Matthew“, daugiau kaip 140 000 nukentėjusių šeimų vis dar neturėjo žemės drebėjimams atsparių pastogių, taip pat galimybių gauti vandens ir naudotis sanitarijos paslaugomis.  </w:t>
      </w:r>
    </w:p>
    <w:p>
      <w:pPr>
        <w:widowControl/>
        <w:spacing w:after="240" w:line="276" w:lineRule="auto"/>
        <w:jc w:val="both"/>
        <w:rPr>
          <w:noProof/>
          <w:color w:val="auto"/>
        </w:rPr>
      </w:pPr>
      <w:r>
        <w:rPr>
          <w:noProof/>
          <w:color w:val="auto"/>
        </w:rPr>
        <w:t>2018 m. ES, siekdama išspręsti didelio maisto stygiaus problemą ir padėti koordinuoti humanitarines operacijas, skyrė 12 mln. EUR. Be to, 3,4 mln. EUR buvo skirta pasirengimo nelaimėms iniciatyvoms, kurias įgyvendinant stiprinami greitojo reagavimo pajėgumai, remiami nelaimėms atsparių būstų statybos metodai ir gerinamas pasirengimas sausroms. Reaguodama į spalio mėn. įvykusį žemės drebėjimą, ES ne maisto produktams įsigyti taip pat skyrė 0,2 mln. EUR.</w:t>
      </w:r>
    </w:p>
    <w:p>
      <w:pPr>
        <w:spacing w:after="240" w:line="276" w:lineRule="auto"/>
        <w:jc w:val="both"/>
        <w:rPr>
          <w:b/>
          <w:noProof/>
        </w:rPr>
      </w:pPr>
      <w:r>
        <w:rPr>
          <w:b/>
          <w:noProof/>
        </w:rPr>
        <w:t>Afganistanas</w:t>
      </w:r>
    </w:p>
    <w:p>
      <w:pPr>
        <w:spacing w:after="240" w:line="276" w:lineRule="auto"/>
        <w:jc w:val="both"/>
        <w:rPr>
          <w:noProof/>
          <w:color w:val="auto"/>
        </w:rPr>
      </w:pPr>
      <w:r>
        <w:rPr>
          <w:noProof/>
          <w:color w:val="auto"/>
        </w:rPr>
        <w:t xml:space="preserve">18-aisiais šio besitęsiančio konflikto metais daugėjo civilių gyventojų aukų ir naujų priverstinio gyventojų perkėlimo atvejų. Šalyje taip pat kilo didelė sausra, padariusi didelį poveikį žemės ūkio gamybai, o tai turėjo neigiamos įtakos daugiau kaip 13 mln. asmenų. Pagalbos reikėjo daugeliui iš 600 000 naujų šalies viduje perkeltų asmenų ir maždaug 820 000 dokumentus turinčių ir jų neturinčių pabėgėlių, 2018 m. grįžusių iš Irano ir Pakistano. Maisto stigo apie 13,5 mln. asmenų – 6 mln. daugiau negu praėjusiais metais. </w:t>
      </w:r>
    </w:p>
    <w:p>
      <w:pPr>
        <w:spacing w:after="240" w:line="276" w:lineRule="auto"/>
        <w:jc w:val="both"/>
        <w:rPr>
          <w:noProof/>
          <w:color w:val="auto"/>
        </w:rPr>
      </w:pPr>
      <w:r>
        <w:rPr>
          <w:noProof/>
          <w:color w:val="auto"/>
        </w:rPr>
        <w:t>Nepaisydama sudėtingų saugumo sąlygų, ES toliau teikė gyvybiškai svarbią pagalbą, be kita ko, tose srityse, kuriose paramos neteikė kiti subjektai. Pagalbos operacijoms paremti 2018 m. buvo skirta 46 mln. EUR.</w:t>
      </w:r>
    </w:p>
    <w:p>
      <w:pPr>
        <w:spacing w:after="240" w:line="276" w:lineRule="auto"/>
        <w:jc w:val="both"/>
        <w:rPr>
          <w:b/>
          <w:noProof/>
        </w:rPr>
      </w:pPr>
      <w:r>
        <w:rPr>
          <w:b/>
          <w:noProof/>
        </w:rPr>
        <w:t xml:space="preserve">Rohinjų krizė </w:t>
      </w:r>
    </w:p>
    <w:p>
      <w:pPr>
        <w:widowControl/>
        <w:spacing w:after="240" w:line="276" w:lineRule="auto"/>
        <w:jc w:val="both"/>
        <w:rPr>
          <w:noProof/>
          <w:color w:val="auto"/>
        </w:rPr>
      </w:pPr>
      <w:r>
        <w:rPr>
          <w:noProof/>
          <w:color w:val="auto"/>
        </w:rPr>
        <w:t xml:space="preserve">Po 2017 m. įvykusio didelio masto gyventojų perkėlimo 2018 m. apie milijonas pabėgėlių be pilietybės gyveno Bangladešo Koks Bazaro mieste. Dauguma iš jų gyveno itin perpildytoje didelėje stovykloje ir buvo visiškai priklausomi nuo humanitarinės pagalbos: neturėjo jokios judėjimo laisvės ir pragyvenimo galimybių. Dėl gyventojų perkėlimo iš Mianmaro Koks Bazaro gyventojų skaičius padidėjo beveik tris kartus, todėl vietos bendruomenėse atsirado įtampa. </w:t>
      </w:r>
    </w:p>
    <w:p>
      <w:pPr>
        <w:widowControl/>
        <w:spacing w:after="240" w:line="276" w:lineRule="auto"/>
        <w:jc w:val="both"/>
        <w:rPr>
          <w:noProof/>
          <w:color w:val="auto"/>
        </w:rPr>
      </w:pPr>
      <w:r>
        <w:rPr>
          <w:noProof/>
          <w:color w:val="auto"/>
        </w:rPr>
        <w:t>Tiek Bangladeše, tiek Mianmare kilusioms krizėms įveikti ES skyrė 46 mln. EUR vertės humanitarinę pagalbą. Šiomis lėšomis buvo stengiamasi užtikrinti pagrindinę sveikatos priežiūrą, galimybes gauti vandens ir naudotis sanitarijos paslaugomis, pastogę, mitybą, apsaugą, psichologinę paramą ir pagalbą nelaimių rizikos mažinimo srityje.</w:t>
      </w:r>
    </w:p>
    <w:p>
      <w:pPr>
        <w:pStyle w:val="Heading310"/>
        <w:keepNext/>
        <w:keepLines/>
        <w:shd w:val="clear" w:color="auto" w:fill="auto"/>
        <w:spacing w:after="240" w:line="276" w:lineRule="auto"/>
        <w:ind w:firstLine="0"/>
        <w:jc w:val="both"/>
        <w:rPr>
          <w:noProof/>
          <w:sz w:val="28"/>
          <w:u w:val="single"/>
        </w:rPr>
      </w:pPr>
    </w:p>
    <w:p>
      <w:pPr>
        <w:pStyle w:val="Heading310"/>
        <w:keepNext/>
        <w:keepLines/>
        <w:shd w:val="clear" w:color="auto" w:fill="auto"/>
        <w:spacing w:after="240" w:line="276" w:lineRule="auto"/>
        <w:ind w:firstLine="0"/>
        <w:jc w:val="both"/>
        <w:rPr>
          <w:noProof/>
          <w:sz w:val="28"/>
          <w:u w:val="single"/>
        </w:rPr>
      </w:pPr>
      <w:bookmarkStart w:id="8" w:name="_Toc29297485"/>
      <w:r>
        <w:rPr>
          <w:noProof/>
          <w:sz w:val="28"/>
          <w:u w:val="single"/>
        </w:rPr>
        <w:t>Horizontalieji prioritetai</w:t>
      </w:r>
      <w:bookmarkEnd w:id="8"/>
    </w:p>
    <w:p>
      <w:pPr>
        <w:spacing w:after="240" w:line="276" w:lineRule="auto"/>
        <w:jc w:val="both"/>
        <w:rPr>
          <w:b/>
          <w:noProof/>
        </w:rPr>
      </w:pPr>
      <w:r>
        <w:rPr>
          <w:b/>
          <w:noProof/>
        </w:rPr>
        <w:t>Švietimas ekstremaliosiose situacijose (ŠES)</w:t>
      </w:r>
    </w:p>
    <w:p>
      <w:pPr>
        <w:spacing w:after="240" w:line="276" w:lineRule="auto"/>
        <w:jc w:val="both"/>
        <w:rPr>
          <w:noProof/>
        </w:rPr>
      </w:pPr>
      <w:r>
        <w:rPr>
          <w:noProof/>
        </w:rPr>
        <w:t xml:space="preserve">2018 m. Europos Komisija su ŠES susijusiai veiklai 34-iose šalyse skyrė 8,5 proc. humanitarinės veiklos biudžeto (91,6 mln. EUR), taigi viršijo tiems metams nustatytą tikslą šiai veiklai skirti 8 proc. minėto biudžeto. 2018 m. Komisija 1,4 mln. EUR ŠES skirto finansavimo taip pat paskirstė pagal Skubios paramos teikimo priemonę Graikijoje. ŠES skirta pagalba pasinaudojo 1,25 mln. paramos gavėjų – jie, patekę į pažeidžiamiausią padėtį, galėjo užsitikrinti galimybes gauti saugaus ir kokybiško švietimo paslaugas. </w:t>
      </w:r>
    </w:p>
    <w:p>
      <w:pPr>
        <w:spacing w:after="240" w:line="276" w:lineRule="auto"/>
        <w:jc w:val="both"/>
        <w:rPr>
          <w:noProof/>
        </w:rPr>
      </w:pPr>
      <w:r>
        <w:rPr>
          <w:noProof/>
        </w:rPr>
        <w:t>2018 m. gegužės mėn. Komisija taip pat priėmė Komunikatą dėl ŠES ir užsitęsus krizėms</w:t>
      </w:r>
      <w:r>
        <w:rPr>
          <w:rStyle w:val="FootnoteReference"/>
          <w:noProof/>
          <w:lang w:val="en-GB"/>
        </w:rPr>
        <w:footnoteReference w:id="1"/>
      </w:r>
      <w:r>
        <w:rPr>
          <w:noProof/>
        </w:rPr>
        <w:t>. Pagal naująją politikos sistemą ES, remdamasi holistine ir suderinta humanitarinės pagalbos ir vystymosi tarpusavio sąsajos koncepcija ir aiškiais strateginiais prioritetais, galės geriau numatyti ir lanksčiau bei veiksmingiau panaudoti išteklius. 2018 m. lapkričio mėn. priimtose Tarybos išvadose</w:t>
      </w:r>
      <w:r>
        <w:rPr>
          <w:rStyle w:val="FootnoteReference"/>
          <w:noProof/>
          <w:lang w:val="en-GB"/>
        </w:rPr>
        <w:footnoteReference w:id="2"/>
      </w:r>
      <w:r>
        <w:rPr>
          <w:noProof/>
        </w:rPr>
        <w:t xml:space="preserve"> ES valstybės narės patvirtino šią politikos sistemą.</w:t>
      </w:r>
    </w:p>
    <w:p>
      <w:pPr>
        <w:spacing w:after="240" w:line="276" w:lineRule="auto"/>
        <w:jc w:val="both"/>
        <w:rPr>
          <w:b/>
          <w:noProof/>
        </w:rPr>
      </w:pPr>
      <w:r>
        <w:rPr>
          <w:b/>
          <w:noProof/>
        </w:rPr>
        <w:t>Pagalba grynaisiais pinigais</w:t>
      </w:r>
    </w:p>
    <w:p>
      <w:pPr>
        <w:spacing w:after="240" w:line="276" w:lineRule="auto"/>
        <w:jc w:val="both"/>
        <w:rPr>
          <w:noProof/>
        </w:rPr>
      </w:pPr>
      <w:r>
        <w:rPr>
          <w:noProof/>
        </w:rPr>
        <w:t>Tarptautinė bendruomenė pasaulio aukščiausiojo lygio susitikime humanitariniais klausimais ir susitarime „Grand Bargain“ pripažino, kad grynųjų pinigų pervedimai dažnai yra veiksmingesni ir ekonomiškai efektyvesni negu kitų rūšių pagalba. Tai dar kartą patvirtinta 2017 m. lapkričio mėn. Grynųjų pinigų pervedimo gairėse. Sumažėjus operacijų sąnaudoms, pagalba tiekiama tiesiogiai paramos gavėjams, o tai padeda užtikrinti kuo didesnį poveikį ir didelę ekonominę naudą. Be to, grynųjų pinigų pervedimai padeda remti vietos rinkas ir yra bendruomenių atsigavimo ir atsparumo pagrindas.</w:t>
      </w:r>
    </w:p>
    <w:p>
      <w:pPr>
        <w:spacing w:after="240" w:line="276" w:lineRule="auto"/>
        <w:jc w:val="both"/>
        <w:rPr>
          <w:noProof/>
        </w:rPr>
      </w:pPr>
      <w:r>
        <w:rPr>
          <w:noProof/>
        </w:rPr>
        <w:t xml:space="preserve">Europos Komisija pasinaudojo visomis galimybėmis didinti naudojimosi grynaisiais pinigais mastą; šia priemone buvo sėkmingai naudojamasi vykdant operacijas Turkijoje, Graikijoje, Somalyje, Libane, Jordanijoje, Afganistane ir Irake. </w:t>
      </w:r>
    </w:p>
    <w:p>
      <w:pPr>
        <w:spacing w:after="240" w:line="276" w:lineRule="auto"/>
        <w:jc w:val="both"/>
        <w:rPr>
          <w:b/>
          <w:noProof/>
        </w:rPr>
      </w:pPr>
      <w:r>
        <w:rPr>
          <w:b/>
          <w:noProof/>
        </w:rPr>
        <w:t>Inovacijos ir privačiojo sektoriaus dalyvavimas</w:t>
      </w:r>
    </w:p>
    <w:p>
      <w:pPr>
        <w:spacing w:after="240" w:line="276" w:lineRule="auto"/>
        <w:jc w:val="both"/>
        <w:rPr>
          <w:noProof/>
        </w:rPr>
      </w:pPr>
      <w:r>
        <w:rPr>
          <w:noProof/>
        </w:rPr>
        <w:t xml:space="preserve">2018 m. Komisija dalyvavo pasaulinėse diskusijose dėl inovacijų humanitarinės pagalbos srityje ir privačiojo sektoriaus dalyvavimo, visų pirma kasmetiniame Pasaulio ekonomikos forumo susitikime, Jungtinių Tautų Ekonominės ir Socialinės Tarybos (angl. ECOSOC) Humanitarinių reikalų skyriuje ir JT Generalinėje Asamblėjoje. </w:t>
      </w:r>
    </w:p>
    <w:p>
      <w:pPr>
        <w:spacing w:after="240" w:line="276" w:lineRule="auto"/>
        <w:jc w:val="both"/>
        <w:rPr>
          <w:noProof/>
        </w:rPr>
      </w:pPr>
      <w:r>
        <w:rPr>
          <w:noProof/>
        </w:rPr>
        <w:t>Komisija toliau rėmė pastangas kurti naujoviškus metodus pasinaudojant ES mokslinių tyrimų ir inovacijų programų suteikiamomis galimybėmis. Pavyzdžiui, 2018 m. pagal programą „Horizontas 2020“ buvo pradėti teikti trys Europos inovacijų tarybos apdovanojimai, tiesiogiai susiję su humanitarinės pagalbos sektoriumi: už įperkamas humanitarinei pagalbai teikti skirtas aukštąsias technologijas, išankstinio perspėjimo apie epidemijas sistemas ir blokų grandines socialinei gerovei užtikrinti.</w:t>
      </w:r>
    </w:p>
    <w:p>
      <w:pPr>
        <w:spacing w:after="240" w:line="276" w:lineRule="auto"/>
        <w:jc w:val="both"/>
        <w:rPr>
          <w:b/>
          <w:noProof/>
          <w:lang w:val="en-GB"/>
        </w:rPr>
      </w:pPr>
    </w:p>
    <w:p>
      <w:pPr>
        <w:spacing w:after="240" w:line="276" w:lineRule="auto"/>
        <w:jc w:val="both"/>
        <w:rPr>
          <w:b/>
          <w:noProof/>
        </w:rPr>
      </w:pPr>
      <w:r>
        <w:rPr>
          <w:b/>
          <w:noProof/>
        </w:rPr>
        <w:t>ES vadovavimas įgyvendinant iniciatyvą „Raginimas imtis veiksmų siekiant apsaugoti nuo smurto dėl lyties ekstremaliųjų situacijų atveju“</w:t>
      </w:r>
    </w:p>
    <w:p>
      <w:pPr>
        <w:spacing w:after="240" w:line="276" w:lineRule="auto"/>
        <w:jc w:val="both"/>
        <w:rPr>
          <w:noProof/>
        </w:rPr>
      </w:pPr>
      <w:r>
        <w:rPr>
          <w:noProof/>
        </w:rPr>
        <w:t xml:space="preserve">Nuo 2017 m. birželio mėn. iki 2018 m. gruodžio mėn. Komisija vadovavo įgyvendinant pasaulinę humanitarinę iniciatyvą „Raginimas imtis veiksmų siekiant apsaugoti nuo smurto dėl lyties ekstremaliųjų situacijų atveju“. Įgyvendinant šią pasaulinę iniciatyvą suburiami 82 partneriai (valstybės, paramos teikėjai, tarptautinės organizacijos ir NVO), siekiant paskatinti imtis pokyčių ir didinti atskaitomybę humanitarinės pagalbos sistemoje, kad smurto dėl lyties problemą būtų galima spręsti jau anksčiausiais krizės etapais. Komisija aktyviai dalyvauja įgyvendinant šią iniciatyvą nuo pat jos sukūrimo 2013 m. ir 2017 m. birželio mėn. tapo pasauline jos lydere. </w:t>
      </w:r>
    </w:p>
    <w:p>
      <w:pPr>
        <w:spacing w:after="240" w:line="276" w:lineRule="auto"/>
        <w:jc w:val="both"/>
        <w:rPr>
          <w:noProof/>
        </w:rPr>
      </w:pPr>
      <w:r>
        <w:rPr>
          <w:noProof/>
        </w:rPr>
        <w:t>2017 ir 2018 m. Europos Komisija seksualinio smurto ir smurto dėl lyties prevencijai ir reagavimo į šiuos reiškinius priemonėms visame pasaulyje skyrė maždaug 62 mln. EUR vertės humanitarinę pagalbą.</w:t>
      </w:r>
    </w:p>
    <w:p>
      <w:pPr>
        <w:spacing w:after="240" w:line="276" w:lineRule="auto"/>
        <w:jc w:val="both"/>
        <w:rPr>
          <w:b/>
          <w:noProof/>
        </w:rPr>
      </w:pPr>
      <w:r>
        <w:rPr>
          <w:b/>
          <w:noProof/>
        </w:rPr>
        <w:t>Humanitarinių oro pajėgų („ECHO Flight“) operacijos Afrikoje ir parama humanitarinėms oro transporto pajėgoms</w:t>
      </w:r>
    </w:p>
    <w:p>
      <w:pPr>
        <w:spacing w:after="240" w:line="276" w:lineRule="auto"/>
        <w:jc w:val="both"/>
        <w:rPr>
          <w:rFonts w:cs="Roboto-Regular"/>
          <w:noProof/>
        </w:rPr>
      </w:pPr>
      <w:r>
        <w:rPr>
          <w:noProof/>
        </w:rPr>
        <w:t xml:space="preserve">Norint pasiekti žmones, kuriems reikia pagalbos, ypač tais atvejais, kai infrastruktūra yra nepatikima, humanitarinės oro pajėgos atlieka labai svarbų vaidmenį. Humanitarinės oro pajėgos ne tik perveža humanitarines atsargas ir humanitarinę pagalbą teikiančius darbuotojus, bet ir evakuoja ligonius bei vykdo saugumo evakuacijos operacijas. </w:t>
      </w:r>
    </w:p>
    <w:p>
      <w:pPr>
        <w:spacing w:after="240" w:line="276" w:lineRule="auto"/>
        <w:jc w:val="both"/>
        <w:rPr>
          <w:rFonts w:cs="Roboto-Regular"/>
          <w:noProof/>
        </w:rPr>
      </w:pPr>
      <w:r>
        <w:rPr>
          <w:noProof/>
        </w:rPr>
        <w:t>Komisija naudojasi savo humanitarinėmis oro pajėgomis „ECHO Flight“, kurių centai įsteigti Kenijoje, Ugandoje, Kongo Demokratinėje Respublikoje ir Malyje. Šios pajėgos, turinčios šešis orlaivius, 2018 m. suteikė pagalbą daugiau kaip 250-yje projektų dalyvaujantiems humanitarinės pagalbos darbuotojams ir pervežė 26 176 humanitarinės pagalbos darbuotojus bei apie 230 tonų krovinių. Humanitarinėms oro pajėgoms „ECHO Flight“ buvo skirtas 14,6 mln. EUR biudžetas, o jų paslaugos partneriams ir humanitarinėms organizacijoms buvo teikiamos nemokamai.</w:t>
      </w:r>
    </w:p>
    <w:p>
      <w:pPr>
        <w:spacing w:after="240" w:line="276" w:lineRule="auto"/>
        <w:jc w:val="both"/>
        <w:rPr>
          <w:rFonts w:cs="Roboto-Regular"/>
          <w:noProof/>
        </w:rPr>
      </w:pPr>
      <w:r>
        <w:rPr>
          <w:noProof/>
        </w:rPr>
        <w:t>Komisija taip pat rėmė kitas ne pelno humanitarines oro pajėgas. 2018 m. Pasaulio maisto programai (PMP) ir Jungtinių Tautų humanitarinėms oro pajėgoms ji skyrė 24,5 mln. EUR, o organizacijos „Mission Aviation Fellowship“ operacijoms Afganistane – 750 000 EUR.</w:t>
      </w:r>
    </w:p>
    <w:p>
      <w:pPr>
        <w:pStyle w:val="Heading310"/>
        <w:spacing w:after="240" w:line="276" w:lineRule="auto"/>
        <w:ind w:firstLine="0"/>
        <w:jc w:val="left"/>
        <w:rPr>
          <w:noProof/>
          <w:sz w:val="28"/>
          <w:u w:val="single"/>
        </w:rPr>
      </w:pPr>
      <w:bookmarkStart w:id="9" w:name="_Toc29297486"/>
      <w:r>
        <w:rPr>
          <w:noProof/>
          <w:sz w:val="28"/>
          <w:u w:val="single"/>
        </w:rPr>
        <w:t>2018 m. atliktų vertinimų santrauka</w:t>
      </w:r>
      <w:bookmarkEnd w:id="9"/>
    </w:p>
    <w:p>
      <w:pPr>
        <w:spacing w:after="240" w:line="276" w:lineRule="auto"/>
        <w:jc w:val="both"/>
        <w:rPr>
          <w:b/>
          <w:noProof/>
        </w:rPr>
      </w:pPr>
      <w:hyperlink r:id="rId22" w:history="1">
        <w:r>
          <w:rPr>
            <w:rStyle w:val="Hyperlink"/>
            <w:noProof/>
          </w:rPr>
          <w:t>Išsamus ES humanitarinės pagalbos 2012–2016 m. vertinimas</w:t>
        </w:r>
      </w:hyperlink>
    </w:p>
    <w:p>
      <w:pPr>
        <w:spacing w:after="240" w:line="276" w:lineRule="auto"/>
        <w:jc w:val="both"/>
        <w:rPr>
          <w:noProof/>
        </w:rPr>
      </w:pPr>
      <w:r>
        <w:rPr>
          <w:noProof/>
        </w:rPr>
        <w:t xml:space="preserve">Atlikus šį vertinimą padaryta išvada, kad ES yra principinga poreikiais grindžiamos paramos teikėja, išsiskirianti savo požiūriu į partnerystę, vietos lygmens tinklu ir indėliu formuojant humanitarinės pagalbos sistemą. Nustatyta, kad biudžeto asignavimai buvo tinkami, kad būtų galima patenkinti tikslinių gyventojų grupių poreikius ir pasiekti humanitarinės pagalbos tikslus, taip pat grindžiami išsamiais ir patikimais poreikių vertinimais. Apskritai padaryta išvada, kad veiksmai buvo ekonomiškai efektyvūs. </w:t>
      </w:r>
    </w:p>
    <w:p>
      <w:pPr>
        <w:spacing w:after="240" w:line="276" w:lineRule="auto"/>
        <w:jc w:val="both"/>
        <w:rPr>
          <w:noProof/>
        </w:rPr>
      </w:pPr>
      <w:r>
        <w:rPr>
          <w:noProof/>
        </w:rPr>
        <w:t>Nustatyta, kad tam tikrose srityse reikia kai ką patobulinti, be kita ko, išplėtoti metodiškesnį požiūrį į ES ir jos partnerių partnerystę, užtikrinti aktyvesnį vietos įgyvendinančiųjų partnerių dalyvavimą, platesniu mastu taikyti sėkmingus novatoriškus metodus ir tobulinti ataskaitų teikimo procesą, skatinti užtikrinti sąveiką su civilinės saugos veikla ir išsamiau informuoti apie ES strateginių krypčių loginį pagrindą.</w:t>
      </w:r>
    </w:p>
    <w:p>
      <w:pPr>
        <w:spacing w:after="240" w:line="276" w:lineRule="auto"/>
        <w:jc w:val="both"/>
        <w:rPr>
          <w:noProof/>
        </w:rPr>
      </w:pPr>
    </w:p>
    <w:p>
      <w:pPr>
        <w:spacing w:after="240" w:line="276" w:lineRule="auto"/>
        <w:jc w:val="both"/>
        <w:rPr>
          <w:b/>
          <w:noProof/>
          <w:u w:val="single"/>
        </w:rPr>
      </w:pPr>
      <w:hyperlink r:id="rId23" w:history="1">
        <w:r>
          <w:rPr>
            <w:rStyle w:val="Hyperlink"/>
            <w:noProof/>
          </w:rPr>
          <w:t>Humanitarinės logistikos vykdant ES civilinės saugos ir humanitarines operacijas 2013–2017 m. vertinimas</w:t>
        </w:r>
      </w:hyperlink>
    </w:p>
    <w:p>
      <w:pPr>
        <w:spacing w:after="240" w:line="276" w:lineRule="auto"/>
        <w:jc w:val="both"/>
        <w:rPr>
          <w:noProof/>
        </w:rPr>
      </w:pPr>
      <w:r>
        <w:rPr>
          <w:noProof/>
        </w:rPr>
        <w:t>Atliekant šį vertinimą buvo tikrinamos Komisijos investicijos į humanitarines oro pajėgas, iniciatyvos, kuriomis siekiama tobulinti humanitarinės logistikos sistemas, ir logistikos operacijų įgyvendinant Komisijos projektus finansavimas. Padaryta išvada, kad Komisijos investicijos į logistikos centrus ir mokymą, taip pat Komisijos parama plėtojant Pasaulinį logistikos centrą duoda ilgalaikės naudos. Be to, tebėra labai svarbu remti oro pajėgas.</w:t>
      </w:r>
    </w:p>
    <w:p>
      <w:pPr>
        <w:spacing w:after="240" w:line="276" w:lineRule="auto"/>
        <w:jc w:val="both"/>
        <w:rPr>
          <w:noProof/>
        </w:rPr>
      </w:pPr>
      <w:r>
        <w:rPr>
          <w:noProof/>
        </w:rPr>
        <w:t>Šiame vertinime Komisijai rekomenduojama išplėtoti humanitarinės logistikos politiką ir sudarant partnerystės susitarimus, atliekant krizių vertinimus ir rengiant planavimo priemones logistikai skirti daugiau dėmesio. Be to, jame siūloma būdų, kaip toliau skatinti pirmauti logistikos srityje ir bendradarbiauti su kitais humanitarinės pagalbos teikėjais, kad būtų galima užtikrinti veiksmingumą ir gerinti rezultatus.</w:t>
      </w:r>
    </w:p>
    <w:p>
      <w:pPr>
        <w:spacing w:after="240" w:line="276" w:lineRule="auto"/>
        <w:jc w:val="both"/>
        <w:rPr>
          <w:b/>
          <w:noProof/>
          <w:u w:val="single"/>
        </w:rPr>
      </w:pPr>
      <w:hyperlink r:id="rId24" w:history="1">
        <w:r>
          <w:rPr>
            <w:rStyle w:val="Hyperlink"/>
            <w:noProof/>
          </w:rPr>
          <w:t>ES humanitarinės pagalbos teikimo Afrikos Didžiųjų ežerų regione 2013–2017 m. vertinimas</w:t>
        </w:r>
      </w:hyperlink>
    </w:p>
    <w:p>
      <w:pPr>
        <w:spacing w:after="240" w:line="276" w:lineRule="auto"/>
        <w:jc w:val="both"/>
        <w:rPr>
          <w:noProof/>
        </w:rPr>
      </w:pPr>
      <w:r>
        <w:rPr>
          <w:noProof/>
        </w:rPr>
        <w:t xml:space="preserve">Šioje ataskaitoje pateikiamas ES humanitarinės pagalbos teikimo Afrikos Didžiųjų ežerų regione 2013–2017 m. vertinimas. Biudžeto asignavimai neatitiko šiame regione didėjančių poreikių, o tai reiškia, kad Komisija turėjo apriboti savo veiksmus ir vykdyti tik pagrindinę užduotį – gelbėti gyvybes. Nepaisant to, priimta strategija buvo pritaikyta prie kintančių poreikių, buvo pasiektas aukštas veiksmų suderinamumo lygis, o kuriant humanitarinės pagalbos koordinavimo struktūras šiame regione Komisija atliko vieną iš pagrindinių vaidmenų. </w:t>
      </w:r>
    </w:p>
    <w:p>
      <w:pPr>
        <w:spacing w:after="240" w:line="276" w:lineRule="auto"/>
        <w:jc w:val="both"/>
        <w:rPr>
          <w:noProof/>
        </w:rPr>
      </w:pPr>
      <w:r>
        <w:rPr>
          <w:noProof/>
        </w:rPr>
        <w:t xml:space="preserve">Atlikus šį vertinimą nustatyti konkretūs aspektai, padedantys didinti Europos civilinės saugos ir humanitarinės pagalbos operacijų GD veiksmų efektyvumą, pavyzdžiui, patikimi stebėsenos procesai. Pažymėta, kad reikėtų patobulinti tam tikrus aspektus, susijusius su pakartotinio paraiškų teikimo procesais (t. y. dėl įgyvendinančiajam partneriui skiriamų dotacijų atnaujinimo, kad būtų galima tęsti konkrečią veiklą) ir (arba) daugiamečiais projektais. </w:t>
      </w:r>
    </w:p>
    <w:p>
      <w:pPr>
        <w:pStyle w:val="Heading310"/>
        <w:keepNext/>
        <w:keepLines/>
        <w:shd w:val="clear" w:color="auto" w:fill="auto"/>
        <w:spacing w:after="0" w:line="557" w:lineRule="exact"/>
        <w:ind w:left="260"/>
        <w:jc w:val="left"/>
        <w:rPr>
          <w:noProof/>
          <w:sz w:val="28"/>
          <w:u w:val="single"/>
        </w:rPr>
      </w:pPr>
      <w:bookmarkStart w:id="10" w:name="_Toc29297487"/>
      <w:r>
        <w:rPr>
          <w:noProof/>
          <w:sz w:val="28"/>
          <w:u w:val="single"/>
        </w:rPr>
        <w:t>2018 m. biudžetas</w:t>
      </w:r>
      <w:bookmarkEnd w:id="3"/>
      <w:bookmarkEnd w:id="10"/>
    </w:p>
    <w:p>
      <w:pPr>
        <w:pStyle w:val="Bodytext20"/>
        <w:numPr>
          <w:ilvl w:val="0"/>
          <w:numId w:val="3"/>
        </w:numPr>
        <w:shd w:val="clear" w:color="auto" w:fill="auto"/>
        <w:tabs>
          <w:tab w:val="left" w:pos="330"/>
        </w:tabs>
        <w:spacing w:after="0" w:line="557" w:lineRule="exact"/>
        <w:ind w:left="260" w:hanging="260"/>
        <w:rPr>
          <w:noProof/>
        </w:rPr>
      </w:pPr>
      <w:r>
        <w:rPr>
          <w:noProof/>
        </w:rPr>
        <w:t>Komisijos humanitarinės pagalbos teikimo srityje sudarytų finansavimo susitarimų sąrašas</w:t>
      </w:r>
      <w:r>
        <w:rPr>
          <w:rStyle w:val="FootnoteReference"/>
          <w:noProof/>
          <w:lang w:val="en-GB"/>
        </w:rPr>
        <w:footnoteReference w:id="3"/>
      </w:r>
      <w:r>
        <w:rPr>
          <w:noProof/>
        </w:rPr>
        <w:t xml:space="preserve"> </w:t>
      </w:r>
    </w:p>
    <w:p>
      <w:pPr>
        <w:pStyle w:val="Bodytext20"/>
        <w:shd w:val="clear" w:color="auto" w:fill="auto"/>
        <w:tabs>
          <w:tab w:val="left" w:pos="354"/>
        </w:tabs>
        <w:spacing w:after="0" w:line="557" w:lineRule="exact"/>
        <w:ind w:left="260" w:firstLine="0"/>
        <w:rPr>
          <w:noProof/>
        </w:rPr>
      </w:pPr>
      <w:r>
        <w:rPr>
          <w:noProof/>
        </w:rPr>
        <w:t xml:space="preserve">Informacija apie ES sudarytus susitarimus dėl humanitarinės pagalbos teikimo pateikiama </w:t>
      </w:r>
      <w:hyperlink r:id="rId25" w:tgtFrame="_blank" w:history="1">
        <w:r>
          <w:rPr>
            <w:noProof/>
          </w:rPr>
          <w:t>Finansinio skaidrumo sistemos (angl. FTS) interneto svetainėje</w:t>
        </w:r>
      </w:hyperlink>
      <w:r>
        <w:rPr>
          <w:noProof/>
        </w:rPr>
        <w:t xml:space="preserve">. </w:t>
      </w:r>
    </w:p>
    <w:p>
      <w:pPr>
        <w:pStyle w:val="Bodytext20"/>
        <w:numPr>
          <w:ilvl w:val="0"/>
          <w:numId w:val="3"/>
        </w:numPr>
        <w:shd w:val="clear" w:color="auto" w:fill="auto"/>
        <w:tabs>
          <w:tab w:val="left" w:pos="354"/>
        </w:tabs>
        <w:spacing w:after="0" w:line="557" w:lineRule="exact"/>
        <w:ind w:left="260" w:hanging="260"/>
        <w:rPr>
          <w:noProof/>
        </w:rPr>
      </w:pPr>
      <w:r>
        <w:rPr>
          <w:noProof/>
        </w:rPr>
        <w:t>2018 m. humanitarinės pagalbos biudžeto vykdymas</w:t>
      </w:r>
    </w:p>
    <w:p>
      <w:pPr>
        <w:pStyle w:val="Bodytext20"/>
        <w:shd w:val="clear" w:color="auto" w:fill="auto"/>
        <w:tabs>
          <w:tab w:val="left" w:pos="354"/>
        </w:tabs>
        <w:spacing w:after="0" w:line="557" w:lineRule="exact"/>
        <w:ind w:firstLine="0"/>
        <w:rPr>
          <w:noProof/>
          <w:lang w:val="en-GB"/>
        </w:rPr>
      </w:pPr>
    </w:p>
    <w:p>
      <w:pPr>
        <w:pStyle w:val="Bodytext20"/>
        <w:shd w:val="clear" w:color="auto" w:fill="auto"/>
        <w:tabs>
          <w:tab w:val="left" w:pos="354"/>
        </w:tabs>
        <w:spacing w:after="0" w:line="557" w:lineRule="exact"/>
        <w:ind w:firstLine="0"/>
        <w:rPr>
          <w:noProof/>
          <w:lang w:val="en-GB"/>
        </w:rPr>
      </w:pPr>
    </w:p>
    <w:p>
      <w:pPr>
        <w:pStyle w:val="Bodytext20"/>
        <w:shd w:val="clear" w:color="auto" w:fill="auto"/>
        <w:tabs>
          <w:tab w:val="left" w:pos="354"/>
        </w:tabs>
        <w:spacing w:after="0" w:line="557" w:lineRule="exact"/>
        <w:ind w:firstLine="0"/>
        <w:rPr>
          <w:noProof/>
          <w:lang w:val="en-GB"/>
        </w:rPr>
      </w:pPr>
    </w:p>
    <w:tbl>
      <w:tblPr>
        <w:tblW w:w="8986" w:type="dxa"/>
        <w:tblInd w:w="70" w:type="dxa"/>
        <w:tblCellMar>
          <w:left w:w="70" w:type="dxa"/>
          <w:right w:w="70" w:type="dxa"/>
        </w:tblCellMar>
        <w:tblLook w:val="04A0" w:firstRow="1" w:lastRow="0" w:firstColumn="1" w:lastColumn="0" w:noHBand="0" w:noVBand="1"/>
      </w:tblPr>
      <w:tblGrid>
        <w:gridCol w:w="6139"/>
        <w:gridCol w:w="146"/>
        <w:gridCol w:w="1689"/>
        <w:gridCol w:w="146"/>
        <w:gridCol w:w="866"/>
      </w:tblGrid>
      <w:tr>
        <w:trPr>
          <w:trHeight w:val="540"/>
        </w:trPr>
        <w:tc>
          <w:tcPr>
            <w:tcW w:w="8986" w:type="dxa"/>
            <w:gridSpan w:val="5"/>
            <w:tcBorders>
              <w:top w:val="nil"/>
              <w:left w:val="nil"/>
              <w:bottom w:val="nil"/>
              <w:right w:val="nil"/>
            </w:tcBorders>
            <w:shd w:val="clear" w:color="000000" w:fill="FF6600"/>
            <w:noWrap/>
            <w:vAlign w:val="center"/>
            <w:hideMark/>
          </w:tcPr>
          <w:p>
            <w:pPr>
              <w:widowControl/>
              <w:jc w:val="center"/>
              <w:rPr>
                <w:rFonts w:ascii="Arial Narrow" w:hAnsi="Arial Narrow" w:cs="Arial"/>
                <w:b/>
                <w:bCs/>
                <w:noProof/>
                <w:sz w:val="32"/>
                <w:szCs w:val="32"/>
              </w:rPr>
            </w:pPr>
            <w:r>
              <w:rPr>
                <w:rFonts w:ascii="Arial Narrow" w:hAnsi="Arial Narrow"/>
                <w:b/>
                <w:bCs/>
                <w:noProof/>
                <w:sz w:val="32"/>
                <w:szCs w:val="32"/>
              </w:rPr>
              <w:t>ES 2018 M. BIUDŽETO VYKDYMAS</w:t>
            </w:r>
          </w:p>
        </w:tc>
      </w:tr>
      <w:tr>
        <w:trPr>
          <w:trHeight w:val="90"/>
        </w:trPr>
        <w:tc>
          <w:tcPr>
            <w:tcW w:w="6139" w:type="dxa"/>
            <w:tcBorders>
              <w:top w:val="nil"/>
              <w:left w:val="nil"/>
              <w:bottom w:val="nil"/>
              <w:right w:val="nil"/>
            </w:tcBorders>
            <w:shd w:val="clear" w:color="auto" w:fill="auto"/>
            <w:noWrap/>
            <w:vAlign w:val="center"/>
            <w:hideMark/>
          </w:tcPr>
          <w:p>
            <w:pPr>
              <w:widowControl/>
              <w:jc w:val="center"/>
              <w:rPr>
                <w:rFonts w:ascii="Arial Narrow" w:hAnsi="Arial Narrow" w:cs="Arial"/>
                <w:b/>
                <w:bCs/>
                <w:noProof/>
                <w:sz w:val="32"/>
                <w:szCs w:val="32"/>
                <w:lang w:val="en-GB" w:eastAsia="fr-BE" w:bidi="ar-SA"/>
              </w:rPr>
            </w:pPr>
          </w:p>
        </w:tc>
        <w:tc>
          <w:tcPr>
            <w:tcW w:w="146" w:type="dxa"/>
            <w:tcBorders>
              <w:top w:val="nil"/>
              <w:left w:val="nil"/>
              <w:bottom w:val="nil"/>
              <w:right w:val="nil"/>
            </w:tcBorders>
            <w:shd w:val="clear" w:color="auto" w:fill="auto"/>
            <w:noWrap/>
            <w:vAlign w:val="center"/>
            <w:hideMark/>
          </w:tcPr>
          <w:p>
            <w:pPr>
              <w:widowControl/>
              <w:rPr>
                <w:noProof/>
                <w:color w:val="auto"/>
                <w:sz w:val="20"/>
                <w:szCs w:val="20"/>
                <w:lang w:val="en-GB" w:eastAsia="fr-BE" w:bidi="ar-SA"/>
              </w:rPr>
            </w:pPr>
          </w:p>
        </w:tc>
        <w:tc>
          <w:tcPr>
            <w:tcW w:w="1689" w:type="dxa"/>
            <w:tcBorders>
              <w:top w:val="nil"/>
              <w:left w:val="nil"/>
              <w:bottom w:val="nil"/>
              <w:right w:val="nil"/>
            </w:tcBorders>
            <w:shd w:val="clear" w:color="auto" w:fill="auto"/>
            <w:noWrap/>
            <w:vAlign w:val="center"/>
            <w:hideMark/>
          </w:tcPr>
          <w:p>
            <w:pPr>
              <w:widowControl/>
              <w:rPr>
                <w:noProof/>
                <w:color w:val="auto"/>
                <w:sz w:val="20"/>
                <w:szCs w:val="20"/>
                <w:lang w:val="en-GB" w:eastAsia="fr-BE" w:bidi="ar-SA"/>
              </w:rPr>
            </w:pPr>
          </w:p>
        </w:tc>
        <w:tc>
          <w:tcPr>
            <w:tcW w:w="146" w:type="dxa"/>
            <w:tcBorders>
              <w:top w:val="nil"/>
              <w:left w:val="nil"/>
              <w:bottom w:val="nil"/>
              <w:right w:val="nil"/>
            </w:tcBorders>
            <w:shd w:val="clear" w:color="auto" w:fill="auto"/>
            <w:noWrap/>
            <w:vAlign w:val="center"/>
            <w:hideMark/>
          </w:tcPr>
          <w:p>
            <w:pPr>
              <w:widowControl/>
              <w:rPr>
                <w:noProof/>
                <w:color w:val="auto"/>
                <w:sz w:val="20"/>
                <w:szCs w:val="20"/>
                <w:lang w:val="en-GB" w:eastAsia="fr-BE" w:bidi="ar-SA"/>
              </w:rPr>
            </w:pPr>
          </w:p>
        </w:tc>
        <w:tc>
          <w:tcPr>
            <w:tcW w:w="866" w:type="dxa"/>
            <w:tcBorders>
              <w:top w:val="nil"/>
              <w:left w:val="nil"/>
              <w:bottom w:val="nil"/>
              <w:right w:val="nil"/>
            </w:tcBorders>
            <w:shd w:val="clear" w:color="auto" w:fill="auto"/>
            <w:noWrap/>
            <w:vAlign w:val="center"/>
            <w:hideMark/>
          </w:tcPr>
          <w:p>
            <w:pPr>
              <w:widowControl/>
              <w:rPr>
                <w:noProof/>
                <w:color w:val="auto"/>
                <w:sz w:val="20"/>
                <w:szCs w:val="20"/>
                <w:lang w:val="en-GB" w:eastAsia="fr-BE" w:bidi="ar-SA"/>
              </w:rPr>
            </w:pPr>
          </w:p>
        </w:tc>
      </w:tr>
      <w:tr>
        <w:trPr>
          <w:trHeight w:val="315"/>
        </w:trPr>
        <w:tc>
          <w:tcPr>
            <w:tcW w:w="8986" w:type="dxa"/>
            <w:gridSpan w:val="5"/>
            <w:tcBorders>
              <w:top w:val="nil"/>
              <w:left w:val="nil"/>
              <w:bottom w:val="nil"/>
              <w:right w:val="nil"/>
            </w:tcBorders>
            <w:shd w:val="clear" w:color="000000" w:fill="FF6600"/>
            <w:noWrap/>
            <w:vAlign w:val="center"/>
            <w:hideMark/>
          </w:tcPr>
          <w:p>
            <w:pPr>
              <w:widowControl/>
              <w:jc w:val="center"/>
              <w:rPr>
                <w:rFonts w:ascii="Arial Narrow" w:hAnsi="Arial Narrow" w:cs="Arial"/>
                <w:i/>
                <w:iCs/>
                <w:noProof/>
                <w:sz w:val="22"/>
                <w:szCs w:val="22"/>
              </w:rPr>
            </w:pPr>
            <w:r>
              <w:rPr>
                <w:rFonts w:ascii="Arial Narrow" w:hAnsi="Arial Narrow"/>
                <w:i/>
                <w:iCs/>
                <w:noProof/>
                <w:sz w:val="22"/>
                <w:szCs w:val="22"/>
              </w:rPr>
              <w:t>Išskyrus iš valstybių narių gautas išorės asignuotąsias pajamas</w:t>
            </w:r>
          </w:p>
        </w:tc>
      </w:tr>
      <w:tr>
        <w:trPr>
          <w:trHeight w:val="360"/>
        </w:trPr>
        <w:tc>
          <w:tcPr>
            <w:tcW w:w="6139" w:type="dxa"/>
            <w:tcBorders>
              <w:top w:val="nil"/>
              <w:left w:val="nil"/>
              <w:bottom w:val="nil"/>
              <w:right w:val="nil"/>
            </w:tcBorders>
            <w:shd w:val="clear" w:color="auto" w:fill="auto"/>
            <w:noWrap/>
            <w:vAlign w:val="center"/>
            <w:hideMark/>
          </w:tcPr>
          <w:p>
            <w:pPr>
              <w:widowControl/>
              <w:jc w:val="center"/>
              <w:rPr>
                <w:rFonts w:ascii="Arial Narrow" w:hAnsi="Arial Narrow" w:cs="Arial"/>
                <w:i/>
                <w:iCs/>
                <w:noProof/>
                <w:sz w:val="22"/>
                <w:szCs w:val="22"/>
                <w:lang w:val="en-GB" w:eastAsia="fr-BE" w:bidi="ar-SA"/>
              </w:rPr>
            </w:pPr>
          </w:p>
        </w:tc>
        <w:tc>
          <w:tcPr>
            <w:tcW w:w="146" w:type="dxa"/>
            <w:tcBorders>
              <w:top w:val="nil"/>
              <w:left w:val="nil"/>
              <w:bottom w:val="nil"/>
              <w:right w:val="nil"/>
            </w:tcBorders>
            <w:shd w:val="clear" w:color="auto" w:fill="auto"/>
            <w:noWrap/>
            <w:vAlign w:val="center"/>
            <w:hideMark/>
          </w:tcPr>
          <w:p>
            <w:pPr>
              <w:widowControl/>
              <w:rPr>
                <w:noProof/>
                <w:color w:val="auto"/>
                <w:sz w:val="20"/>
                <w:szCs w:val="20"/>
                <w:lang w:val="en-GB" w:eastAsia="fr-BE" w:bidi="ar-SA"/>
              </w:rPr>
            </w:pPr>
          </w:p>
        </w:tc>
        <w:tc>
          <w:tcPr>
            <w:tcW w:w="1689" w:type="dxa"/>
            <w:tcBorders>
              <w:top w:val="nil"/>
              <w:left w:val="nil"/>
              <w:bottom w:val="nil"/>
              <w:right w:val="nil"/>
            </w:tcBorders>
            <w:shd w:val="clear" w:color="auto" w:fill="auto"/>
            <w:noWrap/>
            <w:vAlign w:val="center"/>
            <w:hideMark/>
          </w:tcPr>
          <w:p>
            <w:pPr>
              <w:widowControl/>
              <w:rPr>
                <w:noProof/>
                <w:color w:val="auto"/>
                <w:sz w:val="20"/>
                <w:szCs w:val="20"/>
                <w:lang w:val="en-GB" w:eastAsia="fr-BE" w:bidi="ar-SA"/>
              </w:rPr>
            </w:pPr>
          </w:p>
        </w:tc>
        <w:tc>
          <w:tcPr>
            <w:tcW w:w="146" w:type="dxa"/>
            <w:tcBorders>
              <w:top w:val="nil"/>
              <w:left w:val="nil"/>
              <w:bottom w:val="nil"/>
              <w:right w:val="nil"/>
            </w:tcBorders>
            <w:shd w:val="clear" w:color="auto" w:fill="auto"/>
            <w:noWrap/>
            <w:vAlign w:val="center"/>
            <w:hideMark/>
          </w:tcPr>
          <w:p>
            <w:pPr>
              <w:widowControl/>
              <w:rPr>
                <w:noProof/>
                <w:color w:val="auto"/>
                <w:sz w:val="20"/>
                <w:szCs w:val="20"/>
                <w:lang w:val="en-GB" w:eastAsia="fr-BE" w:bidi="ar-SA"/>
              </w:rPr>
            </w:pPr>
          </w:p>
        </w:tc>
        <w:tc>
          <w:tcPr>
            <w:tcW w:w="866" w:type="dxa"/>
            <w:tcBorders>
              <w:top w:val="nil"/>
              <w:left w:val="nil"/>
              <w:bottom w:val="nil"/>
              <w:right w:val="nil"/>
            </w:tcBorders>
            <w:shd w:val="clear" w:color="auto" w:fill="auto"/>
            <w:noWrap/>
            <w:vAlign w:val="center"/>
            <w:hideMark/>
          </w:tcPr>
          <w:p>
            <w:pPr>
              <w:widowControl/>
              <w:rPr>
                <w:noProof/>
                <w:color w:val="auto"/>
                <w:sz w:val="20"/>
                <w:szCs w:val="20"/>
                <w:lang w:val="en-GB" w:eastAsia="fr-BE" w:bidi="ar-SA"/>
              </w:rPr>
            </w:pPr>
          </w:p>
        </w:tc>
      </w:tr>
      <w:tr>
        <w:trPr>
          <w:trHeight w:val="435"/>
        </w:trPr>
        <w:tc>
          <w:tcPr>
            <w:tcW w:w="6139" w:type="dxa"/>
            <w:tcBorders>
              <w:top w:val="nil"/>
              <w:left w:val="nil"/>
              <w:bottom w:val="nil"/>
              <w:right w:val="nil"/>
            </w:tcBorders>
            <w:shd w:val="clear" w:color="000000" w:fill="FF6600"/>
            <w:noWrap/>
            <w:vAlign w:val="center"/>
            <w:hideMark/>
          </w:tcPr>
          <w:p>
            <w:pPr>
              <w:widowControl/>
              <w:jc w:val="center"/>
              <w:rPr>
                <w:rFonts w:ascii="Arial Narrow" w:hAnsi="Arial Narrow" w:cs="Arial"/>
                <w:b/>
                <w:bCs/>
                <w:noProof/>
                <w:sz w:val="22"/>
                <w:szCs w:val="22"/>
              </w:rPr>
            </w:pPr>
            <w:r>
              <w:rPr>
                <w:rFonts w:ascii="Arial Narrow" w:hAnsi="Arial Narrow"/>
                <w:b/>
                <w:bCs/>
                <w:noProof/>
                <w:sz w:val="22"/>
                <w:szCs w:val="22"/>
              </w:rPr>
              <w:t>Regionas / šalis</w:t>
            </w:r>
          </w:p>
        </w:tc>
        <w:tc>
          <w:tcPr>
            <w:tcW w:w="146" w:type="dxa"/>
            <w:tcBorders>
              <w:top w:val="nil"/>
              <w:left w:val="nil"/>
              <w:bottom w:val="nil"/>
              <w:right w:val="nil"/>
            </w:tcBorders>
            <w:shd w:val="clear" w:color="auto" w:fill="auto"/>
            <w:noWrap/>
            <w:vAlign w:val="center"/>
            <w:hideMark/>
          </w:tcPr>
          <w:p>
            <w:pPr>
              <w:widowControl/>
              <w:jc w:val="center"/>
              <w:rPr>
                <w:rFonts w:ascii="Arial Narrow" w:hAnsi="Arial Narrow" w:cs="Arial"/>
                <w:b/>
                <w:bCs/>
                <w:noProof/>
                <w:sz w:val="22"/>
                <w:szCs w:val="22"/>
                <w:lang w:val="en-GB" w:eastAsia="fr-BE" w:bidi="ar-SA"/>
              </w:rPr>
            </w:pPr>
          </w:p>
        </w:tc>
        <w:tc>
          <w:tcPr>
            <w:tcW w:w="1689" w:type="dxa"/>
            <w:tcBorders>
              <w:top w:val="nil"/>
              <w:left w:val="nil"/>
              <w:bottom w:val="nil"/>
              <w:right w:val="nil"/>
            </w:tcBorders>
            <w:shd w:val="clear" w:color="000000" w:fill="FF6600"/>
            <w:noWrap/>
            <w:vAlign w:val="center"/>
            <w:hideMark/>
          </w:tcPr>
          <w:p>
            <w:pPr>
              <w:widowControl/>
              <w:jc w:val="center"/>
              <w:rPr>
                <w:rFonts w:ascii="Arial Narrow" w:hAnsi="Arial Narrow" w:cs="Arial"/>
                <w:b/>
                <w:bCs/>
                <w:noProof/>
                <w:sz w:val="22"/>
                <w:szCs w:val="22"/>
              </w:rPr>
            </w:pPr>
            <w:r>
              <w:rPr>
                <w:rFonts w:ascii="Arial Narrow" w:hAnsi="Arial Narrow"/>
                <w:b/>
                <w:bCs/>
                <w:noProof/>
                <w:sz w:val="22"/>
                <w:szCs w:val="22"/>
              </w:rPr>
              <w:t>Suma</w:t>
            </w:r>
          </w:p>
        </w:tc>
        <w:tc>
          <w:tcPr>
            <w:tcW w:w="146" w:type="dxa"/>
            <w:tcBorders>
              <w:top w:val="nil"/>
              <w:left w:val="nil"/>
              <w:bottom w:val="nil"/>
              <w:right w:val="nil"/>
            </w:tcBorders>
            <w:shd w:val="clear" w:color="auto" w:fill="auto"/>
            <w:noWrap/>
            <w:vAlign w:val="center"/>
            <w:hideMark/>
          </w:tcPr>
          <w:p>
            <w:pPr>
              <w:widowControl/>
              <w:jc w:val="center"/>
              <w:rPr>
                <w:rFonts w:ascii="Arial Narrow" w:hAnsi="Arial Narrow" w:cs="Arial"/>
                <w:b/>
                <w:bCs/>
                <w:noProof/>
                <w:sz w:val="22"/>
                <w:szCs w:val="22"/>
                <w:lang w:val="en-GB" w:eastAsia="fr-BE" w:bidi="ar-SA"/>
              </w:rPr>
            </w:pPr>
          </w:p>
        </w:tc>
        <w:tc>
          <w:tcPr>
            <w:tcW w:w="866" w:type="dxa"/>
            <w:tcBorders>
              <w:top w:val="nil"/>
              <w:left w:val="nil"/>
              <w:bottom w:val="nil"/>
              <w:right w:val="nil"/>
            </w:tcBorders>
            <w:shd w:val="clear" w:color="000000" w:fill="FF6600"/>
            <w:noWrap/>
            <w:vAlign w:val="center"/>
            <w:hideMark/>
          </w:tcPr>
          <w:p>
            <w:pPr>
              <w:widowControl/>
              <w:jc w:val="center"/>
              <w:rPr>
                <w:rFonts w:ascii="Arial Narrow" w:hAnsi="Arial Narrow" w:cs="Arial"/>
                <w:b/>
                <w:bCs/>
                <w:noProof/>
                <w:sz w:val="22"/>
                <w:szCs w:val="22"/>
              </w:rPr>
            </w:pPr>
            <w:r>
              <w:rPr>
                <w:rFonts w:ascii="Arial Narrow" w:hAnsi="Arial Narrow"/>
                <w:b/>
                <w:bCs/>
                <w:noProof/>
                <w:sz w:val="22"/>
                <w:szCs w:val="22"/>
              </w:rPr>
              <w:t>Dalis, %</w:t>
            </w:r>
          </w:p>
        </w:tc>
      </w:tr>
      <w:tr>
        <w:trPr>
          <w:trHeight w:val="75"/>
        </w:trPr>
        <w:tc>
          <w:tcPr>
            <w:tcW w:w="6139" w:type="dxa"/>
            <w:tcBorders>
              <w:top w:val="nil"/>
              <w:left w:val="nil"/>
              <w:bottom w:val="nil"/>
              <w:right w:val="nil"/>
            </w:tcBorders>
            <w:shd w:val="clear" w:color="auto" w:fill="auto"/>
            <w:noWrap/>
            <w:vAlign w:val="center"/>
            <w:hideMark/>
          </w:tcPr>
          <w:p>
            <w:pPr>
              <w:widowControl/>
              <w:jc w:val="center"/>
              <w:rPr>
                <w:rFonts w:ascii="Arial Narrow" w:hAnsi="Arial Narrow" w:cs="Arial"/>
                <w:b/>
                <w:bCs/>
                <w:noProof/>
                <w:sz w:val="22"/>
                <w:szCs w:val="22"/>
                <w:lang w:val="en-GB" w:eastAsia="fr-BE" w:bidi="ar-SA"/>
              </w:rPr>
            </w:pPr>
          </w:p>
        </w:tc>
        <w:tc>
          <w:tcPr>
            <w:tcW w:w="146" w:type="dxa"/>
            <w:tcBorders>
              <w:top w:val="nil"/>
              <w:left w:val="nil"/>
              <w:bottom w:val="nil"/>
              <w:right w:val="nil"/>
            </w:tcBorders>
            <w:shd w:val="clear" w:color="auto" w:fill="auto"/>
            <w:noWrap/>
            <w:vAlign w:val="center"/>
            <w:hideMark/>
          </w:tcPr>
          <w:p>
            <w:pPr>
              <w:widowControl/>
              <w:jc w:val="center"/>
              <w:rPr>
                <w:noProof/>
                <w:color w:val="auto"/>
                <w:sz w:val="20"/>
                <w:szCs w:val="20"/>
                <w:lang w:val="en-GB" w:eastAsia="fr-BE" w:bidi="ar-SA"/>
              </w:rPr>
            </w:pPr>
          </w:p>
        </w:tc>
        <w:tc>
          <w:tcPr>
            <w:tcW w:w="1689" w:type="dxa"/>
            <w:tcBorders>
              <w:top w:val="nil"/>
              <w:left w:val="nil"/>
              <w:bottom w:val="nil"/>
              <w:right w:val="nil"/>
            </w:tcBorders>
            <w:shd w:val="clear" w:color="auto" w:fill="auto"/>
            <w:noWrap/>
            <w:vAlign w:val="center"/>
            <w:hideMark/>
          </w:tcPr>
          <w:p>
            <w:pPr>
              <w:widowControl/>
              <w:jc w:val="center"/>
              <w:rPr>
                <w:noProof/>
                <w:color w:val="auto"/>
                <w:sz w:val="20"/>
                <w:szCs w:val="20"/>
                <w:lang w:val="en-GB" w:eastAsia="fr-BE" w:bidi="ar-SA"/>
              </w:rPr>
            </w:pPr>
          </w:p>
        </w:tc>
        <w:tc>
          <w:tcPr>
            <w:tcW w:w="146" w:type="dxa"/>
            <w:tcBorders>
              <w:top w:val="nil"/>
              <w:left w:val="nil"/>
              <w:bottom w:val="nil"/>
              <w:right w:val="nil"/>
            </w:tcBorders>
            <w:shd w:val="clear" w:color="auto" w:fill="auto"/>
            <w:noWrap/>
            <w:vAlign w:val="center"/>
            <w:hideMark/>
          </w:tcPr>
          <w:p>
            <w:pPr>
              <w:widowControl/>
              <w:jc w:val="center"/>
              <w:rPr>
                <w:noProof/>
                <w:color w:val="auto"/>
                <w:sz w:val="20"/>
                <w:szCs w:val="20"/>
                <w:lang w:val="en-GB" w:eastAsia="fr-BE" w:bidi="ar-SA"/>
              </w:rPr>
            </w:pPr>
          </w:p>
        </w:tc>
        <w:tc>
          <w:tcPr>
            <w:tcW w:w="866" w:type="dxa"/>
            <w:tcBorders>
              <w:top w:val="nil"/>
              <w:left w:val="nil"/>
              <w:bottom w:val="nil"/>
              <w:right w:val="nil"/>
            </w:tcBorders>
            <w:shd w:val="clear" w:color="auto" w:fill="auto"/>
            <w:noWrap/>
            <w:vAlign w:val="center"/>
            <w:hideMark/>
          </w:tcPr>
          <w:p>
            <w:pPr>
              <w:widowControl/>
              <w:jc w:val="center"/>
              <w:rPr>
                <w:noProof/>
                <w:color w:val="auto"/>
                <w:sz w:val="20"/>
                <w:szCs w:val="20"/>
                <w:lang w:val="en-GB" w:eastAsia="fr-BE" w:bidi="ar-SA"/>
              </w:rPr>
            </w:pPr>
          </w:p>
        </w:tc>
      </w:tr>
      <w:tr>
        <w:trPr>
          <w:trHeight w:val="300"/>
        </w:trPr>
        <w:tc>
          <w:tcPr>
            <w:tcW w:w="6139" w:type="dxa"/>
            <w:tcBorders>
              <w:top w:val="nil"/>
              <w:left w:val="nil"/>
              <w:bottom w:val="nil"/>
              <w:right w:val="nil"/>
            </w:tcBorders>
            <w:shd w:val="clear" w:color="000000" w:fill="FFCC99"/>
            <w:noWrap/>
            <w:vAlign w:val="center"/>
            <w:hideMark/>
          </w:tcPr>
          <w:p>
            <w:pPr>
              <w:widowControl/>
              <w:rPr>
                <w:rFonts w:ascii="Arial Narrow" w:hAnsi="Arial Narrow" w:cs="Arial"/>
                <w:b/>
                <w:bCs/>
                <w:noProof/>
                <w:sz w:val="22"/>
                <w:szCs w:val="22"/>
              </w:rPr>
            </w:pPr>
            <w:r>
              <w:rPr>
                <w:rFonts w:ascii="Arial Narrow" w:hAnsi="Arial Narrow"/>
                <w:b/>
                <w:bCs/>
                <w:noProof/>
                <w:sz w:val="22"/>
                <w:szCs w:val="22"/>
              </w:rPr>
              <w:t>Afrika</w:t>
            </w:r>
          </w:p>
        </w:tc>
        <w:tc>
          <w:tcPr>
            <w:tcW w:w="146" w:type="dxa"/>
            <w:tcBorders>
              <w:top w:val="nil"/>
              <w:left w:val="nil"/>
              <w:bottom w:val="nil"/>
              <w:right w:val="nil"/>
            </w:tcBorders>
            <w:shd w:val="clear" w:color="auto" w:fill="auto"/>
            <w:noWrap/>
            <w:vAlign w:val="center"/>
            <w:hideMark/>
          </w:tcPr>
          <w:p>
            <w:pPr>
              <w:widowControl/>
              <w:rPr>
                <w:rFonts w:ascii="Arial Narrow" w:hAnsi="Arial Narrow" w:cs="Arial"/>
                <w:b/>
                <w:bCs/>
                <w:noProof/>
                <w:sz w:val="22"/>
                <w:szCs w:val="22"/>
                <w:lang w:val="en-GB" w:eastAsia="fr-BE" w:bidi="ar-SA"/>
              </w:rPr>
            </w:pPr>
          </w:p>
        </w:tc>
        <w:tc>
          <w:tcPr>
            <w:tcW w:w="1689" w:type="dxa"/>
            <w:tcBorders>
              <w:top w:val="nil"/>
              <w:left w:val="nil"/>
              <w:bottom w:val="nil"/>
              <w:right w:val="nil"/>
            </w:tcBorders>
            <w:shd w:val="clear" w:color="000000" w:fill="FFCC99"/>
            <w:noWrap/>
            <w:vAlign w:val="center"/>
            <w:hideMark/>
          </w:tcPr>
          <w:p>
            <w:pPr>
              <w:widowControl/>
              <w:jc w:val="right"/>
              <w:rPr>
                <w:rFonts w:ascii="Arial Narrow" w:hAnsi="Arial Narrow" w:cs="Arial"/>
                <w:b/>
                <w:bCs/>
                <w:noProof/>
                <w:sz w:val="22"/>
                <w:szCs w:val="22"/>
              </w:rPr>
            </w:pPr>
            <w:r>
              <w:rPr>
                <w:rFonts w:ascii="Arial Narrow" w:hAnsi="Arial Narrow"/>
                <w:b/>
                <w:bCs/>
                <w:noProof/>
                <w:sz w:val="22"/>
                <w:szCs w:val="22"/>
              </w:rPr>
              <w:t>651</w:t>
            </w:r>
          </w:p>
        </w:tc>
        <w:tc>
          <w:tcPr>
            <w:tcW w:w="146" w:type="dxa"/>
            <w:tcBorders>
              <w:top w:val="nil"/>
              <w:left w:val="nil"/>
              <w:bottom w:val="nil"/>
              <w:right w:val="nil"/>
            </w:tcBorders>
            <w:shd w:val="clear" w:color="auto" w:fill="auto"/>
            <w:noWrap/>
            <w:vAlign w:val="center"/>
            <w:hideMark/>
          </w:tcPr>
          <w:p>
            <w:pPr>
              <w:widowControl/>
              <w:jc w:val="right"/>
              <w:rPr>
                <w:rFonts w:ascii="Arial Narrow" w:hAnsi="Arial Narrow" w:cs="Arial"/>
                <w:b/>
                <w:bCs/>
                <w:noProof/>
                <w:sz w:val="22"/>
                <w:szCs w:val="22"/>
                <w:lang w:val="en-GB" w:eastAsia="fr-BE" w:bidi="ar-SA"/>
              </w:rPr>
            </w:pPr>
          </w:p>
        </w:tc>
        <w:tc>
          <w:tcPr>
            <w:tcW w:w="866" w:type="dxa"/>
            <w:tcBorders>
              <w:top w:val="nil"/>
              <w:left w:val="nil"/>
              <w:bottom w:val="nil"/>
              <w:right w:val="nil"/>
            </w:tcBorders>
            <w:shd w:val="clear" w:color="000000" w:fill="FFCC99"/>
            <w:noWrap/>
            <w:vAlign w:val="center"/>
            <w:hideMark/>
          </w:tcPr>
          <w:p>
            <w:pPr>
              <w:widowControl/>
              <w:jc w:val="right"/>
              <w:rPr>
                <w:rFonts w:ascii="Arial Narrow" w:hAnsi="Arial Narrow" w:cs="Arial"/>
                <w:b/>
                <w:bCs/>
                <w:noProof/>
                <w:sz w:val="22"/>
                <w:szCs w:val="22"/>
              </w:rPr>
            </w:pPr>
            <w:r>
              <w:rPr>
                <w:rFonts w:ascii="Arial Narrow" w:hAnsi="Arial Narrow"/>
                <w:b/>
                <w:bCs/>
                <w:noProof/>
                <w:sz w:val="22"/>
                <w:szCs w:val="22"/>
              </w:rPr>
              <w:t>37 %</w:t>
            </w:r>
          </w:p>
        </w:tc>
      </w:tr>
      <w:tr>
        <w:trPr>
          <w:trHeight w:val="75"/>
        </w:trPr>
        <w:tc>
          <w:tcPr>
            <w:tcW w:w="6139" w:type="dxa"/>
            <w:tcBorders>
              <w:top w:val="nil"/>
              <w:left w:val="nil"/>
              <w:bottom w:val="nil"/>
              <w:right w:val="nil"/>
            </w:tcBorders>
            <w:shd w:val="clear" w:color="auto" w:fill="auto"/>
            <w:noWrap/>
            <w:vAlign w:val="center"/>
            <w:hideMark/>
          </w:tcPr>
          <w:p>
            <w:pPr>
              <w:widowControl/>
              <w:jc w:val="right"/>
              <w:rPr>
                <w:rFonts w:ascii="Arial Narrow" w:hAnsi="Arial Narrow" w:cs="Arial"/>
                <w:b/>
                <w:bCs/>
                <w:noProof/>
                <w:sz w:val="22"/>
                <w:szCs w:val="22"/>
                <w:lang w:val="en-GB" w:eastAsia="fr-BE" w:bidi="ar-SA"/>
              </w:rPr>
            </w:pPr>
          </w:p>
        </w:tc>
        <w:tc>
          <w:tcPr>
            <w:tcW w:w="146" w:type="dxa"/>
            <w:tcBorders>
              <w:top w:val="nil"/>
              <w:left w:val="nil"/>
              <w:bottom w:val="nil"/>
              <w:right w:val="nil"/>
            </w:tcBorders>
            <w:shd w:val="clear" w:color="auto" w:fill="auto"/>
            <w:noWrap/>
            <w:vAlign w:val="center"/>
            <w:hideMark/>
          </w:tcPr>
          <w:p>
            <w:pPr>
              <w:widowControl/>
              <w:rPr>
                <w:noProof/>
                <w:color w:val="auto"/>
                <w:sz w:val="20"/>
                <w:szCs w:val="20"/>
                <w:lang w:val="en-GB" w:eastAsia="fr-BE" w:bidi="ar-SA"/>
              </w:rPr>
            </w:pPr>
          </w:p>
        </w:tc>
        <w:tc>
          <w:tcPr>
            <w:tcW w:w="1689" w:type="dxa"/>
            <w:tcBorders>
              <w:top w:val="nil"/>
              <w:left w:val="nil"/>
              <w:bottom w:val="nil"/>
              <w:right w:val="nil"/>
            </w:tcBorders>
            <w:shd w:val="clear" w:color="auto" w:fill="auto"/>
            <w:noWrap/>
            <w:vAlign w:val="center"/>
            <w:hideMark/>
          </w:tcPr>
          <w:p>
            <w:pPr>
              <w:widowControl/>
              <w:rPr>
                <w:noProof/>
                <w:color w:val="auto"/>
                <w:sz w:val="20"/>
                <w:szCs w:val="20"/>
                <w:lang w:val="en-GB" w:eastAsia="fr-BE" w:bidi="ar-SA"/>
              </w:rPr>
            </w:pPr>
          </w:p>
        </w:tc>
        <w:tc>
          <w:tcPr>
            <w:tcW w:w="146" w:type="dxa"/>
            <w:tcBorders>
              <w:top w:val="nil"/>
              <w:left w:val="nil"/>
              <w:bottom w:val="nil"/>
              <w:right w:val="nil"/>
            </w:tcBorders>
            <w:shd w:val="clear" w:color="auto" w:fill="auto"/>
            <w:noWrap/>
            <w:vAlign w:val="center"/>
            <w:hideMark/>
          </w:tcPr>
          <w:p>
            <w:pPr>
              <w:widowControl/>
              <w:rPr>
                <w:noProof/>
                <w:color w:val="auto"/>
                <w:sz w:val="20"/>
                <w:szCs w:val="20"/>
                <w:lang w:val="en-GB" w:eastAsia="fr-BE" w:bidi="ar-SA"/>
              </w:rPr>
            </w:pPr>
          </w:p>
        </w:tc>
        <w:tc>
          <w:tcPr>
            <w:tcW w:w="866" w:type="dxa"/>
            <w:tcBorders>
              <w:top w:val="nil"/>
              <w:left w:val="nil"/>
              <w:bottom w:val="nil"/>
              <w:right w:val="nil"/>
            </w:tcBorders>
            <w:shd w:val="clear" w:color="auto" w:fill="auto"/>
            <w:noWrap/>
            <w:vAlign w:val="center"/>
            <w:hideMark/>
          </w:tcPr>
          <w:p>
            <w:pPr>
              <w:widowControl/>
              <w:rPr>
                <w:noProof/>
                <w:color w:val="auto"/>
                <w:sz w:val="20"/>
                <w:szCs w:val="20"/>
                <w:lang w:val="en-GB" w:eastAsia="fr-BE" w:bidi="ar-SA"/>
              </w:rPr>
            </w:pPr>
          </w:p>
        </w:tc>
      </w:tr>
      <w:tr>
        <w:trPr>
          <w:trHeight w:val="276"/>
        </w:trPr>
        <w:tc>
          <w:tcPr>
            <w:tcW w:w="6139" w:type="dxa"/>
            <w:tcBorders>
              <w:top w:val="nil"/>
              <w:left w:val="nil"/>
              <w:bottom w:val="nil"/>
              <w:right w:val="nil"/>
            </w:tcBorders>
            <w:shd w:val="clear" w:color="000000" w:fill="FFFF99"/>
            <w:noWrap/>
            <w:vAlign w:val="center"/>
            <w:hideMark/>
          </w:tcPr>
          <w:p>
            <w:pPr>
              <w:widowControl/>
              <w:rPr>
                <w:rFonts w:ascii="Arial Narrow" w:hAnsi="Arial Narrow" w:cs="Arial"/>
                <w:noProof/>
                <w:sz w:val="22"/>
                <w:szCs w:val="22"/>
              </w:rPr>
            </w:pPr>
            <w:r>
              <w:rPr>
                <w:rFonts w:ascii="Arial Narrow" w:hAnsi="Arial Narrow"/>
                <w:noProof/>
                <w:sz w:val="22"/>
                <w:szCs w:val="22"/>
              </w:rPr>
              <w:t>Sudanas ir Pietų Sudanas</w:t>
            </w:r>
          </w:p>
        </w:tc>
        <w:tc>
          <w:tcPr>
            <w:tcW w:w="146" w:type="dxa"/>
            <w:tcBorders>
              <w:top w:val="nil"/>
              <w:left w:val="nil"/>
              <w:bottom w:val="nil"/>
              <w:right w:val="nil"/>
            </w:tcBorders>
            <w:shd w:val="clear" w:color="auto" w:fill="auto"/>
            <w:noWrap/>
            <w:vAlign w:val="center"/>
            <w:hideMark/>
          </w:tcPr>
          <w:p>
            <w:pPr>
              <w:widowControl/>
              <w:rPr>
                <w:rFonts w:ascii="Arial Narrow" w:hAnsi="Arial Narrow" w:cs="Arial"/>
                <w:noProof/>
                <w:sz w:val="22"/>
                <w:szCs w:val="22"/>
                <w:lang w:val="en-GB" w:eastAsia="fr-BE" w:bidi="ar-SA"/>
              </w:rPr>
            </w:pPr>
          </w:p>
        </w:tc>
        <w:tc>
          <w:tcPr>
            <w:tcW w:w="1689" w:type="dxa"/>
            <w:tcBorders>
              <w:top w:val="nil"/>
              <w:left w:val="nil"/>
              <w:bottom w:val="nil"/>
              <w:right w:val="nil"/>
            </w:tcBorders>
            <w:shd w:val="clear" w:color="000000" w:fill="FFFF99"/>
            <w:noWrap/>
            <w:vAlign w:val="center"/>
            <w:hideMark/>
          </w:tcPr>
          <w:p>
            <w:pPr>
              <w:widowControl/>
              <w:jc w:val="right"/>
              <w:rPr>
                <w:rFonts w:ascii="Arial Narrow" w:hAnsi="Arial Narrow" w:cs="Arial"/>
                <w:noProof/>
                <w:sz w:val="22"/>
                <w:szCs w:val="22"/>
              </w:rPr>
            </w:pPr>
            <w:r>
              <w:rPr>
                <w:rFonts w:ascii="Arial Narrow" w:hAnsi="Arial Narrow"/>
                <w:noProof/>
                <w:sz w:val="22"/>
                <w:szCs w:val="22"/>
              </w:rPr>
              <w:t>86</w:t>
            </w:r>
          </w:p>
        </w:tc>
        <w:tc>
          <w:tcPr>
            <w:tcW w:w="146" w:type="dxa"/>
            <w:tcBorders>
              <w:top w:val="nil"/>
              <w:left w:val="nil"/>
              <w:bottom w:val="nil"/>
              <w:right w:val="nil"/>
            </w:tcBorders>
            <w:shd w:val="clear" w:color="auto" w:fill="auto"/>
            <w:noWrap/>
            <w:vAlign w:val="center"/>
            <w:hideMark/>
          </w:tcPr>
          <w:p>
            <w:pPr>
              <w:widowControl/>
              <w:jc w:val="right"/>
              <w:rPr>
                <w:rFonts w:ascii="Arial Narrow" w:hAnsi="Arial Narrow" w:cs="Arial"/>
                <w:noProof/>
                <w:sz w:val="22"/>
                <w:szCs w:val="22"/>
                <w:lang w:val="en-GB" w:eastAsia="fr-BE" w:bidi="ar-SA"/>
              </w:rPr>
            </w:pPr>
          </w:p>
        </w:tc>
        <w:tc>
          <w:tcPr>
            <w:tcW w:w="866" w:type="dxa"/>
            <w:tcBorders>
              <w:top w:val="nil"/>
              <w:left w:val="nil"/>
              <w:bottom w:val="nil"/>
              <w:right w:val="nil"/>
            </w:tcBorders>
            <w:shd w:val="clear" w:color="000000" w:fill="FFFF99"/>
            <w:noWrap/>
            <w:vAlign w:val="center"/>
            <w:hideMark/>
          </w:tcPr>
          <w:p>
            <w:pPr>
              <w:widowControl/>
              <w:rPr>
                <w:rFonts w:ascii="Arial Narrow" w:hAnsi="Arial Narrow" w:cs="Arial"/>
                <w:noProof/>
                <w:sz w:val="22"/>
                <w:szCs w:val="22"/>
              </w:rPr>
            </w:pPr>
            <w:r>
              <w:rPr>
                <w:rFonts w:ascii="Arial Narrow" w:hAnsi="Arial Narrow"/>
                <w:noProof/>
                <w:sz w:val="22"/>
                <w:szCs w:val="22"/>
              </w:rPr>
              <w:t> </w:t>
            </w:r>
          </w:p>
        </w:tc>
      </w:tr>
      <w:tr>
        <w:trPr>
          <w:trHeight w:val="75"/>
        </w:trPr>
        <w:tc>
          <w:tcPr>
            <w:tcW w:w="6139" w:type="dxa"/>
            <w:tcBorders>
              <w:top w:val="nil"/>
              <w:left w:val="nil"/>
              <w:bottom w:val="nil"/>
              <w:right w:val="nil"/>
            </w:tcBorders>
            <w:shd w:val="clear" w:color="auto" w:fill="auto"/>
            <w:noWrap/>
            <w:vAlign w:val="center"/>
            <w:hideMark/>
          </w:tcPr>
          <w:p>
            <w:pPr>
              <w:widowControl/>
              <w:rPr>
                <w:rFonts w:ascii="Arial Narrow" w:hAnsi="Arial Narrow" w:cs="Arial"/>
                <w:noProof/>
                <w:sz w:val="22"/>
                <w:szCs w:val="22"/>
                <w:lang w:val="en-GB" w:eastAsia="fr-BE" w:bidi="ar-SA"/>
              </w:rPr>
            </w:pPr>
          </w:p>
        </w:tc>
        <w:tc>
          <w:tcPr>
            <w:tcW w:w="146" w:type="dxa"/>
            <w:tcBorders>
              <w:top w:val="nil"/>
              <w:left w:val="nil"/>
              <w:bottom w:val="nil"/>
              <w:right w:val="nil"/>
            </w:tcBorders>
            <w:shd w:val="clear" w:color="auto" w:fill="auto"/>
            <w:noWrap/>
            <w:vAlign w:val="center"/>
            <w:hideMark/>
          </w:tcPr>
          <w:p>
            <w:pPr>
              <w:widowControl/>
              <w:rPr>
                <w:noProof/>
                <w:color w:val="auto"/>
                <w:sz w:val="20"/>
                <w:szCs w:val="20"/>
                <w:lang w:val="en-GB" w:eastAsia="fr-BE" w:bidi="ar-SA"/>
              </w:rPr>
            </w:pPr>
          </w:p>
        </w:tc>
        <w:tc>
          <w:tcPr>
            <w:tcW w:w="1689" w:type="dxa"/>
            <w:tcBorders>
              <w:top w:val="nil"/>
              <w:left w:val="nil"/>
              <w:bottom w:val="nil"/>
              <w:right w:val="nil"/>
            </w:tcBorders>
            <w:shd w:val="clear" w:color="auto" w:fill="auto"/>
            <w:noWrap/>
            <w:vAlign w:val="center"/>
            <w:hideMark/>
          </w:tcPr>
          <w:p>
            <w:pPr>
              <w:widowControl/>
              <w:rPr>
                <w:noProof/>
                <w:color w:val="auto"/>
                <w:sz w:val="20"/>
                <w:szCs w:val="20"/>
                <w:lang w:val="en-GB" w:eastAsia="fr-BE" w:bidi="ar-SA"/>
              </w:rPr>
            </w:pPr>
          </w:p>
        </w:tc>
        <w:tc>
          <w:tcPr>
            <w:tcW w:w="146" w:type="dxa"/>
            <w:tcBorders>
              <w:top w:val="nil"/>
              <w:left w:val="nil"/>
              <w:bottom w:val="nil"/>
              <w:right w:val="nil"/>
            </w:tcBorders>
            <w:shd w:val="clear" w:color="auto" w:fill="auto"/>
            <w:noWrap/>
            <w:vAlign w:val="center"/>
            <w:hideMark/>
          </w:tcPr>
          <w:p>
            <w:pPr>
              <w:widowControl/>
              <w:rPr>
                <w:noProof/>
                <w:color w:val="auto"/>
                <w:sz w:val="20"/>
                <w:szCs w:val="20"/>
                <w:lang w:val="en-GB" w:eastAsia="fr-BE" w:bidi="ar-SA"/>
              </w:rPr>
            </w:pPr>
          </w:p>
        </w:tc>
        <w:tc>
          <w:tcPr>
            <w:tcW w:w="866" w:type="dxa"/>
            <w:tcBorders>
              <w:top w:val="nil"/>
              <w:left w:val="nil"/>
              <w:bottom w:val="nil"/>
              <w:right w:val="nil"/>
            </w:tcBorders>
            <w:shd w:val="clear" w:color="auto" w:fill="auto"/>
            <w:noWrap/>
            <w:vAlign w:val="center"/>
            <w:hideMark/>
          </w:tcPr>
          <w:p>
            <w:pPr>
              <w:widowControl/>
              <w:rPr>
                <w:noProof/>
                <w:color w:val="auto"/>
                <w:sz w:val="20"/>
                <w:szCs w:val="20"/>
                <w:lang w:val="en-GB" w:eastAsia="fr-BE" w:bidi="ar-SA"/>
              </w:rPr>
            </w:pPr>
          </w:p>
        </w:tc>
      </w:tr>
      <w:tr>
        <w:trPr>
          <w:trHeight w:val="276"/>
        </w:trPr>
        <w:tc>
          <w:tcPr>
            <w:tcW w:w="6139" w:type="dxa"/>
            <w:tcBorders>
              <w:top w:val="nil"/>
              <w:left w:val="nil"/>
              <w:bottom w:val="nil"/>
              <w:right w:val="nil"/>
            </w:tcBorders>
            <w:shd w:val="clear" w:color="000000" w:fill="FFFF99"/>
            <w:noWrap/>
            <w:vAlign w:val="center"/>
            <w:hideMark/>
          </w:tcPr>
          <w:p>
            <w:pPr>
              <w:widowControl/>
              <w:rPr>
                <w:rFonts w:ascii="Arial Narrow" w:hAnsi="Arial Narrow" w:cs="Arial"/>
                <w:noProof/>
                <w:sz w:val="22"/>
                <w:szCs w:val="22"/>
              </w:rPr>
            </w:pPr>
            <w:r>
              <w:rPr>
                <w:rFonts w:ascii="Arial Narrow" w:hAnsi="Arial Narrow"/>
                <w:noProof/>
                <w:sz w:val="22"/>
                <w:szCs w:val="22"/>
              </w:rPr>
              <w:t>Centrinė Afrika</w:t>
            </w:r>
          </w:p>
        </w:tc>
        <w:tc>
          <w:tcPr>
            <w:tcW w:w="146" w:type="dxa"/>
            <w:tcBorders>
              <w:top w:val="nil"/>
              <w:left w:val="nil"/>
              <w:bottom w:val="nil"/>
              <w:right w:val="nil"/>
            </w:tcBorders>
            <w:shd w:val="clear" w:color="auto" w:fill="auto"/>
            <w:noWrap/>
            <w:vAlign w:val="center"/>
            <w:hideMark/>
          </w:tcPr>
          <w:p>
            <w:pPr>
              <w:widowControl/>
              <w:rPr>
                <w:rFonts w:ascii="Arial Narrow" w:hAnsi="Arial Narrow" w:cs="Arial"/>
                <w:noProof/>
                <w:sz w:val="22"/>
                <w:szCs w:val="22"/>
                <w:lang w:val="en-GB" w:eastAsia="fr-BE" w:bidi="ar-SA"/>
              </w:rPr>
            </w:pPr>
          </w:p>
        </w:tc>
        <w:tc>
          <w:tcPr>
            <w:tcW w:w="1689" w:type="dxa"/>
            <w:tcBorders>
              <w:top w:val="nil"/>
              <w:left w:val="nil"/>
              <w:bottom w:val="nil"/>
              <w:right w:val="nil"/>
            </w:tcBorders>
            <w:shd w:val="clear" w:color="000000" w:fill="FFFF99"/>
            <w:noWrap/>
            <w:vAlign w:val="center"/>
            <w:hideMark/>
          </w:tcPr>
          <w:p>
            <w:pPr>
              <w:widowControl/>
              <w:jc w:val="right"/>
              <w:rPr>
                <w:rFonts w:ascii="Arial Narrow" w:hAnsi="Arial Narrow" w:cs="Arial"/>
                <w:noProof/>
                <w:sz w:val="22"/>
                <w:szCs w:val="22"/>
              </w:rPr>
            </w:pPr>
            <w:r>
              <w:rPr>
                <w:rFonts w:ascii="Arial Narrow" w:hAnsi="Arial Narrow"/>
                <w:noProof/>
                <w:sz w:val="22"/>
                <w:szCs w:val="22"/>
              </w:rPr>
              <w:t>95</w:t>
            </w:r>
          </w:p>
        </w:tc>
        <w:tc>
          <w:tcPr>
            <w:tcW w:w="146" w:type="dxa"/>
            <w:tcBorders>
              <w:top w:val="nil"/>
              <w:left w:val="nil"/>
              <w:bottom w:val="nil"/>
              <w:right w:val="nil"/>
            </w:tcBorders>
            <w:shd w:val="clear" w:color="auto" w:fill="auto"/>
            <w:noWrap/>
            <w:vAlign w:val="center"/>
            <w:hideMark/>
          </w:tcPr>
          <w:p>
            <w:pPr>
              <w:widowControl/>
              <w:jc w:val="right"/>
              <w:rPr>
                <w:rFonts w:ascii="Arial Narrow" w:hAnsi="Arial Narrow" w:cs="Arial"/>
                <w:noProof/>
                <w:sz w:val="22"/>
                <w:szCs w:val="22"/>
                <w:lang w:val="en-GB" w:eastAsia="fr-BE" w:bidi="ar-SA"/>
              </w:rPr>
            </w:pPr>
          </w:p>
        </w:tc>
        <w:tc>
          <w:tcPr>
            <w:tcW w:w="866" w:type="dxa"/>
            <w:tcBorders>
              <w:top w:val="nil"/>
              <w:left w:val="nil"/>
              <w:bottom w:val="nil"/>
              <w:right w:val="nil"/>
            </w:tcBorders>
            <w:shd w:val="clear" w:color="000000" w:fill="FFFF99"/>
            <w:noWrap/>
            <w:vAlign w:val="center"/>
            <w:hideMark/>
          </w:tcPr>
          <w:p>
            <w:pPr>
              <w:widowControl/>
              <w:rPr>
                <w:rFonts w:ascii="Arial Narrow" w:hAnsi="Arial Narrow" w:cs="Arial"/>
                <w:noProof/>
                <w:sz w:val="22"/>
                <w:szCs w:val="22"/>
              </w:rPr>
            </w:pPr>
            <w:r>
              <w:rPr>
                <w:rFonts w:ascii="Arial Narrow" w:hAnsi="Arial Narrow"/>
                <w:noProof/>
                <w:sz w:val="22"/>
                <w:szCs w:val="22"/>
              </w:rPr>
              <w:t> </w:t>
            </w:r>
          </w:p>
        </w:tc>
      </w:tr>
      <w:tr>
        <w:trPr>
          <w:trHeight w:val="75"/>
        </w:trPr>
        <w:tc>
          <w:tcPr>
            <w:tcW w:w="6139" w:type="dxa"/>
            <w:tcBorders>
              <w:top w:val="nil"/>
              <w:left w:val="nil"/>
              <w:bottom w:val="nil"/>
              <w:right w:val="nil"/>
            </w:tcBorders>
            <w:shd w:val="clear" w:color="auto" w:fill="auto"/>
            <w:noWrap/>
            <w:vAlign w:val="center"/>
            <w:hideMark/>
          </w:tcPr>
          <w:p>
            <w:pPr>
              <w:widowControl/>
              <w:rPr>
                <w:rFonts w:ascii="Arial Narrow" w:hAnsi="Arial Narrow" w:cs="Arial"/>
                <w:noProof/>
                <w:sz w:val="22"/>
                <w:szCs w:val="22"/>
                <w:lang w:val="en-GB" w:eastAsia="fr-BE" w:bidi="ar-SA"/>
              </w:rPr>
            </w:pPr>
          </w:p>
        </w:tc>
        <w:tc>
          <w:tcPr>
            <w:tcW w:w="146" w:type="dxa"/>
            <w:tcBorders>
              <w:top w:val="nil"/>
              <w:left w:val="nil"/>
              <w:bottom w:val="nil"/>
              <w:right w:val="nil"/>
            </w:tcBorders>
            <w:shd w:val="clear" w:color="auto" w:fill="auto"/>
            <w:noWrap/>
            <w:vAlign w:val="center"/>
            <w:hideMark/>
          </w:tcPr>
          <w:p>
            <w:pPr>
              <w:widowControl/>
              <w:rPr>
                <w:noProof/>
                <w:color w:val="auto"/>
                <w:sz w:val="20"/>
                <w:szCs w:val="20"/>
                <w:lang w:val="en-GB" w:eastAsia="fr-BE" w:bidi="ar-SA"/>
              </w:rPr>
            </w:pPr>
          </w:p>
        </w:tc>
        <w:tc>
          <w:tcPr>
            <w:tcW w:w="1689" w:type="dxa"/>
            <w:tcBorders>
              <w:top w:val="nil"/>
              <w:left w:val="nil"/>
              <w:bottom w:val="nil"/>
              <w:right w:val="nil"/>
            </w:tcBorders>
            <w:shd w:val="clear" w:color="auto" w:fill="auto"/>
            <w:noWrap/>
            <w:vAlign w:val="center"/>
            <w:hideMark/>
          </w:tcPr>
          <w:p>
            <w:pPr>
              <w:widowControl/>
              <w:rPr>
                <w:noProof/>
                <w:color w:val="auto"/>
                <w:sz w:val="20"/>
                <w:szCs w:val="20"/>
                <w:lang w:val="en-GB" w:eastAsia="fr-BE" w:bidi="ar-SA"/>
              </w:rPr>
            </w:pPr>
          </w:p>
        </w:tc>
        <w:tc>
          <w:tcPr>
            <w:tcW w:w="146" w:type="dxa"/>
            <w:tcBorders>
              <w:top w:val="nil"/>
              <w:left w:val="nil"/>
              <w:bottom w:val="nil"/>
              <w:right w:val="nil"/>
            </w:tcBorders>
            <w:shd w:val="clear" w:color="auto" w:fill="auto"/>
            <w:noWrap/>
            <w:vAlign w:val="center"/>
            <w:hideMark/>
          </w:tcPr>
          <w:p>
            <w:pPr>
              <w:widowControl/>
              <w:rPr>
                <w:noProof/>
                <w:color w:val="auto"/>
                <w:sz w:val="20"/>
                <w:szCs w:val="20"/>
                <w:lang w:val="en-GB" w:eastAsia="fr-BE" w:bidi="ar-SA"/>
              </w:rPr>
            </w:pPr>
          </w:p>
        </w:tc>
        <w:tc>
          <w:tcPr>
            <w:tcW w:w="866" w:type="dxa"/>
            <w:tcBorders>
              <w:top w:val="nil"/>
              <w:left w:val="nil"/>
              <w:bottom w:val="nil"/>
              <w:right w:val="nil"/>
            </w:tcBorders>
            <w:shd w:val="clear" w:color="auto" w:fill="auto"/>
            <w:noWrap/>
            <w:vAlign w:val="center"/>
            <w:hideMark/>
          </w:tcPr>
          <w:p>
            <w:pPr>
              <w:widowControl/>
              <w:rPr>
                <w:noProof/>
                <w:color w:val="auto"/>
                <w:sz w:val="20"/>
                <w:szCs w:val="20"/>
                <w:lang w:val="en-GB" w:eastAsia="fr-BE" w:bidi="ar-SA"/>
              </w:rPr>
            </w:pPr>
          </w:p>
        </w:tc>
      </w:tr>
      <w:tr>
        <w:trPr>
          <w:trHeight w:val="276"/>
        </w:trPr>
        <w:tc>
          <w:tcPr>
            <w:tcW w:w="6139" w:type="dxa"/>
            <w:tcBorders>
              <w:top w:val="nil"/>
              <w:left w:val="nil"/>
              <w:bottom w:val="nil"/>
              <w:right w:val="nil"/>
            </w:tcBorders>
            <w:shd w:val="clear" w:color="000000" w:fill="FFFF99"/>
            <w:noWrap/>
            <w:vAlign w:val="center"/>
            <w:hideMark/>
          </w:tcPr>
          <w:p>
            <w:pPr>
              <w:widowControl/>
              <w:rPr>
                <w:rFonts w:ascii="Arial Narrow" w:hAnsi="Arial Narrow" w:cs="Arial"/>
                <w:noProof/>
                <w:sz w:val="22"/>
                <w:szCs w:val="22"/>
              </w:rPr>
            </w:pPr>
            <w:r>
              <w:rPr>
                <w:rFonts w:ascii="Arial Narrow" w:hAnsi="Arial Narrow"/>
                <w:noProof/>
                <w:sz w:val="22"/>
                <w:szCs w:val="22"/>
              </w:rPr>
              <w:t>Didžiųjų ežerų regionas</w:t>
            </w:r>
          </w:p>
        </w:tc>
        <w:tc>
          <w:tcPr>
            <w:tcW w:w="146" w:type="dxa"/>
            <w:tcBorders>
              <w:top w:val="nil"/>
              <w:left w:val="nil"/>
              <w:bottom w:val="nil"/>
              <w:right w:val="nil"/>
            </w:tcBorders>
            <w:shd w:val="clear" w:color="auto" w:fill="auto"/>
            <w:noWrap/>
            <w:vAlign w:val="center"/>
            <w:hideMark/>
          </w:tcPr>
          <w:p>
            <w:pPr>
              <w:widowControl/>
              <w:rPr>
                <w:rFonts w:ascii="Arial Narrow" w:hAnsi="Arial Narrow" w:cs="Arial"/>
                <w:noProof/>
                <w:sz w:val="22"/>
                <w:szCs w:val="22"/>
                <w:lang w:val="en-GB" w:eastAsia="fr-BE" w:bidi="ar-SA"/>
              </w:rPr>
            </w:pPr>
          </w:p>
        </w:tc>
        <w:tc>
          <w:tcPr>
            <w:tcW w:w="1689" w:type="dxa"/>
            <w:tcBorders>
              <w:top w:val="nil"/>
              <w:left w:val="nil"/>
              <w:bottom w:val="nil"/>
              <w:right w:val="nil"/>
            </w:tcBorders>
            <w:shd w:val="clear" w:color="000000" w:fill="FFFF99"/>
            <w:noWrap/>
            <w:vAlign w:val="center"/>
            <w:hideMark/>
          </w:tcPr>
          <w:p>
            <w:pPr>
              <w:widowControl/>
              <w:jc w:val="right"/>
              <w:rPr>
                <w:rFonts w:ascii="Arial Narrow" w:hAnsi="Arial Narrow" w:cs="Arial"/>
                <w:noProof/>
                <w:sz w:val="22"/>
                <w:szCs w:val="22"/>
              </w:rPr>
            </w:pPr>
            <w:r>
              <w:rPr>
                <w:rFonts w:ascii="Arial Narrow" w:hAnsi="Arial Narrow"/>
                <w:noProof/>
                <w:sz w:val="22"/>
                <w:szCs w:val="22"/>
              </w:rPr>
              <w:t>70</w:t>
            </w:r>
          </w:p>
        </w:tc>
        <w:tc>
          <w:tcPr>
            <w:tcW w:w="146" w:type="dxa"/>
            <w:tcBorders>
              <w:top w:val="nil"/>
              <w:left w:val="nil"/>
              <w:bottom w:val="nil"/>
              <w:right w:val="nil"/>
            </w:tcBorders>
            <w:shd w:val="clear" w:color="auto" w:fill="auto"/>
            <w:noWrap/>
            <w:vAlign w:val="center"/>
            <w:hideMark/>
          </w:tcPr>
          <w:p>
            <w:pPr>
              <w:widowControl/>
              <w:jc w:val="right"/>
              <w:rPr>
                <w:rFonts w:ascii="Arial Narrow" w:hAnsi="Arial Narrow" w:cs="Arial"/>
                <w:noProof/>
                <w:sz w:val="22"/>
                <w:szCs w:val="22"/>
                <w:lang w:val="en-GB" w:eastAsia="fr-BE" w:bidi="ar-SA"/>
              </w:rPr>
            </w:pPr>
          </w:p>
        </w:tc>
        <w:tc>
          <w:tcPr>
            <w:tcW w:w="866" w:type="dxa"/>
            <w:tcBorders>
              <w:top w:val="nil"/>
              <w:left w:val="nil"/>
              <w:bottom w:val="nil"/>
              <w:right w:val="nil"/>
            </w:tcBorders>
            <w:shd w:val="clear" w:color="000000" w:fill="FFFF99"/>
            <w:noWrap/>
            <w:vAlign w:val="center"/>
            <w:hideMark/>
          </w:tcPr>
          <w:p>
            <w:pPr>
              <w:widowControl/>
              <w:rPr>
                <w:rFonts w:ascii="Arial Narrow" w:hAnsi="Arial Narrow" w:cs="Arial"/>
                <w:noProof/>
                <w:sz w:val="22"/>
                <w:szCs w:val="22"/>
              </w:rPr>
            </w:pPr>
            <w:r>
              <w:rPr>
                <w:rFonts w:ascii="Arial Narrow" w:hAnsi="Arial Narrow"/>
                <w:noProof/>
                <w:sz w:val="22"/>
                <w:szCs w:val="22"/>
              </w:rPr>
              <w:t> </w:t>
            </w:r>
          </w:p>
        </w:tc>
      </w:tr>
      <w:tr>
        <w:trPr>
          <w:trHeight w:val="75"/>
        </w:trPr>
        <w:tc>
          <w:tcPr>
            <w:tcW w:w="6139" w:type="dxa"/>
            <w:tcBorders>
              <w:top w:val="nil"/>
              <w:left w:val="nil"/>
              <w:bottom w:val="nil"/>
              <w:right w:val="nil"/>
            </w:tcBorders>
            <w:shd w:val="clear" w:color="auto" w:fill="auto"/>
            <w:noWrap/>
            <w:vAlign w:val="center"/>
            <w:hideMark/>
          </w:tcPr>
          <w:p>
            <w:pPr>
              <w:widowControl/>
              <w:rPr>
                <w:rFonts w:ascii="Arial Narrow" w:hAnsi="Arial Narrow" w:cs="Arial"/>
                <w:noProof/>
                <w:sz w:val="22"/>
                <w:szCs w:val="22"/>
                <w:lang w:val="en-GB" w:eastAsia="fr-BE" w:bidi="ar-SA"/>
              </w:rPr>
            </w:pPr>
          </w:p>
        </w:tc>
        <w:tc>
          <w:tcPr>
            <w:tcW w:w="146" w:type="dxa"/>
            <w:tcBorders>
              <w:top w:val="nil"/>
              <w:left w:val="nil"/>
              <w:bottom w:val="nil"/>
              <w:right w:val="nil"/>
            </w:tcBorders>
            <w:shd w:val="clear" w:color="auto" w:fill="auto"/>
            <w:noWrap/>
            <w:vAlign w:val="center"/>
            <w:hideMark/>
          </w:tcPr>
          <w:p>
            <w:pPr>
              <w:widowControl/>
              <w:rPr>
                <w:noProof/>
                <w:color w:val="auto"/>
                <w:sz w:val="20"/>
                <w:szCs w:val="20"/>
                <w:lang w:val="en-GB" w:eastAsia="fr-BE" w:bidi="ar-SA"/>
              </w:rPr>
            </w:pPr>
          </w:p>
        </w:tc>
        <w:tc>
          <w:tcPr>
            <w:tcW w:w="1689" w:type="dxa"/>
            <w:tcBorders>
              <w:top w:val="nil"/>
              <w:left w:val="nil"/>
              <w:bottom w:val="nil"/>
              <w:right w:val="nil"/>
            </w:tcBorders>
            <w:shd w:val="clear" w:color="auto" w:fill="auto"/>
            <w:noWrap/>
            <w:vAlign w:val="center"/>
            <w:hideMark/>
          </w:tcPr>
          <w:p>
            <w:pPr>
              <w:widowControl/>
              <w:rPr>
                <w:noProof/>
                <w:color w:val="auto"/>
                <w:sz w:val="20"/>
                <w:szCs w:val="20"/>
                <w:lang w:val="en-GB" w:eastAsia="fr-BE" w:bidi="ar-SA"/>
              </w:rPr>
            </w:pPr>
          </w:p>
        </w:tc>
        <w:tc>
          <w:tcPr>
            <w:tcW w:w="146" w:type="dxa"/>
            <w:tcBorders>
              <w:top w:val="nil"/>
              <w:left w:val="nil"/>
              <w:bottom w:val="nil"/>
              <w:right w:val="nil"/>
            </w:tcBorders>
            <w:shd w:val="clear" w:color="auto" w:fill="auto"/>
            <w:noWrap/>
            <w:vAlign w:val="center"/>
            <w:hideMark/>
          </w:tcPr>
          <w:p>
            <w:pPr>
              <w:widowControl/>
              <w:rPr>
                <w:noProof/>
                <w:color w:val="auto"/>
                <w:sz w:val="20"/>
                <w:szCs w:val="20"/>
                <w:lang w:val="en-GB" w:eastAsia="fr-BE" w:bidi="ar-SA"/>
              </w:rPr>
            </w:pPr>
          </w:p>
        </w:tc>
        <w:tc>
          <w:tcPr>
            <w:tcW w:w="866" w:type="dxa"/>
            <w:tcBorders>
              <w:top w:val="nil"/>
              <w:left w:val="nil"/>
              <w:bottom w:val="nil"/>
              <w:right w:val="nil"/>
            </w:tcBorders>
            <w:shd w:val="clear" w:color="auto" w:fill="auto"/>
            <w:noWrap/>
            <w:vAlign w:val="center"/>
            <w:hideMark/>
          </w:tcPr>
          <w:p>
            <w:pPr>
              <w:widowControl/>
              <w:rPr>
                <w:noProof/>
                <w:color w:val="auto"/>
                <w:sz w:val="20"/>
                <w:szCs w:val="20"/>
                <w:lang w:val="en-GB" w:eastAsia="fr-BE" w:bidi="ar-SA"/>
              </w:rPr>
            </w:pPr>
          </w:p>
        </w:tc>
      </w:tr>
      <w:tr>
        <w:trPr>
          <w:trHeight w:val="276"/>
        </w:trPr>
        <w:tc>
          <w:tcPr>
            <w:tcW w:w="6139" w:type="dxa"/>
            <w:tcBorders>
              <w:top w:val="nil"/>
              <w:left w:val="nil"/>
              <w:bottom w:val="nil"/>
              <w:right w:val="nil"/>
            </w:tcBorders>
            <w:shd w:val="clear" w:color="000000" w:fill="FFFF99"/>
            <w:noWrap/>
            <w:vAlign w:val="center"/>
            <w:hideMark/>
          </w:tcPr>
          <w:p>
            <w:pPr>
              <w:widowControl/>
              <w:rPr>
                <w:rFonts w:ascii="Arial Narrow" w:hAnsi="Arial Narrow" w:cs="Arial"/>
                <w:noProof/>
                <w:sz w:val="22"/>
                <w:szCs w:val="22"/>
              </w:rPr>
            </w:pPr>
            <w:r>
              <w:rPr>
                <w:rFonts w:ascii="Arial Narrow" w:hAnsi="Arial Narrow"/>
                <w:noProof/>
                <w:sz w:val="22"/>
                <w:szCs w:val="22"/>
              </w:rPr>
              <w:t>Somalio pusiasalis</w:t>
            </w:r>
          </w:p>
        </w:tc>
        <w:tc>
          <w:tcPr>
            <w:tcW w:w="146" w:type="dxa"/>
            <w:tcBorders>
              <w:top w:val="nil"/>
              <w:left w:val="nil"/>
              <w:bottom w:val="nil"/>
              <w:right w:val="nil"/>
            </w:tcBorders>
            <w:shd w:val="clear" w:color="auto" w:fill="auto"/>
            <w:noWrap/>
            <w:vAlign w:val="center"/>
            <w:hideMark/>
          </w:tcPr>
          <w:p>
            <w:pPr>
              <w:widowControl/>
              <w:rPr>
                <w:rFonts w:ascii="Arial Narrow" w:hAnsi="Arial Narrow" w:cs="Arial"/>
                <w:noProof/>
                <w:sz w:val="22"/>
                <w:szCs w:val="22"/>
                <w:lang w:val="en-GB" w:eastAsia="fr-BE" w:bidi="ar-SA"/>
              </w:rPr>
            </w:pPr>
          </w:p>
        </w:tc>
        <w:tc>
          <w:tcPr>
            <w:tcW w:w="1689" w:type="dxa"/>
            <w:tcBorders>
              <w:top w:val="nil"/>
              <w:left w:val="nil"/>
              <w:bottom w:val="nil"/>
              <w:right w:val="nil"/>
            </w:tcBorders>
            <w:shd w:val="clear" w:color="000000" w:fill="FFFF99"/>
            <w:noWrap/>
            <w:vAlign w:val="center"/>
            <w:hideMark/>
          </w:tcPr>
          <w:p>
            <w:pPr>
              <w:widowControl/>
              <w:jc w:val="right"/>
              <w:rPr>
                <w:rFonts w:ascii="Arial Narrow" w:hAnsi="Arial Narrow" w:cs="Arial"/>
                <w:noProof/>
                <w:sz w:val="22"/>
                <w:szCs w:val="22"/>
              </w:rPr>
            </w:pPr>
            <w:r>
              <w:rPr>
                <w:rFonts w:ascii="Arial Narrow" w:hAnsi="Arial Narrow"/>
                <w:noProof/>
                <w:sz w:val="22"/>
                <w:szCs w:val="22"/>
              </w:rPr>
              <w:t>200</w:t>
            </w:r>
          </w:p>
        </w:tc>
        <w:tc>
          <w:tcPr>
            <w:tcW w:w="146" w:type="dxa"/>
            <w:tcBorders>
              <w:top w:val="nil"/>
              <w:left w:val="nil"/>
              <w:bottom w:val="nil"/>
              <w:right w:val="nil"/>
            </w:tcBorders>
            <w:shd w:val="clear" w:color="auto" w:fill="auto"/>
            <w:noWrap/>
            <w:vAlign w:val="center"/>
            <w:hideMark/>
          </w:tcPr>
          <w:p>
            <w:pPr>
              <w:widowControl/>
              <w:jc w:val="right"/>
              <w:rPr>
                <w:rFonts w:ascii="Arial Narrow" w:hAnsi="Arial Narrow" w:cs="Arial"/>
                <w:noProof/>
                <w:sz w:val="22"/>
                <w:szCs w:val="22"/>
                <w:lang w:val="en-GB" w:eastAsia="fr-BE" w:bidi="ar-SA"/>
              </w:rPr>
            </w:pPr>
          </w:p>
        </w:tc>
        <w:tc>
          <w:tcPr>
            <w:tcW w:w="866" w:type="dxa"/>
            <w:tcBorders>
              <w:top w:val="nil"/>
              <w:left w:val="nil"/>
              <w:bottom w:val="nil"/>
              <w:right w:val="nil"/>
            </w:tcBorders>
            <w:shd w:val="clear" w:color="000000" w:fill="FFFF99"/>
            <w:noWrap/>
            <w:vAlign w:val="center"/>
            <w:hideMark/>
          </w:tcPr>
          <w:p>
            <w:pPr>
              <w:widowControl/>
              <w:rPr>
                <w:rFonts w:ascii="Arial Narrow" w:hAnsi="Arial Narrow" w:cs="Arial"/>
                <w:noProof/>
                <w:sz w:val="22"/>
                <w:szCs w:val="22"/>
              </w:rPr>
            </w:pPr>
            <w:r>
              <w:rPr>
                <w:rFonts w:ascii="Arial Narrow" w:hAnsi="Arial Narrow"/>
                <w:noProof/>
                <w:sz w:val="22"/>
                <w:szCs w:val="22"/>
              </w:rPr>
              <w:t> </w:t>
            </w:r>
          </w:p>
        </w:tc>
      </w:tr>
      <w:tr>
        <w:trPr>
          <w:trHeight w:val="75"/>
        </w:trPr>
        <w:tc>
          <w:tcPr>
            <w:tcW w:w="6139" w:type="dxa"/>
            <w:tcBorders>
              <w:top w:val="nil"/>
              <w:left w:val="nil"/>
              <w:bottom w:val="nil"/>
              <w:right w:val="nil"/>
            </w:tcBorders>
            <w:shd w:val="clear" w:color="auto" w:fill="auto"/>
            <w:noWrap/>
            <w:vAlign w:val="center"/>
            <w:hideMark/>
          </w:tcPr>
          <w:p>
            <w:pPr>
              <w:widowControl/>
              <w:rPr>
                <w:rFonts w:ascii="Arial Narrow" w:hAnsi="Arial Narrow" w:cs="Arial"/>
                <w:noProof/>
                <w:sz w:val="22"/>
                <w:szCs w:val="22"/>
                <w:lang w:val="en-GB" w:eastAsia="fr-BE" w:bidi="ar-SA"/>
              </w:rPr>
            </w:pPr>
          </w:p>
        </w:tc>
        <w:tc>
          <w:tcPr>
            <w:tcW w:w="146" w:type="dxa"/>
            <w:tcBorders>
              <w:top w:val="nil"/>
              <w:left w:val="nil"/>
              <w:bottom w:val="nil"/>
              <w:right w:val="nil"/>
            </w:tcBorders>
            <w:shd w:val="clear" w:color="auto" w:fill="auto"/>
            <w:noWrap/>
            <w:vAlign w:val="center"/>
            <w:hideMark/>
          </w:tcPr>
          <w:p>
            <w:pPr>
              <w:widowControl/>
              <w:rPr>
                <w:noProof/>
                <w:color w:val="auto"/>
                <w:sz w:val="20"/>
                <w:szCs w:val="20"/>
                <w:lang w:val="en-GB" w:eastAsia="fr-BE" w:bidi="ar-SA"/>
              </w:rPr>
            </w:pPr>
          </w:p>
        </w:tc>
        <w:tc>
          <w:tcPr>
            <w:tcW w:w="1689" w:type="dxa"/>
            <w:tcBorders>
              <w:top w:val="nil"/>
              <w:left w:val="nil"/>
              <w:bottom w:val="nil"/>
              <w:right w:val="nil"/>
            </w:tcBorders>
            <w:shd w:val="clear" w:color="auto" w:fill="auto"/>
            <w:noWrap/>
            <w:vAlign w:val="center"/>
            <w:hideMark/>
          </w:tcPr>
          <w:p>
            <w:pPr>
              <w:widowControl/>
              <w:rPr>
                <w:noProof/>
                <w:color w:val="auto"/>
                <w:sz w:val="20"/>
                <w:szCs w:val="20"/>
                <w:lang w:val="en-GB" w:eastAsia="fr-BE" w:bidi="ar-SA"/>
              </w:rPr>
            </w:pPr>
          </w:p>
        </w:tc>
        <w:tc>
          <w:tcPr>
            <w:tcW w:w="146" w:type="dxa"/>
            <w:tcBorders>
              <w:top w:val="nil"/>
              <w:left w:val="nil"/>
              <w:bottom w:val="nil"/>
              <w:right w:val="nil"/>
            </w:tcBorders>
            <w:shd w:val="clear" w:color="auto" w:fill="auto"/>
            <w:noWrap/>
            <w:vAlign w:val="center"/>
            <w:hideMark/>
          </w:tcPr>
          <w:p>
            <w:pPr>
              <w:widowControl/>
              <w:rPr>
                <w:noProof/>
                <w:color w:val="auto"/>
                <w:sz w:val="20"/>
                <w:szCs w:val="20"/>
                <w:lang w:val="en-GB" w:eastAsia="fr-BE" w:bidi="ar-SA"/>
              </w:rPr>
            </w:pPr>
          </w:p>
        </w:tc>
        <w:tc>
          <w:tcPr>
            <w:tcW w:w="866" w:type="dxa"/>
            <w:tcBorders>
              <w:top w:val="nil"/>
              <w:left w:val="nil"/>
              <w:bottom w:val="nil"/>
              <w:right w:val="nil"/>
            </w:tcBorders>
            <w:shd w:val="clear" w:color="auto" w:fill="auto"/>
            <w:noWrap/>
            <w:vAlign w:val="center"/>
            <w:hideMark/>
          </w:tcPr>
          <w:p>
            <w:pPr>
              <w:widowControl/>
              <w:rPr>
                <w:noProof/>
                <w:color w:val="auto"/>
                <w:sz w:val="20"/>
                <w:szCs w:val="20"/>
                <w:lang w:val="en-GB" w:eastAsia="fr-BE" w:bidi="ar-SA"/>
              </w:rPr>
            </w:pPr>
          </w:p>
        </w:tc>
      </w:tr>
      <w:tr>
        <w:trPr>
          <w:trHeight w:val="276"/>
        </w:trPr>
        <w:tc>
          <w:tcPr>
            <w:tcW w:w="6139" w:type="dxa"/>
            <w:tcBorders>
              <w:top w:val="nil"/>
              <w:left w:val="nil"/>
              <w:bottom w:val="nil"/>
              <w:right w:val="nil"/>
            </w:tcBorders>
            <w:shd w:val="clear" w:color="000000" w:fill="FFFF99"/>
            <w:noWrap/>
            <w:vAlign w:val="center"/>
            <w:hideMark/>
          </w:tcPr>
          <w:p>
            <w:pPr>
              <w:widowControl/>
              <w:rPr>
                <w:rFonts w:ascii="Arial Narrow" w:hAnsi="Arial Narrow" w:cs="Arial"/>
                <w:noProof/>
                <w:sz w:val="22"/>
                <w:szCs w:val="22"/>
              </w:rPr>
            </w:pPr>
            <w:r>
              <w:rPr>
                <w:rFonts w:ascii="Arial Narrow" w:hAnsi="Arial Narrow"/>
                <w:noProof/>
                <w:sz w:val="22"/>
                <w:szCs w:val="22"/>
              </w:rPr>
              <w:t>Pietų Afrika, Indijos vandenynas</w:t>
            </w:r>
          </w:p>
        </w:tc>
        <w:tc>
          <w:tcPr>
            <w:tcW w:w="146" w:type="dxa"/>
            <w:tcBorders>
              <w:top w:val="nil"/>
              <w:left w:val="nil"/>
              <w:bottom w:val="nil"/>
              <w:right w:val="nil"/>
            </w:tcBorders>
            <w:shd w:val="clear" w:color="auto" w:fill="auto"/>
            <w:noWrap/>
            <w:vAlign w:val="center"/>
            <w:hideMark/>
          </w:tcPr>
          <w:p>
            <w:pPr>
              <w:widowControl/>
              <w:rPr>
                <w:rFonts w:ascii="Arial Narrow" w:hAnsi="Arial Narrow" w:cs="Arial"/>
                <w:noProof/>
                <w:sz w:val="22"/>
                <w:szCs w:val="22"/>
                <w:lang w:val="en-GB" w:eastAsia="fr-BE" w:bidi="ar-SA"/>
              </w:rPr>
            </w:pPr>
          </w:p>
        </w:tc>
        <w:tc>
          <w:tcPr>
            <w:tcW w:w="1689" w:type="dxa"/>
            <w:tcBorders>
              <w:top w:val="nil"/>
              <w:left w:val="nil"/>
              <w:bottom w:val="nil"/>
              <w:right w:val="nil"/>
            </w:tcBorders>
            <w:shd w:val="clear" w:color="000000" w:fill="FFFF99"/>
            <w:noWrap/>
            <w:vAlign w:val="center"/>
            <w:hideMark/>
          </w:tcPr>
          <w:p>
            <w:pPr>
              <w:widowControl/>
              <w:jc w:val="right"/>
              <w:rPr>
                <w:rFonts w:ascii="Arial Narrow" w:hAnsi="Arial Narrow" w:cs="Arial"/>
                <w:noProof/>
                <w:sz w:val="22"/>
                <w:szCs w:val="22"/>
              </w:rPr>
            </w:pPr>
            <w:r>
              <w:rPr>
                <w:rFonts w:ascii="Arial Narrow" w:hAnsi="Arial Narrow"/>
                <w:noProof/>
                <w:sz w:val="22"/>
                <w:szCs w:val="22"/>
              </w:rPr>
              <w:t>11</w:t>
            </w:r>
          </w:p>
        </w:tc>
        <w:tc>
          <w:tcPr>
            <w:tcW w:w="146" w:type="dxa"/>
            <w:tcBorders>
              <w:top w:val="nil"/>
              <w:left w:val="nil"/>
              <w:bottom w:val="nil"/>
              <w:right w:val="nil"/>
            </w:tcBorders>
            <w:shd w:val="clear" w:color="auto" w:fill="auto"/>
            <w:noWrap/>
            <w:vAlign w:val="center"/>
            <w:hideMark/>
          </w:tcPr>
          <w:p>
            <w:pPr>
              <w:widowControl/>
              <w:jc w:val="right"/>
              <w:rPr>
                <w:rFonts w:ascii="Arial Narrow" w:hAnsi="Arial Narrow" w:cs="Arial"/>
                <w:noProof/>
                <w:sz w:val="22"/>
                <w:szCs w:val="22"/>
                <w:lang w:val="en-GB" w:eastAsia="fr-BE" w:bidi="ar-SA"/>
              </w:rPr>
            </w:pPr>
          </w:p>
        </w:tc>
        <w:tc>
          <w:tcPr>
            <w:tcW w:w="866" w:type="dxa"/>
            <w:tcBorders>
              <w:top w:val="nil"/>
              <w:left w:val="nil"/>
              <w:bottom w:val="nil"/>
              <w:right w:val="nil"/>
            </w:tcBorders>
            <w:shd w:val="clear" w:color="000000" w:fill="FFFF99"/>
            <w:noWrap/>
            <w:vAlign w:val="center"/>
            <w:hideMark/>
          </w:tcPr>
          <w:p>
            <w:pPr>
              <w:widowControl/>
              <w:rPr>
                <w:rFonts w:ascii="Arial Narrow" w:hAnsi="Arial Narrow" w:cs="Arial"/>
                <w:noProof/>
                <w:sz w:val="22"/>
                <w:szCs w:val="22"/>
              </w:rPr>
            </w:pPr>
            <w:r>
              <w:rPr>
                <w:rFonts w:ascii="Arial Narrow" w:hAnsi="Arial Narrow"/>
                <w:noProof/>
                <w:sz w:val="22"/>
                <w:szCs w:val="22"/>
              </w:rPr>
              <w:t> </w:t>
            </w:r>
          </w:p>
        </w:tc>
      </w:tr>
      <w:tr>
        <w:trPr>
          <w:trHeight w:val="75"/>
        </w:trPr>
        <w:tc>
          <w:tcPr>
            <w:tcW w:w="6139" w:type="dxa"/>
            <w:tcBorders>
              <w:top w:val="nil"/>
              <w:left w:val="nil"/>
              <w:bottom w:val="nil"/>
              <w:right w:val="nil"/>
            </w:tcBorders>
            <w:shd w:val="clear" w:color="auto" w:fill="auto"/>
            <w:noWrap/>
            <w:vAlign w:val="center"/>
            <w:hideMark/>
          </w:tcPr>
          <w:p>
            <w:pPr>
              <w:widowControl/>
              <w:rPr>
                <w:rFonts w:ascii="Arial Narrow" w:hAnsi="Arial Narrow" w:cs="Arial"/>
                <w:noProof/>
                <w:sz w:val="22"/>
                <w:szCs w:val="22"/>
                <w:lang w:val="en-GB" w:eastAsia="fr-BE" w:bidi="ar-SA"/>
              </w:rPr>
            </w:pPr>
          </w:p>
        </w:tc>
        <w:tc>
          <w:tcPr>
            <w:tcW w:w="146" w:type="dxa"/>
            <w:tcBorders>
              <w:top w:val="nil"/>
              <w:left w:val="nil"/>
              <w:bottom w:val="nil"/>
              <w:right w:val="nil"/>
            </w:tcBorders>
            <w:shd w:val="clear" w:color="auto" w:fill="auto"/>
            <w:noWrap/>
            <w:vAlign w:val="center"/>
            <w:hideMark/>
          </w:tcPr>
          <w:p>
            <w:pPr>
              <w:widowControl/>
              <w:rPr>
                <w:noProof/>
                <w:color w:val="auto"/>
                <w:sz w:val="20"/>
                <w:szCs w:val="20"/>
                <w:lang w:val="en-GB" w:eastAsia="fr-BE" w:bidi="ar-SA"/>
              </w:rPr>
            </w:pPr>
          </w:p>
        </w:tc>
        <w:tc>
          <w:tcPr>
            <w:tcW w:w="1689" w:type="dxa"/>
            <w:tcBorders>
              <w:top w:val="nil"/>
              <w:left w:val="nil"/>
              <w:bottom w:val="nil"/>
              <w:right w:val="nil"/>
            </w:tcBorders>
            <w:shd w:val="clear" w:color="auto" w:fill="auto"/>
            <w:noWrap/>
            <w:vAlign w:val="center"/>
            <w:hideMark/>
          </w:tcPr>
          <w:p>
            <w:pPr>
              <w:widowControl/>
              <w:rPr>
                <w:noProof/>
                <w:color w:val="auto"/>
                <w:sz w:val="20"/>
                <w:szCs w:val="20"/>
                <w:lang w:val="en-GB" w:eastAsia="fr-BE" w:bidi="ar-SA"/>
              </w:rPr>
            </w:pPr>
          </w:p>
        </w:tc>
        <w:tc>
          <w:tcPr>
            <w:tcW w:w="146" w:type="dxa"/>
            <w:tcBorders>
              <w:top w:val="nil"/>
              <w:left w:val="nil"/>
              <w:bottom w:val="nil"/>
              <w:right w:val="nil"/>
            </w:tcBorders>
            <w:shd w:val="clear" w:color="auto" w:fill="auto"/>
            <w:noWrap/>
            <w:vAlign w:val="center"/>
            <w:hideMark/>
          </w:tcPr>
          <w:p>
            <w:pPr>
              <w:widowControl/>
              <w:rPr>
                <w:noProof/>
                <w:color w:val="auto"/>
                <w:sz w:val="20"/>
                <w:szCs w:val="20"/>
                <w:lang w:val="en-GB" w:eastAsia="fr-BE" w:bidi="ar-SA"/>
              </w:rPr>
            </w:pPr>
          </w:p>
        </w:tc>
        <w:tc>
          <w:tcPr>
            <w:tcW w:w="866" w:type="dxa"/>
            <w:tcBorders>
              <w:top w:val="nil"/>
              <w:left w:val="nil"/>
              <w:bottom w:val="nil"/>
              <w:right w:val="nil"/>
            </w:tcBorders>
            <w:shd w:val="clear" w:color="auto" w:fill="auto"/>
            <w:noWrap/>
            <w:vAlign w:val="center"/>
            <w:hideMark/>
          </w:tcPr>
          <w:p>
            <w:pPr>
              <w:widowControl/>
              <w:rPr>
                <w:noProof/>
                <w:color w:val="auto"/>
                <w:sz w:val="20"/>
                <w:szCs w:val="20"/>
                <w:lang w:val="en-GB" w:eastAsia="fr-BE" w:bidi="ar-SA"/>
              </w:rPr>
            </w:pPr>
          </w:p>
        </w:tc>
      </w:tr>
      <w:tr>
        <w:trPr>
          <w:trHeight w:val="276"/>
        </w:trPr>
        <w:tc>
          <w:tcPr>
            <w:tcW w:w="6139" w:type="dxa"/>
            <w:tcBorders>
              <w:top w:val="nil"/>
              <w:left w:val="nil"/>
              <w:bottom w:val="nil"/>
              <w:right w:val="nil"/>
            </w:tcBorders>
            <w:shd w:val="clear" w:color="000000" w:fill="FFFF99"/>
            <w:noWrap/>
            <w:vAlign w:val="center"/>
            <w:hideMark/>
          </w:tcPr>
          <w:p>
            <w:pPr>
              <w:widowControl/>
              <w:rPr>
                <w:rFonts w:ascii="Arial Narrow" w:hAnsi="Arial Narrow" w:cs="Arial"/>
                <w:noProof/>
                <w:sz w:val="22"/>
                <w:szCs w:val="22"/>
              </w:rPr>
            </w:pPr>
            <w:r>
              <w:rPr>
                <w:rFonts w:ascii="Arial Narrow" w:hAnsi="Arial Narrow"/>
                <w:noProof/>
                <w:sz w:val="22"/>
                <w:szCs w:val="22"/>
              </w:rPr>
              <w:t>Vakarų Afrika</w:t>
            </w:r>
          </w:p>
        </w:tc>
        <w:tc>
          <w:tcPr>
            <w:tcW w:w="146" w:type="dxa"/>
            <w:tcBorders>
              <w:top w:val="nil"/>
              <w:left w:val="nil"/>
              <w:bottom w:val="nil"/>
              <w:right w:val="nil"/>
            </w:tcBorders>
            <w:shd w:val="clear" w:color="auto" w:fill="auto"/>
            <w:noWrap/>
            <w:vAlign w:val="center"/>
            <w:hideMark/>
          </w:tcPr>
          <w:p>
            <w:pPr>
              <w:widowControl/>
              <w:rPr>
                <w:rFonts w:ascii="Arial Narrow" w:hAnsi="Arial Narrow" w:cs="Arial"/>
                <w:noProof/>
                <w:sz w:val="22"/>
                <w:szCs w:val="22"/>
                <w:lang w:val="en-GB" w:eastAsia="fr-BE" w:bidi="ar-SA"/>
              </w:rPr>
            </w:pPr>
          </w:p>
        </w:tc>
        <w:tc>
          <w:tcPr>
            <w:tcW w:w="1689" w:type="dxa"/>
            <w:tcBorders>
              <w:top w:val="nil"/>
              <w:left w:val="nil"/>
              <w:bottom w:val="nil"/>
              <w:right w:val="nil"/>
            </w:tcBorders>
            <w:shd w:val="clear" w:color="000000" w:fill="FFFF99"/>
            <w:noWrap/>
            <w:vAlign w:val="center"/>
            <w:hideMark/>
          </w:tcPr>
          <w:p>
            <w:pPr>
              <w:widowControl/>
              <w:jc w:val="right"/>
              <w:rPr>
                <w:rFonts w:ascii="Arial Narrow" w:hAnsi="Arial Narrow" w:cs="Arial"/>
                <w:noProof/>
                <w:sz w:val="22"/>
                <w:szCs w:val="22"/>
              </w:rPr>
            </w:pPr>
            <w:r>
              <w:rPr>
                <w:rFonts w:ascii="Arial Narrow" w:hAnsi="Arial Narrow"/>
                <w:noProof/>
                <w:sz w:val="22"/>
                <w:szCs w:val="22"/>
              </w:rPr>
              <w:t>160</w:t>
            </w:r>
          </w:p>
        </w:tc>
        <w:tc>
          <w:tcPr>
            <w:tcW w:w="146" w:type="dxa"/>
            <w:tcBorders>
              <w:top w:val="nil"/>
              <w:left w:val="nil"/>
              <w:bottom w:val="nil"/>
              <w:right w:val="nil"/>
            </w:tcBorders>
            <w:shd w:val="clear" w:color="auto" w:fill="auto"/>
            <w:noWrap/>
            <w:vAlign w:val="center"/>
            <w:hideMark/>
          </w:tcPr>
          <w:p>
            <w:pPr>
              <w:widowControl/>
              <w:jc w:val="right"/>
              <w:rPr>
                <w:rFonts w:ascii="Arial Narrow" w:hAnsi="Arial Narrow" w:cs="Arial"/>
                <w:noProof/>
                <w:sz w:val="22"/>
                <w:szCs w:val="22"/>
                <w:lang w:val="en-GB" w:eastAsia="fr-BE" w:bidi="ar-SA"/>
              </w:rPr>
            </w:pPr>
          </w:p>
        </w:tc>
        <w:tc>
          <w:tcPr>
            <w:tcW w:w="866" w:type="dxa"/>
            <w:tcBorders>
              <w:top w:val="nil"/>
              <w:left w:val="nil"/>
              <w:bottom w:val="nil"/>
              <w:right w:val="nil"/>
            </w:tcBorders>
            <w:shd w:val="clear" w:color="000000" w:fill="FFFF99"/>
            <w:noWrap/>
            <w:vAlign w:val="center"/>
            <w:hideMark/>
          </w:tcPr>
          <w:p>
            <w:pPr>
              <w:widowControl/>
              <w:rPr>
                <w:rFonts w:ascii="Arial Narrow" w:hAnsi="Arial Narrow" w:cs="Arial"/>
                <w:noProof/>
                <w:sz w:val="22"/>
                <w:szCs w:val="22"/>
              </w:rPr>
            </w:pPr>
            <w:r>
              <w:rPr>
                <w:rFonts w:ascii="Arial Narrow" w:hAnsi="Arial Narrow"/>
                <w:noProof/>
                <w:sz w:val="22"/>
                <w:szCs w:val="22"/>
              </w:rPr>
              <w:t> </w:t>
            </w:r>
          </w:p>
        </w:tc>
      </w:tr>
      <w:tr>
        <w:trPr>
          <w:trHeight w:val="75"/>
        </w:trPr>
        <w:tc>
          <w:tcPr>
            <w:tcW w:w="6139" w:type="dxa"/>
            <w:tcBorders>
              <w:top w:val="nil"/>
              <w:left w:val="nil"/>
              <w:bottom w:val="nil"/>
              <w:right w:val="nil"/>
            </w:tcBorders>
            <w:shd w:val="clear" w:color="auto" w:fill="auto"/>
            <w:noWrap/>
            <w:vAlign w:val="center"/>
            <w:hideMark/>
          </w:tcPr>
          <w:p>
            <w:pPr>
              <w:widowControl/>
              <w:rPr>
                <w:rFonts w:ascii="Arial Narrow" w:hAnsi="Arial Narrow" w:cs="Arial"/>
                <w:noProof/>
                <w:sz w:val="22"/>
                <w:szCs w:val="22"/>
                <w:lang w:val="en-GB" w:eastAsia="fr-BE" w:bidi="ar-SA"/>
              </w:rPr>
            </w:pPr>
          </w:p>
        </w:tc>
        <w:tc>
          <w:tcPr>
            <w:tcW w:w="146" w:type="dxa"/>
            <w:tcBorders>
              <w:top w:val="nil"/>
              <w:left w:val="nil"/>
              <w:bottom w:val="nil"/>
              <w:right w:val="nil"/>
            </w:tcBorders>
            <w:shd w:val="clear" w:color="auto" w:fill="auto"/>
            <w:noWrap/>
            <w:vAlign w:val="center"/>
            <w:hideMark/>
          </w:tcPr>
          <w:p>
            <w:pPr>
              <w:widowControl/>
              <w:rPr>
                <w:noProof/>
                <w:color w:val="auto"/>
                <w:sz w:val="20"/>
                <w:szCs w:val="20"/>
                <w:lang w:val="en-GB" w:eastAsia="fr-BE" w:bidi="ar-SA"/>
              </w:rPr>
            </w:pPr>
          </w:p>
        </w:tc>
        <w:tc>
          <w:tcPr>
            <w:tcW w:w="1689" w:type="dxa"/>
            <w:tcBorders>
              <w:top w:val="nil"/>
              <w:left w:val="nil"/>
              <w:bottom w:val="nil"/>
              <w:right w:val="nil"/>
            </w:tcBorders>
            <w:shd w:val="clear" w:color="auto" w:fill="auto"/>
            <w:noWrap/>
            <w:vAlign w:val="center"/>
            <w:hideMark/>
          </w:tcPr>
          <w:p>
            <w:pPr>
              <w:widowControl/>
              <w:rPr>
                <w:noProof/>
                <w:color w:val="auto"/>
                <w:sz w:val="20"/>
                <w:szCs w:val="20"/>
                <w:lang w:val="en-GB" w:eastAsia="fr-BE" w:bidi="ar-SA"/>
              </w:rPr>
            </w:pPr>
          </w:p>
        </w:tc>
        <w:tc>
          <w:tcPr>
            <w:tcW w:w="146" w:type="dxa"/>
            <w:tcBorders>
              <w:top w:val="nil"/>
              <w:left w:val="nil"/>
              <w:bottom w:val="nil"/>
              <w:right w:val="nil"/>
            </w:tcBorders>
            <w:shd w:val="clear" w:color="auto" w:fill="auto"/>
            <w:noWrap/>
            <w:vAlign w:val="center"/>
            <w:hideMark/>
          </w:tcPr>
          <w:p>
            <w:pPr>
              <w:widowControl/>
              <w:rPr>
                <w:noProof/>
                <w:color w:val="auto"/>
                <w:sz w:val="20"/>
                <w:szCs w:val="20"/>
                <w:lang w:val="en-GB" w:eastAsia="fr-BE" w:bidi="ar-SA"/>
              </w:rPr>
            </w:pPr>
          </w:p>
        </w:tc>
        <w:tc>
          <w:tcPr>
            <w:tcW w:w="866" w:type="dxa"/>
            <w:tcBorders>
              <w:top w:val="nil"/>
              <w:left w:val="nil"/>
              <w:bottom w:val="nil"/>
              <w:right w:val="nil"/>
            </w:tcBorders>
            <w:shd w:val="clear" w:color="auto" w:fill="auto"/>
            <w:noWrap/>
            <w:vAlign w:val="center"/>
            <w:hideMark/>
          </w:tcPr>
          <w:p>
            <w:pPr>
              <w:widowControl/>
              <w:rPr>
                <w:noProof/>
                <w:color w:val="auto"/>
                <w:sz w:val="20"/>
                <w:szCs w:val="20"/>
                <w:lang w:val="en-GB" w:eastAsia="fr-BE" w:bidi="ar-SA"/>
              </w:rPr>
            </w:pPr>
          </w:p>
        </w:tc>
      </w:tr>
      <w:tr>
        <w:trPr>
          <w:trHeight w:val="276"/>
        </w:trPr>
        <w:tc>
          <w:tcPr>
            <w:tcW w:w="6139" w:type="dxa"/>
            <w:tcBorders>
              <w:top w:val="nil"/>
              <w:left w:val="nil"/>
              <w:bottom w:val="nil"/>
              <w:right w:val="nil"/>
            </w:tcBorders>
            <w:shd w:val="clear" w:color="000000" w:fill="FFFF99"/>
            <w:noWrap/>
            <w:vAlign w:val="center"/>
            <w:hideMark/>
          </w:tcPr>
          <w:p>
            <w:pPr>
              <w:widowControl/>
              <w:rPr>
                <w:rFonts w:ascii="Arial Narrow" w:hAnsi="Arial Narrow" w:cs="Arial"/>
                <w:noProof/>
                <w:sz w:val="22"/>
                <w:szCs w:val="22"/>
              </w:rPr>
            </w:pPr>
            <w:r>
              <w:rPr>
                <w:rFonts w:ascii="Arial Narrow" w:hAnsi="Arial Narrow"/>
                <w:noProof/>
                <w:sz w:val="22"/>
                <w:szCs w:val="22"/>
              </w:rPr>
              <w:t>Šiaurės Afrika</w:t>
            </w:r>
          </w:p>
        </w:tc>
        <w:tc>
          <w:tcPr>
            <w:tcW w:w="146" w:type="dxa"/>
            <w:tcBorders>
              <w:top w:val="nil"/>
              <w:left w:val="nil"/>
              <w:bottom w:val="nil"/>
              <w:right w:val="nil"/>
            </w:tcBorders>
            <w:shd w:val="clear" w:color="auto" w:fill="auto"/>
            <w:noWrap/>
            <w:vAlign w:val="center"/>
            <w:hideMark/>
          </w:tcPr>
          <w:p>
            <w:pPr>
              <w:widowControl/>
              <w:rPr>
                <w:rFonts w:ascii="Arial Narrow" w:hAnsi="Arial Narrow" w:cs="Arial"/>
                <w:noProof/>
                <w:sz w:val="22"/>
                <w:szCs w:val="22"/>
                <w:lang w:val="en-GB" w:eastAsia="fr-BE" w:bidi="ar-SA"/>
              </w:rPr>
            </w:pPr>
          </w:p>
        </w:tc>
        <w:tc>
          <w:tcPr>
            <w:tcW w:w="1689" w:type="dxa"/>
            <w:tcBorders>
              <w:top w:val="nil"/>
              <w:left w:val="nil"/>
              <w:bottom w:val="nil"/>
              <w:right w:val="nil"/>
            </w:tcBorders>
            <w:shd w:val="clear" w:color="000000" w:fill="FFFF99"/>
            <w:noWrap/>
            <w:vAlign w:val="center"/>
            <w:hideMark/>
          </w:tcPr>
          <w:p>
            <w:pPr>
              <w:widowControl/>
              <w:jc w:val="right"/>
              <w:rPr>
                <w:rFonts w:ascii="Arial Narrow" w:hAnsi="Arial Narrow" w:cs="Arial"/>
                <w:noProof/>
                <w:sz w:val="22"/>
                <w:szCs w:val="22"/>
              </w:rPr>
            </w:pPr>
            <w:r>
              <w:rPr>
                <w:rFonts w:ascii="Arial Narrow" w:hAnsi="Arial Narrow"/>
                <w:noProof/>
                <w:sz w:val="22"/>
                <w:szCs w:val="22"/>
              </w:rPr>
              <w:t>19</w:t>
            </w:r>
          </w:p>
        </w:tc>
        <w:tc>
          <w:tcPr>
            <w:tcW w:w="146" w:type="dxa"/>
            <w:tcBorders>
              <w:top w:val="nil"/>
              <w:left w:val="nil"/>
              <w:bottom w:val="nil"/>
              <w:right w:val="nil"/>
            </w:tcBorders>
            <w:shd w:val="clear" w:color="auto" w:fill="auto"/>
            <w:noWrap/>
            <w:vAlign w:val="center"/>
            <w:hideMark/>
          </w:tcPr>
          <w:p>
            <w:pPr>
              <w:widowControl/>
              <w:jc w:val="right"/>
              <w:rPr>
                <w:rFonts w:ascii="Arial Narrow" w:hAnsi="Arial Narrow" w:cs="Arial"/>
                <w:noProof/>
                <w:sz w:val="22"/>
                <w:szCs w:val="22"/>
                <w:lang w:val="en-GB" w:eastAsia="fr-BE" w:bidi="ar-SA"/>
              </w:rPr>
            </w:pPr>
          </w:p>
        </w:tc>
        <w:tc>
          <w:tcPr>
            <w:tcW w:w="866" w:type="dxa"/>
            <w:tcBorders>
              <w:top w:val="nil"/>
              <w:left w:val="nil"/>
              <w:bottom w:val="nil"/>
              <w:right w:val="nil"/>
            </w:tcBorders>
            <w:shd w:val="clear" w:color="000000" w:fill="FFFF99"/>
            <w:noWrap/>
            <w:vAlign w:val="center"/>
            <w:hideMark/>
          </w:tcPr>
          <w:p>
            <w:pPr>
              <w:widowControl/>
              <w:rPr>
                <w:rFonts w:ascii="Arial Narrow" w:hAnsi="Arial Narrow" w:cs="Arial"/>
                <w:noProof/>
                <w:sz w:val="22"/>
                <w:szCs w:val="22"/>
              </w:rPr>
            </w:pPr>
            <w:r>
              <w:rPr>
                <w:rFonts w:ascii="Arial Narrow" w:hAnsi="Arial Narrow"/>
                <w:noProof/>
                <w:sz w:val="22"/>
                <w:szCs w:val="22"/>
              </w:rPr>
              <w:t> </w:t>
            </w:r>
          </w:p>
        </w:tc>
      </w:tr>
      <w:tr>
        <w:trPr>
          <w:trHeight w:val="75"/>
        </w:trPr>
        <w:tc>
          <w:tcPr>
            <w:tcW w:w="6139" w:type="dxa"/>
            <w:tcBorders>
              <w:top w:val="nil"/>
              <w:left w:val="nil"/>
              <w:bottom w:val="nil"/>
              <w:right w:val="nil"/>
            </w:tcBorders>
            <w:shd w:val="clear" w:color="auto" w:fill="auto"/>
            <w:noWrap/>
            <w:vAlign w:val="center"/>
            <w:hideMark/>
          </w:tcPr>
          <w:p>
            <w:pPr>
              <w:widowControl/>
              <w:rPr>
                <w:rFonts w:ascii="Arial Narrow" w:hAnsi="Arial Narrow" w:cs="Arial"/>
                <w:noProof/>
                <w:sz w:val="22"/>
                <w:szCs w:val="22"/>
                <w:lang w:val="en-GB" w:eastAsia="fr-BE" w:bidi="ar-SA"/>
              </w:rPr>
            </w:pPr>
          </w:p>
        </w:tc>
        <w:tc>
          <w:tcPr>
            <w:tcW w:w="146" w:type="dxa"/>
            <w:tcBorders>
              <w:top w:val="nil"/>
              <w:left w:val="nil"/>
              <w:bottom w:val="nil"/>
              <w:right w:val="nil"/>
            </w:tcBorders>
            <w:shd w:val="clear" w:color="auto" w:fill="auto"/>
            <w:noWrap/>
            <w:vAlign w:val="center"/>
            <w:hideMark/>
          </w:tcPr>
          <w:p>
            <w:pPr>
              <w:widowControl/>
              <w:rPr>
                <w:noProof/>
                <w:color w:val="auto"/>
                <w:sz w:val="20"/>
                <w:szCs w:val="20"/>
                <w:lang w:val="en-GB" w:eastAsia="fr-BE" w:bidi="ar-SA"/>
              </w:rPr>
            </w:pPr>
          </w:p>
        </w:tc>
        <w:tc>
          <w:tcPr>
            <w:tcW w:w="1689" w:type="dxa"/>
            <w:tcBorders>
              <w:top w:val="nil"/>
              <w:left w:val="nil"/>
              <w:bottom w:val="nil"/>
              <w:right w:val="nil"/>
            </w:tcBorders>
            <w:shd w:val="clear" w:color="auto" w:fill="auto"/>
            <w:noWrap/>
            <w:vAlign w:val="center"/>
            <w:hideMark/>
          </w:tcPr>
          <w:p>
            <w:pPr>
              <w:widowControl/>
              <w:rPr>
                <w:noProof/>
                <w:color w:val="auto"/>
                <w:sz w:val="20"/>
                <w:szCs w:val="20"/>
                <w:lang w:val="en-GB" w:eastAsia="fr-BE" w:bidi="ar-SA"/>
              </w:rPr>
            </w:pPr>
          </w:p>
        </w:tc>
        <w:tc>
          <w:tcPr>
            <w:tcW w:w="146" w:type="dxa"/>
            <w:tcBorders>
              <w:top w:val="nil"/>
              <w:left w:val="nil"/>
              <w:bottom w:val="nil"/>
              <w:right w:val="nil"/>
            </w:tcBorders>
            <w:shd w:val="clear" w:color="auto" w:fill="auto"/>
            <w:noWrap/>
            <w:vAlign w:val="center"/>
            <w:hideMark/>
          </w:tcPr>
          <w:p>
            <w:pPr>
              <w:widowControl/>
              <w:rPr>
                <w:noProof/>
                <w:color w:val="auto"/>
                <w:sz w:val="20"/>
                <w:szCs w:val="20"/>
                <w:lang w:val="en-GB" w:eastAsia="fr-BE" w:bidi="ar-SA"/>
              </w:rPr>
            </w:pPr>
          </w:p>
        </w:tc>
        <w:tc>
          <w:tcPr>
            <w:tcW w:w="866" w:type="dxa"/>
            <w:tcBorders>
              <w:top w:val="nil"/>
              <w:left w:val="nil"/>
              <w:bottom w:val="nil"/>
              <w:right w:val="nil"/>
            </w:tcBorders>
            <w:shd w:val="clear" w:color="auto" w:fill="auto"/>
            <w:noWrap/>
            <w:vAlign w:val="center"/>
            <w:hideMark/>
          </w:tcPr>
          <w:p>
            <w:pPr>
              <w:widowControl/>
              <w:rPr>
                <w:noProof/>
                <w:color w:val="auto"/>
                <w:sz w:val="20"/>
                <w:szCs w:val="20"/>
                <w:lang w:val="en-GB" w:eastAsia="fr-BE" w:bidi="ar-SA"/>
              </w:rPr>
            </w:pPr>
          </w:p>
        </w:tc>
      </w:tr>
      <w:tr>
        <w:trPr>
          <w:trHeight w:val="276"/>
        </w:trPr>
        <w:tc>
          <w:tcPr>
            <w:tcW w:w="6139" w:type="dxa"/>
            <w:tcBorders>
              <w:top w:val="nil"/>
              <w:left w:val="nil"/>
              <w:bottom w:val="nil"/>
              <w:right w:val="nil"/>
            </w:tcBorders>
            <w:shd w:val="clear" w:color="000000" w:fill="FFFF99"/>
            <w:noWrap/>
            <w:vAlign w:val="center"/>
            <w:hideMark/>
          </w:tcPr>
          <w:p>
            <w:pPr>
              <w:widowControl/>
              <w:rPr>
                <w:rFonts w:ascii="Arial Narrow" w:hAnsi="Arial Narrow" w:cs="Arial"/>
                <w:noProof/>
                <w:sz w:val="22"/>
                <w:szCs w:val="22"/>
              </w:rPr>
            </w:pPr>
            <w:r>
              <w:rPr>
                <w:rFonts w:ascii="Arial Narrow" w:hAnsi="Arial Narrow"/>
                <w:noProof/>
                <w:sz w:val="22"/>
                <w:szCs w:val="22"/>
              </w:rPr>
              <w:t>Afrika</w:t>
            </w:r>
          </w:p>
        </w:tc>
        <w:tc>
          <w:tcPr>
            <w:tcW w:w="146" w:type="dxa"/>
            <w:tcBorders>
              <w:top w:val="nil"/>
              <w:left w:val="nil"/>
              <w:bottom w:val="nil"/>
              <w:right w:val="nil"/>
            </w:tcBorders>
            <w:shd w:val="clear" w:color="auto" w:fill="auto"/>
            <w:noWrap/>
            <w:vAlign w:val="center"/>
            <w:hideMark/>
          </w:tcPr>
          <w:p>
            <w:pPr>
              <w:widowControl/>
              <w:rPr>
                <w:rFonts w:ascii="Arial Narrow" w:hAnsi="Arial Narrow" w:cs="Arial"/>
                <w:noProof/>
                <w:sz w:val="22"/>
                <w:szCs w:val="22"/>
                <w:lang w:val="en-GB" w:eastAsia="fr-BE" w:bidi="ar-SA"/>
              </w:rPr>
            </w:pPr>
          </w:p>
        </w:tc>
        <w:tc>
          <w:tcPr>
            <w:tcW w:w="1689" w:type="dxa"/>
            <w:tcBorders>
              <w:top w:val="nil"/>
              <w:left w:val="nil"/>
              <w:bottom w:val="nil"/>
              <w:right w:val="nil"/>
            </w:tcBorders>
            <w:shd w:val="clear" w:color="000000" w:fill="FFFF99"/>
            <w:noWrap/>
            <w:vAlign w:val="center"/>
            <w:hideMark/>
          </w:tcPr>
          <w:p>
            <w:pPr>
              <w:widowControl/>
              <w:jc w:val="right"/>
              <w:rPr>
                <w:rFonts w:ascii="Arial Narrow" w:hAnsi="Arial Narrow" w:cs="Arial"/>
                <w:noProof/>
                <w:sz w:val="22"/>
                <w:szCs w:val="22"/>
              </w:rPr>
            </w:pPr>
            <w:r>
              <w:rPr>
                <w:rFonts w:ascii="Arial Narrow" w:hAnsi="Arial Narrow"/>
                <w:noProof/>
                <w:sz w:val="22"/>
                <w:szCs w:val="22"/>
              </w:rPr>
              <w:t>10</w:t>
            </w:r>
          </w:p>
        </w:tc>
        <w:tc>
          <w:tcPr>
            <w:tcW w:w="146" w:type="dxa"/>
            <w:tcBorders>
              <w:top w:val="nil"/>
              <w:left w:val="nil"/>
              <w:bottom w:val="nil"/>
              <w:right w:val="nil"/>
            </w:tcBorders>
            <w:shd w:val="clear" w:color="auto" w:fill="auto"/>
            <w:noWrap/>
            <w:vAlign w:val="center"/>
            <w:hideMark/>
          </w:tcPr>
          <w:p>
            <w:pPr>
              <w:widowControl/>
              <w:jc w:val="right"/>
              <w:rPr>
                <w:rFonts w:ascii="Arial Narrow" w:hAnsi="Arial Narrow" w:cs="Arial"/>
                <w:noProof/>
                <w:sz w:val="22"/>
                <w:szCs w:val="22"/>
                <w:lang w:val="en-GB" w:eastAsia="fr-BE" w:bidi="ar-SA"/>
              </w:rPr>
            </w:pPr>
          </w:p>
        </w:tc>
        <w:tc>
          <w:tcPr>
            <w:tcW w:w="866" w:type="dxa"/>
            <w:tcBorders>
              <w:top w:val="nil"/>
              <w:left w:val="nil"/>
              <w:bottom w:val="nil"/>
              <w:right w:val="nil"/>
            </w:tcBorders>
            <w:shd w:val="clear" w:color="000000" w:fill="FFFF99"/>
            <w:noWrap/>
            <w:vAlign w:val="center"/>
            <w:hideMark/>
          </w:tcPr>
          <w:p>
            <w:pPr>
              <w:widowControl/>
              <w:rPr>
                <w:rFonts w:ascii="Arial Narrow" w:hAnsi="Arial Narrow" w:cs="Arial"/>
                <w:noProof/>
                <w:sz w:val="22"/>
                <w:szCs w:val="22"/>
              </w:rPr>
            </w:pPr>
            <w:r>
              <w:rPr>
                <w:rFonts w:ascii="Arial Narrow" w:hAnsi="Arial Narrow"/>
                <w:noProof/>
                <w:sz w:val="22"/>
                <w:szCs w:val="22"/>
              </w:rPr>
              <w:t> </w:t>
            </w:r>
          </w:p>
        </w:tc>
      </w:tr>
      <w:tr>
        <w:trPr>
          <w:trHeight w:val="75"/>
        </w:trPr>
        <w:tc>
          <w:tcPr>
            <w:tcW w:w="6139" w:type="dxa"/>
            <w:tcBorders>
              <w:top w:val="nil"/>
              <w:left w:val="nil"/>
              <w:bottom w:val="nil"/>
              <w:right w:val="nil"/>
            </w:tcBorders>
            <w:shd w:val="clear" w:color="auto" w:fill="auto"/>
            <w:noWrap/>
            <w:vAlign w:val="center"/>
            <w:hideMark/>
          </w:tcPr>
          <w:p>
            <w:pPr>
              <w:widowControl/>
              <w:rPr>
                <w:rFonts w:ascii="Arial Narrow" w:hAnsi="Arial Narrow" w:cs="Arial"/>
                <w:noProof/>
                <w:sz w:val="22"/>
                <w:szCs w:val="22"/>
                <w:lang w:val="en-GB" w:eastAsia="fr-BE" w:bidi="ar-SA"/>
              </w:rPr>
            </w:pPr>
          </w:p>
        </w:tc>
        <w:tc>
          <w:tcPr>
            <w:tcW w:w="146" w:type="dxa"/>
            <w:tcBorders>
              <w:top w:val="nil"/>
              <w:left w:val="nil"/>
              <w:bottom w:val="nil"/>
              <w:right w:val="nil"/>
            </w:tcBorders>
            <w:shd w:val="clear" w:color="auto" w:fill="auto"/>
            <w:noWrap/>
            <w:vAlign w:val="center"/>
            <w:hideMark/>
          </w:tcPr>
          <w:p>
            <w:pPr>
              <w:widowControl/>
              <w:rPr>
                <w:noProof/>
                <w:color w:val="auto"/>
                <w:sz w:val="20"/>
                <w:szCs w:val="20"/>
                <w:lang w:val="en-GB" w:eastAsia="fr-BE" w:bidi="ar-SA"/>
              </w:rPr>
            </w:pPr>
          </w:p>
        </w:tc>
        <w:tc>
          <w:tcPr>
            <w:tcW w:w="1689" w:type="dxa"/>
            <w:tcBorders>
              <w:top w:val="nil"/>
              <w:left w:val="nil"/>
              <w:bottom w:val="nil"/>
              <w:right w:val="nil"/>
            </w:tcBorders>
            <w:shd w:val="clear" w:color="auto" w:fill="auto"/>
            <w:noWrap/>
            <w:vAlign w:val="center"/>
            <w:hideMark/>
          </w:tcPr>
          <w:p>
            <w:pPr>
              <w:widowControl/>
              <w:rPr>
                <w:noProof/>
                <w:color w:val="auto"/>
                <w:sz w:val="20"/>
                <w:szCs w:val="20"/>
                <w:lang w:val="en-GB" w:eastAsia="fr-BE" w:bidi="ar-SA"/>
              </w:rPr>
            </w:pPr>
          </w:p>
        </w:tc>
        <w:tc>
          <w:tcPr>
            <w:tcW w:w="146" w:type="dxa"/>
            <w:tcBorders>
              <w:top w:val="nil"/>
              <w:left w:val="nil"/>
              <w:bottom w:val="nil"/>
              <w:right w:val="nil"/>
            </w:tcBorders>
            <w:shd w:val="clear" w:color="auto" w:fill="auto"/>
            <w:noWrap/>
            <w:vAlign w:val="center"/>
            <w:hideMark/>
          </w:tcPr>
          <w:p>
            <w:pPr>
              <w:widowControl/>
              <w:rPr>
                <w:noProof/>
                <w:color w:val="auto"/>
                <w:sz w:val="20"/>
                <w:szCs w:val="20"/>
                <w:lang w:val="en-GB" w:eastAsia="fr-BE" w:bidi="ar-SA"/>
              </w:rPr>
            </w:pPr>
          </w:p>
        </w:tc>
        <w:tc>
          <w:tcPr>
            <w:tcW w:w="866" w:type="dxa"/>
            <w:tcBorders>
              <w:top w:val="nil"/>
              <w:left w:val="nil"/>
              <w:bottom w:val="nil"/>
              <w:right w:val="nil"/>
            </w:tcBorders>
            <w:shd w:val="clear" w:color="auto" w:fill="auto"/>
            <w:noWrap/>
            <w:vAlign w:val="center"/>
            <w:hideMark/>
          </w:tcPr>
          <w:p>
            <w:pPr>
              <w:widowControl/>
              <w:rPr>
                <w:noProof/>
                <w:color w:val="auto"/>
                <w:sz w:val="20"/>
                <w:szCs w:val="20"/>
                <w:lang w:val="en-GB" w:eastAsia="fr-BE" w:bidi="ar-SA"/>
              </w:rPr>
            </w:pPr>
          </w:p>
        </w:tc>
      </w:tr>
      <w:tr>
        <w:trPr>
          <w:trHeight w:val="300"/>
        </w:trPr>
        <w:tc>
          <w:tcPr>
            <w:tcW w:w="6139" w:type="dxa"/>
            <w:tcBorders>
              <w:top w:val="nil"/>
              <w:left w:val="nil"/>
              <w:bottom w:val="nil"/>
              <w:right w:val="nil"/>
            </w:tcBorders>
            <w:shd w:val="clear" w:color="000000" w:fill="FFCC99"/>
            <w:noWrap/>
            <w:vAlign w:val="center"/>
            <w:hideMark/>
          </w:tcPr>
          <w:p>
            <w:pPr>
              <w:widowControl/>
              <w:rPr>
                <w:rFonts w:ascii="Arial Narrow" w:hAnsi="Arial Narrow" w:cs="Arial"/>
                <w:b/>
                <w:bCs/>
                <w:noProof/>
                <w:sz w:val="22"/>
                <w:szCs w:val="22"/>
              </w:rPr>
            </w:pPr>
            <w:r>
              <w:rPr>
                <w:rFonts w:ascii="Arial Narrow" w:hAnsi="Arial Narrow"/>
                <w:b/>
                <w:bCs/>
                <w:noProof/>
                <w:sz w:val="22"/>
                <w:szCs w:val="22"/>
              </w:rPr>
              <w:t>Artimieji Rytai ir rytinės kaimyninės šalys</w:t>
            </w:r>
          </w:p>
        </w:tc>
        <w:tc>
          <w:tcPr>
            <w:tcW w:w="146" w:type="dxa"/>
            <w:tcBorders>
              <w:top w:val="nil"/>
              <w:left w:val="nil"/>
              <w:bottom w:val="nil"/>
              <w:right w:val="nil"/>
            </w:tcBorders>
            <w:shd w:val="clear" w:color="auto" w:fill="auto"/>
            <w:noWrap/>
            <w:vAlign w:val="center"/>
            <w:hideMark/>
          </w:tcPr>
          <w:p>
            <w:pPr>
              <w:widowControl/>
              <w:rPr>
                <w:rFonts w:ascii="Arial Narrow" w:hAnsi="Arial Narrow" w:cs="Arial"/>
                <w:b/>
                <w:bCs/>
                <w:noProof/>
                <w:sz w:val="22"/>
                <w:szCs w:val="22"/>
                <w:lang w:val="en-GB" w:eastAsia="fr-BE" w:bidi="ar-SA"/>
              </w:rPr>
            </w:pPr>
          </w:p>
        </w:tc>
        <w:tc>
          <w:tcPr>
            <w:tcW w:w="1689" w:type="dxa"/>
            <w:tcBorders>
              <w:top w:val="nil"/>
              <w:left w:val="nil"/>
              <w:bottom w:val="nil"/>
              <w:right w:val="nil"/>
            </w:tcBorders>
            <w:shd w:val="clear" w:color="000000" w:fill="FFCC99"/>
            <w:noWrap/>
            <w:vAlign w:val="center"/>
            <w:hideMark/>
          </w:tcPr>
          <w:p>
            <w:pPr>
              <w:widowControl/>
              <w:jc w:val="right"/>
              <w:rPr>
                <w:rFonts w:ascii="Arial Narrow" w:hAnsi="Arial Narrow" w:cs="Arial"/>
                <w:b/>
                <w:bCs/>
                <w:noProof/>
                <w:sz w:val="22"/>
                <w:szCs w:val="22"/>
              </w:rPr>
            </w:pPr>
            <w:r>
              <w:rPr>
                <w:rFonts w:ascii="Arial Narrow" w:hAnsi="Arial Narrow"/>
                <w:b/>
                <w:bCs/>
                <w:noProof/>
                <w:sz w:val="22"/>
                <w:szCs w:val="22"/>
              </w:rPr>
              <w:t>552</w:t>
            </w:r>
          </w:p>
        </w:tc>
        <w:tc>
          <w:tcPr>
            <w:tcW w:w="146" w:type="dxa"/>
            <w:tcBorders>
              <w:top w:val="nil"/>
              <w:left w:val="nil"/>
              <w:bottom w:val="nil"/>
              <w:right w:val="nil"/>
            </w:tcBorders>
            <w:shd w:val="clear" w:color="auto" w:fill="auto"/>
            <w:noWrap/>
            <w:vAlign w:val="center"/>
            <w:hideMark/>
          </w:tcPr>
          <w:p>
            <w:pPr>
              <w:widowControl/>
              <w:jc w:val="right"/>
              <w:rPr>
                <w:rFonts w:ascii="Arial Narrow" w:hAnsi="Arial Narrow" w:cs="Arial"/>
                <w:b/>
                <w:bCs/>
                <w:noProof/>
                <w:sz w:val="22"/>
                <w:szCs w:val="22"/>
                <w:lang w:val="en-GB" w:eastAsia="fr-BE" w:bidi="ar-SA"/>
              </w:rPr>
            </w:pPr>
          </w:p>
        </w:tc>
        <w:tc>
          <w:tcPr>
            <w:tcW w:w="866" w:type="dxa"/>
            <w:tcBorders>
              <w:top w:val="nil"/>
              <w:left w:val="nil"/>
              <w:bottom w:val="nil"/>
              <w:right w:val="nil"/>
            </w:tcBorders>
            <w:shd w:val="clear" w:color="000000" w:fill="FFCC99"/>
            <w:noWrap/>
            <w:vAlign w:val="center"/>
            <w:hideMark/>
          </w:tcPr>
          <w:p>
            <w:pPr>
              <w:widowControl/>
              <w:jc w:val="right"/>
              <w:rPr>
                <w:rFonts w:ascii="Arial Narrow" w:hAnsi="Arial Narrow" w:cs="Arial"/>
                <w:b/>
                <w:bCs/>
                <w:noProof/>
                <w:sz w:val="22"/>
                <w:szCs w:val="22"/>
              </w:rPr>
            </w:pPr>
            <w:r>
              <w:rPr>
                <w:rFonts w:ascii="Arial Narrow" w:hAnsi="Arial Narrow"/>
                <w:b/>
                <w:bCs/>
                <w:noProof/>
                <w:sz w:val="22"/>
                <w:szCs w:val="22"/>
              </w:rPr>
              <w:t>32 %</w:t>
            </w:r>
          </w:p>
        </w:tc>
      </w:tr>
      <w:tr>
        <w:trPr>
          <w:trHeight w:val="75"/>
        </w:trPr>
        <w:tc>
          <w:tcPr>
            <w:tcW w:w="6139" w:type="dxa"/>
            <w:tcBorders>
              <w:top w:val="nil"/>
              <w:left w:val="nil"/>
              <w:bottom w:val="nil"/>
              <w:right w:val="nil"/>
            </w:tcBorders>
            <w:shd w:val="clear" w:color="auto" w:fill="auto"/>
            <w:noWrap/>
            <w:vAlign w:val="center"/>
            <w:hideMark/>
          </w:tcPr>
          <w:p>
            <w:pPr>
              <w:widowControl/>
              <w:jc w:val="right"/>
              <w:rPr>
                <w:rFonts w:ascii="Arial Narrow" w:hAnsi="Arial Narrow" w:cs="Arial"/>
                <w:b/>
                <w:bCs/>
                <w:noProof/>
                <w:sz w:val="22"/>
                <w:szCs w:val="22"/>
                <w:lang w:val="en-GB" w:eastAsia="fr-BE" w:bidi="ar-SA"/>
              </w:rPr>
            </w:pPr>
          </w:p>
        </w:tc>
        <w:tc>
          <w:tcPr>
            <w:tcW w:w="146" w:type="dxa"/>
            <w:tcBorders>
              <w:top w:val="nil"/>
              <w:left w:val="nil"/>
              <w:bottom w:val="nil"/>
              <w:right w:val="nil"/>
            </w:tcBorders>
            <w:shd w:val="clear" w:color="auto" w:fill="auto"/>
            <w:noWrap/>
            <w:vAlign w:val="center"/>
            <w:hideMark/>
          </w:tcPr>
          <w:p>
            <w:pPr>
              <w:widowControl/>
              <w:rPr>
                <w:noProof/>
                <w:color w:val="auto"/>
                <w:sz w:val="20"/>
                <w:szCs w:val="20"/>
                <w:lang w:val="en-GB" w:eastAsia="fr-BE" w:bidi="ar-SA"/>
              </w:rPr>
            </w:pPr>
          </w:p>
        </w:tc>
        <w:tc>
          <w:tcPr>
            <w:tcW w:w="1689" w:type="dxa"/>
            <w:tcBorders>
              <w:top w:val="nil"/>
              <w:left w:val="nil"/>
              <w:bottom w:val="nil"/>
              <w:right w:val="nil"/>
            </w:tcBorders>
            <w:shd w:val="clear" w:color="auto" w:fill="auto"/>
            <w:noWrap/>
            <w:vAlign w:val="center"/>
            <w:hideMark/>
          </w:tcPr>
          <w:p>
            <w:pPr>
              <w:widowControl/>
              <w:rPr>
                <w:noProof/>
                <w:color w:val="auto"/>
                <w:sz w:val="20"/>
                <w:szCs w:val="20"/>
                <w:lang w:val="en-GB" w:eastAsia="fr-BE" w:bidi="ar-SA"/>
              </w:rPr>
            </w:pPr>
          </w:p>
        </w:tc>
        <w:tc>
          <w:tcPr>
            <w:tcW w:w="146" w:type="dxa"/>
            <w:tcBorders>
              <w:top w:val="nil"/>
              <w:left w:val="nil"/>
              <w:bottom w:val="nil"/>
              <w:right w:val="nil"/>
            </w:tcBorders>
            <w:shd w:val="clear" w:color="auto" w:fill="auto"/>
            <w:noWrap/>
            <w:vAlign w:val="center"/>
            <w:hideMark/>
          </w:tcPr>
          <w:p>
            <w:pPr>
              <w:widowControl/>
              <w:rPr>
                <w:noProof/>
                <w:color w:val="auto"/>
                <w:sz w:val="20"/>
                <w:szCs w:val="20"/>
                <w:lang w:val="en-GB" w:eastAsia="fr-BE" w:bidi="ar-SA"/>
              </w:rPr>
            </w:pPr>
          </w:p>
        </w:tc>
        <w:tc>
          <w:tcPr>
            <w:tcW w:w="866" w:type="dxa"/>
            <w:tcBorders>
              <w:top w:val="nil"/>
              <w:left w:val="nil"/>
              <w:bottom w:val="nil"/>
              <w:right w:val="nil"/>
            </w:tcBorders>
            <w:shd w:val="clear" w:color="auto" w:fill="auto"/>
            <w:noWrap/>
            <w:vAlign w:val="center"/>
            <w:hideMark/>
          </w:tcPr>
          <w:p>
            <w:pPr>
              <w:widowControl/>
              <w:rPr>
                <w:noProof/>
                <w:color w:val="auto"/>
                <w:sz w:val="20"/>
                <w:szCs w:val="20"/>
                <w:lang w:val="en-GB" w:eastAsia="fr-BE" w:bidi="ar-SA"/>
              </w:rPr>
            </w:pPr>
          </w:p>
        </w:tc>
      </w:tr>
      <w:tr>
        <w:trPr>
          <w:trHeight w:val="276"/>
        </w:trPr>
        <w:tc>
          <w:tcPr>
            <w:tcW w:w="6139" w:type="dxa"/>
            <w:tcBorders>
              <w:top w:val="nil"/>
              <w:left w:val="nil"/>
              <w:bottom w:val="nil"/>
              <w:right w:val="nil"/>
            </w:tcBorders>
            <w:shd w:val="clear" w:color="000000" w:fill="FFFF99"/>
            <w:noWrap/>
            <w:vAlign w:val="center"/>
            <w:hideMark/>
          </w:tcPr>
          <w:p>
            <w:pPr>
              <w:widowControl/>
              <w:rPr>
                <w:rFonts w:ascii="Arial Narrow" w:hAnsi="Arial Narrow" w:cs="Arial"/>
                <w:noProof/>
                <w:sz w:val="22"/>
                <w:szCs w:val="22"/>
              </w:rPr>
            </w:pPr>
            <w:r>
              <w:rPr>
                <w:rFonts w:ascii="Arial Narrow" w:hAnsi="Arial Narrow"/>
                <w:noProof/>
                <w:sz w:val="22"/>
                <w:szCs w:val="22"/>
              </w:rPr>
              <w:t>Artimieji Rytai</w:t>
            </w:r>
          </w:p>
        </w:tc>
        <w:tc>
          <w:tcPr>
            <w:tcW w:w="146" w:type="dxa"/>
            <w:tcBorders>
              <w:top w:val="nil"/>
              <w:left w:val="nil"/>
              <w:bottom w:val="nil"/>
              <w:right w:val="nil"/>
            </w:tcBorders>
            <w:shd w:val="clear" w:color="auto" w:fill="auto"/>
            <w:noWrap/>
            <w:vAlign w:val="center"/>
            <w:hideMark/>
          </w:tcPr>
          <w:p>
            <w:pPr>
              <w:widowControl/>
              <w:rPr>
                <w:rFonts w:ascii="Arial Narrow" w:hAnsi="Arial Narrow" w:cs="Arial"/>
                <w:noProof/>
                <w:sz w:val="22"/>
                <w:szCs w:val="22"/>
                <w:lang w:val="en-GB" w:eastAsia="fr-BE" w:bidi="ar-SA"/>
              </w:rPr>
            </w:pPr>
          </w:p>
        </w:tc>
        <w:tc>
          <w:tcPr>
            <w:tcW w:w="1689" w:type="dxa"/>
            <w:tcBorders>
              <w:top w:val="nil"/>
              <w:left w:val="nil"/>
              <w:bottom w:val="nil"/>
              <w:right w:val="nil"/>
            </w:tcBorders>
            <w:shd w:val="clear" w:color="000000" w:fill="FFFF99"/>
            <w:noWrap/>
            <w:vAlign w:val="center"/>
            <w:hideMark/>
          </w:tcPr>
          <w:p>
            <w:pPr>
              <w:widowControl/>
              <w:jc w:val="right"/>
              <w:rPr>
                <w:rFonts w:ascii="Arial Narrow" w:hAnsi="Arial Narrow" w:cs="Arial"/>
                <w:noProof/>
                <w:sz w:val="22"/>
                <w:szCs w:val="22"/>
              </w:rPr>
            </w:pPr>
            <w:r>
              <w:rPr>
                <w:rFonts w:ascii="Arial Narrow" w:hAnsi="Arial Narrow"/>
                <w:noProof/>
                <w:sz w:val="22"/>
                <w:szCs w:val="22"/>
              </w:rPr>
              <w:t>474</w:t>
            </w:r>
          </w:p>
        </w:tc>
        <w:tc>
          <w:tcPr>
            <w:tcW w:w="146" w:type="dxa"/>
            <w:tcBorders>
              <w:top w:val="nil"/>
              <w:left w:val="nil"/>
              <w:bottom w:val="nil"/>
              <w:right w:val="nil"/>
            </w:tcBorders>
            <w:shd w:val="clear" w:color="auto" w:fill="auto"/>
            <w:noWrap/>
            <w:vAlign w:val="center"/>
            <w:hideMark/>
          </w:tcPr>
          <w:p>
            <w:pPr>
              <w:widowControl/>
              <w:jc w:val="right"/>
              <w:rPr>
                <w:rFonts w:ascii="Arial Narrow" w:hAnsi="Arial Narrow" w:cs="Arial"/>
                <w:noProof/>
                <w:sz w:val="22"/>
                <w:szCs w:val="22"/>
                <w:lang w:val="en-GB" w:eastAsia="fr-BE" w:bidi="ar-SA"/>
              </w:rPr>
            </w:pPr>
          </w:p>
        </w:tc>
        <w:tc>
          <w:tcPr>
            <w:tcW w:w="866" w:type="dxa"/>
            <w:tcBorders>
              <w:top w:val="nil"/>
              <w:left w:val="nil"/>
              <w:bottom w:val="nil"/>
              <w:right w:val="nil"/>
            </w:tcBorders>
            <w:shd w:val="clear" w:color="000000" w:fill="FFFF99"/>
            <w:noWrap/>
            <w:vAlign w:val="center"/>
            <w:hideMark/>
          </w:tcPr>
          <w:p>
            <w:pPr>
              <w:widowControl/>
              <w:rPr>
                <w:rFonts w:ascii="Arial Narrow" w:hAnsi="Arial Narrow" w:cs="Arial"/>
                <w:noProof/>
                <w:sz w:val="22"/>
                <w:szCs w:val="22"/>
              </w:rPr>
            </w:pPr>
            <w:r>
              <w:rPr>
                <w:rFonts w:ascii="Arial Narrow" w:hAnsi="Arial Narrow"/>
                <w:noProof/>
                <w:sz w:val="22"/>
                <w:szCs w:val="22"/>
              </w:rPr>
              <w:t> </w:t>
            </w:r>
          </w:p>
        </w:tc>
      </w:tr>
      <w:tr>
        <w:trPr>
          <w:trHeight w:val="75"/>
        </w:trPr>
        <w:tc>
          <w:tcPr>
            <w:tcW w:w="6139" w:type="dxa"/>
            <w:tcBorders>
              <w:top w:val="nil"/>
              <w:left w:val="nil"/>
              <w:bottom w:val="nil"/>
              <w:right w:val="nil"/>
            </w:tcBorders>
            <w:shd w:val="clear" w:color="auto" w:fill="auto"/>
            <w:noWrap/>
            <w:vAlign w:val="center"/>
            <w:hideMark/>
          </w:tcPr>
          <w:p>
            <w:pPr>
              <w:widowControl/>
              <w:rPr>
                <w:rFonts w:ascii="Arial Narrow" w:hAnsi="Arial Narrow" w:cs="Arial"/>
                <w:noProof/>
                <w:sz w:val="22"/>
                <w:szCs w:val="22"/>
                <w:lang w:val="en-GB" w:eastAsia="fr-BE" w:bidi="ar-SA"/>
              </w:rPr>
            </w:pPr>
          </w:p>
        </w:tc>
        <w:tc>
          <w:tcPr>
            <w:tcW w:w="146" w:type="dxa"/>
            <w:tcBorders>
              <w:top w:val="nil"/>
              <w:left w:val="nil"/>
              <w:bottom w:val="nil"/>
              <w:right w:val="nil"/>
            </w:tcBorders>
            <w:shd w:val="clear" w:color="auto" w:fill="auto"/>
            <w:noWrap/>
            <w:vAlign w:val="center"/>
            <w:hideMark/>
          </w:tcPr>
          <w:p>
            <w:pPr>
              <w:widowControl/>
              <w:rPr>
                <w:noProof/>
                <w:color w:val="auto"/>
                <w:sz w:val="20"/>
                <w:szCs w:val="20"/>
                <w:lang w:val="en-GB" w:eastAsia="fr-BE" w:bidi="ar-SA"/>
              </w:rPr>
            </w:pPr>
          </w:p>
        </w:tc>
        <w:tc>
          <w:tcPr>
            <w:tcW w:w="1689" w:type="dxa"/>
            <w:tcBorders>
              <w:top w:val="nil"/>
              <w:left w:val="nil"/>
              <w:bottom w:val="nil"/>
              <w:right w:val="nil"/>
            </w:tcBorders>
            <w:shd w:val="clear" w:color="auto" w:fill="auto"/>
            <w:noWrap/>
            <w:vAlign w:val="center"/>
            <w:hideMark/>
          </w:tcPr>
          <w:p>
            <w:pPr>
              <w:widowControl/>
              <w:rPr>
                <w:noProof/>
                <w:color w:val="auto"/>
                <w:sz w:val="20"/>
                <w:szCs w:val="20"/>
                <w:lang w:val="en-GB" w:eastAsia="fr-BE" w:bidi="ar-SA"/>
              </w:rPr>
            </w:pPr>
          </w:p>
        </w:tc>
        <w:tc>
          <w:tcPr>
            <w:tcW w:w="146" w:type="dxa"/>
            <w:tcBorders>
              <w:top w:val="nil"/>
              <w:left w:val="nil"/>
              <w:bottom w:val="nil"/>
              <w:right w:val="nil"/>
            </w:tcBorders>
            <w:shd w:val="clear" w:color="auto" w:fill="auto"/>
            <w:noWrap/>
            <w:vAlign w:val="center"/>
            <w:hideMark/>
          </w:tcPr>
          <w:p>
            <w:pPr>
              <w:widowControl/>
              <w:rPr>
                <w:noProof/>
                <w:color w:val="auto"/>
                <w:sz w:val="20"/>
                <w:szCs w:val="20"/>
                <w:lang w:val="en-GB" w:eastAsia="fr-BE" w:bidi="ar-SA"/>
              </w:rPr>
            </w:pPr>
          </w:p>
        </w:tc>
        <w:tc>
          <w:tcPr>
            <w:tcW w:w="866" w:type="dxa"/>
            <w:tcBorders>
              <w:top w:val="nil"/>
              <w:left w:val="nil"/>
              <w:bottom w:val="nil"/>
              <w:right w:val="nil"/>
            </w:tcBorders>
            <w:shd w:val="clear" w:color="auto" w:fill="auto"/>
            <w:noWrap/>
            <w:vAlign w:val="center"/>
            <w:hideMark/>
          </w:tcPr>
          <w:p>
            <w:pPr>
              <w:widowControl/>
              <w:rPr>
                <w:noProof/>
                <w:color w:val="auto"/>
                <w:sz w:val="20"/>
                <w:szCs w:val="20"/>
                <w:lang w:val="en-GB" w:eastAsia="fr-BE" w:bidi="ar-SA"/>
              </w:rPr>
            </w:pPr>
          </w:p>
        </w:tc>
      </w:tr>
      <w:tr>
        <w:trPr>
          <w:trHeight w:val="276"/>
        </w:trPr>
        <w:tc>
          <w:tcPr>
            <w:tcW w:w="6139" w:type="dxa"/>
            <w:tcBorders>
              <w:top w:val="nil"/>
              <w:left w:val="nil"/>
              <w:bottom w:val="nil"/>
              <w:right w:val="nil"/>
            </w:tcBorders>
            <w:shd w:val="clear" w:color="000000" w:fill="FFFF99"/>
            <w:noWrap/>
            <w:vAlign w:val="center"/>
            <w:hideMark/>
          </w:tcPr>
          <w:p>
            <w:pPr>
              <w:widowControl/>
              <w:rPr>
                <w:rFonts w:ascii="Arial Narrow" w:hAnsi="Arial Narrow" w:cs="Arial"/>
                <w:noProof/>
                <w:sz w:val="22"/>
                <w:szCs w:val="22"/>
              </w:rPr>
            </w:pPr>
            <w:r>
              <w:rPr>
                <w:rFonts w:ascii="Arial Narrow" w:hAnsi="Arial Narrow"/>
                <w:noProof/>
                <w:sz w:val="22"/>
                <w:szCs w:val="22"/>
              </w:rPr>
              <w:t>Rytinės kaimyninės šalys</w:t>
            </w:r>
          </w:p>
        </w:tc>
        <w:tc>
          <w:tcPr>
            <w:tcW w:w="146" w:type="dxa"/>
            <w:tcBorders>
              <w:top w:val="nil"/>
              <w:left w:val="nil"/>
              <w:bottom w:val="nil"/>
              <w:right w:val="nil"/>
            </w:tcBorders>
            <w:shd w:val="clear" w:color="auto" w:fill="auto"/>
            <w:noWrap/>
            <w:vAlign w:val="center"/>
            <w:hideMark/>
          </w:tcPr>
          <w:p>
            <w:pPr>
              <w:widowControl/>
              <w:rPr>
                <w:rFonts w:ascii="Arial Narrow" w:hAnsi="Arial Narrow" w:cs="Arial"/>
                <w:noProof/>
                <w:sz w:val="22"/>
                <w:szCs w:val="22"/>
                <w:lang w:val="en-GB" w:eastAsia="fr-BE" w:bidi="ar-SA"/>
              </w:rPr>
            </w:pPr>
          </w:p>
        </w:tc>
        <w:tc>
          <w:tcPr>
            <w:tcW w:w="1689" w:type="dxa"/>
            <w:tcBorders>
              <w:top w:val="nil"/>
              <w:left w:val="nil"/>
              <w:bottom w:val="nil"/>
              <w:right w:val="nil"/>
            </w:tcBorders>
            <w:shd w:val="clear" w:color="000000" w:fill="FFFF99"/>
            <w:noWrap/>
            <w:vAlign w:val="center"/>
            <w:hideMark/>
          </w:tcPr>
          <w:p>
            <w:pPr>
              <w:widowControl/>
              <w:jc w:val="right"/>
              <w:rPr>
                <w:rFonts w:ascii="Arial Narrow" w:hAnsi="Arial Narrow" w:cs="Arial"/>
                <w:noProof/>
                <w:sz w:val="22"/>
                <w:szCs w:val="22"/>
              </w:rPr>
            </w:pPr>
            <w:r>
              <w:rPr>
                <w:rFonts w:ascii="Arial Narrow" w:hAnsi="Arial Narrow"/>
                <w:noProof/>
                <w:sz w:val="22"/>
                <w:szCs w:val="22"/>
              </w:rPr>
              <w:t>79</w:t>
            </w:r>
          </w:p>
        </w:tc>
        <w:tc>
          <w:tcPr>
            <w:tcW w:w="146" w:type="dxa"/>
            <w:tcBorders>
              <w:top w:val="nil"/>
              <w:left w:val="nil"/>
              <w:bottom w:val="nil"/>
              <w:right w:val="nil"/>
            </w:tcBorders>
            <w:shd w:val="clear" w:color="auto" w:fill="auto"/>
            <w:noWrap/>
            <w:vAlign w:val="center"/>
            <w:hideMark/>
          </w:tcPr>
          <w:p>
            <w:pPr>
              <w:widowControl/>
              <w:jc w:val="right"/>
              <w:rPr>
                <w:rFonts w:ascii="Arial Narrow" w:hAnsi="Arial Narrow" w:cs="Arial"/>
                <w:noProof/>
                <w:sz w:val="22"/>
                <w:szCs w:val="22"/>
                <w:lang w:val="en-GB" w:eastAsia="fr-BE" w:bidi="ar-SA"/>
              </w:rPr>
            </w:pPr>
          </w:p>
        </w:tc>
        <w:tc>
          <w:tcPr>
            <w:tcW w:w="866" w:type="dxa"/>
            <w:tcBorders>
              <w:top w:val="nil"/>
              <w:left w:val="nil"/>
              <w:bottom w:val="nil"/>
              <w:right w:val="nil"/>
            </w:tcBorders>
            <w:shd w:val="clear" w:color="000000" w:fill="FFFF99"/>
            <w:noWrap/>
            <w:vAlign w:val="center"/>
            <w:hideMark/>
          </w:tcPr>
          <w:p>
            <w:pPr>
              <w:widowControl/>
              <w:rPr>
                <w:rFonts w:ascii="Arial Narrow" w:hAnsi="Arial Narrow" w:cs="Arial"/>
                <w:noProof/>
                <w:sz w:val="22"/>
                <w:szCs w:val="22"/>
              </w:rPr>
            </w:pPr>
            <w:r>
              <w:rPr>
                <w:rFonts w:ascii="Arial Narrow" w:hAnsi="Arial Narrow"/>
                <w:noProof/>
                <w:sz w:val="22"/>
                <w:szCs w:val="22"/>
              </w:rPr>
              <w:t> </w:t>
            </w:r>
          </w:p>
        </w:tc>
      </w:tr>
      <w:tr>
        <w:trPr>
          <w:trHeight w:val="75"/>
        </w:trPr>
        <w:tc>
          <w:tcPr>
            <w:tcW w:w="6139" w:type="dxa"/>
            <w:tcBorders>
              <w:top w:val="nil"/>
              <w:left w:val="nil"/>
              <w:bottom w:val="nil"/>
              <w:right w:val="nil"/>
            </w:tcBorders>
            <w:shd w:val="clear" w:color="auto" w:fill="auto"/>
            <w:noWrap/>
            <w:vAlign w:val="center"/>
            <w:hideMark/>
          </w:tcPr>
          <w:p>
            <w:pPr>
              <w:widowControl/>
              <w:rPr>
                <w:rFonts w:ascii="Arial Narrow" w:hAnsi="Arial Narrow" w:cs="Arial"/>
                <w:noProof/>
                <w:sz w:val="22"/>
                <w:szCs w:val="22"/>
                <w:lang w:val="en-GB" w:eastAsia="fr-BE" w:bidi="ar-SA"/>
              </w:rPr>
            </w:pPr>
          </w:p>
        </w:tc>
        <w:tc>
          <w:tcPr>
            <w:tcW w:w="146" w:type="dxa"/>
            <w:tcBorders>
              <w:top w:val="nil"/>
              <w:left w:val="nil"/>
              <w:bottom w:val="nil"/>
              <w:right w:val="nil"/>
            </w:tcBorders>
            <w:shd w:val="clear" w:color="auto" w:fill="auto"/>
            <w:noWrap/>
            <w:vAlign w:val="center"/>
            <w:hideMark/>
          </w:tcPr>
          <w:p>
            <w:pPr>
              <w:widowControl/>
              <w:rPr>
                <w:noProof/>
                <w:color w:val="auto"/>
                <w:sz w:val="20"/>
                <w:szCs w:val="20"/>
                <w:lang w:val="en-GB" w:eastAsia="fr-BE" w:bidi="ar-SA"/>
              </w:rPr>
            </w:pPr>
          </w:p>
        </w:tc>
        <w:tc>
          <w:tcPr>
            <w:tcW w:w="1689" w:type="dxa"/>
            <w:tcBorders>
              <w:top w:val="nil"/>
              <w:left w:val="nil"/>
              <w:bottom w:val="nil"/>
              <w:right w:val="nil"/>
            </w:tcBorders>
            <w:shd w:val="clear" w:color="auto" w:fill="auto"/>
            <w:noWrap/>
            <w:vAlign w:val="center"/>
            <w:hideMark/>
          </w:tcPr>
          <w:p>
            <w:pPr>
              <w:widowControl/>
              <w:rPr>
                <w:noProof/>
                <w:color w:val="auto"/>
                <w:sz w:val="20"/>
                <w:szCs w:val="20"/>
                <w:lang w:val="en-GB" w:eastAsia="fr-BE" w:bidi="ar-SA"/>
              </w:rPr>
            </w:pPr>
          </w:p>
        </w:tc>
        <w:tc>
          <w:tcPr>
            <w:tcW w:w="146" w:type="dxa"/>
            <w:tcBorders>
              <w:top w:val="nil"/>
              <w:left w:val="nil"/>
              <w:bottom w:val="nil"/>
              <w:right w:val="nil"/>
            </w:tcBorders>
            <w:shd w:val="clear" w:color="auto" w:fill="auto"/>
            <w:noWrap/>
            <w:vAlign w:val="center"/>
            <w:hideMark/>
          </w:tcPr>
          <w:p>
            <w:pPr>
              <w:widowControl/>
              <w:rPr>
                <w:noProof/>
                <w:color w:val="auto"/>
                <w:sz w:val="20"/>
                <w:szCs w:val="20"/>
                <w:lang w:val="en-GB" w:eastAsia="fr-BE" w:bidi="ar-SA"/>
              </w:rPr>
            </w:pPr>
          </w:p>
        </w:tc>
        <w:tc>
          <w:tcPr>
            <w:tcW w:w="866" w:type="dxa"/>
            <w:tcBorders>
              <w:top w:val="nil"/>
              <w:left w:val="nil"/>
              <w:bottom w:val="nil"/>
              <w:right w:val="nil"/>
            </w:tcBorders>
            <w:shd w:val="clear" w:color="auto" w:fill="auto"/>
            <w:noWrap/>
            <w:vAlign w:val="center"/>
            <w:hideMark/>
          </w:tcPr>
          <w:p>
            <w:pPr>
              <w:widowControl/>
              <w:rPr>
                <w:noProof/>
                <w:color w:val="auto"/>
                <w:sz w:val="20"/>
                <w:szCs w:val="20"/>
                <w:lang w:val="en-GB" w:eastAsia="fr-BE" w:bidi="ar-SA"/>
              </w:rPr>
            </w:pPr>
          </w:p>
        </w:tc>
      </w:tr>
      <w:tr>
        <w:trPr>
          <w:trHeight w:val="300"/>
        </w:trPr>
        <w:tc>
          <w:tcPr>
            <w:tcW w:w="6139" w:type="dxa"/>
            <w:tcBorders>
              <w:top w:val="nil"/>
              <w:left w:val="nil"/>
              <w:bottom w:val="nil"/>
              <w:right w:val="nil"/>
            </w:tcBorders>
            <w:shd w:val="clear" w:color="000000" w:fill="FFCC99"/>
            <w:noWrap/>
            <w:vAlign w:val="center"/>
            <w:hideMark/>
          </w:tcPr>
          <w:p>
            <w:pPr>
              <w:widowControl/>
              <w:rPr>
                <w:rFonts w:ascii="Arial Narrow" w:hAnsi="Arial Narrow" w:cs="Arial"/>
                <w:b/>
                <w:bCs/>
                <w:noProof/>
                <w:sz w:val="22"/>
                <w:szCs w:val="22"/>
              </w:rPr>
            </w:pPr>
            <w:r>
              <w:rPr>
                <w:rFonts w:ascii="Arial Narrow" w:hAnsi="Arial Narrow"/>
                <w:b/>
                <w:bCs/>
                <w:noProof/>
                <w:sz w:val="22"/>
                <w:szCs w:val="22"/>
              </w:rPr>
              <w:t>Azija, Ramiojo vandenyno regionas</w:t>
            </w:r>
          </w:p>
        </w:tc>
        <w:tc>
          <w:tcPr>
            <w:tcW w:w="146" w:type="dxa"/>
            <w:tcBorders>
              <w:top w:val="nil"/>
              <w:left w:val="nil"/>
              <w:bottom w:val="nil"/>
              <w:right w:val="nil"/>
            </w:tcBorders>
            <w:shd w:val="clear" w:color="auto" w:fill="auto"/>
            <w:noWrap/>
            <w:vAlign w:val="center"/>
            <w:hideMark/>
          </w:tcPr>
          <w:p>
            <w:pPr>
              <w:widowControl/>
              <w:rPr>
                <w:rFonts w:ascii="Arial Narrow" w:hAnsi="Arial Narrow" w:cs="Arial"/>
                <w:b/>
                <w:bCs/>
                <w:noProof/>
                <w:sz w:val="22"/>
                <w:szCs w:val="22"/>
                <w:lang w:val="en-GB" w:eastAsia="fr-BE" w:bidi="ar-SA"/>
              </w:rPr>
            </w:pPr>
          </w:p>
        </w:tc>
        <w:tc>
          <w:tcPr>
            <w:tcW w:w="1689" w:type="dxa"/>
            <w:tcBorders>
              <w:top w:val="nil"/>
              <w:left w:val="nil"/>
              <w:bottom w:val="nil"/>
              <w:right w:val="nil"/>
            </w:tcBorders>
            <w:shd w:val="clear" w:color="000000" w:fill="FFCC99"/>
            <w:noWrap/>
            <w:vAlign w:val="center"/>
            <w:hideMark/>
          </w:tcPr>
          <w:p>
            <w:pPr>
              <w:widowControl/>
              <w:jc w:val="right"/>
              <w:rPr>
                <w:rFonts w:ascii="Arial Narrow" w:hAnsi="Arial Narrow" w:cs="Arial"/>
                <w:b/>
                <w:bCs/>
                <w:noProof/>
                <w:sz w:val="22"/>
                <w:szCs w:val="22"/>
              </w:rPr>
            </w:pPr>
            <w:r>
              <w:rPr>
                <w:rFonts w:ascii="Arial Narrow" w:hAnsi="Arial Narrow"/>
                <w:b/>
                <w:bCs/>
                <w:noProof/>
                <w:sz w:val="22"/>
                <w:szCs w:val="22"/>
              </w:rPr>
              <w:t>116</w:t>
            </w:r>
          </w:p>
        </w:tc>
        <w:tc>
          <w:tcPr>
            <w:tcW w:w="146" w:type="dxa"/>
            <w:tcBorders>
              <w:top w:val="nil"/>
              <w:left w:val="nil"/>
              <w:bottom w:val="nil"/>
              <w:right w:val="nil"/>
            </w:tcBorders>
            <w:shd w:val="clear" w:color="auto" w:fill="auto"/>
            <w:noWrap/>
            <w:vAlign w:val="center"/>
            <w:hideMark/>
          </w:tcPr>
          <w:p>
            <w:pPr>
              <w:widowControl/>
              <w:jc w:val="right"/>
              <w:rPr>
                <w:rFonts w:ascii="Arial Narrow" w:hAnsi="Arial Narrow" w:cs="Arial"/>
                <w:b/>
                <w:bCs/>
                <w:noProof/>
                <w:sz w:val="22"/>
                <w:szCs w:val="22"/>
                <w:lang w:val="en-GB" w:eastAsia="fr-BE" w:bidi="ar-SA"/>
              </w:rPr>
            </w:pPr>
          </w:p>
        </w:tc>
        <w:tc>
          <w:tcPr>
            <w:tcW w:w="866" w:type="dxa"/>
            <w:tcBorders>
              <w:top w:val="nil"/>
              <w:left w:val="nil"/>
              <w:bottom w:val="nil"/>
              <w:right w:val="nil"/>
            </w:tcBorders>
            <w:shd w:val="clear" w:color="000000" w:fill="FFCC99"/>
            <w:noWrap/>
            <w:vAlign w:val="center"/>
            <w:hideMark/>
          </w:tcPr>
          <w:p>
            <w:pPr>
              <w:widowControl/>
              <w:jc w:val="right"/>
              <w:rPr>
                <w:rFonts w:ascii="Arial Narrow" w:hAnsi="Arial Narrow" w:cs="Arial"/>
                <w:b/>
                <w:bCs/>
                <w:noProof/>
                <w:sz w:val="22"/>
                <w:szCs w:val="22"/>
              </w:rPr>
            </w:pPr>
            <w:r>
              <w:rPr>
                <w:rFonts w:ascii="Arial Narrow" w:hAnsi="Arial Narrow"/>
                <w:b/>
                <w:bCs/>
                <w:noProof/>
                <w:sz w:val="22"/>
                <w:szCs w:val="22"/>
              </w:rPr>
              <w:t>7 %</w:t>
            </w:r>
          </w:p>
        </w:tc>
      </w:tr>
      <w:tr>
        <w:trPr>
          <w:trHeight w:val="75"/>
        </w:trPr>
        <w:tc>
          <w:tcPr>
            <w:tcW w:w="6139" w:type="dxa"/>
            <w:tcBorders>
              <w:top w:val="nil"/>
              <w:left w:val="nil"/>
              <w:bottom w:val="nil"/>
              <w:right w:val="nil"/>
            </w:tcBorders>
            <w:shd w:val="clear" w:color="auto" w:fill="auto"/>
            <w:noWrap/>
            <w:vAlign w:val="center"/>
            <w:hideMark/>
          </w:tcPr>
          <w:p>
            <w:pPr>
              <w:widowControl/>
              <w:jc w:val="right"/>
              <w:rPr>
                <w:rFonts w:ascii="Arial Narrow" w:hAnsi="Arial Narrow" w:cs="Arial"/>
                <w:b/>
                <w:bCs/>
                <w:noProof/>
                <w:sz w:val="22"/>
                <w:szCs w:val="22"/>
                <w:lang w:val="en-GB" w:eastAsia="fr-BE" w:bidi="ar-SA"/>
              </w:rPr>
            </w:pPr>
          </w:p>
        </w:tc>
        <w:tc>
          <w:tcPr>
            <w:tcW w:w="146" w:type="dxa"/>
            <w:tcBorders>
              <w:top w:val="nil"/>
              <w:left w:val="nil"/>
              <w:bottom w:val="nil"/>
              <w:right w:val="nil"/>
            </w:tcBorders>
            <w:shd w:val="clear" w:color="auto" w:fill="auto"/>
            <w:noWrap/>
            <w:vAlign w:val="center"/>
            <w:hideMark/>
          </w:tcPr>
          <w:p>
            <w:pPr>
              <w:widowControl/>
              <w:rPr>
                <w:noProof/>
                <w:color w:val="auto"/>
                <w:sz w:val="20"/>
                <w:szCs w:val="20"/>
                <w:lang w:val="en-GB" w:eastAsia="fr-BE" w:bidi="ar-SA"/>
              </w:rPr>
            </w:pPr>
          </w:p>
        </w:tc>
        <w:tc>
          <w:tcPr>
            <w:tcW w:w="1689" w:type="dxa"/>
            <w:tcBorders>
              <w:top w:val="nil"/>
              <w:left w:val="nil"/>
              <w:bottom w:val="nil"/>
              <w:right w:val="nil"/>
            </w:tcBorders>
            <w:shd w:val="clear" w:color="auto" w:fill="auto"/>
            <w:noWrap/>
            <w:vAlign w:val="center"/>
            <w:hideMark/>
          </w:tcPr>
          <w:p>
            <w:pPr>
              <w:widowControl/>
              <w:rPr>
                <w:noProof/>
                <w:color w:val="auto"/>
                <w:sz w:val="20"/>
                <w:szCs w:val="20"/>
                <w:lang w:val="en-GB" w:eastAsia="fr-BE" w:bidi="ar-SA"/>
              </w:rPr>
            </w:pPr>
          </w:p>
        </w:tc>
        <w:tc>
          <w:tcPr>
            <w:tcW w:w="146" w:type="dxa"/>
            <w:tcBorders>
              <w:top w:val="nil"/>
              <w:left w:val="nil"/>
              <w:bottom w:val="nil"/>
              <w:right w:val="nil"/>
            </w:tcBorders>
            <w:shd w:val="clear" w:color="auto" w:fill="auto"/>
            <w:noWrap/>
            <w:vAlign w:val="center"/>
            <w:hideMark/>
          </w:tcPr>
          <w:p>
            <w:pPr>
              <w:widowControl/>
              <w:rPr>
                <w:noProof/>
                <w:color w:val="auto"/>
                <w:sz w:val="20"/>
                <w:szCs w:val="20"/>
                <w:lang w:val="en-GB" w:eastAsia="fr-BE" w:bidi="ar-SA"/>
              </w:rPr>
            </w:pPr>
          </w:p>
        </w:tc>
        <w:tc>
          <w:tcPr>
            <w:tcW w:w="866" w:type="dxa"/>
            <w:tcBorders>
              <w:top w:val="nil"/>
              <w:left w:val="nil"/>
              <w:bottom w:val="nil"/>
              <w:right w:val="nil"/>
            </w:tcBorders>
            <w:shd w:val="clear" w:color="auto" w:fill="auto"/>
            <w:noWrap/>
            <w:vAlign w:val="center"/>
            <w:hideMark/>
          </w:tcPr>
          <w:p>
            <w:pPr>
              <w:widowControl/>
              <w:rPr>
                <w:noProof/>
                <w:color w:val="auto"/>
                <w:sz w:val="20"/>
                <w:szCs w:val="20"/>
                <w:lang w:val="en-GB" w:eastAsia="fr-BE" w:bidi="ar-SA"/>
              </w:rPr>
            </w:pPr>
          </w:p>
        </w:tc>
      </w:tr>
      <w:tr>
        <w:trPr>
          <w:trHeight w:val="75"/>
        </w:trPr>
        <w:tc>
          <w:tcPr>
            <w:tcW w:w="6139" w:type="dxa"/>
            <w:tcBorders>
              <w:top w:val="nil"/>
              <w:left w:val="nil"/>
              <w:bottom w:val="nil"/>
              <w:right w:val="nil"/>
            </w:tcBorders>
            <w:shd w:val="clear" w:color="auto" w:fill="auto"/>
            <w:noWrap/>
            <w:vAlign w:val="center"/>
            <w:hideMark/>
          </w:tcPr>
          <w:p>
            <w:pPr>
              <w:widowControl/>
              <w:rPr>
                <w:noProof/>
                <w:color w:val="auto"/>
                <w:sz w:val="20"/>
                <w:szCs w:val="20"/>
                <w:lang w:val="en-GB" w:eastAsia="fr-BE" w:bidi="ar-SA"/>
              </w:rPr>
            </w:pPr>
          </w:p>
        </w:tc>
        <w:tc>
          <w:tcPr>
            <w:tcW w:w="146" w:type="dxa"/>
            <w:tcBorders>
              <w:top w:val="nil"/>
              <w:left w:val="nil"/>
              <w:bottom w:val="nil"/>
              <w:right w:val="nil"/>
            </w:tcBorders>
            <w:shd w:val="clear" w:color="auto" w:fill="auto"/>
            <w:noWrap/>
            <w:vAlign w:val="center"/>
            <w:hideMark/>
          </w:tcPr>
          <w:p>
            <w:pPr>
              <w:widowControl/>
              <w:rPr>
                <w:noProof/>
                <w:color w:val="auto"/>
                <w:sz w:val="20"/>
                <w:szCs w:val="20"/>
                <w:lang w:val="en-GB" w:eastAsia="fr-BE" w:bidi="ar-SA"/>
              </w:rPr>
            </w:pPr>
          </w:p>
        </w:tc>
        <w:tc>
          <w:tcPr>
            <w:tcW w:w="1689" w:type="dxa"/>
            <w:tcBorders>
              <w:top w:val="nil"/>
              <w:left w:val="nil"/>
              <w:bottom w:val="nil"/>
              <w:right w:val="nil"/>
            </w:tcBorders>
            <w:shd w:val="clear" w:color="auto" w:fill="auto"/>
            <w:noWrap/>
            <w:vAlign w:val="center"/>
            <w:hideMark/>
          </w:tcPr>
          <w:p>
            <w:pPr>
              <w:widowControl/>
              <w:rPr>
                <w:noProof/>
                <w:color w:val="auto"/>
                <w:sz w:val="20"/>
                <w:szCs w:val="20"/>
                <w:lang w:val="en-GB" w:eastAsia="fr-BE" w:bidi="ar-SA"/>
              </w:rPr>
            </w:pPr>
          </w:p>
        </w:tc>
        <w:tc>
          <w:tcPr>
            <w:tcW w:w="146" w:type="dxa"/>
            <w:tcBorders>
              <w:top w:val="nil"/>
              <w:left w:val="nil"/>
              <w:bottom w:val="nil"/>
              <w:right w:val="nil"/>
            </w:tcBorders>
            <w:shd w:val="clear" w:color="auto" w:fill="auto"/>
            <w:noWrap/>
            <w:vAlign w:val="center"/>
            <w:hideMark/>
          </w:tcPr>
          <w:p>
            <w:pPr>
              <w:widowControl/>
              <w:rPr>
                <w:noProof/>
                <w:color w:val="auto"/>
                <w:sz w:val="20"/>
                <w:szCs w:val="20"/>
                <w:lang w:val="en-GB" w:eastAsia="fr-BE" w:bidi="ar-SA"/>
              </w:rPr>
            </w:pPr>
          </w:p>
        </w:tc>
        <w:tc>
          <w:tcPr>
            <w:tcW w:w="866" w:type="dxa"/>
            <w:tcBorders>
              <w:top w:val="nil"/>
              <w:left w:val="nil"/>
              <w:bottom w:val="nil"/>
              <w:right w:val="nil"/>
            </w:tcBorders>
            <w:shd w:val="clear" w:color="auto" w:fill="auto"/>
            <w:noWrap/>
            <w:vAlign w:val="center"/>
            <w:hideMark/>
          </w:tcPr>
          <w:p>
            <w:pPr>
              <w:widowControl/>
              <w:rPr>
                <w:noProof/>
                <w:color w:val="auto"/>
                <w:sz w:val="20"/>
                <w:szCs w:val="20"/>
                <w:lang w:val="en-GB" w:eastAsia="fr-BE" w:bidi="ar-SA"/>
              </w:rPr>
            </w:pPr>
          </w:p>
        </w:tc>
      </w:tr>
      <w:tr>
        <w:trPr>
          <w:trHeight w:val="276"/>
        </w:trPr>
        <w:tc>
          <w:tcPr>
            <w:tcW w:w="6139" w:type="dxa"/>
            <w:tcBorders>
              <w:top w:val="nil"/>
              <w:left w:val="nil"/>
              <w:bottom w:val="nil"/>
              <w:right w:val="nil"/>
            </w:tcBorders>
            <w:shd w:val="clear" w:color="000000" w:fill="FFFF99"/>
            <w:noWrap/>
            <w:vAlign w:val="center"/>
            <w:hideMark/>
          </w:tcPr>
          <w:p>
            <w:pPr>
              <w:widowControl/>
              <w:rPr>
                <w:rFonts w:ascii="Arial Narrow" w:hAnsi="Arial Narrow" w:cs="Arial"/>
                <w:noProof/>
                <w:sz w:val="22"/>
                <w:szCs w:val="22"/>
              </w:rPr>
            </w:pPr>
            <w:r>
              <w:rPr>
                <w:rFonts w:ascii="Arial Narrow" w:hAnsi="Arial Narrow"/>
                <w:noProof/>
                <w:sz w:val="22"/>
                <w:szCs w:val="22"/>
              </w:rPr>
              <w:t>Pietvakarių ir Vidurinė Azija</w:t>
            </w:r>
          </w:p>
        </w:tc>
        <w:tc>
          <w:tcPr>
            <w:tcW w:w="146" w:type="dxa"/>
            <w:tcBorders>
              <w:top w:val="nil"/>
              <w:left w:val="nil"/>
              <w:bottom w:val="nil"/>
              <w:right w:val="nil"/>
            </w:tcBorders>
            <w:shd w:val="clear" w:color="auto" w:fill="auto"/>
            <w:noWrap/>
            <w:vAlign w:val="center"/>
            <w:hideMark/>
          </w:tcPr>
          <w:p>
            <w:pPr>
              <w:widowControl/>
              <w:rPr>
                <w:rFonts w:ascii="Arial Narrow" w:hAnsi="Arial Narrow" w:cs="Arial"/>
                <w:noProof/>
                <w:sz w:val="22"/>
                <w:szCs w:val="22"/>
                <w:lang w:val="en-GB" w:eastAsia="fr-BE" w:bidi="ar-SA"/>
              </w:rPr>
            </w:pPr>
          </w:p>
        </w:tc>
        <w:tc>
          <w:tcPr>
            <w:tcW w:w="1689" w:type="dxa"/>
            <w:tcBorders>
              <w:top w:val="nil"/>
              <w:left w:val="nil"/>
              <w:bottom w:val="nil"/>
              <w:right w:val="nil"/>
            </w:tcBorders>
            <w:shd w:val="clear" w:color="000000" w:fill="FFFF99"/>
            <w:noWrap/>
            <w:vAlign w:val="center"/>
            <w:hideMark/>
          </w:tcPr>
          <w:p>
            <w:pPr>
              <w:widowControl/>
              <w:jc w:val="right"/>
              <w:rPr>
                <w:rFonts w:ascii="Arial Narrow" w:hAnsi="Arial Narrow" w:cs="Arial"/>
                <w:noProof/>
                <w:sz w:val="22"/>
                <w:szCs w:val="22"/>
              </w:rPr>
            </w:pPr>
            <w:r>
              <w:rPr>
                <w:rFonts w:ascii="Arial Narrow" w:hAnsi="Arial Narrow"/>
                <w:noProof/>
                <w:sz w:val="22"/>
                <w:szCs w:val="22"/>
              </w:rPr>
              <w:t>57</w:t>
            </w:r>
          </w:p>
        </w:tc>
        <w:tc>
          <w:tcPr>
            <w:tcW w:w="146" w:type="dxa"/>
            <w:tcBorders>
              <w:top w:val="nil"/>
              <w:left w:val="nil"/>
              <w:bottom w:val="nil"/>
              <w:right w:val="nil"/>
            </w:tcBorders>
            <w:shd w:val="clear" w:color="auto" w:fill="auto"/>
            <w:noWrap/>
            <w:vAlign w:val="center"/>
            <w:hideMark/>
          </w:tcPr>
          <w:p>
            <w:pPr>
              <w:widowControl/>
              <w:jc w:val="right"/>
              <w:rPr>
                <w:rFonts w:ascii="Arial Narrow" w:hAnsi="Arial Narrow" w:cs="Arial"/>
                <w:noProof/>
                <w:sz w:val="22"/>
                <w:szCs w:val="22"/>
                <w:lang w:val="en-GB" w:eastAsia="fr-BE" w:bidi="ar-SA"/>
              </w:rPr>
            </w:pPr>
          </w:p>
        </w:tc>
        <w:tc>
          <w:tcPr>
            <w:tcW w:w="866" w:type="dxa"/>
            <w:tcBorders>
              <w:top w:val="nil"/>
              <w:left w:val="nil"/>
              <w:bottom w:val="nil"/>
              <w:right w:val="nil"/>
            </w:tcBorders>
            <w:shd w:val="clear" w:color="000000" w:fill="FFFF99"/>
            <w:noWrap/>
            <w:vAlign w:val="center"/>
            <w:hideMark/>
          </w:tcPr>
          <w:p>
            <w:pPr>
              <w:widowControl/>
              <w:rPr>
                <w:rFonts w:ascii="Arial Narrow" w:hAnsi="Arial Narrow" w:cs="Arial"/>
                <w:noProof/>
                <w:sz w:val="22"/>
                <w:szCs w:val="22"/>
              </w:rPr>
            </w:pPr>
            <w:r>
              <w:rPr>
                <w:rFonts w:ascii="Arial Narrow" w:hAnsi="Arial Narrow"/>
                <w:noProof/>
                <w:sz w:val="22"/>
                <w:szCs w:val="22"/>
              </w:rPr>
              <w:t> </w:t>
            </w:r>
          </w:p>
        </w:tc>
      </w:tr>
      <w:tr>
        <w:trPr>
          <w:trHeight w:val="75"/>
        </w:trPr>
        <w:tc>
          <w:tcPr>
            <w:tcW w:w="6139" w:type="dxa"/>
            <w:tcBorders>
              <w:top w:val="nil"/>
              <w:left w:val="nil"/>
              <w:bottom w:val="nil"/>
              <w:right w:val="nil"/>
            </w:tcBorders>
            <w:shd w:val="clear" w:color="auto" w:fill="auto"/>
            <w:noWrap/>
            <w:vAlign w:val="center"/>
            <w:hideMark/>
          </w:tcPr>
          <w:p>
            <w:pPr>
              <w:widowControl/>
              <w:rPr>
                <w:rFonts w:ascii="Arial Narrow" w:hAnsi="Arial Narrow" w:cs="Arial"/>
                <w:noProof/>
                <w:sz w:val="22"/>
                <w:szCs w:val="22"/>
                <w:lang w:val="en-GB" w:eastAsia="fr-BE" w:bidi="ar-SA"/>
              </w:rPr>
            </w:pPr>
          </w:p>
        </w:tc>
        <w:tc>
          <w:tcPr>
            <w:tcW w:w="146" w:type="dxa"/>
            <w:tcBorders>
              <w:top w:val="nil"/>
              <w:left w:val="nil"/>
              <w:bottom w:val="nil"/>
              <w:right w:val="nil"/>
            </w:tcBorders>
            <w:shd w:val="clear" w:color="auto" w:fill="auto"/>
            <w:noWrap/>
            <w:vAlign w:val="center"/>
            <w:hideMark/>
          </w:tcPr>
          <w:p>
            <w:pPr>
              <w:widowControl/>
              <w:rPr>
                <w:noProof/>
                <w:color w:val="auto"/>
                <w:sz w:val="20"/>
                <w:szCs w:val="20"/>
                <w:lang w:val="en-GB" w:eastAsia="fr-BE" w:bidi="ar-SA"/>
              </w:rPr>
            </w:pPr>
          </w:p>
        </w:tc>
        <w:tc>
          <w:tcPr>
            <w:tcW w:w="1689" w:type="dxa"/>
            <w:tcBorders>
              <w:top w:val="nil"/>
              <w:left w:val="nil"/>
              <w:bottom w:val="nil"/>
              <w:right w:val="nil"/>
            </w:tcBorders>
            <w:shd w:val="clear" w:color="auto" w:fill="auto"/>
            <w:noWrap/>
            <w:vAlign w:val="center"/>
            <w:hideMark/>
          </w:tcPr>
          <w:p>
            <w:pPr>
              <w:widowControl/>
              <w:rPr>
                <w:noProof/>
                <w:color w:val="auto"/>
                <w:sz w:val="20"/>
                <w:szCs w:val="20"/>
                <w:lang w:val="en-GB" w:eastAsia="fr-BE" w:bidi="ar-SA"/>
              </w:rPr>
            </w:pPr>
          </w:p>
        </w:tc>
        <w:tc>
          <w:tcPr>
            <w:tcW w:w="146" w:type="dxa"/>
            <w:tcBorders>
              <w:top w:val="nil"/>
              <w:left w:val="nil"/>
              <w:bottom w:val="nil"/>
              <w:right w:val="nil"/>
            </w:tcBorders>
            <w:shd w:val="clear" w:color="auto" w:fill="auto"/>
            <w:noWrap/>
            <w:vAlign w:val="center"/>
            <w:hideMark/>
          </w:tcPr>
          <w:p>
            <w:pPr>
              <w:widowControl/>
              <w:rPr>
                <w:noProof/>
                <w:color w:val="auto"/>
                <w:sz w:val="20"/>
                <w:szCs w:val="20"/>
                <w:lang w:val="en-GB" w:eastAsia="fr-BE" w:bidi="ar-SA"/>
              </w:rPr>
            </w:pPr>
          </w:p>
        </w:tc>
        <w:tc>
          <w:tcPr>
            <w:tcW w:w="866" w:type="dxa"/>
            <w:tcBorders>
              <w:top w:val="nil"/>
              <w:left w:val="nil"/>
              <w:bottom w:val="nil"/>
              <w:right w:val="nil"/>
            </w:tcBorders>
            <w:shd w:val="clear" w:color="auto" w:fill="auto"/>
            <w:noWrap/>
            <w:vAlign w:val="center"/>
            <w:hideMark/>
          </w:tcPr>
          <w:p>
            <w:pPr>
              <w:widowControl/>
              <w:rPr>
                <w:noProof/>
                <w:color w:val="auto"/>
                <w:sz w:val="20"/>
                <w:szCs w:val="20"/>
                <w:lang w:val="en-GB" w:eastAsia="fr-BE" w:bidi="ar-SA"/>
              </w:rPr>
            </w:pPr>
          </w:p>
        </w:tc>
      </w:tr>
      <w:tr>
        <w:trPr>
          <w:trHeight w:val="276"/>
        </w:trPr>
        <w:tc>
          <w:tcPr>
            <w:tcW w:w="6139" w:type="dxa"/>
            <w:tcBorders>
              <w:top w:val="nil"/>
              <w:left w:val="nil"/>
              <w:bottom w:val="nil"/>
              <w:right w:val="nil"/>
            </w:tcBorders>
            <w:shd w:val="clear" w:color="000000" w:fill="FFFF99"/>
            <w:noWrap/>
            <w:vAlign w:val="center"/>
            <w:hideMark/>
          </w:tcPr>
          <w:p>
            <w:pPr>
              <w:widowControl/>
              <w:rPr>
                <w:rFonts w:ascii="Arial Narrow" w:hAnsi="Arial Narrow" w:cs="Arial"/>
                <w:noProof/>
                <w:sz w:val="22"/>
                <w:szCs w:val="22"/>
              </w:rPr>
            </w:pPr>
            <w:r>
              <w:rPr>
                <w:rFonts w:ascii="Arial Narrow" w:hAnsi="Arial Narrow"/>
                <w:noProof/>
                <w:sz w:val="22"/>
                <w:szCs w:val="22"/>
              </w:rPr>
              <w:t>Pietryčių Azija ir Ramiojo vandenyno regionas</w:t>
            </w:r>
          </w:p>
        </w:tc>
        <w:tc>
          <w:tcPr>
            <w:tcW w:w="146" w:type="dxa"/>
            <w:tcBorders>
              <w:top w:val="nil"/>
              <w:left w:val="nil"/>
              <w:bottom w:val="nil"/>
              <w:right w:val="nil"/>
            </w:tcBorders>
            <w:shd w:val="clear" w:color="auto" w:fill="auto"/>
            <w:noWrap/>
            <w:vAlign w:val="center"/>
            <w:hideMark/>
          </w:tcPr>
          <w:p>
            <w:pPr>
              <w:widowControl/>
              <w:rPr>
                <w:rFonts w:ascii="Arial Narrow" w:hAnsi="Arial Narrow" w:cs="Arial"/>
                <w:noProof/>
                <w:sz w:val="22"/>
                <w:szCs w:val="22"/>
                <w:lang w:val="en-GB" w:eastAsia="fr-BE" w:bidi="ar-SA"/>
              </w:rPr>
            </w:pPr>
          </w:p>
        </w:tc>
        <w:tc>
          <w:tcPr>
            <w:tcW w:w="1689" w:type="dxa"/>
            <w:tcBorders>
              <w:top w:val="nil"/>
              <w:left w:val="nil"/>
              <w:bottom w:val="nil"/>
              <w:right w:val="nil"/>
            </w:tcBorders>
            <w:shd w:val="clear" w:color="000000" w:fill="FFFF99"/>
            <w:noWrap/>
            <w:vAlign w:val="center"/>
            <w:hideMark/>
          </w:tcPr>
          <w:p>
            <w:pPr>
              <w:widowControl/>
              <w:jc w:val="right"/>
              <w:rPr>
                <w:rFonts w:ascii="Arial Narrow" w:hAnsi="Arial Narrow" w:cs="Arial"/>
                <w:noProof/>
                <w:sz w:val="22"/>
                <w:szCs w:val="22"/>
              </w:rPr>
            </w:pPr>
            <w:r>
              <w:rPr>
                <w:rFonts w:ascii="Arial Narrow" w:hAnsi="Arial Narrow"/>
                <w:noProof/>
                <w:sz w:val="22"/>
                <w:szCs w:val="22"/>
              </w:rPr>
              <w:t>59</w:t>
            </w:r>
          </w:p>
        </w:tc>
        <w:tc>
          <w:tcPr>
            <w:tcW w:w="146" w:type="dxa"/>
            <w:tcBorders>
              <w:top w:val="nil"/>
              <w:left w:val="nil"/>
              <w:bottom w:val="nil"/>
              <w:right w:val="nil"/>
            </w:tcBorders>
            <w:shd w:val="clear" w:color="auto" w:fill="auto"/>
            <w:noWrap/>
            <w:vAlign w:val="center"/>
            <w:hideMark/>
          </w:tcPr>
          <w:p>
            <w:pPr>
              <w:widowControl/>
              <w:jc w:val="right"/>
              <w:rPr>
                <w:rFonts w:ascii="Arial Narrow" w:hAnsi="Arial Narrow" w:cs="Arial"/>
                <w:noProof/>
                <w:sz w:val="22"/>
                <w:szCs w:val="22"/>
                <w:lang w:val="en-GB" w:eastAsia="fr-BE" w:bidi="ar-SA"/>
              </w:rPr>
            </w:pPr>
          </w:p>
        </w:tc>
        <w:tc>
          <w:tcPr>
            <w:tcW w:w="866" w:type="dxa"/>
            <w:tcBorders>
              <w:top w:val="nil"/>
              <w:left w:val="nil"/>
              <w:bottom w:val="nil"/>
              <w:right w:val="nil"/>
            </w:tcBorders>
            <w:shd w:val="clear" w:color="000000" w:fill="FFFF99"/>
            <w:noWrap/>
            <w:vAlign w:val="center"/>
            <w:hideMark/>
          </w:tcPr>
          <w:p>
            <w:pPr>
              <w:widowControl/>
              <w:rPr>
                <w:rFonts w:ascii="Arial Narrow" w:hAnsi="Arial Narrow" w:cs="Arial"/>
                <w:noProof/>
                <w:sz w:val="22"/>
                <w:szCs w:val="22"/>
              </w:rPr>
            </w:pPr>
            <w:r>
              <w:rPr>
                <w:rFonts w:ascii="Arial Narrow" w:hAnsi="Arial Narrow"/>
                <w:noProof/>
                <w:sz w:val="22"/>
                <w:szCs w:val="22"/>
              </w:rPr>
              <w:t> </w:t>
            </w:r>
          </w:p>
        </w:tc>
      </w:tr>
      <w:tr>
        <w:trPr>
          <w:trHeight w:val="75"/>
        </w:trPr>
        <w:tc>
          <w:tcPr>
            <w:tcW w:w="6139" w:type="dxa"/>
            <w:tcBorders>
              <w:top w:val="nil"/>
              <w:left w:val="nil"/>
              <w:bottom w:val="nil"/>
              <w:right w:val="nil"/>
            </w:tcBorders>
            <w:shd w:val="clear" w:color="auto" w:fill="auto"/>
            <w:noWrap/>
            <w:vAlign w:val="center"/>
            <w:hideMark/>
          </w:tcPr>
          <w:p>
            <w:pPr>
              <w:widowControl/>
              <w:rPr>
                <w:rFonts w:ascii="Arial Narrow" w:hAnsi="Arial Narrow" w:cs="Arial"/>
                <w:noProof/>
                <w:sz w:val="22"/>
                <w:szCs w:val="22"/>
                <w:lang w:val="en-GB" w:eastAsia="fr-BE" w:bidi="ar-SA"/>
              </w:rPr>
            </w:pPr>
          </w:p>
        </w:tc>
        <w:tc>
          <w:tcPr>
            <w:tcW w:w="146" w:type="dxa"/>
            <w:tcBorders>
              <w:top w:val="nil"/>
              <w:left w:val="nil"/>
              <w:bottom w:val="nil"/>
              <w:right w:val="nil"/>
            </w:tcBorders>
            <w:shd w:val="clear" w:color="auto" w:fill="auto"/>
            <w:noWrap/>
            <w:vAlign w:val="center"/>
            <w:hideMark/>
          </w:tcPr>
          <w:p>
            <w:pPr>
              <w:widowControl/>
              <w:rPr>
                <w:noProof/>
                <w:color w:val="auto"/>
                <w:sz w:val="20"/>
                <w:szCs w:val="20"/>
                <w:lang w:val="en-GB" w:eastAsia="fr-BE" w:bidi="ar-SA"/>
              </w:rPr>
            </w:pPr>
          </w:p>
        </w:tc>
        <w:tc>
          <w:tcPr>
            <w:tcW w:w="1689" w:type="dxa"/>
            <w:tcBorders>
              <w:top w:val="nil"/>
              <w:left w:val="nil"/>
              <w:bottom w:val="nil"/>
              <w:right w:val="nil"/>
            </w:tcBorders>
            <w:shd w:val="clear" w:color="auto" w:fill="auto"/>
            <w:noWrap/>
            <w:vAlign w:val="center"/>
            <w:hideMark/>
          </w:tcPr>
          <w:p>
            <w:pPr>
              <w:widowControl/>
              <w:rPr>
                <w:noProof/>
                <w:color w:val="auto"/>
                <w:sz w:val="20"/>
                <w:szCs w:val="20"/>
                <w:lang w:val="en-GB" w:eastAsia="fr-BE" w:bidi="ar-SA"/>
              </w:rPr>
            </w:pPr>
          </w:p>
        </w:tc>
        <w:tc>
          <w:tcPr>
            <w:tcW w:w="146" w:type="dxa"/>
            <w:tcBorders>
              <w:top w:val="nil"/>
              <w:left w:val="nil"/>
              <w:bottom w:val="nil"/>
              <w:right w:val="nil"/>
            </w:tcBorders>
            <w:shd w:val="clear" w:color="auto" w:fill="auto"/>
            <w:noWrap/>
            <w:vAlign w:val="center"/>
            <w:hideMark/>
          </w:tcPr>
          <w:p>
            <w:pPr>
              <w:widowControl/>
              <w:rPr>
                <w:noProof/>
                <w:color w:val="auto"/>
                <w:sz w:val="20"/>
                <w:szCs w:val="20"/>
                <w:lang w:val="en-GB" w:eastAsia="fr-BE" w:bidi="ar-SA"/>
              </w:rPr>
            </w:pPr>
          </w:p>
        </w:tc>
        <w:tc>
          <w:tcPr>
            <w:tcW w:w="866" w:type="dxa"/>
            <w:tcBorders>
              <w:top w:val="nil"/>
              <w:left w:val="nil"/>
              <w:bottom w:val="nil"/>
              <w:right w:val="nil"/>
            </w:tcBorders>
            <w:shd w:val="clear" w:color="auto" w:fill="auto"/>
            <w:noWrap/>
            <w:vAlign w:val="center"/>
            <w:hideMark/>
          </w:tcPr>
          <w:p>
            <w:pPr>
              <w:widowControl/>
              <w:rPr>
                <w:noProof/>
                <w:color w:val="auto"/>
                <w:sz w:val="20"/>
                <w:szCs w:val="20"/>
                <w:lang w:val="en-GB" w:eastAsia="fr-BE" w:bidi="ar-SA"/>
              </w:rPr>
            </w:pPr>
          </w:p>
        </w:tc>
      </w:tr>
      <w:tr>
        <w:trPr>
          <w:trHeight w:val="300"/>
        </w:trPr>
        <w:tc>
          <w:tcPr>
            <w:tcW w:w="6139" w:type="dxa"/>
            <w:tcBorders>
              <w:top w:val="nil"/>
              <w:left w:val="nil"/>
              <w:bottom w:val="nil"/>
              <w:right w:val="nil"/>
            </w:tcBorders>
            <w:shd w:val="clear" w:color="000000" w:fill="FFCC99"/>
            <w:noWrap/>
            <w:vAlign w:val="center"/>
            <w:hideMark/>
          </w:tcPr>
          <w:p>
            <w:pPr>
              <w:widowControl/>
              <w:rPr>
                <w:rFonts w:ascii="Arial Narrow" w:hAnsi="Arial Narrow" w:cs="Arial"/>
                <w:b/>
                <w:bCs/>
                <w:noProof/>
                <w:sz w:val="22"/>
                <w:szCs w:val="22"/>
              </w:rPr>
            </w:pPr>
            <w:r>
              <w:rPr>
                <w:rFonts w:ascii="Arial Narrow" w:hAnsi="Arial Narrow"/>
                <w:b/>
                <w:bCs/>
                <w:noProof/>
                <w:sz w:val="22"/>
                <w:szCs w:val="22"/>
              </w:rPr>
              <w:t>Lotynų Amerika, Karibų jūros regionas</w:t>
            </w:r>
          </w:p>
        </w:tc>
        <w:tc>
          <w:tcPr>
            <w:tcW w:w="146" w:type="dxa"/>
            <w:tcBorders>
              <w:top w:val="nil"/>
              <w:left w:val="nil"/>
              <w:bottom w:val="nil"/>
              <w:right w:val="nil"/>
            </w:tcBorders>
            <w:shd w:val="clear" w:color="auto" w:fill="auto"/>
            <w:noWrap/>
            <w:vAlign w:val="center"/>
            <w:hideMark/>
          </w:tcPr>
          <w:p>
            <w:pPr>
              <w:widowControl/>
              <w:rPr>
                <w:rFonts w:ascii="Arial Narrow" w:hAnsi="Arial Narrow" w:cs="Arial"/>
                <w:b/>
                <w:bCs/>
                <w:noProof/>
                <w:sz w:val="22"/>
                <w:szCs w:val="22"/>
                <w:lang w:val="en-GB" w:eastAsia="fr-BE" w:bidi="ar-SA"/>
              </w:rPr>
            </w:pPr>
          </w:p>
        </w:tc>
        <w:tc>
          <w:tcPr>
            <w:tcW w:w="1689" w:type="dxa"/>
            <w:tcBorders>
              <w:top w:val="nil"/>
              <w:left w:val="nil"/>
              <w:bottom w:val="nil"/>
              <w:right w:val="nil"/>
            </w:tcBorders>
            <w:shd w:val="clear" w:color="000000" w:fill="FFCC99"/>
            <w:noWrap/>
            <w:vAlign w:val="center"/>
            <w:hideMark/>
          </w:tcPr>
          <w:p>
            <w:pPr>
              <w:widowControl/>
              <w:jc w:val="right"/>
              <w:rPr>
                <w:rFonts w:ascii="Arial Narrow" w:hAnsi="Arial Narrow" w:cs="Arial"/>
                <w:b/>
                <w:bCs/>
                <w:noProof/>
                <w:sz w:val="22"/>
                <w:szCs w:val="22"/>
              </w:rPr>
            </w:pPr>
            <w:r>
              <w:rPr>
                <w:rFonts w:ascii="Arial Narrow" w:hAnsi="Arial Narrow"/>
                <w:b/>
                <w:bCs/>
                <w:noProof/>
                <w:sz w:val="22"/>
                <w:szCs w:val="22"/>
              </w:rPr>
              <w:t>73</w:t>
            </w:r>
          </w:p>
        </w:tc>
        <w:tc>
          <w:tcPr>
            <w:tcW w:w="146" w:type="dxa"/>
            <w:tcBorders>
              <w:top w:val="nil"/>
              <w:left w:val="nil"/>
              <w:bottom w:val="nil"/>
              <w:right w:val="nil"/>
            </w:tcBorders>
            <w:shd w:val="clear" w:color="auto" w:fill="auto"/>
            <w:noWrap/>
            <w:vAlign w:val="center"/>
            <w:hideMark/>
          </w:tcPr>
          <w:p>
            <w:pPr>
              <w:widowControl/>
              <w:jc w:val="right"/>
              <w:rPr>
                <w:rFonts w:ascii="Arial Narrow" w:hAnsi="Arial Narrow" w:cs="Arial"/>
                <w:b/>
                <w:bCs/>
                <w:noProof/>
                <w:sz w:val="22"/>
                <w:szCs w:val="22"/>
                <w:lang w:val="en-GB" w:eastAsia="fr-BE" w:bidi="ar-SA"/>
              </w:rPr>
            </w:pPr>
          </w:p>
        </w:tc>
        <w:tc>
          <w:tcPr>
            <w:tcW w:w="866" w:type="dxa"/>
            <w:tcBorders>
              <w:top w:val="nil"/>
              <w:left w:val="nil"/>
              <w:bottom w:val="nil"/>
              <w:right w:val="nil"/>
            </w:tcBorders>
            <w:shd w:val="clear" w:color="000000" w:fill="FFCC99"/>
            <w:noWrap/>
            <w:vAlign w:val="center"/>
            <w:hideMark/>
          </w:tcPr>
          <w:p>
            <w:pPr>
              <w:widowControl/>
              <w:jc w:val="right"/>
              <w:rPr>
                <w:rFonts w:ascii="Arial Narrow" w:hAnsi="Arial Narrow" w:cs="Arial"/>
                <w:b/>
                <w:bCs/>
                <w:noProof/>
                <w:sz w:val="22"/>
                <w:szCs w:val="22"/>
              </w:rPr>
            </w:pPr>
            <w:r>
              <w:rPr>
                <w:rFonts w:ascii="Arial Narrow" w:hAnsi="Arial Narrow"/>
                <w:b/>
                <w:bCs/>
                <w:noProof/>
                <w:sz w:val="22"/>
                <w:szCs w:val="22"/>
              </w:rPr>
              <w:t>4 %</w:t>
            </w:r>
          </w:p>
        </w:tc>
      </w:tr>
      <w:tr>
        <w:trPr>
          <w:trHeight w:val="75"/>
        </w:trPr>
        <w:tc>
          <w:tcPr>
            <w:tcW w:w="6139" w:type="dxa"/>
            <w:tcBorders>
              <w:top w:val="nil"/>
              <w:left w:val="nil"/>
              <w:bottom w:val="nil"/>
              <w:right w:val="nil"/>
            </w:tcBorders>
            <w:shd w:val="clear" w:color="auto" w:fill="auto"/>
            <w:noWrap/>
            <w:vAlign w:val="center"/>
            <w:hideMark/>
          </w:tcPr>
          <w:p>
            <w:pPr>
              <w:widowControl/>
              <w:jc w:val="right"/>
              <w:rPr>
                <w:rFonts w:ascii="Arial Narrow" w:hAnsi="Arial Narrow" w:cs="Arial"/>
                <w:b/>
                <w:bCs/>
                <w:noProof/>
                <w:sz w:val="22"/>
                <w:szCs w:val="22"/>
                <w:lang w:val="en-GB" w:eastAsia="fr-BE" w:bidi="ar-SA"/>
              </w:rPr>
            </w:pPr>
          </w:p>
        </w:tc>
        <w:tc>
          <w:tcPr>
            <w:tcW w:w="146" w:type="dxa"/>
            <w:tcBorders>
              <w:top w:val="nil"/>
              <w:left w:val="nil"/>
              <w:bottom w:val="nil"/>
              <w:right w:val="nil"/>
            </w:tcBorders>
            <w:shd w:val="clear" w:color="auto" w:fill="auto"/>
            <w:noWrap/>
            <w:vAlign w:val="center"/>
            <w:hideMark/>
          </w:tcPr>
          <w:p>
            <w:pPr>
              <w:widowControl/>
              <w:rPr>
                <w:noProof/>
                <w:color w:val="auto"/>
                <w:sz w:val="20"/>
                <w:szCs w:val="20"/>
                <w:lang w:val="en-GB" w:eastAsia="fr-BE" w:bidi="ar-SA"/>
              </w:rPr>
            </w:pPr>
          </w:p>
        </w:tc>
        <w:tc>
          <w:tcPr>
            <w:tcW w:w="1689" w:type="dxa"/>
            <w:tcBorders>
              <w:top w:val="nil"/>
              <w:left w:val="nil"/>
              <w:bottom w:val="nil"/>
              <w:right w:val="nil"/>
            </w:tcBorders>
            <w:shd w:val="clear" w:color="auto" w:fill="auto"/>
            <w:noWrap/>
            <w:vAlign w:val="center"/>
            <w:hideMark/>
          </w:tcPr>
          <w:p>
            <w:pPr>
              <w:widowControl/>
              <w:rPr>
                <w:noProof/>
                <w:color w:val="auto"/>
                <w:sz w:val="20"/>
                <w:szCs w:val="20"/>
                <w:lang w:val="en-GB" w:eastAsia="fr-BE" w:bidi="ar-SA"/>
              </w:rPr>
            </w:pPr>
          </w:p>
        </w:tc>
        <w:tc>
          <w:tcPr>
            <w:tcW w:w="146" w:type="dxa"/>
            <w:tcBorders>
              <w:top w:val="nil"/>
              <w:left w:val="nil"/>
              <w:bottom w:val="nil"/>
              <w:right w:val="nil"/>
            </w:tcBorders>
            <w:shd w:val="clear" w:color="auto" w:fill="auto"/>
            <w:noWrap/>
            <w:vAlign w:val="center"/>
            <w:hideMark/>
          </w:tcPr>
          <w:p>
            <w:pPr>
              <w:widowControl/>
              <w:rPr>
                <w:noProof/>
                <w:color w:val="auto"/>
                <w:sz w:val="20"/>
                <w:szCs w:val="20"/>
                <w:lang w:val="en-GB" w:eastAsia="fr-BE" w:bidi="ar-SA"/>
              </w:rPr>
            </w:pPr>
          </w:p>
        </w:tc>
        <w:tc>
          <w:tcPr>
            <w:tcW w:w="866" w:type="dxa"/>
            <w:tcBorders>
              <w:top w:val="nil"/>
              <w:left w:val="nil"/>
              <w:bottom w:val="nil"/>
              <w:right w:val="nil"/>
            </w:tcBorders>
            <w:shd w:val="clear" w:color="auto" w:fill="auto"/>
            <w:noWrap/>
            <w:vAlign w:val="center"/>
            <w:hideMark/>
          </w:tcPr>
          <w:p>
            <w:pPr>
              <w:widowControl/>
              <w:rPr>
                <w:noProof/>
                <w:color w:val="auto"/>
                <w:sz w:val="20"/>
                <w:szCs w:val="20"/>
                <w:lang w:val="en-GB" w:eastAsia="fr-BE" w:bidi="ar-SA"/>
              </w:rPr>
            </w:pPr>
          </w:p>
        </w:tc>
      </w:tr>
      <w:tr>
        <w:trPr>
          <w:trHeight w:val="276"/>
        </w:trPr>
        <w:tc>
          <w:tcPr>
            <w:tcW w:w="6139" w:type="dxa"/>
            <w:tcBorders>
              <w:top w:val="nil"/>
              <w:left w:val="nil"/>
              <w:bottom w:val="nil"/>
              <w:right w:val="nil"/>
            </w:tcBorders>
            <w:shd w:val="clear" w:color="000000" w:fill="FFFF99"/>
            <w:noWrap/>
            <w:vAlign w:val="center"/>
            <w:hideMark/>
          </w:tcPr>
          <w:p>
            <w:pPr>
              <w:widowControl/>
              <w:rPr>
                <w:rFonts w:ascii="Arial Narrow" w:hAnsi="Arial Narrow" w:cs="Arial"/>
                <w:noProof/>
                <w:sz w:val="22"/>
                <w:szCs w:val="22"/>
              </w:rPr>
            </w:pPr>
            <w:r>
              <w:rPr>
                <w:rFonts w:ascii="Arial Narrow" w:hAnsi="Arial Narrow"/>
                <w:noProof/>
                <w:sz w:val="22"/>
                <w:szCs w:val="22"/>
              </w:rPr>
              <w:t>Lotynų Amerika</w:t>
            </w:r>
          </w:p>
        </w:tc>
        <w:tc>
          <w:tcPr>
            <w:tcW w:w="146" w:type="dxa"/>
            <w:tcBorders>
              <w:top w:val="nil"/>
              <w:left w:val="nil"/>
              <w:bottom w:val="nil"/>
              <w:right w:val="nil"/>
            </w:tcBorders>
            <w:shd w:val="clear" w:color="auto" w:fill="auto"/>
            <w:noWrap/>
            <w:vAlign w:val="center"/>
            <w:hideMark/>
          </w:tcPr>
          <w:p>
            <w:pPr>
              <w:widowControl/>
              <w:rPr>
                <w:rFonts w:ascii="Arial Narrow" w:hAnsi="Arial Narrow" w:cs="Arial"/>
                <w:noProof/>
                <w:sz w:val="22"/>
                <w:szCs w:val="22"/>
                <w:lang w:val="en-GB" w:eastAsia="fr-BE" w:bidi="ar-SA"/>
              </w:rPr>
            </w:pPr>
          </w:p>
        </w:tc>
        <w:tc>
          <w:tcPr>
            <w:tcW w:w="1689" w:type="dxa"/>
            <w:tcBorders>
              <w:top w:val="nil"/>
              <w:left w:val="nil"/>
              <w:bottom w:val="nil"/>
              <w:right w:val="nil"/>
            </w:tcBorders>
            <w:shd w:val="clear" w:color="000000" w:fill="FFFF99"/>
            <w:noWrap/>
            <w:vAlign w:val="center"/>
            <w:hideMark/>
          </w:tcPr>
          <w:p>
            <w:pPr>
              <w:widowControl/>
              <w:jc w:val="right"/>
              <w:rPr>
                <w:rFonts w:ascii="Arial Narrow" w:hAnsi="Arial Narrow" w:cs="Arial"/>
                <w:noProof/>
                <w:sz w:val="22"/>
                <w:szCs w:val="22"/>
              </w:rPr>
            </w:pPr>
            <w:r>
              <w:rPr>
                <w:rFonts w:ascii="Arial Narrow" w:hAnsi="Arial Narrow"/>
                <w:noProof/>
                <w:sz w:val="22"/>
                <w:szCs w:val="22"/>
              </w:rPr>
              <w:t>52</w:t>
            </w:r>
          </w:p>
        </w:tc>
        <w:tc>
          <w:tcPr>
            <w:tcW w:w="146" w:type="dxa"/>
            <w:tcBorders>
              <w:top w:val="nil"/>
              <w:left w:val="nil"/>
              <w:bottom w:val="nil"/>
              <w:right w:val="nil"/>
            </w:tcBorders>
            <w:shd w:val="clear" w:color="auto" w:fill="auto"/>
            <w:noWrap/>
            <w:vAlign w:val="center"/>
            <w:hideMark/>
          </w:tcPr>
          <w:p>
            <w:pPr>
              <w:widowControl/>
              <w:jc w:val="right"/>
              <w:rPr>
                <w:rFonts w:ascii="Arial Narrow" w:hAnsi="Arial Narrow" w:cs="Arial"/>
                <w:noProof/>
                <w:sz w:val="22"/>
                <w:szCs w:val="22"/>
                <w:lang w:val="en-GB" w:eastAsia="fr-BE" w:bidi="ar-SA"/>
              </w:rPr>
            </w:pPr>
          </w:p>
        </w:tc>
        <w:tc>
          <w:tcPr>
            <w:tcW w:w="866" w:type="dxa"/>
            <w:tcBorders>
              <w:top w:val="nil"/>
              <w:left w:val="nil"/>
              <w:bottom w:val="nil"/>
              <w:right w:val="nil"/>
            </w:tcBorders>
            <w:shd w:val="clear" w:color="000000" w:fill="FFFF99"/>
            <w:noWrap/>
            <w:vAlign w:val="center"/>
            <w:hideMark/>
          </w:tcPr>
          <w:p>
            <w:pPr>
              <w:widowControl/>
              <w:rPr>
                <w:rFonts w:ascii="Arial Narrow" w:hAnsi="Arial Narrow" w:cs="Arial"/>
                <w:noProof/>
                <w:sz w:val="22"/>
                <w:szCs w:val="22"/>
              </w:rPr>
            </w:pPr>
            <w:r>
              <w:rPr>
                <w:rFonts w:ascii="Arial Narrow" w:hAnsi="Arial Narrow"/>
                <w:noProof/>
                <w:sz w:val="22"/>
                <w:szCs w:val="22"/>
              </w:rPr>
              <w:t> </w:t>
            </w:r>
          </w:p>
        </w:tc>
      </w:tr>
      <w:tr>
        <w:trPr>
          <w:trHeight w:val="75"/>
        </w:trPr>
        <w:tc>
          <w:tcPr>
            <w:tcW w:w="6139" w:type="dxa"/>
            <w:tcBorders>
              <w:top w:val="nil"/>
              <w:left w:val="nil"/>
              <w:bottom w:val="nil"/>
              <w:right w:val="nil"/>
            </w:tcBorders>
            <w:shd w:val="clear" w:color="auto" w:fill="auto"/>
            <w:noWrap/>
            <w:vAlign w:val="center"/>
            <w:hideMark/>
          </w:tcPr>
          <w:p>
            <w:pPr>
              <w:widowControl/>
              <w:rPr>
                <w:rFonts w:ascii="Arial Narrow" w:hAnsi="Arial Narrow" w:cs="Arial"/>
                <w:noProof/>
                <w:sz w:val="22"/>
                <w:szCs w:val="22"/>
                <w:lang w:val="en-GB" w:eastAsia="fr-BE" w:bidi="ar-SA"/>
              </w:rPr>
            </w:pPr>
          </w:p>
        </w:tc>
        <w:tc>
          <w:tcPr>
            <w:tcW w:w="146" w:type="dxa"/>
            <w:tcBorders>
              <w:top w:val="nil"/>
              <w:left w:val="nil"/>
              <w:bottom w:val="nil"/>
              <w:right w:val="nil"/>
            </w:tcBorders>
            <w:shd w:val="clear" w:color="auto" w:fill="auto"/>
            <w:noWrap/>
            <w:vAlign w:val="center"/>
            <w:hideMark/>
          </w:tcPr>
          <w:p>
            <w:pPr>
              <w:widowControl/>
              <w:rPr>
                <w:noProof/>
                <w:color w:val="auto"/>
                <w:sz w:val="20"/>
                <w:szCs w:val="20"/>
                <w:lang w:val="en-GB" w:eastAsia="fr-BE" w:bidi="ar-SA"/>
              </w:rPr>
            </w:pPr>
          </w:p>
        </w:tc>
        <w:tc>
          <w:tcPr>
            <w:tcW w:w="1689" w:type="dxa"/>
            <w:tcBorders>
              <w:top w:val="nil"/>
              <w:left w:val="nil"/>
              <w:bottom w:val="nil"/>
              <w:right w:val="nil"/>
            </w:tcBorders>
            <w:shd w:val="clear" w:color="auto" w:fill="auto"/>
            <w:noWrap/>
            <w:vAlign w:val="center"/>
            <w:hideMark/>
          </w:tcPr>
          <w:p>
            <w:pPr>
              <w:widowControl/>
              <w:rPr>
                <w:noProof/>
                <w:color w:val="auto"/>
                <w:sz w:val="20"/>
                <w:szCs w:val="20"/>
                <w:lang w:val="en-GB" w:eastAsia="fr-BE" w:bidi="ar-SA"/>
              </w:rPr>
            </w:pPr>
          </w:p>
        </w:tc>
        <w:tc>
          <w:tcPr>
            <w:tcW w:w="146" w:type="dxa"/>
            <w:tcBorders>
              <w:top w:val="nil"/>
              <w:left w:val="nil"/>
              <w:bottom w:val="nil"/>
              <w:right w:val="nil"/>
            </w:tcBorders>
            <w:shd w:val="clear" w:color="auto" w:fill="auto"/>
            <w:noWrap/>
            <w:vAlign w:val="center"/>
            <w:hideMark/>
          </w:tcPr>
          <w:p>
            <w:pPr>
              <w:widowControl/>
              <w:rPr>
                <w:noProof/>
                <w:color w:val="auto"/>
                <w:sz w:val="20"/>
                <w:szCs w:val="20"/>
                <w:lang w:val="en-GB" w:eastAsia="fr-BE" w:bidi="ar-SA"/>
              </w:rPr>
            </w:pPr>
          </w:p>
        </w:tc>
        <w:tc>
          <w:tcPr>
            <w:tcW w:w="866" w:type="dxa"/>
            <w:tcBorders>
              <w:top w:val="nil"/>
              <w:left w:val="nil"/>
              <w:bottom w:val="nil"/>
              <w:right w:val="nil"/>
            </w:tcBorders>
            <w:shd w:val="clear" w:color="auto" w:fill="auto"/>
            <w:noWrap/>
            <w:vAlign w:val="center"/>
            <w:hideMark/>
          </w:tcPr>
          <w:p>
            <w:pPr>
              <w:widowControl/>
              <w:rPr>
                <w:noProof/>
                <w:color w:val="auto"/>
                <w:sz w:val="20"/>
                <w:szCs w:val="20"/>
                <w:lang w:val="en-GB" w:eastAsia="fr-BE" w:bidi="ar-SA"/>
              </w:rPr>
            </w:pPr>
          </w:p>
        </w:tc>
      </w:tr>
      <w:tr>
        <w:trPr>
          <w:trHeight w:val="276"/>
        </w:trPr>
        <w:tc>
          <w:tcPr>
            <w:tcW w:w="6139" w:type="dxa"/>
            <w:tcBorders>
              <w:top w:val="nil"/>
              <w:left w:val="nil"/>
              <w:bottom w:val="nil"/>
              <w:right w:val="nil"/>
            </w:tcBorders>
            <w:shd w:val="clear" w:color="000000" w:fill="FFFF99"/>
            <w:noWrap/>
            <w:vAlign w:val="center"/>
            <w:hideMark/>
          </w:tcPr>
          <w:p>
            <w:pPr>
              <w:widowControl/>
              <w:rPr>
                <w:rFonts w:ascii="Arial Narrow" w:hAnsi="Arial Narrow" w:cs="Arial"/>
                <w:noProof/>
                <w:sz w:val="22"/>
                <w:szCs w:val="22"/>
              </w:rPr>
            </w:pPr>
            <w:r>
              <w:rPr>
                <w:rFonts w:ascii="Arial Narrow" w:hAnsi="Arial Narrow"/>
                <w:noProof/>
                <w:sz w:val="22"/>
                <w:szCs w:val="22"/>
              </w:rPr>
              <w:t>Karibų jūros regionas</w:t>
            </w:r>
          </w:p>
        </w:tc>
        <w:tc>
          <w:tcPr>
            <w:tcW w:w="146" w:type="dxa"/>
            <w:tcBorders>
              <w:top w:val="nil"/>
              <w:left w:val="nil"/>
              <w:bottom w:val="nil"/>
              <w:right w:val="nil"/>
            </w:tcBorders>
            <w:shd w:val="clear" w:color="auto" w:fill="auto"/>
            <w:noWrap/>
            <w:vAlign w:val="center"/>
            <w:hideMark/>
          </w:tcPr>
          <w:p>
            <w:pPr>
              <w:widowControl/>
              <w:rPr>
                <w:rFonts w:ascii="Arial Narrow" w:hAnsi="Arial Narrow" w:cs="Arial"/>
                <w:noProof/>
                <w:sz w:val="22"/>
                <w:szCs w:val="22"/>
                <w:lang w:val="en-GB" w:eastAsia="fr-BE" w:bidi="ar-SA"/>
              </w:rPr>
            </w:pPr>
          </w:p>
        </w:tc>
        <w:tc>
          <w:tcPr>
            <w:tcW w:w="1689" w:type="dxa"/>
            <w:tcBorders>
              <w:top w:val="nil"/>
              <w:left w:val="nil"/>
              <w:bottom w:val="nil"/>
              <w:right w:val="nil"/>
            </w:tcBorders>
            <w:shd w:val="clear" w:color="000000" w:fill="FFFF99"/>
            <w:noWrap/>
            <w:vAlign w:val="center"/>
            <w:hideMark/>
          </w:tcPr>
          <w:p>
            <w:pPr>
              <w:widowControl/>
              <w:jc w:val="right"/>
              <w:rPr>
                <w:rFonts w:ascii="Arial Narrow" w:hAnsi="Arial Narrow" w:cs="Arial"/>
                <w:noProof/>
                <w:sz w:val="22"/>
                <w:szCs w:val="22"/>
              </w:rPr>
            </w:pPr>
            <w:r>
              <w:rPr>
                <w:rFonts w:ascii="Arial Narrow" w:hAnsi="Arial Narrow"/>
                <w:noProof/>
                <w:sz w:val="22"/>
                <w:szCs w:val="22"/>
              </w:rPr>
              <w:t>21</w:t>
            </w:r>
          </w:p>
        </w:tc>
        <w:tc>
          <w:tcPr>
            <w:tcW w:w="146" w:type="dxa"/>
            <w:tcBorders>
              <w:top w:val="nil"/>
              <w:left w:val="nil"/>
              <w:bottom w:val="nil"/>
              <w:right w:val="nil"/>
            </w:tcBorders>
            <w:shd w:val="clear" w:color="auto" w:fill="auto"/>
            <w:noWrap/>
            <w:vAlign w:val="center"/>
            <w:hideMark/>
          </w:tcPr>
          <w:p>
            <w:pPr>
              <w:widowControl/>
              <w:jc w:val="right"/>
              <w:rPr>
                <w:rFonts w:ascii="Arial Narrow" w:hAnsi="Arial Narrow" w:cs="Arial"/>
                <w:noProof/>
                <w:sz w:val="22"/>
                <w:szCs w:val="22"/>
                <w:lang w:val="en-GB" w:eastAsia="fr-BE" w:bidi="ar-SA"/>
              </w:rPr>
            </w:pPr>
          </w:p>
        </w:tc>
        <w:tc>
          <w:tcPr>
            <w:tcW w:w="866" w:type="dxa"/>
            <w:tcBorders>
              <w:top w:val="nil"/>
              <w:left w:val="nil"/>
              <w:bottom w:val="nil"/>
              <w:right w:val="nil"/>
            </w:tcBorders>
            <w:shd w:val="clear" w:color="000000" w:fill="FFFF99"/>
            <w:noWrap/>
            <w:vAlign w:val="center"/>
            <w:hideMark/>
          </w:tcPr>
          <w:p>
            <w:pPr>
              <w:widowControl/>
              <w:rPr>
                <w:rFonts w:ascii="Arial Narrow" w:hAnsi="Arial Narrow" w:cs="Arial"/>
                <w:noProof/>
                <w:sz w:val="22"/>
                <w:szCs w:val="22"/>
              </w:rPr>
            </w:pPr>
            <w:r>
              <w:rPr>
                <w:rFonts w:ascii="Arial Narrow" w:hAnsi="Arial Narrow"/>
                <w:noProof/>
                <w:sz w:val="22"/>
                <w:szCs w:val="22"/>
              </w:rPr>
              <w:t> </w:t>
            </w:r>
          </w:p>
        </w:tc>
      </w:tr>
      <w:tr>
        <w:trPr>
          <w:trHeight w:val="75"/>
        </w:trPr>
        <w:tc>
          <w:tcPr>
            <w:tcW w:w="6139" w:type="dxa"/>
            <w:tcBorders>
              <w:top w:val="nil"/>
              <w:left w:val="nil"/>
              <w:bottom w:val="nil"/>
              <w:right w:val="nil"/>
            </w:tcBorders>
            <w:shd w:val="clear" w:color="auto" w:fill="auto"/>
            <w:noWrap/>
            <w:vAlign w:val="center"/>
            <w:hideMark/>
          </w:tcPr>
          <w:p>
            <w:pPr>
              <w:widowControl/>
              <w:rPr>
                <w:rFonts w:ascii="Arial Narrow" w:hAnsi="Arial Narrow" w:cs="Arial"/>
                <w:noProof/>
                <w:sz w:val="22"/>
                <w:szCs w:val="22"/>
                <w:lang w:val="en-GB" w:eastAsia="fr-BE" w:bidi="ar-SA"/>
              </w:rPr>
            </w:pPr>
          </w:p>
        </w:tc>
        <w:tc>
          <w:tcPr>
            <w:tcW w:w="146" w:type="dxa"/>
            <w:tcBorders>
              <w:top w:val="nil"/>
              <w:left w:val="nil"/>
              <w:bottom w:val="nil"/>
              <w:right w:val="nil"/>
            </w:tcBorders>
            <w:shd w:val="clear" w:color="auto" w:fill="auto"/>
            <w:noWrap/>
            <w:vAlign w:val="center"/>
            <w:hideMark/>
          </w:tcPr>
          <w:p>
            <w:pPr>
              <w:widowControl/>
              <w:rPr>
                <w:noProof/>
                <w:color w:val="auto"/>
                <w:sz w:val="20"/>
                <w:szCs w:val="20"/>
                <w:lang w:val="en-GB" w:eastAsia="fr-BE" w:bidi="ar-SA"/>
              </w:rPr>
            </w:pPr>
          </w:p>
        </w:tc>
        <w:tc>
          <w:tcPr>
            <w:tcW w:w="1689" w:type="dxa"/>
            <w:tcBorders>
              <w:top w:val="nil"/>
              <w:left w:val="nil"/>
              <w:bottom w:val="nil"/>
              <w:right w:val="nil"/>
            </w:tcBorders>
            <w:shd w:val="clear" w:color="auto" w:fill="auto"/>
            <w:noWrap/>
            <w:vAlign w:val="center"/>
            <w:hideMark/>
          </w:tcPr>
          <w:p>
            <w:pPr>
              <w:widowControl/>
              <w:rPr>
                <w:noProof/>
                <w:color w:val="auto"/>
                <w:sz w:val="20"/>
                <w:szCs w:val="20"/>
                <w:lang w:val="en-GB" w:eastAsia="fr-BE" w:bidi="ar-SA"/>
              </w:rPr>
            </w:pPr>
          </w:p>
        </w:tc>
        <w:tc>
          <w:tcPr>
            <w:tcW w:w="146" w:type="dxa"/>
            <w:tcBorders>
              <w:top w:val="nil"/>
              <w:left w:val="nil"/>
              <w:bottom w:val="nil"/>
              <w:right w:val="nil"/>
            </w:tcBorders>
            <w:shd w:val="clear" w:color="auto" w:fill="auto"/>
            <w:noWrap/>
            <w:vAlign w:val="center"/>
            <w:hideMark/>
          </w:tcPr>
          <w:p>
            <w:pPr>
              <w:widowControl/>
              <w:rPr>
                <w:noProof/>
                <w:color w:val="auto"/>
                <w:sz w:val="20"/>
                <w:szCs w:val="20"/>
                <w:lang w:val="en-GB" w:eastAsia="fr-BE" w:bidi="ar-SA"/>
              </w:rPr>
            </w:pPr>
          </w:p>
        </w:tc>
        <w:tc>
          <w:tcPr>
            <w:tcW w:w="866" w:type="dxa"/>
            <w:tcBorders>
              <w:top w:val="nil"/>
              <w:left w:val="nil"/>
              <w:bottom w:val="nil"/>
              <w:right w:val="nil"/>
            </w:tcBorders>
            <w:shd w:val="clear" w:color="auto" w:fill="auto"/>
            <w:noWrap/>
            <w:vAlign w:val="center"/>
            <w:hideMark/>
          </w:tcPr>
          <w:p>
            <w:pPr>
              <w:widowControl/>
              <w:rPr>
                <w:noProof/>
                <w:color w:val="auto"/>
                <w:sz w:val="20"/>
                <w:szCs w:val="20"/>
                <w:lang w:val="en-GB" w:eastAsia="fr-BE" w:bidi="ar-SA"/>
              </w:rPr>
            </w:pPr>
          </w:p>
        </w:tc>
      </w:tr>
      <w:tr>
        <w:trPr>
          <w:trHeight w:val="300"/>
        </w:trPr>
        <w:tc>
          <w:tcPr>
            <w:tcW w:w="6139" w:type="dxa"/>
            <w:tcBorders>
              <w:top w:val="nil"/>
              <w:left w:val="nil"/>
              <w:bottom w:val="nil"/>
              <w:right w:val="nil"/>
            </w:tcBorders>
            <w:shd w:val="clear" w:color="000000" w:fill="FFCC99"/>
            <w:noWrap/>
            <w:vAlign w:val="center"/>
            <w:hideMark/>
          </w:tcPr>
          <w:p>
            <w:pPr>
              <w:widowControl/>
              <w:rPr>
                <w:rFonts w:ascii="Arial Narrow" w:hAnsi="Arial Narrow" w:cs="Arial"/>
                <w:b/>
                <w:bCs/>
                <w:noProof/>
                <w:sz w:val="22"/>
                <w:szCs w:val="22"/>
              </w:rPr>
            </w:pPr>
            <w:r>
              <w:rPr>
                <w:rFonts w:ascii="Arial Narrow" w:hAnsi="Arial Narrow"/>
                <w:b/>
                <w:bCs/>
                <w:noProof/>
                <w:sz w:val="22"/>
                <w:szCs w:val="22"/>
              </w:rPr>
              <w:t>Nelaimės visame pasaulyje</w:t>
            </w:r>
          </w:p>
        </w:tc>
        <w:tc>
          <w:tcPr>
            <w:tcW w:w="146" w:type="dxa"/>
            <w:tcBorders>
              <w:top w:val="nil"/>
              <w:left w:val="nil"/>
              <w:bottom w:val="nil"/>
              <w:right w:val="nil"/>
            </w:tcBorders>
            <w:shd w:val="clear" w:color="auto" w:fill="auto"/>
            <w:noWrap/>
            <w:vAlign w:val="center"/>
            <w:hideMark/>
          </w:tcPr>
          <w:p>
            <w:pPr>
              <w:widowControl/>
              <w:rPr>
                <w:rFonts w:ascii="Arial Narrow" w:hAnsi="Arial Narrow" w:cs="Arial"/>
                <w:b/>
                <w:bCs/>
                <w:noProof/>
                <w:sz w:val="22"/>
                <w:szCs w:val="22"/>
                <w:lang w:val="en-GB" w:eastAsia="fr-BE" w:bidi="ar-SA"/>
              </w:rPr>
            </w:pPr>
          </w:p>
        </w:tc>
        <w:tc>
          <w:tcPr>
            <w:tcW w:w="1689" w:type="dxa"/>
            <w:tcBorders>
              <w:top w:val="nil"/>
              <w:left w:val="nil"/>
              <w:bottom w:val="nil"/>
              <w:right w:val="nil"/>
            </w:tcBorders>
            <w:shd w:val="clear" w:color="000000" w:fill="FFCC99"/>
            <w:noWrap/>
            <w:vAlign w:val="center"/>
            <w:hideMark/>
          </w:tcPr>
          <w:p>
            <w:pPr>
              <w:widowControl/>
              <w:jc w:val="right"/>
              <w:rPr>
                <w:rFonts w:ascii="Arial Narrow" w:hAnsi="Arial Narrow" w:cs="Arial"/>
                <w:b/>
                <w:bCs/>
                <w:noProof/>
                <w:sz w:val="22"/>
                <w:szCs w:val="22"/>
              </w:rPr>
            </w:pPr>
            <w:r>
              <w:rPr>
                <w:rFonts w:ascii="Arial Narrow" w:hAnsi="Arial Narrow"/>
                <w:b/>
                <w:bCs/>
                <w:noProof/>
                <w:sz w:val="22"/>
                <w:szCs w:val="22"/>
              </w:rPr>
              <w:t>36</w:t>
            </w:r>
          </w:p>
        </w:tc>
        <w:tc>
          <w:tcPr>
            <w:tcW w:w="146" w:type="dxa"/>
            <w:tcBorders>
              <w:top w:val="nil"/>
              <w:left w:val="nil"/>
              <w:bottom w:val="nil"/>
              <w:right w:val="nil"/>
            </w:tcBorders>
            <w:shd w:val="clear" w:color="auto" w:fill="auto"/>
            <w:noWrap/>
            <w:vAlign w:val="center"/>
            <w:hideMark/>
          </w:tcPr>
          <w:p>
            <w:pPr>
              <w:widowControl/>
              <w:jc w:val="right"/>
              <w:rPr>
                <w:rFonts w:ascii="Arial Narrow" w:hAnsi="Arial Narrow" w:cs="Arial"/>
                <w:b/>
                <w:bCs/>
                <w:noProof/>
                <w:sz w:val="22"/>
                <w:szCs w:val="22"/>
                <w:lang w:val="en-GB" w:eastAsia="fr-BE" w:bidi="ar-SA"/>
              </w:rPr>
            </w:pPr>
          </w:p>
        </w:tc>
        <w:tc>
          <w:tcPr>
            <w:tcW w:w="866" w:type="dxa"/>
            <w:tcBorders>
              <w:top w:val="nil"/>
              <w:left w:val="nil"/>
              <w:bottom w:val="nil"/>
              <w:right w:val="nil"/>
            </w:tcBorders>
            <w:shd w:val="clear" w:color="000000" w:fill="FFCC99"/>
            <w:noWrap/>
            <w:vAlign w:val="center"/>
            <w:hideMark/>
          </w:tcPr>
          <w:p>
            <w:pPr>
              <w:widowControl/>
              <w:jc w:val="right"/>
              <w:rPr>
                <w:rFonts w:ascii="Arial Narrow" w:hAnsi="Arial Narrow" w:cs="Arial"/>
                <w:b/>
                <w:bCs/>
                <w:noProof/>
                <w:sz w:val="22"/>
                <w:szCs w:val="22"/>
              </w:rPr>
            </w:pPr>
            <w:r>
              <w:rPr>
                <w:rFonts w:ascii="Arial Narrow" w:hAnsi="Arial Narrow"/>
                <w:b/>
                <w:bCs/>
                <w:noProof/>
                <w:sz w:val="22"/>
                <w:szCs w:val="22"/>
              </w:rPr>
              <w:t>2 %</w:t>
            </w:r>
          </w:p>
        </w:tc>
      </w:tr>
      <w:tr>
        <w:trPr>
          <w:trHeight w:val="75"/>
        </w:trPr>
        <w:tc>
          <w:tcPr>
            <w:tcW w:w="6139" w:type="dxa"/>
            <w:tcBorders>
              <w:top w:val="nil"/>
              <w:left w:val="nil"/>
              <w:bottom w:val="nil"/>
              <w:right w:val="nil"/>
            </w:tcBorders>
            <w:shd w:val="clear" w:color="auto" w:fill="auto"/>
            <w:noWrap/>
            <w:vAlign w:val="center"/>
            <w:hideMark/>
          </w:tcPr>
          <w:p>
            <w:pPr>
              <w:widowControl/>
              <w:jc w:val="right"/>
              <w:rPr>
                <w:rFonts w:ascii="Arial Narrow" w:hAnsi="Arial Narrow" w:cs="Arial"/>
                <w:b/>
                <w:bCs/>
                <w:noProof/>
                <w:sz w:val="22"/>
                <w:szCs w:val="22"/>
                <w:lang w:val="en-GB" w:eastAsia="fr-BE" w:bidi="ar-SA"/>
              </w:rPr>
            </w:pPr>
          </w:p>
        </w:tc>
        <w:tc>
          <w:tcPr>
            <w:tcW w:w="146" w:type="dxa"/>
            <w:tcBorders>
              <w:top w:val="nil"/>
              <w:left w:val="nil"/>
              <w:bottom w:val="nil"/>
              <w:right w:val="nil"/>
            </w:tcBorders>
            <w:shd w:val="clear" w:color="auto" w:fill="auto"/>
            <w:noWrap/>
            <w:vAlign w:val="center"/>
            <w:hideMark/>
          </w:tcPr>
          <w:p>
            <w:pPr>
              <w:widowControl/>
              <w:rPr>
                <w:noProof/>
                <w:color w:val="auto"/>
                <w:sz w:val="20"/>
                <w:szCs w:val="20"/>
                <w:lang w:val="en-GB" w:eastAsia="fr-BE" w:bidi="ar-SA"/>
              </w:rPr>
            </w:pPr>
          </w:p>
        </w:tc>
        <w:tc>
          <w:tcPr>
            <w:tcW w:w="1689" w:type="dxa"/>
            <w:tcBorders>
              <w:top w:val="nil"/>
              <w:left w:val="nil"/>
              <w:bottom w:val="nil"/>
              <w:right w:val="nil"/>
            </w:tcBorders>
            <w:shd w:val="clear" w:color="auto" w:fill="auto"/>
            <w:noWrap/>
            <w:vAlign w:val="center"/>
            <w:hideMark/>
          </w:tcPr>
          <w:p>
            <w:pPr>
              <w:widowControl/>
              <w:rPr>
                <w:noProof/>
                <w:color w:val="auto"/>
                <w:sz w:val="20"/>
                <w:szCs w:val="20"/>
                <w:lang w:val="en-GB" w:eastAsia="fr-BE" w:bidi="ar-SA"/>
              </w:rPr>
            </w:pPr>
          </w:p>
        </w:tc>
        <w:tc>
          <w:tcPr>
            <w:tcW w:w="146" w:type="dxa"/>
            <w:tcBorders>
              <w:top w:val="nil"/>
              <w:left w:val="nil"/>
              <w:bottom w:val="nil"/>
              <w:right w:val="nil"/>
            </w:tcBorders>
            <w:shd w:val="clear" w:color="auto" w:fill="auto"/>
            <w:noWrap/>
            <w:vAlign w:val="center"/>
            <w:hideMark/>
          </w:tcPr>
          <w:p>
            <w:pPr>
              <w:widowControl/>
              <w:rPr>
                <w:noProof/>
                <w:color w:val="auto"/>
                <w:sz w:val="20"/>
                <w:szCs w:val="20"/>
                <w:lang w:val="en-GB" w:eastAsia="fr-BE" w:bidi="ar-SA"/>
              </w:rPr>
            </w:pPr>
          </w:p>
        </w:tc>
        <w:tc>
          <w:tcPr>
            <w:tcW w:w="866" w:type="dxa"/>
            <w:tcBorders>
              <w:top w:val="nil"/>
              <w:left w:val="nil"/>
              <w:bottom w:val="nil"/>
              <w:right w:val="nil"/>
            </w:tcBorders>
            <w:shd w:val="clear" w:color="auto" w:fill="auto"/>
            <w:noWrap/>
            <w:vAlign w:val="center"/>
            <w:hideMark/>
          </w:tcPr>
          <w:p>
            <w:pPr>
              <w:widowControl/>
              <w:rPr>
                <w:noProof/>
                <w:color w:val="auto"/>
                <w:sz w:val="20"/>
                <w:szCs w:val="20"/>
                <w:lang w:val="en-GB" w:eastAsia="fr-BE" w:bidi="ar-SA"/>
              </w:rPr>
            </w:pPr>
          </w:p>
        </w:tc>
      </w:tr>
      <w:tr>
        <w:trPr>
          <w:trHeight w:val="300"/>
        </w:trPr>
        <w:tc>
          <w:tcPr>
            <w:tcW w:w="6139" w:type="dxa"/>
            <w:tcBorders>
              <w:top w:val="nil"/>
              <w:left w:val="nil"/>
              <w:bottom w:val="nil"/>
              <w:right w:val="nil"/>
            </w:tcBorders>
            <w:shd w:val="clear" w:color="000000" w:fill="FFCC99"/>
            <w:noWrap/>
            <w:vAlign w:val="center"/>
            <w:hideMark/>
          </w:tcPr>
          <w:p>
            <w:pPr>
              <w:widowControl/>
              <w:rPr>
                <w:rFonts w:ascii="Arial Narrow" w:hAnsi="Arial Narrow" w:cs="Arial"/>
                <w:b/>
                <w:bCs/>
                <w:noProof/>
                <w:sz w:val="22"/>
                <w:szCs w:val="22"/>
              </w:rPr>
            </w:pPr>
            <w:r>
              <w:rPr>
                <w:rFonts w:ascii="Arial Narrow" w:hAnsi="Arial Narrow"/>
                <w:b/>
                <w:bCs/>
                <w:noProof/>
                <w:sz w:val="22"/>
                <w:szCs w:val="22"/>
              </w:rPr>
              <w:t>Civilinė sauga</w:t>
            </w:r>
          </w:p>
        </w:tc>
        <w:tc>
          <w:tcPr>
            <w:tcW w:w="146" w:type="dxa"/>
            <w:tcBorders>
              <w:top w:val="nil"/>
              <w:left w:val="nil"/>
              <w:bottom w:val="nil"/>
              <w:right w:val="nil"/>
            </w:tcBorders>
            <w:shd w:val="clear" w:color="auto" w:fill="auto"/>
            <w:noWrap/>
            <w:vAlign w:val="center"/>
            <w:hideMark/>
          </w:tcPr>
          <w:p>
            <w:pPr>
              <w:widowControl/>
              <w:rPr>
                <w:rFonts w:ascii="Arial Narrow" w:hAnsi="Arial Narrow" w:cs="Arial"/>
                <w:b/>
                <w:bCs/>
                <w:noProof/>
                <w:sz w:val="22"/>
                <w:szCs w:val="22"/>
                <w:lang w:val="en-GB" w:eastAsia="fr-BE" w:bidi="ar-SA"/>
              </w:rPr>
            </w:pPr>
          </w:p>
        </w:tc>
        <w:tc>
          <w:tcPr>
            <w:tcW w:w="1689" w:type="dxa"/>
            <w:tcBorders>
              <w:top w:val="nil"/>
              <w:left w:val="nil"/>
              <w:bottom w:val="nil"/>
              <w:right w:val="nil"/>
            </w:tcBorders>
            <w:shd w:val="clear" w:color="000000" w:fill="FFCC99"/>
            <w:noWrap/>
            <w:vAlign w:val="center"/>
            <w:hideMark/>
          </w:tcPr>
          <w:p>
            <w:pPr>
              <w:widowControl/>
              <w:jc w:val="right"/>
              <w:rPr>
                <w:rFonts w:ascii="Arial Narrow" w:hAnsi="Arial Narrow" w:cs="Arial"/>
                <w:b/>
                <w:bCs/>
                <w:noProof/>
                <w:sz w:val="22"/>
                <w:szCs w:val="22"/>
              </w:rPr>
            </w:pPr>
            <w:r>
              <w:rPr>
                <w:rFonts w:ascii="Arial Narrow" w:hAnsi="Arial Narrow"/>
                <w:b/>
                <w:bCs/>
                <w:noProof/>
                <w:sz w:val="22"/>
                <w:szCs w:val="22"/>
              </w:rPr>
              <w:t>41</w:t>
            </w:r>
          </w:p>
        </w:tc>
        <w:tc>
          <w:tcPr>
            <w:tcW w:w="146" w:type="dxa"/>
            <w:tcBorders>
              <w:top w:val="nil"/>
              <w:left w:val="nil"/>
              <w:bottom w:val="nil"/>
              <w:right w:val="nil"/>
            </w:tcBorders>
            <w:shd w:val="clear" w:color="auto" w:fill="auto"/>
            <w:noWrap/>
            <w:vAlign w:val="center"/>
            <w:hideMark/>
          </w:tcPr>
          <w:p>
            <w:pPr>
              <w:widowControl/>
              <w:jc w:val="right"/>
              <w:rPr>
                <w:rFonts w:ascii="Arial Narrow" w:hAnsi="Arial Narrow" w:cs="Arial"/>
                <w:b/>
                <w:bCs/>
                <w:noProof/>
                <w:sz w:val="22"/>
                <w:szCs w:val="22"/>
                <w:lang w:val="en-GB" w:eastAsia="fr-BE" w:bidi="ar-SA"/>
              </w:rPr>
            </w:pPr>
          </w:p>
        </w:tc>
        <w:tc>
          <w:tcPr>
            <w:tcW w:w="866" w:type="dxa"/>
            <w:tcBorders>
              <w:top w:val="nil"/>
              <w:left w:val="nil"/>
              <w:bottom w:val="nil"/>
              <w:right w:val="nil"/>
            </w:tcBorders>
            <w:shd w:val="clear" w:color="000000" w:fill="FFCC99"/>
            <w:noWrap/>
            <w:vAlign w:val="center"/>
            <w:hideMark/>
          </w:tcPr>
          <w:p>
            <w:pPr>
              <w:widowControl/>
              <w:jc w:val="right"/>
              <w:rPr>
                <w:rFonts w:ascii="Arial Narrow" w:hAnsi="Arial Narrow" w:cs="Arial"/>
                <w:b/>
                <w:bCs/>
                <w:noProof/>
                <w:sz w:val="22"/>
                <w:szCs w:val="22"/>
              </w:rPr>
            </w:pPr>
            <w:r>
              <w:rPr>
                <w:rFonts w:ascii="Arial Narrow" w:hAnsi="Arial Narrow"/>
                <w:b/>
                <w:bCs/>
                <w:noProof/>
                <w:sz w:val="22"/>
                <w:szCs w:val="22"/>
              </w:rPr>
              <w:t>2 %</w:t>
            </w:r>
          </w:p>
        </w:tc>
      </w:tr>
      <w:tr>
        <w:trPr>
          <w:trHeight w:val="75"/>
        </w:trPr>
        <w:tc>
          <w:tcPr>
            <w:tcW w:w="6139" w:type="dxa"/>
            <w:tcBorders>
              <w:top w:val="nil"/>
              <w:left w:val="nil"/>
              <w:bottom w:val="nil"/>
              <w:right w:val="nil"/>
            </w:tcBorders>
            <w:shd w:val="clear" w:color="auto" w:fill="auto"/>
            <w:noWrap/>
            <w:vAlign w:val="center"/>
            <w:hideMark/>
          </w:tcPr>
          <w:p>
            <w:pPr>
              <w:widowControl/>
              <w:jc w:val="right"/>
              <w:rPr>
                <w:rFonts w:ascii="Arial Narrow" w:hAnsi="Arial Narrow" w:cs="Arial"/>
                <w:b/>
                <w:bCs/>
                <w:noProof/>
                <w:sz w:val="22"/>
                <w:szCs w:val="22"/>
                <w:lang w:val="en-GB" w:eastAsia="fr-BE" w:bidi="ar-SA"/>
              </w:rPr>
            </w:pPr>
          </w:p>
        </w:tc>
        <w:tc>
          <w:tcPr>
            <w:tcW w:w="146" w:type="dxa"/>
            <w:tcBorders>
              <w:top w:val="nil"/>
              <w:left w:val="nil"/>
              <w:bottom w:val="nil"/>
              <w:right w:val="nil"/>
            </w:tcBorders>
            <w:shd w:val="clear" w:color="auto" w:fill="auto"/>
            <w:noWrap/>
            <w:vAlign w:val="center"/>
            <w:hideMark/>
          </w:tcPr>
          <w:p>
            <w:pPr>
              <w:widowControl/>
              <w:rPr>
                <w:noProof/>
                <w:color w:val="auto"/>
                <w:sz w:val="20"/>
                <w:szCs w:val="20"/>
                <w:lang w:val="en-GB" w:eastAsia="fr-BE" w:bidi="ar-SA"/>
              </w:rPr>
            </w:pPr>
          </w:p>
        </w:tc>
        <w:tc>
          <w:tcPr>
            <w:tcW w:w="1689" w:type="dxa"/>
            <w:tcBorders>
              <w:top w:val="nil"/>
              <w:left w:val="nil"/>
              <w:bottom w:val="nil"/>
              <w:right w:val="nil"/>
            </w:tcBorders>
            <w:shd w:val="clear" w:color="auto" w:fill="auto"/>
            <w:noWrap/>
            <w:vAlign w:val="center"/>
            <w:hideMark/>
          </w:tcPr>
          <w:p>
            <w:pPr>
              <w:widowControl/>
              <w:rPr>
                <w:noProof/>
                <w:color w:val="auto"/>
                <w:sz w:val="20"/>
                <w:szCs w:val="20"/>
                <w:lang w:val="en-GB" w:eastAsia="fr-BE" w:bidi="ar-SA"/>
              </w:rPr>
            </w:pPr>
          </w:p>
        </w:tc>
        <w:tc>
          <w:tcPr>
            <w:tcW w:w="146" w:type="dxa"/>
            <w:tcBorders>
              <w:top w:val="nil"/>
              <w:left w:val="nil"/>
              <w:bottom w:val="nil"/>
              <w:right w:val="nil"/>
            </w:tcBorders>
            <w:shd w:val="clear" w:color="auto" w:fill="auto"/>
            <w:noWrap/>
            <w:vAlign w:val="center"/>
            <w:hideMark/>
          </w:tcPr>
          <w:p>
            <w:pPr>
              <w:widowControl/>
              <w:rPr>
                <w:noProof/>
                <w:color w:val="auto"/>
                <w:sz w:val="20"/>
                <w:szCs w:val="20"/>
                <w:lang w:val="en-GB" w:eastAsia="fr-BE" w:bidi="ar-SA"/>
              </w:rPr>
            </w:pPr>
          </w:p>
        </w:tc>
        <w:tc>
          <w:tcPr>
            <w:tcW w:w="866" w:type="dxa"/>
            <w:tcBorders>
              <w:top w:val="nil"/>
              <w:left w:val="nil"/>
              <w:bottom w:val="nil"/>
              <w:right w:val="nil"/>
            </w:tcBorders>
            <w:shd w:val="clear" w:color="auto" w:fill="auto"/>
            <w:noWrap/>
            <w:vAlign w:val="center"/>
            <w:hideMark/>
          </w:tcPr>
          <w:p>
            <w:pPr>
              <w:widowControl/>
              <w:rPr>
                <w:noProof/>
                <w:color w:val="auto"/>
                <w:sz w:val="20"/>
                <w:szCs w:val="20"/>
                <w:lang w:val="en-GB" w:eastAsia="fr-BE" w:bidi="ar-SA"/>
              </w:rPr>
            </w:pPr>
          </w:p>
        </w:tc>
      </w:tr>
      <w:tr>
        <w:trPr>
          <w:trHeight w:val="300"/>
        </w:trPr>
        <w:tc>
          <w:tcPr>
            <w:tcW w:w="6139" w:type="dxa"/>
            <w:tcBorders>
              <w:top w:val="nil"/>
              <w:left w:val="nil"/>
              <w:bottom w:val="nil"/>
              <w:right w:val="nil"/>
            </w:tcBorders>
            <w:shd w:val="clear" w:color="000000" w:fill="FFCC99"/>
            <w:noWrap/>
            <w:vAlign w:val="center"/>
            <w:hideMark/>
          </w:tcPr>
          <w:p>
            <w:pPr>
              <w:widowControl/>
              <w:rPr>
                <w:rFonts w:ascii="Arial Narrow" w:hAnsi="Arial Narrow" w:cs="Arial"/>
                <w:b/>
                <w:bCs/>
                <w:noProof/>
                <w:sz w:val="22"/>
                <w:szCs w:val="22"/>
              </w:rPr>
            </w:pPr>
            <w:r>
              <w:rPr>
                <w:rFonts w:ascii="Arial Narrow" w:hAnsi="Arial Narrow"/>
                <w:b/>
                <w:bCs/>
                <w:noProof/>
                <w:sz w:val="22"/>
                <w:szCs w:val="22"/>
              </w:rPr>
              <w:t>ES pagalbos savanoriai</w:t>
            </w:r>
          </w:p>
        </w:tc>
        <w:tc>
          <w:tcPr>
            <w:tcW w:w="146" w:type="dxa"/>
            <w:tcBorders>
              <w:top w:val="nil"/>
              <w:left w:val="nil"/>
              <w:bottom w:val="nil"/>
              <w:right w:val="nil"/>
            </w:tcBorders>
            <w:shd w:val="clear" w:color="auto" w:fill="auto"/>
            <w:noWrap/>
            <w:vAlign w:val="center"/>
            <w:hideMark/>
          </w:tcPr>
          <w:p>
            <w:pPr>
              <w:widowControl/>
              <w:rPr>
                <w:rFonts w:ascii="Arial Narrow" w:hAnsi="Arial Narrow" w:cs="Arial"/>
                <w:b/>
                <w:bCs/>
                <w:noProof/>
                <w:sz w:val="22"/>
                <w:szCs w:val="22"/>
                <w:lang w:val="en-GB" w:eastAsia="fr-BE" w:bidi="ar-SA"/>
              </w:rPr>
            </w:pPr>
          </w:p>
        </w:tc>
        <w:tc>
          <w:tcPr>
            <w:tcW w:w="1689" w:type="dxa"/>
            <w:tcBorders>
              <w:top w:val="nil"/>
              <w:left w:val="nil"/>
              <w:bottom w:val="nil"/>
              <w:right w:val="nil"/>
            </w:tcBorders>
            <w:shd w:val="clear" w:color="000000" w:fill="FFCC99"/>
            <w:noWrap/>
            <w:vAlign w:val="center"/>
            <w:hideMark/>
          </w:tcPr>
          <w:p>
            <w:pPr>
              <w:widowControl/>
              <w:jc w:val="right"/>
              <w:rPr>
                <w:rFonts w:ascii="Arial Narrow" w:hAnsi="Arial Narrow" w:cs="Arial"/>
                <w:b/>
                <w:bCs/>
                <w:noProof/>
                <w:sz w:val="22"/>
                <w:szCs w:val="22"/>
              </w:rPr>
            </w:pPr>
            <w:r>
              <w:rPr>
                <w:rFonts w:ascii="Arial Narrow" w:hAnsi="Arial Narrow"/>
                <w:b/>
                <w:bCs/>
                <w:noProof/>
                <w:sz w:val="22"/>
                <w:szCs w:val="22"/>
              </w:rPr>
              <w:t>19</w:t>
            </w:r>
          </w:p>
        </w:tc>
        <w:tc>
          <w:tcPr>
            <w:tcW w:w="146" w:type="dxa"/>
            <w:tcBorders>
              <w:top w:val="nil"/>
              <w:left w:val="nil"/>
              <w:bottom w:val="nil"/>
              <w:right w:val="nil"/>
            </w:tcBorders>
            <w:shd w:val="clear" w:color="auto" w:fill="auto"/>
            <w:noWrap/>
            <w:vAlign w:val="center"/>
            <w:hideMark/>
          </w:tcPr>
          <w:p>
            <w:pPr>
              <w:widowControl/>
              <w:jc w:val="right"/>
              <w:rPr>
                <w:rFonts w:ascii="Arial Narrow" w:hAnsi="Arial Narrow" w:cs="Arial"/>
                <w:b/>
                <w:bCs/>
                <w:noProof/>
                <w:sz w:val="22"/>
                <w:szCs w:val="22"/>
                <w:lang w:val="en-GB" w:eastAsia="fr-BE" w:bidi="ar-SA"/>
              </w:rPr>
            </w:pPr>
          </w:p>
        </w:tc>
        <w:tc>
          <w:tcPr>
            <w:tcW w:w="866" w:type="dxa"/>
            <w:tcBorders>
              <w:top w:val="nil"/>
              <w:left w:val="nil"/>
              <w:bottom w:val="nil"/>
              <w:right w:val="nil"/>
            </w:tcBorders>
            <w:shd w:val="clear" w:color="000000" w:fill="FFCC99"/>
            <w:noWrap/>
            <w:vAlign w:val="center"/>
            <w:hideMark/>
          </w:tcPr>
          <w:p>
            <w:pPr>
              <w:widowControl/>
              <w:jc w:val="right"/>
              <w:rPr>
                <w:rFonts w:ascii="Arial Narrow" w:hAnsi="Arial Narrow" w:cs="Arial"/>
                <w:b/>
                <w:bCs/>
                <w:noProof/>
                <w:sz w:val="22"/>
                <w:szCs w:val="22"/>
              </w:rPr>
            </w:pPr>
            <w:r>
              <w:rPr>
                <w:rFonts w:ascii="Arial Narrow" w:hAnsi="Arial Narrow"/>
                <w:b/>
                <w:bCs/>
                <w:noProof/>
                <w:sz w:val="22"/>
                <w:szCs w:val="22"/>
              </w:rPr>
              <w:t>1 %</w:t>
            </w:r>
          </w:p>
        </w:tc>
      </w:tr>
      <w:tr>
        <w:trPr>
          <w:trHeight w:val="75"/>
        </w:trPr>
        <w:tc>
          <w:tcPr>
            <w:tcW w:w="6139" w:type="dxa"/>
            <w:tcBorders>
              <w:top w:val="nil"/>
              <w:left w:val="nil"/>
              <w:bottom w:val="nil"/>
              <w:right w:val="nil"/>
            </w:tcBorders>
            <w:shd w:val="clear" w:color="auto" w:fill="auto"/>
            <w:noWrap/>
            <w:vAlign w:val="center"/>
            <w:hideMark/>
          </w:tcPr>
          <w:p>
            <w:pPr>
              <w:widowControl/>
              <w:jc w:val="right"/>
              <w:rPr>
                <w:rFonts w:ascii="Arial Narrow" w:hAnsi="Arial Narrow" w:cs="Arial"/>
                <w:b/>
                <w:bCs/>
                <w:noProof/>
                <w:sz w:val="22"/>
                <w:szCs w:val="22"/>
                <w:lang w:val="en-GB" w:eastAsia="fr-BE" w:bidi="ar-SA"/>
              </w:rPr>
            </w:pPr>
          </w:p>
        </w:tc>
        <w:tc>
          <w:tcPr>
            <w:tcW w:w="146" w:type="dxa"/>
            <w:tcBorders>
              <w:top w:val="nil"/>
              <w:left w:val="nil"/>
              <w:bottom w:val="nil"/>
              <w:right w:val="nil"/>
            </w:tcBorders>
            <w:shd w:val="clear" w:color="auto" w:fill="auto"/>
            <w:noWrap/>
            <w:vAlign w:val="center"/>
            <w:hideMark/>
          </w:tcPr>
          <w:p>
            <w:pPr>
              <w:widowControl/>
              <w:rPr>
                <w:noProof/>
                <w:color w:val="auto"/>
                <w:sz w:val="20"/>
                <w:szCs w:val="20"/>
                <w:lang w:val="en-GB" w:eastAsia="fr-BE" w:bidi="ar-SA"/>
              </w:rPr>
            </w:pPr>
          </w:p>
        </w:tc>
        <w:tc>
          <w:tcPr>
            <w:tcW w:w="1689" w:type="dxa"/>
            <w:tcBorders>
              <w:top w:val="nil"/>
              <w:left w:val="nil"/>
              <w:bottom w:val="nil"/>
              <w:right w:val="nil"/>
            </w:tcBorders>
            <w:shd w:val="clear" w:color="auto" w:fill="auto"/>
            <w:noWrap/>
            <w:vAlign w:val="center"/>
            <w:hideMark/>
          </w:tcPr>
          <w:p>
            <w:pPr>
              <w:widowControl/>
              <w:rPr>
                <w:noProof/>
                <w:color w:val="auto"/>
                <w:sz w:val="20"/>
                <w:szCs w:val="20"/>
                <w:lang w:val="en-GB" w:eastAsia="fr-BE" w:bidi="ar-SA"/>
              </w:rPr>
            </w:pPr>
          </w:p>
        </w:tc>
        <w:tc>
          <w:tcPr>
            <w:tcW w:w="146" w:type="dxa"/>
            <w:tcBorders>
              <w:top w:val="nil"/>
              <w:left w:val="nil"/>
              <w:bottom w:val="nil"/>
              <w:right w:val="nil"/>
            </w:tcBorders>
            <w:shd w:val="clear" w:color="auto" w:fill="auto"/>
            <w:noWrap/>
            <w:vAlign w:val="center"/>
            <w:hideMark/>
          </w:tcPr>
          <w:p>
            <w:pPr>
              <w:widowControl/>
              <w:rPr>
                <w:noProof/>
                <w:color w:val="auto"/>
                <w:sz w:val="20"/>
                <w:szCs w:val="20"/>
                <w:lang w:val="en-GB" w:eastAsia="fr-BE" w:bidi="ar-SA"/>
              </w:rPr>
            </w:pPr>
          </w:p>
        </w:tc>
        <w:tc>
          <w:tcPr>
            <w:tcW w:w="866" w:type="dxa"/>
            <w:tcBorders>
              <w:top w:val="nil"/>
              <w:left w:val="nil"/>
              <w:bottom w:val="nil"/>
              <w:right w:val="nil"/>
            </w:tcBorders>
            <w:shd w:val="clear" w:color="auto" w:fill="auto"/>
            <w:noWrap/>
            <w:vAlign w:val="center"/>
            <w:hideMark/>
          </w:tcPr>
          <w:p>
            <w:pPr>
              <w:widowControl/>
              <w:rPr>
                <w:noProof/>
                <w:color w:val="auto"/>
                <w:sz w:val="20"/>
                <w:szCs w:val="20"/>
                <w:lang w:val="en-GB" w:eastAsia="fr-BE" w:bidi="ar-SA"/>
              </w:rPr>
            </w:pPr>
          </w:p>
        </w:tc>
      </w:tr>
      <w:tr>
        <w:trPr>
          <w:trHeight w:val="300"/>
        </w:trPr>
        <w:tc>
          <w:tcPr>
            <w:tcW w:w="6139" w:type="dxa"/>
            <w:tcBorders>
              <w:top w:val="nil"/>
              <w:left w:val="nil"/>
              <w:bottom w:val="nil"/>
              <w:right w:val="nil"/>
            </w:tcBorders>
            <w:shd w:val="clear" w:color="000000" w:fill="FFCC99"/>
            <w:noWrap/>
            <w:vAlign w:val="center"/>
            <w:hideMark/>
          </w:tcPr>
          <w:p>
            <w:pPr>
              <w:widowControl/>
              <w:rPr>
                <w:rFonts w:ascii="Arial Narrow" w:hAnsi="Arial Narrow" w:cs="Arial"/>
                <w:b/>
                <w:bCs/>
                <w:noProof/>
                <w:sz w:val="22"/>
                <w:szCs w:val="22"/>
              </w:rPr>
            </w:pPr>
            <w:r>
              <w:rPr>
                <w:rFonts w:ascii="Arial Narrow" w:hAnsi="Arial Narrow"/>
                <w:b/>
                <w:bCs/>
                <w:noProof/>
                <w:sz w:val="22"/>
                <w:szCs w:val="22"/>
              </w:rPr>
              <w:t>Skubios paramos teikimas Sąjungoje</w:t>
            </w:r>
          </w:p>
        </w:tc>
        <w:tc>
          <w:tcPr>
            <w:tcW w:w="146" w:type="dxa"/>
            <w:tcBorders>
              <w:top w:val="nil"/>
              <w:left w:val="nil"/>
              <w:bottom w:val="nil"/>
              <w:right w:val="nil"/>
            </w:tcBorders>
            <w:shd w:val="clear" w:color="auto" w:fill="auto"/>
            <w:noWrap/>
            <w:vAlign w:val="center"/>
            <w:hideMark/>
          </w:tcPr>
          <w:p>
            <w:pPr>
              <w:widowControl/>
              <w:rPr>
                <w:rFonts w:ascii="Arial Narrow" w:hAnsi="Arial Narrow" w:cs="Arial"/>
                <w:b/>
                <w:bCs/>
                <w:noProof/>
                <w:sz w:val="22"/>
                <w:szCs w:val="22"/>
                <w:lang w:val="en-GB" w:eastAsia="fr-BE" w:bidi="ar-SA"/>
              </w:rPr>
            </w:pPr>
          </w:p>
        </w:tc>
        <w:tc>
          <w:tcPr>
            <w:tcW w:w="1689" w:type="dxa"/>
            <w:tcBorders>
              <w:top w:val="nil"/>
              <w:left w:val="nil"/>
              <w:bottom w:val="nil"/>
              <w:right w:val="nil"/>
            </w:tcBorders>
            <w:shd w:val="clear" w:color="000000" w:fill="FFCC99"/>
            <w:noWrap/>
            <w:vAlign w:val="center"/>
            <w:hideMark/>
          </w:tcPr>
          <w:p>
            <w:pPr>
              <w:widowControl/>
              <w:jc w:val="right"/>
              <w:rPr>
                <w:rFonts w:ascii="Arial Narrow" w:hAnsi="Arial Narrow" w:cs="Arial"/>
                <w:b/>
                <w:bCs/>
                <w:noProof/>
                <w:sz w:val="22"/>
                <w:szCs w:val="22"/>
              </w:rPr>
            </w:pPr>
            <w:r>
              <w:rPr>
                <w:rFonts w:ascii="Arial Narrow" w:hAnsi="Arial Narrow"/>
                <w:b/>
                <w:bCs/>
                <w:noProof/>
                <w:sz w:val="22"/>
                <w:szCs w:val="22"/>
              </w:rPr>
              <w:t>199</w:t>
            </w:r>
          </w:p>
        </w:tc>
        <w:tc>
          <w:tcPr>
            <w:tcW w:w="146" w:type="dxa"/>
            <w:tcBorders>
              <w:top w:val="nil"/>
              <w:left w:val="nil"/>
              <w:bottom w:val="nil"/>
              <w:right w:val="nil"/>
            </w:tcBorders>
            <w:shd w:val="clear" w:color="auto" w:fill="auto"/>
            <w:noWrap/>
            <w:vAlign w:val="center"/>
            <w:hideMark/>
          </w:tcPr>
          <w:p>
            <w:pPr>
              <w:widowControl/>
              <w:jc w:val="right"/>
              <w:rPr>
                <w:rFonts w:ascii="Arial Narrow" w:hAnsi="Arial Narrow" w:cs="Arial"/>
                <w:b/>
                <w:bCs/>
                <w:noProof/>
                <w:sz w:val="22"/>
                <w:szCs w:val="22"/>
                <w:lang w:val="en-GB" w:eastAsia="fr-BE" w:bidi="ar-SA"/>
              </w:rPr>
            </w:pPr>
          </w:p>
        </w:tc>
        <w:tc>
          <w:tcPr>
            <w:tcW w:w="866" w:type="dxa"/>
            <w:tcBorders>
              <w:top w:val="nil"/>
              <w:left w:val="nil"/>
              <w:bottom w:val="nil"/>
              <w:right w:val="nil"/>
            </w:tcBorders>
            <w:shd w:val="clear" w:color="000000" w:fill="FFCC99"/>
            <w:noWrap/>
            <w:vAlign w:val="center"/>
            <w:hideMark/>
          </w:tcPr>
          <w:p>
            <w:pPr>
              <w:widowControl/>
              <w:jc w:val="right"/>
              <w:rPr>
                <w:rFonts w:ascii="Arial Narrow" w:hAnsi="Arial Narrow" w:cs="Arial"/>
                <w:b/>
                <w:bCs/>
                <w:noProof/>
                <w:sz w:val="22"/>
                <w:szCs w:val="22"/>
              </w:rPr>
            </w:pPr>
            <w:r>
              <w:rPr>
                <w:rFonts w:ascii="Arial Narrow" w:hAnsi="Arial Narrow"/>
                <w:b/>
                <w:bCs/>
                <w:noProof/>
                <w:sz w:val="22"/>
                <w:szCs w:val="22"/>
              </w:rPr>
              <w:t>11 %</w:t>
            </w:r>
          </w:p>
        </w:tc>
      </w:tr>
      <w:tr>
        <w:trPr>
          <w:trHeight w:val="75"/>
        </w:trPr>
        <w:tc>
          <w:tcPr>
            <w:tcW w:w="6139" w:type="dxa"/>
            <w:tcBorders>
              <w:top w:val="nil"/>
              <w:left w:val="nil"/>
              <w:bottom w:val="nil"/>
              <w:right w:val="nil"/>
            </w:tcBorders>
            <w:shd w:val="clear" w:color="auto" w:fill="auto"/>
            <w:noWrap/>
            <w:vAlign w:val="center"/>
            <w:hideMark/>
          </w:tcPr>
          <w:p>
            <w:pPr>
              <w:widowControl/>
              <w:jc w:val="right"/>
              <w:rPr>
                <w:rFonts w:ascii="Arial Narrow" w:hAnsi="Arial Narrow" w:cs="Arial"/>
                <w:b/>
                <w:bCs/>
                <w:noProof/>
                <w:sz w:val="22"/>
                <w:szCs w:val="22"/>
                <w:lang w:val="en-GB" w:eastAsia="fr-BE" w:bidi="ar-SA"/>
              </w:rPr>
            </w:pPr>
          </w:p>
        </w:tc>
        <w:tc>
          <w:tcPr>
            <w:tcW w:w="146" w:type="dxa"/>
            <w:tcBorders>
              <w:top w:val="nil"/>
              <w:left w:val="nil"/>
              <w:bottom w:val="nil"/>
              <w:right w:val="nil"/>
            </w:tcBorders>
            <w:shd w:val="clear" w:color="auto" w:fill="auto"/>
            <w:noWrap/>
            <w:vAlign w:val="center"/>
            <w:hideMark/>
          </w:tcPr>
          <w:p>
            <w:pPr>
              <w:widowControl/>
              <w:rPr>
                <w:noProof/>
                <w:color w:val="auto"/>
                <w:sz w:val="20"/>
                <w:szCs w:val="20"/>
                <w:lang w:val="en-GB" w:eastAsia="fr-BE" w:bidi="ar-SA"/>
              </w:rPr>
            </w:pPr>
          </w:p>
        </w:tc>
        <w:tc>
          <w:tcPr>
            <w:tcW w:w="1689" w:type="dxa"/>
            <w:tcBorders>
              <w:top w:val="nil"/>
              <w:left w:val="nil"/>
              <w:bottom w:val="nil"/>
              <w:right w:val="nil"/>
            </w:tcBorders>
            <w:shd w:val="clear" w:color="auto" w:fill="auto"/>
            <w:noWrap/>
            <w:vAlign w:val="center"/>
            <w:hideMark/>
          </w:tcPr>
          <w:p>
            <w:pPr>
              <w:widowControl/>
              <w:rPr>
                <w:noProof/>
                <w:color w:val="auto"/>
                <w:sz w:val="20"/>
                <w:szCs w:val="20"/>
                <w:lang w:val="en-GB" w:eastAsia="fr-BE" w:bidi="ar-SA"/>
              </w:rPr>
            </w:pPr>
          </w:p>
        </w:tc>
        <w:tc>
          <w:tcPr>
            <w:tcW w:w="146" w:type="dxa"/>
            <w:tcBorders>
              <w:top w:val="nil"/>
              <w:left w:val="nil"/>
              <w:bottom w:val="nil"/>
              <w:right w:val="nil"/>
            </w:tcBorders>
            <w:shd w:val="clear" w:color="auto" w:fill="auto"/>
            <w:noWrap/>
            <w:vAlign w:val="center"/>
            <w:hideMark/>
          </w:tcPr>
          <w:p>
            <w:pPr>
              <w:widowControl/>
              <w:rPr>
                <w:noProof/>
                <w:color w:val="auto"/>
                <w:sz w:val="20"/>
                <w:szCs w:val="20"/>
                <w:lang w:val="en-GB" w:eastAsia="fr-BE" w:bidi="ar-SA"/>
              </w:rPr>
            </w:pPr>
          </w:p>
        </w:tc>
        <w:tc>
          <w:tcPr>
            <w:tcW w:w="866" w:type="dxa"/>
            <w:tcBorders>
              <w:top w:val="nil"/>
              <w:left w:val="nil"/>
              <w:bottom w:val="nil"/>
              <w:right w:val="nil"/>
            </w:tcBorders>
            <w:shd w:val="clear" w:color="auto" w:fill="auto"/>
            <w:noWrap/>
            <w:vAlign w:val="center"/>
            <w:hideMark/>
          </w:tcPr>
          <w:p>
            <w:pPr>
              <w:widowControl/>
              <w:rPr>
                <w:noProof/>
                <w:color w:val="auto"/>
                <w:sz w:val="20"/>
                <w:szCs w:val="20"/>
                <w:lang w:val="en-GB" w:eastAsia="fr-BE" w:bidi="ar-SA"/>
              </w:rPr>
            </w:pPr>
          </w:p>
        </w:tc>
      </w:tr>
      <w:tr>
        <w:trPr>
          <w:trHeight w:val="300"/>
        </w:trPr>
        <w:tc>
          <w:tcPr>
            <w:tcW w:w="6139" w:type="dxa"/>
            <w:tcBorders>
              <w:top w:val="nil"/>
              <w:left w:val="nil"/>
              <w:bottom w:val="nil"/>
              <w:right w:val="nil"/>
            </w:tcBorders>
            <w:shd w:val="clear" w:color="000000" w:fill="FFCC99"/>
            <w:noWrap/>
            <w:vAlign w:val="center"/>
            <w:hideMark/>
          </w:tcPr>
          <w:p>
            <w:pPr>
              <w:widowControl/>
              <w:rPr>
                <w:rFonts w:ascii="Arial Narrow" w:hAnsi="Arial Narrow" w:cs="Arial"/>
                <w:b/>
                <w:bCs/>
                <w:noProof/>
                <w:sz w:val="22"/>
                <w:szCs w:val="22"/>
              </w:rPr>
            </w:pPr>
            <w:r>
              <w:rPr>
                <w:rFonts w:ascii="Arial Narrow" w:hAnsi="Arial Narrow"/>
                <w:b/>
                <w:bCs/>
                <w:noProof/>
                <w:sz w:val="22"/>
                <w:szCs w:val="22"/>
              </w:rPr>
              <w:t>Papildomos operacijos ir pagalba</w:t>
            </w:r>
          </w:p>
        </w:tc>
        <w:tc>
          <w:tcPr>
            <w:tcW w:w="146" w:type="dxa"/>
            <w:tcBorders>
              <w:top w:val="nil"/>
              <w:left w:val="nil"/>
              <w:bottom w:val="nil"/>
              <w:right w:val="nil"/>
            </w:tcBorders>
            <w:shd w:val="clear" w:color="auto" w:fill="auto"/>
            <w:noWrap/>
            <w:vAlign w:val="center"/>
            <w:hideMark/>
          </w:tcPr>
          <w:p>
            <w:pPr>
              <w:widowControl/>
              <w:rPr>
                <w:rFonts w:ascii="Arial Narrow" w:hAnsi="Arial Narrow" w:cs="Arial"/>
                <w:b/>
                <w:bCs/>
                <w:noProof/>
                <w:sz w:val="22"/>
                <w:szCs w:val="22"/>
                <w:lang w:val="en-GB" w:eastAsia="fr-BE" w:bidi="ar-SA"/>
              </w:rPr>
            </w:pPr>
          </w:p>
        </w:tc>
        <w:tc>
          <w:tcPr>
            <w:tcW w:w="1689" w:type="dxa"/>
            <w:tcBorders>
              <w:top w:val="nil"/>
              <w:left w:val="nil"/>
              <w:bottom w:val="nil"/>
              <w:right w:val="nil"/>
            </w:tcBorders>
            <w:shd w:val="clear" w:color="000000" w:fill="FFCC99"/>
            <w:noWrap/>
            <w:vAlign w:val="center"/>
            <w:hideMark/>
          </w:tcPr>
          <w:p>
            <w:pPr>
              <w:widowControl/>
              <w:jc w:val="right"/>
              <w:rPr>
                <w:rFonts w:ascii="Arial Narrow" w:hAnsi="Arial Narrow" w:cs="Arial"/>
                <w:b/>
                <w:bCs/>
                <w:noProof/>
                <w:sz w:val="22"/>
                <w:szCs w:val="22"/>
              </w:rPr>
            </w:pPr>
            <w:r>
              <w:rPr>
                <w:rFonts w:ascii="Arial Narrow" w:hAnsi="Arial Narrow"/>
                <w:b/>
                <w:bCs/>
                <w:noProof/>
                <w:sz w:val="22"/>
                <w:szCs w:val="22"/>
              </w:rPr>
              <w:t>67</w:t>
            </w:r>
          </w:p>
        </w:tc>
        <w:tc>
          <w:tcPr>
            <w:tcW w:w="146" w:type="dxa"/>
            <w:tcBorders>
              <w:top w:val="nil"/>
              <w:left w:val="nil"/>
              <w:bottom w:val="nil"/>
              <w:right w:val="nil"/>
            </w:tcBorders>
            <w:shd w:val="clear" w:color="auto" w:fill="auto"/>
            <w:noWrap/>
            <w:vAlign w:val="center"/>
            <w:hideMark/>
          </w:tcPr>
          <w:p>
            <w:pPr>
              <w:widowControl/>
              <w:jc w:val="right"/>
              <w:rPr>
                <w:rFonts w:ascii="Arial Narrow" w:hAnsi="Arial Narrow" w:cs="Arial"/>
                <w:b/>
                <w:bCs/>
                <w:noProof/>
                <w:sz w:val="22"/>
                <w:szCs w:val="22"/>
                <w:lang w:val="en-GB" w:eastAsia="fr-BE" w:bidi="ar-SA"/>
              </w:rPr>
            </w:pPr>
          </w:p>
        </w:tc>
        <w:tc>
          <w:tcPr>
            <w:tcW w:w="866" w:type="dxa"/>
            <w:tcBorders>
              <w:top w:val="nil"/>
              <w:left w:val="nil"/>
              <w:bottom w:val="nil"/>
              <w:right w:val="nil"/>
            </w:tcBorders>
            <w:shd w:val="clear" w:color="000000" w:fill="FFCC99"/>
            <w:noWrap/>
            <w:vAlign w:val="center"/>
            <w:hideMark/>
          </w:tcPr>
          <w:p>
            <w:pPr>
              <w:widowControl/>
              <w:jc w:val="right"/>
              <w:rPr>
                <w:rFonts w:ascii="Arial Narrow" w:hAnsi="Arial Narrow" w:cs="Arial"/>
                <w:b/>
                <w:bCs/>
                <w:noProof/>
                <w:sz w:val="22"/>
                <w:szCs w:val="22"/>
              </w:rPr>
            </w:pPr>
            <w:r>
              <w:rPr>
                <w:rFonts w:ascii="Arial Narrow" w:hAnsi="Arial Narrow"/>
                <w:b/>
                <w:bCs/>
                <w:noProof/>
                <w:sz w:val="22"/>
                <w:szCs w:val="22"/>
              </w:rPr>
              <w:t>4 %</w:t>
            </w:r>
          </w:p>
        </w:tc>
      </w:tr>
      <w:tr>
        <w:trPr>
          <w:trHeight w:val="75"/>
        </w:trPr>
        <w:tc>
          <w:tcPr>
            <w:tcW w:w="6139" w:type="dxa"/>
            <w:tcBorders>
              <w:top w:val="nil"/>
              <w:left w:val="nil"/>
              <w:bottom w:val="nil"/>
              <w:right w:val="nil"/>
            </w:tcBorders>
            <w:shd w:val="clear" w:color="auto" w:fill="auto"/>
            <w:noWrap/>
            <w:vAlign w:val="center"/>
            <w:hideMark/>
          </w:tcPr>
          <w:p>
            <w:pPr>
              <w:widowControl/>
              <w:jc w:val="right"/>
              <w:rPr>
                <w:rFonts w:ascii="Arial Narrow" w:hAnsi="Arial Narrow" w:cs="Arial"/>
                <w:b/>
                <w:bCs/>
                <w:noProof/>
                <w:sz w:val="22"/>
                <w:szCs w:val="22"/>
                <w:lang w:val="en-GB" w:eastAsia="fr-BE" w:bidi="ar-SA"/>
              </w:rPr>
            </w:pPr>
          </w:p>
        </w:tc>
        <w:tc>
          <w:tcPr>
            <w:tcW w:w="146" w:type="dxa"/>
            <w:tcBorders>
              <w:top w:val="nil"/>
              <w:left w:val="nil"/>
              <w:bottom w:val="nil"/>
              <w:right w:val="nil"/>
            </w:tcBorders>
            <w:shd w:val="clear" w:color="auto" w:fill="auto"/>
            <w:noWrap/>
            <w:vAlign w:val="center"/>
            <w:hideMark/>
          </w:tcPr>
          <w:p>
            <w:pPr>
              <w:widowControl/>
              <w:rPr>
                <w:noProof/>
                <w:color w:val="auto"/>
                <w:sz w:val="20"/>
                <w:szCs w:val="20"/>
                <w:lang w:val="en-GB" w:eastAsia="fr-BE" w:bidi="ar-SA"/>
              </w:rPr>
            </w:pPr>
          </w:p>
        </w:tc>
        <w:tc>
          <w:tcPr>
            <w:tcW w:w="1689" w:type="dxa"/>
            <w:tcBorders>
              <w:top w:val="nil"/>
              <w:left w:val="nil"/>
              <w:bottom w:val="nil"/>
              <w:right w:val="nil"/>
            </w:tcBorders>
            <w:shd w:val="clear" w:color="auto" w:fill="auto"/>
            <w:noWrap/>
            <w:vAlign w:val="center"/>
            <w:hideMark/>
          </w:tcPr>
          <w:p>
            <w:pPr>
              <w:widowControl/>
              <w:rPr>
                <w:noProof/>
                <w:color w:val="auto"/>
                <w:sz w:val="20"/>
                <w:szCs w:val="20"/>
                <w:lang w:val="en-GB" w:eastAsia="fr-BE" w:bidi="ar-SA"/>
              </w:rPr>
            </w:pPr>
          </w:p>
        </w:tc>
        <w:tc>
          <w:tcPr>
            <w:tcW w:w="146" w:type="dxa"/>
            <w:tcBorders>
              <w:top w:val="nil"/>
              <w:left w:val="nil"/>
              <w:bottom w:val="nil"/>
              <w:right w:val="nil"/>
            </w:tcBorders>
            <w:shd w:val="clear" w:color="auto" w:fill="auto"/>
            <w:noWrap/>
            <w:vAlign w:val="center"/>
            <w:hideMark/>
          </w:tcPr>
          <w:p>
            <w:pPr>
              <w:widowControl/>
              <w:rPr>
                <w:noProof/>
                <w:color w:val="auto"/>
                <w:sz w:val="20"/>
                <w:szCs w:val="20"/>
                <w:lang w:val="en-GB" w:eastAsia="fr-BE" w:bidi="ar-SA"/>
              </w:rPr>
            </w:pPr>
          </w:p>
        </w:tc>
        <w:tc>
          <w:tcPr>
            <w:tcW w:w="866" w:type="dxa"/>
            <w:tcBorders>
              <w:top w:val="nil"/>
              <w:left w:val="nil"/>
              <w:bottom w:val="nil"/>
              <w:right w:val="nil"/>
            </w:tcBorders>
            <w:shd w:val="clear" w:color="auto" w:fill="auto"/>
            <w:noWrap/>
            <w:vAlign w:val="center"/>
            <w:hideMark/>
          </w:tcPr>
          <w:p>
            <w:pPr>
              <w:widowControl/>
              <w:rPr>
                <w:noProof/>
                <w:color w:val="auto"/>
                <w:sz w:val="20"/>
                <w:szCs w:val="20"/>
                <w:lang w:val="en-GB" w:eastAsia="fr-BE" w:bidi="ar-SA"/>
              </w:rPr>
            </w:pPr>
          </w:p>
        </w:tc>
      </w:tr>
      <w:tr>
        <w:trPr>
          <w:trHeight w:val="435"/>
        </w:trPr>
        <w:tc>
          <w:tcPr>
            <w:tcW w:w="6139" w:type="dxa"/>
            <w:tcBorders>
              <w:top w:val="nil"/>
              <w:left w:val="nil"/>
              <w:bottom w:val="nil"/>
              <w:right w:val="nil"/>
            </w:tcBorders>
            <w:shd w:val="clear" w:color="000000" w:fill="FF6600"/>
            <w:noWrap/>
            <w:vAlign w:val="center"/>
            <w:hideMark/>
          </w:tcPr>
          <w:p>
            <w:pPr>
              <w:widowControl/>
              <w:rPr>
                <w:rFonts w:ascii="Arial Narrow" w:hAnsi="Arial Narrow" w:cs="Arial"/>
                <w:b/>
                <w:bCs/>
                <w:noProof/>
                <w:sz w:val="22"/>
                <w:szCs w:val="22"/>
              </w:rPr>
            </w:pPr>
            <w:r>
              <w:rPr>
                <w:rFonts w:ascii="Arial Narrow" w:hAnsi="Arial Narrow"/>
                <w:b/>
                <w:bCs/>
                <w:noProof/>
                <w:sz w:val="22"/>
                <w:szCs w:val="22"/>
              </w:rPr>
              <w:t>IŠ VISO</w:t>
            </w:r>
          </w:p>
        </w:tc>
        <w:tc>
          <w:tcPr>
            <w:tcW w:w="146" w:type="dxa"/>
            <w:tcBorders>
              <w:top w:val="nil"/>
              <w:left w:val="nil"/>
              <w:bottom w:val="nil"/>
              <w:right w:val="nil"/>
            </w:tcBorders>
            <w:shd w:val="clear" w:color="auto" w:fill="auto"/>
            <w:noWrap/>
            <w:vAlign w:val="center"/>
            <w:hideMark/>
          </w:tcPr>
          <w:p>
            <w:pPr>
              <w:widowControl/>
              <w:rPr>
                <w:rFonts w:ascii="Arial Narrow" w:hAnsi="Arial Narrow" w:cs="Arial"/>
                <w:b/>
                <w:bCs/>
                <w:noProof/>
                <w:sz w:val="22"/>
                <w:szCs w:val="22"/>
                <w:lang w:val="en-GB" w:eastAsia="fr-BE" w:bidi="ar-SA"/>
              </w:rPr>
            </w:pPr>
          </w:p>
        </w:tc>
        <w:tc>
          <w:tcPr>
            <w:tcW w:w="1689" w:type="dxa"/>
            <w:tcBorders>
              <w:top w:val="nil"/>
              <w:left w:val="nil"/>
              <w:bottom w:val="nil"/>
              <w:right w:val="nil"/>
            </w:tcBorders>
            <w:shd w:val="clear" w:color="000000" w:fill="FF6600"/>
            <w:noWrap/>
            <w:vAlign w:val="center"/>
            <w:hideMark/>
          </w:tcPr>
          <w:p>
            <w:pPr>
              <w:widowControl/>
              <w:jc w:val="right"/>
              <w:rPr>
                <w:rFonts w:ascii="Arial Narrow" w:hAnsi="Arial Narrow" w:cs="Arial"/>
                <w:b/>
                <w:bCs/>
                <w:noProof/>
                <w:sz w:val="22"/>
                <w:szCs w:val="22"/>
              </w:rPr>
            </w:pPr>
            <w:r>
              <w:rPr>
                <w:rFonts w:ascii="Arial Narrow" w:hAnsi="Arial Narrow"/>
                <w:b/>
                <w:bCs/>
                <w:noProof/>
                <w:sz w:val="22"/>
                <w:szCs w:val="22"/>
              </w:rPr>
              <w:t>1 753</w:t>
            </w:r>
          </w:p>
        </w:tc>
        <w:tc>
          <w:tcPr>
            <w:tcW w:w="146" w:type="dxa"/>
            <w:tcBorders>
              <w:top w:val="nil"/>
              <w:left w:val="nil"/>
              <w:bottom w:val="nil"/>
              <w:right w:val="nil"/>
            </w:tcBorders>
            <w:shd w:val="clear" w:color="auto" w:fill="auto"/>
            <w:noWrap/>
            <w:vAlign w:val="center"/>
            <w:hideMark/>
          </w:tcPr>
          <w:p>
            <w:pPr>
              <w:widowControl/>
              <w:jc w:val="right"/>
              <w:rPr>
                <w:rFonts w:ascii="Arial Narrow" w:hAnsi="Arial Narrow" w:cs="Arial"/>
                <w:b/>
                <w:bCs/>
                <w:noProof/>
                <w:sz w:val="22"/>
                <w:szCs w:val="22"/>
                <w:lang w:val="en-GB" w:eastAsia="fr-BE" w:bidi="ar-SA"/>
              </w:rPr>
            </w:pPr>
          </w:p>
        </w:tc>
        <w:tc>
          <w:tcPr>
            <w:tcW w:w="866" w:type="dxa"/>
            <w:tcBorders>
              <w:top w:val="nil"/>
              <w:left w:val="nil"/>
              <w:bottom w:val="nil"/>
              <w:right w:val="nil"/>
            </w:tcBorders>
            <w:shd w:val="clear" w:color="000000" w:fill="FF6600"/>
            <w:noWrap/>
            <w:vAlign w:val="center"/>
            <w:hideMark/>
          </w:tcPr>
          <w:p>
            <w:pPr>
              <w:widowControl/>
              <w:jc w:val="right"/>
              <w:rPr>
                <w:rFonts w:ascii="Arial Narrow" w:hAnsi="Arial Narrow" w:cs="Arial"/>
                <w:b/>
                <w:bCs/>
                <w:noProof/>
                <w:sz w:val="22"/>
                <w:szCs w:val="22"/>
              </w:rPr>
            </w:pPr>
            <w:r>
              <w:rPr>
                <w:rFonts w:ascii="Arial Narrow" w:hAnsi="Arial Narrow"/>
                <w:b/>
                <w:bCs/>
                <w:noProof/>
                <w:sz w:val="22"/>
                <w:szCs w:val="22"/>
              </w:rPr>
              <w:t>100 %</w:t>
            </w:r>
          </w:p>
        </w:tc>
      </w:tr>
      <w:tr>
        <w:trPr>
          <w:trHeight w:val="135"/>
        </w:trPr>
        <w:tc>
          <w:tcPr>
            <w:tcW w:w="6139" w:type="dxa"/>
            <w:tcBorders>
              <w:top w:val="nil"/>
              <w:left w:val="nil"/>
              <w:bottom w:val="nil"/>
              <w:right w:val="nil"/>
            </w:tcBorders>
            <w:shd w:val="clear" w:color="auto" w:fill="auto"/>
            <w:noWrap/>
            <w:vAlign w:val="center"/>
            <w:hideMark/>
          </w:tcPr>
          <w:p>
            <w:pPr>
              <w:widowControl/>
              <w:jc w:val="right"/>
              <w:rPr>
                <w:rFonts w:ascii="Arial Narrow" w:hAnsi="Arial Narrow" w:cs="Arial"/>
                <w:b/>
                <w:bCs/>
                <w:noProof/>
                <w:sz w:val="22"/>
                <w:szCs w:val="22"/>
                <w:lang w:val="en-GB" w:eastAsia="fr-BE" w:bidi="ar-SA"/>
              </w:rPr>
            </w:pPr>
          </w:p>
        </w:tc>
        <w:tc>
          <w:tcPr>
            <w:tcW w:w="146" w:type="dxa"/>
            <w:tcBorders>
              <w:top w:val="nil"/>
              <w:left w:val="nil"/>
              <w:bottom w:val="nil"/>
              <w:right w:val="nil"/>
            </w:tcBorders>
            <w:shd w:val="clear" w:color="auto" w:fill="auto"/>
            <w:noWrap/>
            <w:vAlign w:val="center"/>
            <w:hideMark/>
          </w:tcPr>
          <w:p>
            <w:pPr>
              <w:widowControl/>
              <w:rPr>
                <w:noProof/>
                <w:color w:val="auto"/>
                <w:sz w:val="20"/>
                <w:szCs w:val="20"/>
                <w:lang w:val="en-GB" w:eastAsia="fr-BE" w:bidi="ar-SA"/>
              </w:rPr>
            </w:pPr>
          </w:p>
        </w:tc>
        <w:tc>
          <w:tcPr>
            <w:tcW w:w="1689" w:type="dxa"/>
            <w:tcBorders>
              <w:top w:val="nil"/>
              <w:left w:val="nil"/>
              <w:bottom w:val="nil"/>
              <w:right w:val="nil"/>
            </w:tcBorders>
            <w:shd w:val="clear" w:color="auto" w:fill="auto"/>
            <w:noWrap/>
            <w:vAlign w:val="center"/>
            <w:hideMark/>
          </w:tcPr>
          <w:p>
            <w:pPr>
              <w:widowControl/>
              <w:rPr>
                <w:noProof/>
                <w:color w:val="auto"/>
                <w:sz w:val="20"/>
                <w:szCs w:val="20"/>
                <w:lang w:val="en-GB" w:eastAsia="fr-BE" w:bidi="ar-SA"/>
              </w:rPr>
            </w:pPr>
          </w:p>
        </w:tc>
        <w:tc>
          <w:tcPr>
            <w:tcW w:w="146" w:type="dxa"/>
            <w:tcBorders>
              <w:top w:val="nil"/>
              <w:left w:val="nil"/>
              <w:bottom w:val="nil"/>
              <w:right w:val="nil"/>
            </w:tcBorders>
            <w:shd w:val="clear" w:color="auto" w:fill="auto"/>
            <w:noWrap/>
            <w:vAlign w:val="center"/>
            <w:hideMark/>
          </w:tcPr>
          <w:p>
            <w:pPr>
              <w:widowControl/>
              <w:rPr>
                <w:noProof/>
                <w:color w:val="auto"/>
                <w:sz w:val="20"/>
                <w:szCs w:val="20"/>
                <w:lang w:val="en-GB" w:eastAsia="fr-BE" w:bidi="ar-SA"/>
              </w:rPr>
            </w:pPr>
          </w:p>
        </w:tc>
        <w:tc>
          <w:tcPr>
            <w:tcW w:w="866" w:type="dxa"/>
            <w:tcBorders>
              <w:top w:val="nil"/>
              <w:left w:val="nil"/>
              <w:bottom w:val="nil"/>
              <w:right w:val="nil"/>
            </w:tcBorders>
            <w:shd w:val="clear" w:color="auto" w:fill="auto"/>
            <w:noWrap/>
            <w:vAlign w:val="center"/>
            <w:hideMark/>
          </w:tcPr>
          <w:p>
            <w:pPr>
              <w:widowControl/>
              <w:rPr>
                <w:noProof/>
                <w:color w:val="auto"/>
                <w:sz w:val="20"/>
                <w:szCs w:val="20"/>
                <w:lang w:val="en-GB" w:eastAsia="fr-BE" w:bidi="ar-SA"/>
              </w:rPr>
            </w:pPr>
          </w:p>
        </w:tc>
      </w:tr>
      <w:tr>
        <w:trPr>
          <w:trHeight w:val="276"/>
        </w:trPr>
        <w:tc>
          <w:tcPr>
            <w:tcW w:w="6139" w:type="dxa"/>
            <w:tcBorders>
              <w:top w:val="nil"/>
              <w:left w:val="nil"/>
              <w:bottom w:val="nil"/>
              <w:right w:val="nil"/>
            </w:tcBorders>
            <w:shd w:val="clear" w:color="auto" w:fill="auto"/>
            <w:noWrap/>
            <w:vAlign w:val="center"/>
            <w:hideMark/>
          </w:tcPr>
          <w:p>
            <w:pPr>
              <w:widowControl/>
              <w:rPr>
                <w:noProof/>
                <w:color w:val="auto"/>
                <w:sz w:val="20"/>
                <w:szCs w:val="20"/>
                <w:lang w:val="en-GB" w:eastAsia="fr-BE" w:bidi="ar-SA"/>
              </w:rPr>
            </w:pPr>
          </w:p>
        </w:tc>
        <w:tc>
          <w:tcPr>
            <w:tcW w:w="146" w:type="dxa"/>
            <w:tcBorders>
              <w:top w:val="nil"/>
              <w:left w:val="nil"/>
              <w:bottom w:val="nil"/>
              <w:right w:val="nil"/>
            </w:tcBorders>
            <w:shd w:val="clear" w:color="auto" w:fill="auto"/>
            <w:noWrap/>
            <w:vAlign w:val="center"/>
            <w:hideMark/>
          </w:tcPr>
          <w:p>
            <w:pPr>
              <w:widowControl/>
              <w:rPr>
                <w:noProof/>
                <w:color w:val="auto"/>
                <w:sz w:val="20"/>
                <w:szCs w:val="20"/>
                <w:lang w:val="en-GB" w:eastAsia="fr-BE" w:bidi="ar-SA"/>
              </w:rPr>
            </w:pPr>
          </w:p>
        </w:tc>
        <w:tc>
          <w:tcPr>
            <w:tcW w:w="1689" w:type="dxa"/>
            <w:tcBorders>
              <w:top w:val="nil"/>
              <w:left w:val="nil"/>
              <w:bottom w:val="nil"/>
              <w:right w:val="nil"/>
            </w:tcBorders>
            <w:shd w:val="clear" w:color="auto" w:fill="auto"/>
            <w:noWrap/>
            <w:vAlign w:val="center"/>
            <w:hideMark/>
          </w:tcPr>
          <w:p>
            <w:pPr>
              <w:widowControl/>
              <w:jc w:val="center"/>
              <w:rPr>
                <w:rFonts w:ascii="Arial Narrow" w:hAnsi="Arial Narrow" w:cs="Arial"/>
                <w:i/>
                <w:iCs/>
                <w:noProof/>
                <w:sz w:val="20"/>
                <w:szCs w:val="20"/>
              </w:rPr>
            </w:pPr>
            <w:r>
              <w:rPr>
                <w:rFonts w:ascii="Arial Narrow" w:hAnsi="Arial Narrow"/>
                <w:i/>
                <w:iCs/>
                <w:noProof/>
                <w:sz w:val="20"/>
                <w:szCs w:val="20"/>
              </w:rPr>
              <w:t>(mln. EUR)</w:t>
            </w:r>
          </w:p>
        </w:tc>
        <w:tc>
          <w:tcPr>
            <w:tcW w:w="146" w:type="dxa"/>
            <w:tcBorders>
              <w:top w:val="nil"/>
              <w:left w:val="nil"/>
              <w:bottom w:val="nil"/>
              <w:right w:val="nil"/>
            </w:tcBorders>
            <w:shd w:val="clear" w:color="auto" w:fill="auto"/>
            <w:noWrap/>
            <w:vAlign w:val="center"/>
            <w:hideMark/>
          </w:tcPr>
          <w:p>
            <w:pPr>
              <w:widowControl/>
              <w:jc w:val="center"/>
              <w:rPr>
                <w:rFonts w:ascii="Arial Narrow" w:hAnsi="Arial Narrow" w:cs="Arial"/>
                <w:i/>
                <w:iCs/>
                <w:noProof/>
                <w:sz w:val="20"/>
                <w:szCs w:val="20"/>
                <w:lang w:val="en-GB" w:eastAsia="fr-BE" w:bidi="ar-SA"/>
              </w:rPr>
            </w:pPr>
          </w:p>
        </w:tc>
        <w:tc>
          <w:tcPr>
            <w:tcW w:w="866" w:type="dxa"/>
            <w:tcBorders>
              <w:top w:val="nil"/>
              <w:left w:val="nil"/>
              <w:bottom w:val="nil"/>
              <w:right w:val="nil"/>
            </w:tcBorders>
            <w:shd w:val="clear" w:color="auto" w:fill="auto"/>
            <w:noWrap/>
            <w:vAlign w:val="center"/>
            <w:hideMark/>
          </w:tcPr>
          <w:p>
            <w:pPr>
              <w:widowControl/>
              <w:rPr>
                <w:noProof/>
                <w:color w:val="auto"/>
                <w:sz w:val="20"/>
                <w:szCs w:val="20"/>
                <w:lang w:val="en-GB" w:eastAsia="fr-BE" w:bidi="ar-SA"/>
              </w:rPr>
            </w:pPr>
          </w:p>
        </w:tc>
      </w:tr>
    </w:tbl>
    <w:p>
      <w:pPr>
        <w:pStyle w:val="Bodytext20"/>
        <w:shd w:val="clear" w:color="auto" w:fill="auto"/>
        <w:tabs>
          <w:tab w:val="left" w:pos="354"/>
        </w:tabs>
        <w:spacing w:after="0" w:line="557" w:lineRule="exact"/>
        <w:ind w:firstLine="0"/>
        <w:rPr>
          <w:noProof/>
          <w:lang w:val="en-GB"/>
        </w:rPr>
      </w:pPr>
    </w:p>
    <w:p>
      <w:pPr>
        <w:pStyle w:val="Bodytext20"/>
        <w:shd w:val="clear" w:color="auto" w:fill="auto"/>
        <w:tabs>
          <w:tab w:val="left" w:pos="354"/>
        </w:tabs>
        <w:spacing w:after="0" w:line="557" w:lineRule="exact"/>
        <w:ind w:firstLine="0"/>
        <w:rPr>
          <w:noProof/>
          <w:lang w:val="en-GB"/>
        </w:rPr>
      </w:pPr>
    </w:p>
    <w:p>
      <w:pPr>
        <w:pStyle w:val="Bodytext20"/>
        <w:shd w:val="clear" w:color="auto" w:fill="auto"/>
        <w:tabs>
          <w:tab w:val="left" w:pos="354"/>
        </w:tabs>
        <w:spacing w:after="0" w:line="557" w:lineRule="exact"/>
        <w:ind w:firstLine="0"/>
        <w:rPr>
          <w:noProof/>
          <w:lang w:val="en-GB"/>
        </w:rPr>
      </w:pPr>
    </w:p>
    <w:p>
      <w:pPr>
        <w:pStyle w:val="Bodytext20"/>
        <w:shd w:val="clear" w:color="auto" w:fill="auto"/>
        <w:tabs>
          <w:tab w:val="left" w:pos="354"/>
        </w:tabs>
        <w:spacing w:after="0" w:line="557" w:lineRule="exact"/>
        <w:ind w:firstLine="0"/>
        <w:rPr>
          <w:noProof/>
          <w:lang w:val="en-GB"/>
        </w:rPr>
      </w:pPr>
    </w:p>
    <w:p>
      <w:pPr>
        <w:pStyle w:val="Bodytext20"/>
        <w:shd w:val="clear" w:color="auto" w:fill="auto"/>
        <w:tabs>
          <w:tab w:val="left" w:pos="354"/>
        </w:tabs>
        <w:spacing w:after="0" w:line="557" w:lineRule="exact"/>
        <w:ind w:firstLine="0"/>
        <w:rPr>
          <w:noProof/>
          <w:lang w:val="en-GB"/>
        </w:rPr>
      </w:pPr>
    </w:p>
    <w:p>
      <w:pPr>
        <w:pStyle w:val="Bodytext20"/>
        <w:shd w:val="clear" w:color="auto" w:fill="auto"/>
        <w:tabs>
          <w:tab w:val="left" w:pos="354"/>
        </w:tabs>
        <w:spacing w:after="0" w:line="557" w:lineRule="exact"/>
        <w:ind w:firstLine="0"/>
        <w:rPr>
          <w:noProof/>
          <w:lang w:val="en-GB"/>
        </w:rPr>
      </w:pPr>
    </w:p>
    <w:p>
      <w:pPr>
        <w:pStyle w:val="Heading210"/>
        <w:keepNext/>
        <w:keepLines/>
        <w:shd w:val="clear" w:color="auto" w:fill="auto"/>
        <w:spacing w:before="663" w:after="381"/>
        <w:ind w:left="20"/>
        <w:rPr>
          <w:noProof/>
        </w:rPr>
      </w:pPr>
      <w:bookmarkStart w:id="11" w:name="_Toc29297488"/>
      <w:r>
        <w:rPr>
          <w:rStyle w:val="Heading211"/>
          <w:b/>
          <w:bCs/>
          <w:noProof/>
        </w:rPr>
        <w:t>P</w:t>
      </w:r>
      <w:r>
        <w:rPr>
          <w:rStyle w:val="Heading21SmallCaps"/>
          <w:b/>
          <w:bCs/>
          <w:noProof/>
        </w:rPr>
        <w:t>apildoma informacija ir šaltiniai</w:t>
      </w:r>
      <w:bookmarkEnd w:id="11"/>
    </w:p>
    <w:p>
      <w:pPr>
        <w:pStyle w:val="Bodytext20"/>
        <w:numPr>
          <w:ilvl w:val="0"/>
          <w:numId w:val="6"/>
        </w:numPr>
        <w:shd w:val="clear" w:color="auto" w:fill="auto"/>
        <w:spacing w:after="0" w:line="276" w:lineRule="auto"/>
        <w:ind w:left="720" w:right="4960" w:hanging="260"/>
        <w:rPr>
          <w:noProof/>
        </w:rPr>
      </w:pPr>
      <w:bookmarkStart w:id="12" w:name="bookmark15"/>
      <w:r>
        <w:rPr>
          <w:noProof/>
        </w:rPr>
        <w:t xml:space="preserve">Bendroji informacija apie Europos civilinės saugos ir humanitarinės pagalbos operacijų GD: </w:t>
      </w:r>
    </w:p>
    <w:p>
      <w:pPr>
        <w:pStyle w:val="Bodytext20"/>
        <w:shd w:val="clear" w:color="auto" w:fill="auto"/>
        <w:spacing w:after="0" w:line="276" w:lineRule="auto"/>
        <w:ind w:left="720" w:right="4960" w:firstLine="0"/>
        <w:rPr>
          <w:noProof/>
        </w:rPr>
      </w:pPr>
      <w:hyperlink r:id="rId26" w:history="1">
        <w:r>
          <w:rPr>
            <w:rStyle w:val="Bodytext21"/>
            <w:noProof/>
          </w:rPr>
          <w:t>http://ec.europa.eu/echo/en</w:t>
        </w:r>
        <w:bookmarkEnd w:id="12"/>
      </w:hyperlink>
    </w:p>
    <w:p>
      <w:pPr>
        <w:pStyle w:val="Bodytext20"/>
        <w:numPr>
          <w:ilvl w:val="0"/>
          <w:numId w:val="6"/>
        </w:numPr>
        <w:shd w:val="clear" w:color="auto" w:fill="auto"/>
        <w:spacing w:after="0" w:line="276" w:lineRule="auto"/>
        <w:ind w:left="720" w:right="81" w:hanging="260"/>
        <w:rPr>
          <w:noProof/>
        </w:rPr>
      </w:pPr>
      <w:r>
        <w:rPr>
          <w:noProof/>
        </w:rPr>
        <w:t>Finansinė informacija apie Europos Komisijos humanitarinės pagalbos veiklą 2018 m.:</w:t>
      </w:r>
    </w:p>
    <w:p>
      <w:pPr>
        <w:pStyle w:val="Bodytext20"/>
        <w:shd w:val="clear" w:color="auto" w:fill="auto"/>
        <w:spacing w:after="0" w:line="276" w:lineRule="auto"/>
        <w:ind w:left="720" w:right="81" w:firstLine="0"/>
        <w:rPr>
          <w:noProof/>
          <w:u w:val="single"/>
        </w:rPr>
      </w:pPr>
      <w:hyperlink r:id="rId27" w:history="1">
        <w:r>
          <w:rPr>
            <w:noProof/>
            <w:u w:val="single"/>
          </w:rPr>
          <w:t>https://ec.europa.eu/echo/financing-decisions-hips-2018_en</w:t>
        </w:r>
      </w:hyperlink>
    </w:p>
    <w:p>
      <w:pPr>
        <w:pStyle w:val="Bodytext20"/>
        <w:numPr>
          <w:ilvl w:val="0"/>
          <w:numId w:val="6"/>
        </w:numPr>
        <w:shd w:val="clear" w:color="auto" w:fill="auto"/>
        <w:spacing w:after="0" w:line="276" w:lineRule="auto"/>
        <w:ind w:left="720" w:right="81" w:hanging="260"/>
        <w:rPr>
          <w:noProof/>
        </w:rPr>
      </w:pPr>
      <w:r>
        <w:rPr>
          <w:noProof/>
        </w:rPr>
        <w:t xml:space="preserve">Informacija apie ankstesnių metų operacijas: </w:t>
      </w:r>
    </w:p>
    <w:p>
      <w:pPr>
        <w:pStyle w:val="Bodytext20"/>
        <w:shd w:val="clear" w:color="auto" w:fill="auto"/>
        <w:spacing w:after="0" w:line="276" w:lineRule="auto"/>
        <w:ind w:left="720" w:right="81" w:firstLine="0"/>
        <w:rPr>
          <w:noProof/>
        </w:rPr>
      </w:pPr>
      <w:hyperlink r:id="rId28" w:history="1">
        <w:r>
          <w:rPr>
            <w:rStyle w:val="Bodytext21"/>
            <w:noProof/>
          </w:rPr>
          <w:t>http://ec.europa.eu/echo/about/annual reports en.htm</w:t>
        </w:r>
      </w:hyperlink>
    </w:p>
    <w:p>
      <w:pPr>
        <w:pStyle w:val="Bodytext20"/>
        <w:numPr>
          <w:ilvl w:val="0"/>
          <w:numId w:val="6"/>
        </w:numPr>
        <w:shd w:val="clear" w:color="auto" w:fill="auto"/>
        <w:tabs>
          <w:tab w:val="left" w:pos="732"/>
        </w:tabs>
        <w:spacing w:after="0" w:line="276" w:lineRule="auto"/>
        <w:ind w:left="740" w:right="1660"/>
        <w:rPr>
          <w:noProof/>
        </w:rPr>
      </w:pPr>
      <w:r>
        <w:rPr>
          <w:noProof/>
        </w:rPr>
        <w:t xml:space="preserve">Europos civilinės saugos ir humanitarinės pagalbos operacijų GD 2018 m. metinė veiklos ataskaita: </w:t>
      </w:r>
      <w:r>
        <w:rPr>
          <w:rStyle w:val="Bodytext21"/>
          <w:noProof/>
        </w:rPr>
        <w:t>https://ec.europa.eu/info/publications/annual-activity-report-2018-european-civil-protection-and-humanitarian-aid-operations-echo_en</w:t>
      </w:r>
    </w:p>
    <w:p>
      <w:pPr>
        <w:pStyle w:val="Bodytext20"/>
        <w:numPr>
          <w:ilvl w:val="0"/>
          <w:numId w:val="6"/>
        </w:numPr>
        <w:shd w:val="clear" w:color="auto" w:fill="auto"/>
        <w:tabs>
          <w:tab w:val="left" w:pos="732"/>
        </w:tabs>
        <w:spacing w:after="0" w:line="276" w:lineRule="auto"/>
        <w:ind w:left="740" w:right="1660"/>
        <w:rPr>
          <w:noProof/>
        </w:rPr>
      </w:pPr>
      <w:r>
        <w:rPr>
          <w:noProof/>
        </w:rPr>
        <w:t xml:space="preserve">2018 m. metinė valdymo ir veiklos rezultatų ataskaita: </w:t>
      </w:r>
      <w:hyperlink r:id="rId29" w:history="1">
        <w:r>
          <w:rPr>
            <w:rStyle w:val="Bodytext21"/>
            <w:noProof/>
          </w:rPr>
          <w:t>https://ec.europa.eu/info/publications/annual-management-and-performance-reports_lt</w:t>
        </w:r>
      </w:hyperlink>
    </w:p>
    <w:p>
      <w:pPr>
        <w:pStyle w:val="Bodytext20"/>
        <w:numPr>
          <w:ilvl w:val="0"/>
          <w:numId w:val="6"/>
        </w:numPr>
        <w:shd w:val="clear" w:color="auto" w:fill="auto"/>
        <w:tabs>
          <w:tab w:val="left" w:pos="732"/>
        </w:tabs>
        <w:spacing w:after="0" w:line="276" w:lineRule="auto"/>
        <w:ind w:left="740" w:right="1240"/>
        <w:rPr>
          <w:noProof/>
        </w:rPr>
      </w:pPr>
      <w:r>
        <w:rPr>
          <w:noProof/>
        </w:rPr>
        <w:t xml:space="preserve">Europos civilinės saugos ir humanitarinės pagalbos operacijų GD vertinimo ataskaitos: </w:t>
      </w:r>
    </w:p>
    <w:p>
      <w:pPr>
        <w:pStyle w:val="Bodytext20"/>
        <w:shd w:val="clear" w:color="auto" w:fill="auto"/>
        <w:tabs>
          <w:tab w:val="left" w:pos="732"/>
        </w:tabs>
        <w:spacing w:after="0" w:line="276" w:lineRule="auto"/>
        <w:ind w:left="740" w:right="1240" w:firstLine="0"/>
        <w:rPr>
          <w:noProof/>
        </w:rPr>
      </w:pPr>
      <w:hyperlink r:id="rId30" w:history="1">
        <w:r>
          <w:rPr>
            <w:rStyle w:val="Bodytext21"/>
            <w:noProof/>
          </w:rPr>
          <w:t>http://ec.europa.eu/echo/funding-evaluations/evaluations_en</w:t>
        </w:r>
      </w:hyperlink>
    </w:p>
    <w:p>
      <w:pPr>
        <w:pStyle w:val="Bodytext20"/>
        <w:numPr>
          <w:ilvl w:val="0"/>
          <w:numId w:val="6"/>
        </w:numPr>
        <w:shd w:val="clear" w:color="auto" w:fill="auto"/>
        <w:tabs>
          <w:tab w:val="left" w:pos="732"/>
        </w:tabs>
        <w:spacing w:after="0" w:line="276" w:lineRule="auto"/>
        <w:ind w:left="740" w:right="1240"/>
        <w:rPr>
          <w:noProof/>
          <w:u w:val="single"/>
        </w:rPr>
      </w:pPr>
      <w:r>
        <w:rPr>
          <w:noProof/>
        </w:rPr>
        <w:t xml:space="preserve">Europos Komisijos ir valstybių narių humanitarinės pagalbos finansavimo duomenys: </w:t>
      </w:r>
      <w:hyperlink r:id="rId31" w:history="1">
        <w:r>
          <w:rPr>
            <w:noProof/>
            <w:u w:val="single"/>
          </w:rPr>
          <w:t>https://webgate.ec.europa.eu/hac/</w:t>
        </w:r>
      </w:hyperlink>
    </w:p>
    <w:p>
      <w:pPr>
        <w:pStyle w:val="Bodytext20"/>
        <w:shd w:val="clear" w:color="auto" w:fill="auto"/>
        <w:tabs>
          <w:tab w:val="left" w:pos="732"/>
        </w:tabs>
        <w:spacing w:after="0" w:line="322" w:lineRule="exact"/>
        <w:ind w:right="1240" w:firstLine="0"/>
        <w:rPr>
          <w:noProof/>
          <w:lang w:val="en-GB" w:eastAsia="fr-FR" w:bidi="fr-FR"/>
        </w:rPr>
      </w:pPr>
    </w:p>
    <w:p>
      <w:pPr>
        <w:pStyle w:val="Heading310"/>
        <w:keepNext/>
        <w:keepLines/>
        <w:shd w:val="clear" w:color="auto" w:fill="auto"/>
        <w:spacing w:after="0" w:line="557" w:lineRule="exact"/>
        <w:ind w:left="260"/>
        <w:jc w:val="left"/>
        <w:rPr>
          <w:noProof/>
          <w:sz w:val="28"/>
          <w:u w:val="single"/>
        </w:rPr>
      </w:pPr>
      <w:bookmarkStart w:id="13" w:name="_Toc29297489"/>
      <w:r>
        <w:rPr>
          <w:noProof/>
          <w:sz w:val="28"/>
          <w:u w:val="single"/>
        </w:rPr>
        <w:t>Partnerių, pasirašiusių 2014 m. Partnerystės pagrindų susitarimą, sąrašas</w:t>
      </w:r>
      <w:bookmarkEnd w:id="13"/>
    </w:p>
    <w:p>
      <w:pPr>
        <w:pStyle w:val="Bodytext20"/>
        <w:shd w:val="clear" w:color="auto" w:fill="auto"/>
        <w:tabs>
          <w:tab w:val="left" w:pos="732"/>
        </w:tabs>
        <w:spacing w:after="0" w:line="322" w:lineRule="exact"/>
        <w:ind w:right="1240" w:firstLine="0"/>
        <w:rPr>
          <w:noProof/>
          <w:sz w:val="28"/>
          <w:szCs w:val="22"/>
          <w:u w:val="single"/>
          <w:lang w:val="en-GB"/>
        </w:rPr>
      </w:pPr>
    </w:p>
    <w:p>
      <w:pPr>
        <w:pStyle w:val="Bodytext20"/>
        <w:shd w:val="clear" w:color="auto" w:fill="auto"/>
        <w:tabs>
          <w:tab w:val="left" w:pos="732"/>
        </w:tabs>
        <w:spacing w:after="0" w:line="322" w:lineRule="exact"/>
        <w:ind w:right="1240" w:firstLine="0"/>
        <w:rPr>
          <w:noProof/>
          <w:color w:val="auto"/>
        </w:rPr>
      </w:pPr>
      <w:hyperlink r:id="rId32" w:history="1">
        <w:r>
          <w:rPr>
            <w:rStyle w:val="Hyperlink"/>
            <w:noProof/>
            <w:color w:val="auto"/>
          </w:rPr>
          <w:t>http://ec.europa.eu/echo/sites/echo-site/files/weblistpartners.pdf</w:t>
        </w:r>
      </w:hyperlink>
    </w:p>
    <w:p>
      <w:pPr>
        <w:pStyle w:val="Bodytext20"/>
        <w:shd w:val="clear" w:color="auto" w:fill="auto"/>
        <w:tabs>
          <w:tab w:val="left" w:pos="732"/>
        </w:tabs>
        <w:spacing w:after="0" w:line="322" w:lineRule="exact"/>
        <w:ind w:right="1240" w:firstLine="0"/>
        <w:rPr>
          <w:noProof/>
          <w:lang w:val="en-GB"/>
        </w:rPr>
      </w:pPr>
    </w:p>
    <w:sectPr>
      <w:headerReference w:type="even" r:id="rId33"/>
      <w:headerReference w:type="default" r:id="rId34"/>
      <w:footerReference w:type="even" r:id="rId35"/>
      <w:footerReference w:type="default" r:id="rId36"/>
      <w:headerReference w:type="first" r:id="rId37"/>
      <w:footerReference w:type="first" r:id="rId38"/>
      <w:pgSz w:w="11900" w:h="16840"/>
      <w:pgMar w:top="914" w:right="1440" w:bottom="1308" w:left="1307"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Roboto-Regular">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LT</w:t>
    </w:r>
    <w:r>
      <w:rPr>
        <w:rFonts w:ascii="Arial" w:hAnsi="Arial" w:cs="Arial"/>
        <w:b/>
        <w:sz w:val="48"/>
      </w:rPr>
      <w:tab/>
    </w:r>
    <w:r>
      <w:rPr>
        <w:rFonts w:ascii="Arial" w:hAnsi="Arial" w:cs="Arial"/>
        <w:b/>
        <w:sz w:val="48"/>
      </w:rPr>
      <w:tab/>
    </w:r>
    <w:r>
      <w:tab/>
    </w:r>
    <w:r>
      <w:rPr>
        <w:rFonts w:ascii="Arial" w:hAnsi="Arial" w:cs="Arial"/>
        <w:b/>
        <w:sz w:val="48"/>
      </w:rPr>
      <w:t>LT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rPr>
        <w:sz w:val="2"/>
        <w:szCs w:val="2"/>
      </w:rPr>
    </w:pPr>
    <w:r>
      <w:pict>
        <v:shapetype id="_x0000_t202" coordsize="21600,21600" o:spt="202" path="m,l,21600r21600,l21600,xe">
          <v:stroke joinstyle="miter"/>
          <v:path gradientshapeok="t" o:connecttype="rect"/>
        </v:shapetype>
        <v:shape id="_x0000_s2049" type="#_x0000_t202" style="position:absolute;margin-left:68.7pt;margin-top:801.4pt;width:10.1pt;height:7.9pt;z-index:-251658752;mso-wrap-style:none;mso-wrap-distance-left:5pt;mso-wrap-distance-right:5pt;mso-position-horizontal-relative:page;mso-position-vertical-relative:page" wrapcoords="0 0" filled="f" stroked="f">
          <v:textbox style="mso-next-textbox:#_x0000_s2049;mso-fit-shape-to-text:t" inset="0,0,0,0">
            <w:txbxContent>
              <w:p>
                <w:pPr>
                  <w:pStyle w:val="Headerorfooter10"/>
                  <w:shd w:val="clear" w:color="auto" w:fill="auto"/>
                  <w:spacing w:line="240" w:lineRule="auto"/>
                </w:pPr>
                <w:r>
                  <w:fldChar w:fldCharType="begin"/>
                </w:r>
                <w:r>
                  <w:instrText xml:space="preserve"> PAGE \* MERGEFORMAT </w:instrText>
                </w:r>
                <w:r>
                  <w:fldChar w:fldCharType="separate"/>
                </w:r>
                <w:r>
                  <w:rPr>
                    <w:rStyle w:val="Headerorfooter1TimesNewRoman11pt"/>
                    <w:rFonts w:eastAsia="Verdana"/>
                    <w:noProof/>
                  </w:rPr>
                  <w:t>1</w:t>
                </w:r>
                <w:r>
                  <w:rPr>
                    <w:rStyle w:val="Headerorfooter1TimesNewRoman11pt"/>
                    <w:rFonts w:eastAsia="Verdana"/>
                  </w:rPr>
                  <w:fldChar w:fldCharType="end"/>
                </w: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rPr>
        <w:sz w:val="2"/>
        <w:szCs w:val="2"/>
      </w:rPr>
    </w:pPr>
    <w:r>
      <w:pict>
        <v:shapetype id="_x0000_t202" coordsize="21600,21600" o:spt="202" path="m,l,21600r21600,l21600,xe">
          <v:stroke joinstyle="miter"/>
          <v:path gradientshapeok="t" o:connecttype="rect"/>
        </v:shapetype>
        <v:shape id="_x0000_s2051" type="#_x0000_t202" style="position:absolute;margin-left:68.7pt;margin-top:801.4pt;width:10.1pt;height:7.9pt;z-index:-251656704;mso-wrap-style:none;mso-wrap-distance-left:5pt;mso-wrap-distance-right:5pt;mso-position-horizontal-relative:page;mso-position-vertical-relative:page" wrapcoords="0 0" filled="f" stroked="f">
          <v:textbox style="mso-next-textbox:#_x0000_s2051;mso-fit-shape-to-text:t" inset="0,0,0,0">
            <w:txbxContent>
              <w:p>
                <w:pPr>
                  <w:pStyle w:val="Headerorfooter10"/>
                  <w:shd w:val="clear" w:color="auto" w:fill="auto"/>
                  <w:spacing w:line="240" w:lineRule="auto"/>
                </w:pPr>
                <w:r>
                  <w:fldChar w:fldCharType="begin"/>
                </w:r>
                <w:r>
                  <w:instrText xml:space="preserve"> PAGE \* MERGEFORMAT </w:instrText>
                </w:r>
                <w:r>
                  <w:fldChar w:fldCharType="separate"/>
                </w:r>
                <w:r>
                  <w:rPr>
                    <w:rStyle w:val="Headerorfooter1TimesNewRoman11pt"/>
                    <w:rFonts w:eastAsia="Verdana"/>
                    <w:noProof/>
                  </w:rPr>
                  <w:t>14</w:t>
                </w:r>
                <w:r>
                  <w:rPr>
                    <w:rStyle w:val="Headerorfooter1TimesNewRoman11pt"/>
                    <w:rFonts w:eastAsia="Verdana"/>
                  </w:rPr>
                  <w:fldChar w:fldCharType="end"/>
                </w:r>
              </w:p>
            </w:txbxContent>
          </v:textbox>
          <w10:wrap anchorx="page" anchory="page"/>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FootnoteText"/>
        <w:spacing w:after="0"/>
        <w:rPr>
          <w:iCs/>
          <w:sz w:val="16"/>
          <w:szCs w:val="16"/>
        </w:rPr>
      </w:pPr>
      <w:r>
        <w:rPr>
          <w:rStyle w:val="FootnoteReference"/>
        </w:rPr>
        <w:footnoteRef/>
      </w:r>
      <w:r>
        <w:rPr>
          <w:iCs/>
          <w:sz w:val="16"/>
          <w:szCs w:val="16"/>
        </w:rPr>
        <w:t xml:space="preserve"> Komunikatas dėl švietimo ekstremaliosiose situacijose ir užsitęsus krizėms (COM(2018) 340 </w:t>
      </w:r>
      <w:r>
        <w:rPr>
          <w:i/>
          <w:iCs/>
          <w:sz w:val="16"/>
          <w:szCs w:val="16"/>
        </w:rPr>
        <w:t>final</w:t>
      </w:r>
      <w:r>
        <w:rPr>
          <w:iCs/>
          <w:sz w:val="16"/>
          <w:szCs w:val="16"/>
        </w:rPr>
        <w:t>, 2018 5 18).</w:t>
      </w:r>
    </w:p>
  </w:footnote>
  <w:footnote w:id="2">
    <w:p>
      <w:pPr>
        <w:pStyle w:val="FootnoteText"/>
        <w:spacing w:after="0"/>
        <w:rPr>
          <w:iCs/>
          <w:sz w:val="16"/>
          <w:szCs w:val="16"/>
        </w:rPr>
      </w:pPr>
      <w:r>
        <w:rPr>
          <w:rStyle w:val="FootnoteReference"/>
        </w:rPr>
        <w:footnoteRef/>
      </w:r>
      <w:r>
        <w:rPr>
          <w:iCs/>
          <w:sz w:val="16"/>
          <w:szCs w:val="16"/>
        </w:rPr>
        <w:t xml:space="preserve"> 2018 m. lapkričio 26 d. Tarybos išvados dėl švietimo ekstremaliosiose situacijose ir užsitęsus krizėms, dok. Nr. 12817/18.</w:t>
      </w:r>
    </w:p>
  </w:footnote>
  <w:footnote w:id="3">
    <w:p>
      <w:pPr>
        <w:pStyle w:val="FootnoteText"/>
      </w:pPr>
      <w:r>
        <w:rPr>
          <w:rStyle w:val="FootnoteReference"/>
        </w:rPr>
        <w:footnoteRef/>
      </w:r>
      <w:r>
        <w:t xml:space="preserve"> </w:t>
      </w:r>
      <w:r>
        <w:rPr>
          <w:sz w:val="16"/>
          <w:szCs w:val="16"/>
        </w:rPr>
        <w:t>Įskaitant atitinkamų organizacijų partnerių pavadinimus.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rPr>
        <w:sz w:val="2"/>
        <w:szCs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rPr>
        <w:sz w:val="2"/>
        <w:szCs w:val="2"/>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4998"/>
    <w:multiLevelType w:val="multilevel"/>
    <w:tmpl w:val="26FC02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4B63D3D"/>
    <w:multiLevelType w:val="multilevel"/>
    <w:tmpl w:val="266A0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FF53F3A"/>
    <w:multiLevelType w:val="hybridMultilevel"/>
    <w:tmpl w:val="BF3E37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6F5167C"/>
    <w:multiLevelType w:val="multilevel"/>
    <w:tmpl w:val="89562E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EE93559"/>
    <w:multiLevelType w:val="multilevel"/>
    <w:tmpl w:val="26FC02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9464C38"/>
    <w:multiLevelType w:val="multilevel"/>
    <w:tmpl w:val="90EAD49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vertAlign w:val="superscript"/>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fr-FR" w:vendorID="64" w:dllVersion="131078" w:nlCheck="1" w:checkStyle="0"/>
  <w:activeWritingStyle w:appName="MSWord" w:lang="fi-FI"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en-IE" w:vendorID="64" w:dllVersion="131078" w:nlCheck="1" w:checkStyle="1"/>
  <w:revisionView w:markup="0"/>
  <w:defaultTabStop w:val="708"/>
  <w:hyphenationZone w:val="425"/>
  <w:drawingGridHorizontalSpacing w:val="181"/>
  <w:drawingGridVerticalSpacing w:val="181"/>
  <w:characterSpacingControl w:val="compressPunctuation"/>
  <w:hdrShapeDefaults>
    <o:shapedefaults v:ext="edit" spidmax="2054"/>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
  <w:docVars>
    <w:docVar w:name="DocStatus" w:val="Green"/>
    <w:docVar w:name="LW_CORRIGENDUM" w:val="&lt;UNUSED&gt;"/>
    <w:docVar w:name="LW_COVERPAGE_EXISTS" w:val="True"/>
    <w:docVar w:name="LW_COVERPAGE_GUID" w:val="64850C38-4EC2-435D-918D-BA64116A1CE3"/>
    <w:docVar w:name="LW_COVERPAGE_TYPE" w:val="1"/>
    <w:docVar w:name="LW_CROSSREFERENCE" w:val="&lt;UNUSED&gt;"/>
    <w:docVar w:name="LW_DocType" w:val="NORMAL"/>
    <w:docVar w:name="LW_EMISSION" w:val="2020 01 16"/>
    <w:docVar w:name="LW_EMISSION_ISODATE" w:val="2020-01-16"/>
    <w:docVar w:name="LW_EMISSION_LOCATION" w:val="BRX"/>
    <w:docVar w:name="LW_EMISSION_PREFIX" w:val="Briuselis, "/>
    <w:docVar w:name="LW_EMISSION_SUFFIX" w:val=" "/>
    <w:docVar w:name="LW_ID_DOCTYPE_NONLW" w:val="CP-006"/>
    <w:docVar w:name="LW_LANGUE" w:val="LT"/>
    <w:docVar w:name="LW_LEVEL_OF_SENSITIVITY" w:val="Standard treatment"/>
    <w:docVar w:name="LW_NOM.INST" w:val="EUROPOS KOMISIJA"/>
    <w:docVar w:name="LW_NOM.INST_JOINTDOC" w:val="&lt;EMPTY&gt;"/>
    <w:docVar w:name="LW_PART_NBR" w:val="1"/>
    <w:docVar w:name="LW_PART_NBR_TOTAL" w:val="1"/>
    <w:docVar w:name="LW_REF.INST.NEW" w:val="COM"/>
    <w:docVar w:name="LW_REF.INST.NEW_ADOPTED" w:val="final"/>
    <w:docVar w:name="LW_REF.INST.NEW_TEXT" w:val="(2020) 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lt;FMT:Bold&gt;2018 m. finansuot\u371? Europos S\u261?jungos humanitarin\u279?s pagalbos operacij\u371? metin\u279? ataskaita&lt;/FMT&gt;"/>
    <w:docVar w:name="LW_TYPE.DOC.CP" w:val="KOMISIJOS ATASKAITA EUROPOS PARLAMENTUI IR TARYBAI"/>
  </w:docVar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lt-LT"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1">
    <w:name w:val="Footnote|1_"/>
    <w:basedOn w:val="DefaultParagraphFont"/>
    <w:link w:val="Footnote10"/>
    <w:rPr>
      <w:b w:val="0"/>
      <w:bCs w:val="0"/>
      <w:i w:val="0"/>
      <w:iCs w:val="0"/>
      <w:smallCaps w:val="0"/>
      <w:strike w:val="0"/>
      <w:sz w:val="20"/>
      <w:szCs w:val="20"/>
      <w:u w:val="none"/>
    </w:rPr>
  </w:style>
  <w:style w:type="character" w:customStyle="1" w:styleId="Footnote11">
    <w:name w:val="Footnote|1"/>
    <w:basedOn w:val="Footnote1"/>
    <w:semiHidden/>
    <w:unhideWhenUsed/>
    <w:rPr>
      <w:rFonts w:ascii="Times New Roman" w:eastAsia="Times New Roman" w:hAnsi="Times New Roman" w:cs="Times New Roman"/>
      <w:b w:val="0"/>
      <w:bCs w:val="0"/>
      <w:i w:val="0"/>
      <w:iCs w:val="0"/>
      <w:smallCaps w:val="0"/>
      <w:strike w:val="0"/>
      <w:color w:val="0000FF"/>
      <w:spacing w:val="0"/>
      <w:w w:val="100"/>
      <w:position w:val="0"/>
      <w:sz w:val="20"/>
      <w:szCs w:val="20"/>
      <w:u w:val="single"/>
      <w:lang w:val="lt-LT" w:eastAsia="en-US" w:bidi="en-US"/>
    </w:rPr>
  </w:style>
  <w:style w:type="character" w:customStyle="1" w:styleId="Picturecaption1Exact">
    <w:name w:val="Picture caption|1 Exact"/>
    <w:basedOn w:val="DefaultParagraphFont"/>
    <w:link w:val="Picturecaption1"/>
    <w:rPr>
      <w:rFonts w:ascii="Arial" w:eastAsia="Arial" w:hAnsi="Arial" w:cs="Arial"/>
      <w:b w:val="0"/>
      <w:bCs w:val="0"/>
      <w:i w:val="0"/>
      <w:iCs w:val="0"/>
      <w:smallCaps w:val="0"/>
      <w:strike w:val="0"/>
      <w:sz w:val="22"/>
      <w:szCs w:val="22"/>
      <w:u w:val="none"/>
      <w:lang w:val="lt-LT" w:eastAsia="fi-FI" w:bidi="fi-FI"/>
    </w:rPr>
  </w:style>
  <w:style w:type="character" w:customStyle="1" w:styleId="Heading11Exact">
    <w:name w:val="Heading #1|1 Exact"/>
    <w:basedOn w:val="DefaultParagraphFont"/>
    <w:link w:val="Heading11"/>
    <w:rPr>
      <w:rFonts w:ascii="Arial" w:eastAsia="Arial" w:hAnsi="Arial" w:cs="Arial"/>
      <w:b/>
      <w:bCs/>
      <w:i w:val="0"/>
      <w:iCs w:val="0"/>
      <w:smallCaps w:val="0"/>
      <w:strike w:val="0"/>
      <w:sz w:val="46"/>
      <w:szCs w:val="46"/>
      <w:u w:val="none"/>
      <w:lang w:val="lt-LT" w:eastAsia="fr-FR" w:bidi="fr-FR"/>
    </w:rPr>
  </w:style>
  <w:style w:type="character" w:customStyle="1" w:styleId="Bodytext2">
    <w:name w:val="Body text|2_"/>
    <w:basedOn w:val="DefaultParagraphFont"/>
    <w:link w:val="Bodytext20"/>
    <w:rPr>
      <w:b w:val="0"/>
      <w:bCs w:val="0"/>
      <w:i w:val="0"/>
      <w:iCs w:val="0"/>
      <w:smallCaps w:val="0"/>
      <w:strike w:val="0"/>
      <w:u w:val="none"/>
    </w:rPr>
  </w:style>
  <w:style w:type="character" w:customStyle="1" w:styleId="Bodytext3">
    <w:name w:val="Body text|3_"/>
    <w:basedOn w:val="DefaultParagraphFont"/>
    <w:link w:val="Bodytext30"/>
    <w:rPr>
      <w:b/>
      <w:bCs/>
      <w:i w:val="0"/>
      <w:iCs w:val="0"/>
      <w:smallCaps w:val="0"/>
      <w:strike w:val="0"/>
      <w:sz w:val="22"/>
      <w:szCs w:val="22"/>
      <w:u w:val="none"/>
    </w:rPr>
  </w:style>
  <w:style w:type="character" w:customStyle="1" w:styleId="Heading31">
    <w:name w:val="Heading #3|1_"/>
    <w:basedOn w:val="DefaultParagraphFont"/>
    <w:link w:val="Heading310"/>
    <w:rPr>
      <w:b/>
      <w:bCs/>
      <w:i w:val="0"/>
      <w:iCs w:val="0"/>
      <w:smallCaps w:val="0"/>
      <w:strike w:val="0"/>
      <w:sz w:val="22"/>
      <w:szCs w:val="22"/>
      <w:u w:val="none"/>
    </w:rPr>
  </w:style>
  <w:style w:type="character" w:customStyle="1" w:styleId="Headerorfooter1">
    <w:name w:val="Header or footer|1_"/>
    <w:basedOn w:val="DefaultParagraphFont"/>
    <w:link w:val="Headerorfooter10"/>
    <w:rPr>
      <w:rFonts w:ascii="Verdana" w:eastAsia="Verdana" w:hAnsi="Verdana" w:cs="Verdana"/>
      <w:b w:val="0"/>
      <w:bCs w:val="0"/>
      <w:i w:val="0"/>
      <w:iCs w:val="0"/>
      <w:smallCaps w:val="0"/>
      <w:strike w:val="0"/>
      <w:sz w:val="14"/>
      <w:szCs w:val="14"/>
      <w:u w:val="none"/>
    </w:rPr>
  </w:style>
  <w:style w:type="character" w:customStyle="1" w:styleId="Headerorfooter11">
    <w:name w:val="Header or footer|1"/>
    <w:basedOn w:val="Headerorfooter1"/>
    <w:semiHidden/>
    <w:unhideWhenUsed/>
    <w:rPr>
      <w:rFonts w:ascii="Verdana" w:eastAsia="Verdana" w:hAnsi="Verdana" w:cs="Verdana"/>
      <w:b w:val="0"/>
      <w:bCs w:val="0"/>
      <w:i w:val="0"/>
      <w:iCs w:val="0"/>
      <w:smallCaps w:val="0"/>
      <w:strike w:val="0"/>
      <w:color w:val="000000"/>
      <w:spacing w:val="0"/>
      <w:w w:val="100"/>
      <w:position w:val="0"/>
      <w:sz w:val="14"/>
      <w:szCs w:val="14"/>
      <w:u w:val="none"/>
      <w:lang w:val="lt-LT" w:eastAsia="en-US" w:bidi="en-US"/>
    </w:rPr>
  </w:style>
  <w:style w:type="character" w:customStyle="1" w:styleId="Headerorfooter1TimesNewRoman11pt">
    <w:name w:val="Header or footer|1 + Times New Roman;11 pt"/>
    <w:basedOn w:val="Headerorfooter1"/>
    <w:semiHidden/>
    <w:unhideWhenUse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fr-FR" w:bidi="fr-FR"/>
    </w:rPr>
  </w:style>
  <w:style w:type="character" w:customStyle="1" w:styleId="TOC2Char">
    <w:name w:val="TOC 2 Char"/>
    <w:basedOn w:val="DefaultParagraphFont"/>
    <w:link w:val="TOC2"/>
    <w:rPr>
      <w:b w:val="0"/>
      <w:bCs w:val="0"/>
      <w:i w:val="0"/>
      <w:iCs w:val="0"/>
      <w:smallCaps w:val="0"/>
      <w:strike w:val="0"/>
      <w:u w:val="none"/>
    </w:rPr>
  </w:style>
  <w:style w:type="character" w:customStyle="1" w:styleId="Heading21">
    <w:name w:val="Heading #2|1_"/>
    <w:basedOn w:val="DefaultParagraphFont"/>
    <w:link w:val="Heading210"/>
    <w:rPr>
      <w:b/>
      <w:bCs/>
      <w:i w:val="0"/>
      <w:iCs w:val="0"/>
      <w:smallCaps w:val="0"/>
      <w:strike w:val="0"/>
      <w:sz w:val="32"/>
      <w:szCs w:val="32"/>
      <w:u w:val="none"/>
    </w:rPr>
  </w:style>
  <w:style w:type="character" w:customStyle="1" w:styleId="Heading211">
    <w:name w:val="Heading #2|1"/>
    <w:basedOn w:val="Heading21"/>
    <w:semiHidden/>
    <w:unhideWhenUsed/>
    <w:rPr>
      <w:rFonts w:ascii="Times New Roman" w:eastAsia="Times New Roman" w:hAnsi="Times New Roman" w:cs="Times New Roman"/>
      <w:b/>
      <w:bCs/>
      <w:i w:val="0"/>
      <w:iCs w:val="0"/>
      <w:smallCaps w:val="0"/>
      <w:strike w:val="0"/>
      <w:color w:val="4F81BD"/>
      <w:spacing w:val="0"/>
      <w:w w:val="100"/>
      <w:position w:val="0"/>
      <w:sz w:val="32"/>
      <w:szCs w:val="32"/>
      <w:u w:val="single"/>
      <w:lang w:val="lt-LT" w:eastAsia="en-US" w:bidi="en-US"/>
    </w:rPr>
  </w:style>
  <w:style w:type="character" w:customStyle="1" w:styleId="Heading21SmallCaps">
    <w:name w:val="Heading #2|1 + Small Caps"/>
    <w:basedOn w:val="Heading21"/>
    <w:semiHidden/>
    <w:unhideWhenUsed/>
    <w:rPr>
      <w:rFonts w:ascii="Times New Roman" w:eastAsia="Times New Roman" w:hAnsi="Times New Roman" w:cs="Times New Roman"/>
      <w:b/>
      <w:bCs/>
      <w:i w:val="0"/>
      <w:iCs w:val="0"/>
      <w:smallCaps/>
      <w:strike w:val="0"/>
      <w:color w:val="4F81BD"/>
      <w:spacing w:val="0"/>
      <w:w w:val="100"/>
      <w:position w:val="0"/>
      <w:sz w:val="32"/>
      <w:szCs w:val="32"/>
      <w:u w:val="single"/>
      <w:lang w:val="lt-LT" w:eastAsia="en-US" w:bidi="en-US"/>
    </w:rPr>
  </w:style>
  <w:style w:type="character" w:customStyle="1" w:styleId="Bodytext4">
    <w:name w:val="Body text|4_"/>
    <w:basedOn w:val="DefaultParagraphFont"/>
    <w:link w:val="Bodytext40"/>
    <w:rPr>
      <w:b/>
      <w:bCs/>
      <w:i w:val="0"/>
      <w:iCs w:val="0"/>
      <w:smallCaps w:val="0"/>
      <w:strike w:val="0"/>
      <w:sz w:val="32"/>
      <w:szCs w:val="32"/>
      <w:u w:val="none"/>
    </w:rPr>
  </w:style>
  <w:style w:type="character" w:customStyle="1" w:styleId="Bodytext41">
    <w:name w:val="Body text|4"/>
    <w:basedOn w:val="Bodytext4"/>
    <w:semiHidden/>
    <w:unhideWhenUsed/>
    <w:rPr>
      <w:rFonts w:ascii="Times New Roman" w:eastAsia="Times New Roman" w:hAnsi="Times New Roman" w:cs="Times New Roman"/>
      <w:b/>
      <w:bCs/>
      <w:i w:val="0"/>
      <w:iCs w:val="0"/>
      <w:smallCaps w:val="0"/>
      <w:strike w:val="0"/>
      <w:color w:val="4F81BD"/>
      <w:spacing w:val="0"/>
      <w:w w:val="100"/>
      <w:position w:val="0"/>
      <w:sz w:val="32"/>
      <w:szCs w:val="32"/>
      <w:u w:val="single"/>
      <w:lang w:val="lt-LT" w:eastAsia="en-US" w:bidi="en-US"/>
    </w:rPr>
  </w:style>
  <w:style w:type="character" w:customStyle="1" w:styleId="Heading311">
    <w:name w:val="Heading #3|1"/>
    <w:basedOn w:val="Heading31"/>
    <w:semiHidden/>
    <w:unhideWhenUsed/>
    <w:rPr>
      <w:rFonts w:ascii="Times New Roman" w:eastAsia="Times New Roman" w:hAnsi="Times New Roman" w:cs="Times New Roman"/>
      <w:b/>
      <w:bCs/>
      <w:i w:val="0"/>
      <w:iCs w:val="0"/>
      <w:smallCaps w:val="0"/>
      <w:strike w:val="0"/>
      <w:color w:val="000000"/>
      <w:spacing w:val="0"/>
      <w:w w:val="100"/>
      <w:position w:val="0"/>
      <w:sz w:val="22"/>
      <w:szCs w:val="22"/>
      <w:u w:val="single"/>
      <w:lang w:val="lt-LT" w:eastAsia="en-US" w:bidi="en-US"/>
    </w:rPr>
  </w:style>
  <w:style w:type="character" w:customStyle="1" w:styleId="Bodytext5">
    <w:name w:val="Body text|5_"/>
    <w:basedOn w:val="DefaultParagraphFont"/>
    <w:link w:val="Bodytext50"/>
    <w:rPr>
      <w:b w:val="0"/>
      <w:bCs w:val="0"/>
      <w:i w:val="0"/>
      <w:iCs w:val="0"/>
      <w:smallCaps w:val="0"/>
      <w:strike w:val="0"/>
      <w:sz w:val="20"/>
      <w:szCs w:val="20"/>
      <w:u w:val="none"/>
    </w:rPr>
  </w:style>
  <w:style w:type="character" w:customStyle="1" w:styleId="Bodytext51">
    <w:name w:val="Body text|5"/>
    <w:basedOn w:val="Bodytext5"/>
    <w:semiHidden/>
    <w:unhideWhenUsed/>
    <w:rPr>
      <w:rFonts w:ascii="Times New Roman" w:eastAsia="Times New Roman" w:hAnsi="Times New Roman" w:cs="Times New Roman"/>
      <w:b w:val="0"/>
      <w:bCs w:val="0"/>
      <w:i w:val="0"/>
      <w:iCs w:val="0"/>
      <w:smallCaps w:val="0"/>
      <w:strike w:val="0"/>
      <w:color w:val="0000FF"/>
      <w:spacing w:val="0"/>
      <w:w w:val="100"/>
      <w:position w:val="0"/>
      <w:sz w:val="20"/>
      <w:szCs w:val="20"/>
      <w:u w:val="single"/>
      <w:lang w:val="lt-LT" w:eastAsia="en-US" w:bidi="en-US"/>
    </w:rPr>
  </w:style>
  <w:style w:type="character" w:customStyle="1" w:styleId="Bodytext21">
    <w:name w:val="Body text|2"/>
    <w:basedOn w:val="Bodytext2"/>
    <w:semiHidden/>
    <w:unhideWhenUsed/>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lt-LT" w:eastAsia="en-US" w:bidi="en-US"/>
    </w:rPr>
  </w:style>
  <w:style w:type="character" w:customStyle="1" w:styleId="Bodytext2Italic">
    <w:name w:val="Body text|2 + Italic"/>
    <w:basedOn w:val="Bodytext2"/>
    <w:semiHidden/>
    <w:unhideWhenUsed/>
    <w:rPr>
      <w:rFonts w:ascii="Times New Roman" w:eastAsia="Times New Roman" w:hAnsi="Times New Roman" w:cs="Times New Roman"/>
      <w:b w:val="0"/>
      <w:bCs w:val="0"/>
      <w:i/>
      <w:iCs/>
      <w:smallCaps w:val="0"/>
      <w:strike w:val="0"/>
      <w:color w:val="000000"/>
      <w:spacing w:val="0"/>
      <w:w w:val="100"/>
      <w:position w:val="0"/>
      <w:sz w:val="24"/>
      <w:szCs w:val="24"/>
      <w:u w:val="none"/>
      <w:lang w:val="lt-LT" w:eastAsia="en-US" w:bidi="en-US"/>
    </w:rPr>
  </w:style>
  <w:style w:type="character" w:customStyle="1" w:styleId="Bodytext22">
    <w:name w:val="Body text|2"/>
    <w:basedOn w:val="Bodytext2"/>
    <w:semiHidden/>
    <w:unhideWhenUsed/>
    <w:rPr>
      <w:rFonts w:ascii="Times New Roman" w:eastAsia="Times New Roman" w:hAnsi="Times New Roman" w:cs="Times New Roman"/>
      <w:b w:val="0"/>
      <w:bCs w:val="0"/>
      <w:i w:val="0"/>
      <w:iCs w:val="0"/>
      <w:smallCaps w:val="0"/>
      <w:strike w:val="0"/>
      <w:color w:val="0000FF"/>
      <w:spacing w:val="0"/>
      <w:w w:val="100"/>
      <w:position w:val="0"/>
      <w:sz w:val="24"/>
      <w:szCs w:val="24"/>
      <w:u w:val="none"/>
      <w:lang w:val="lt-LT" w:eastAsia="en-US" w:bidi="en-US"/>
    </w:rPr>
  </w:style>
  <w:style w:type="character" w:customStyle="1" w:styleId="Bodytext23">
    <w:name w:val="Body text|2"/>
    <w:basedOn w:val="Bodytext2"/>
    <w:semiHidden/>
    <w:unhideWhenUsed/>
    <w:rPr>
      <w:rFonts w:ascii="Times New Roman" w:eastAsia="Times New Roman" w:hAnsi="Times New Roman" w:cs="Times New Roman"/>
      <w:b w:val="0"/>
      <w:bCs w:val="0"/>
      <w:i w:val="0"/>
      <w:iCs w:val="0"/>
      <w:smallCaps w:val="0"/>
      <w:strike w:val="0"/>
      <w:color w:val="0000FF"/>
      <w:spacing w:val="0"/>
      <w:w w:val="100"/>
      <w:position w:val="0"/>
      <w:sz w:val="24"/>
      <w:szCs w:val="24"/>
      <w:u w:val="single"/>
      <w:lang w:val="lt-LT" w:eastAsia="en-US" w:bidi="en-US"/>
    </w:rPr>
  </w:style>
  <w:style w:type="character" w:customStyle="1" w:styleId="Tablecaption1">
    <w:name w:val="Table caption|1_"/>
    <w:basedOn w:val="DefaultParagraphFont"/>
    <w:link w:val="Tablecaption10"/>
    <w:rPr>
      <w:b w:val="0"/>
      <w:bCs w:val="0"/>
      <w:i/>
      <w:iCs/>
      <w:smallCaps w:val="0"/>
      <w:strike w:val="0"/>
      <w:sz w:val="22"/>
      <w:szCs w:val="22"/>
      <w:u w:val="none"/>
    </w:rPr>
  </w:style>
  <w:style w:type="character" w:customStyle="1" w:styleId="Bodytext216ptBoldSmallCaps">
    <w:name w:val="Body text|2 + 16 pt;Bold;Small Caps"/>
    <w:basedOn w:val="Bodytext2"/>
    <w:semiHidden/>
    <w:unhideWhenUsed/>
    <w:rPr>
      <w:rFonts w:ascii="Times New Roman" w:eastAsia="Times New Roman" w:hAnsi="Times New Roman" w:cs="Times New Roman"/>
      <w:b/>
      <w:bCs/>
      <w:i w:val="0"/>
      <w:iCs w:val="0"/>
      <w:smallCaps/>
      <w:strike w:val="0"/>
      <w:color w:val="000000"/>
      <w:spacing w:val="0"/>
      <w:w w:val="100"/>
      <w:position w:val="0"/>
      <w:sz w:val="32"/>
      <w:szCs w:val="32"/>
      <w:u w:val="none"/>
      <w:lang w:val="lt-LT" w:eastAsia="en-US" w:bidi="en-US"/>
    </w:rPr>
  </w:style>
  <w:style w:type="character" w:customStyle="1" w:styleId="Bodytext216ptBold">
    <w:name w:val="Body text|2 + 16 pt;Bold"/>
    <w:basedOn w:val="Bodytext2"/>
    <w:semiHidden/>
    <w:unhideWhenUsed/>
    <w:rPr>
      <w:rFonts w:ascii="Times New Roman" w:eastAsia="Times New Roman" w:hAnsi="Times New Roman" w:cs="Times New Roman"/>
      <w:b/>
      <w:bCs/>
      <w:i w:val="0"/>
      <w:iCs w:val="0"/>
      <w:smallCaps w:val="0"/>
      <w:strike w:val="0"/>
      <w:color w:val="000000"/>
      <w:spacing w:val="0"/>
      <w:w w:val="100"/>
      <w:position w:val="0"/>
      <w:sz w:val="32"/>
      <w:szCs w:val="32"/>
      <w:u w:val="none"/>
      <w:lang w:val="lt-LT" w:eastAsia="en-US" w:bidi="en-US"/>
    </w:rPr>
  </w:style>
  <w:style w:type="character" w:customStyle="1" w:styleId="Bodytext211ptItalic">
    <w:name w:val="Body text|2 + 11 pt;Italic"/>
    <w:basedOn w:val="Bodytext2"/>
    <w:semiHidden/>
    <w:unhideWhenUsed/>
    <w:rPr>
      <w:rFonts w:ascii="Times New Roman" w:eastAsia="Times New Roman" w:hAnsi="Times New Roman" w:cs="Times New Roman"/>
      <w:b w:val="0"/>
      <w:bCs w:val="0"/>
      <w:i/>
      <w:iCs/>
      <w:smallCaps w:val="0"/>
      <w:strike w:val="0"/>
      <w:color w:val="000000"/>
      <w:spacing w:val="0"/>
      <w:w w:val="100"/>
      <w:position w:val="0"/>
      <w:sz w:val="22"/>
      <w:szCs w:val="22"/>
      <w:u w:val="none"/>
      <w:lang w:val="lt-LT" w:eastAsia="en-US" w:bidi="en-US"/>
    </w:rPr>
  </w:style>
  <w:style w:type="character" w:customStyle="1" w:styleId="Bodytext211ptBold">
    <w:name w:val="Body text|2 + 11 pt;Bold"/>
    <w:basedOn w:val="Bodytext2"/>
    <w:semiHidden/>
    <w:unhideWhenUsed/>
    <w:rPr>
      <w:rFonts w:ascii="Times New Roman" w:eastAsia="Times New Roman" w:hAnsi="Times New Roman" w:cs="Times New Roman"/>
      <w:b/>
      <w:bCs/>
      <w:i w:val="0"/>
      <w:iCs w:val="0"/>
      <w:smallCaps w:val="0"/>
      <w:strike w:val="0"/>
      <w:color w:val="000000"/>
      <w:spacing w:val="0"/>
      <w:w w:val="100"/>
      <w:position w:val="0"/>
      <w:sz w:val="22"/>
      <w:szCs w:val="22"/>
      <w:u w:val="none"/>
      <w:lang w:val="lt-LT" w:eastAsia="en-US" w:bidi="en-US"/>
    </w:rPr>
  </w:style>
  <w:style w:type="character" w:customStyle="1" w:styleId="Bodytext211pt">
    <w:name w:val="Body text|2 + 11 pt"/>
    <w:basedOn w:val="Bodytext2"/>
    <w:semiHidden/>
    <w:unhideWhenUse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en-US" w:bidi="en-US"/>
    </w:rPr>
  </w:style>
  <w:style w:type="character" w:customStyle="1" w:styleId="Bodytext211ptBoldSmallCaps">
    <w:name w:val="Body text|2 + 11 pt;Bold;Small Caps"/>
    <w:basedOn w:val="Bodytext2"/>
    <w:semiHidden/>
    <w:unhideWhenUsed/>
    <w:rPr>
      <w:rFonts w:ascii="Times New Roman" w:eastAsia="Times New Roman" w:hAnsi="Times New Roman" w:cs="Times New Roman"/>
      <w:b/>
      <w:bCs/>
      <w:i w:val="0"/>
      <w:iCs w:val="0"/>
      <w:smallCaps/>
      <w:strike w:val="0"/>
      <w:color w:val="000000"/>
      <w:spacing w:val="0"/>
      <w:w w:val="100"/>
      <w:position w:val="0"/>
      <w:sz w:val="22"/>
      <w:szCs w:val="22"/>
      <w:u w:val="none"/>
      <w:lang w:val="lt-LT" w:eastAsia="en-US" w:bidi="en-US"/>
    </w:rPr>
  </w:style>
  <w:style w:type="character" w:customStyle="1" w:styleId="Bodytext211ptBold0">
    <w:name w:val="Body text|2 + 11 pt;Bold"/>
    <w:basedOn w:val="Bodytext2"/>
    <w:semiHidden/>
    <w:unhideWhenUsed/>
    <w:rPr>
      <w:rFonts w:ascii="Times New Roman" w:eastAsia="Times New Roman" w:hAnsi="Times New Roman" w:cs="Times New Roman"/>
      <w:b/>
      <w:bCs/>
      <w:i w:val="0"/>
      <w:iCs w:val="0"/>
      <w:smallCaps w:val="0"/>
      <w:strike w:val="0"/>
      <w:color w:val="FFFFFF"/>
      <w:spacing w:val="0"/>
      <w:w w:val="100"/>
      <w:position w:val="0"/>
      <w:sz w:val="22"/>
      <w:szCs w:val="22"/>
      <w:u w:val="none"/>
      <w:lang w:val="lt-LT" w:eastAsia="en-US" w:bidi="en-US"/>
    </w:rPr>
  </w:style>
  <w:style w:type="character" w:customStyle="1" w:styleId="Bodytext210pt">
    <w:name w:val="Body text|2 + 10 pt"/>
    <w:basedOn w:val="Bodytext2"/>
    <w:semiHidden/>
    <w:unhideWhenUse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lt-LT" w:eastAsia="en-US" w:bidi="en-US"/>
    </w:rPr>
  </w:style>
  <w:style w:type="paragraph" w:customStyle="1" w:styleId="Footnote10">
    <w:name w:val="Footnote|1"/>
    <w:basedOn w:val="Normal"/>
    <w:link w:val="Footnote1"/>
    <w:qFormat/>
    <w:pPr>
      <w:shd w:val="clear" w:color="auto" w:fill="FFFFFF"/>
      <w:spacing w:line="222" w:lineRule="exact"/>
      <w:jc w:val="both"/>
    </w:pPr>
    <w:rPr>
      <w:sz w:val="20"/>
      <w:szCs w:val="20"/>
    </w:rPr>
  </w:style>
  <w:style w:type="paragraph" w:customStyle="1" w:styleId="Picturecaption1">
    <w:name w:val="Picture caption|1"/>
    <w:basedOn w:val="Normal"/>
    <w:link w:val="Picturecaption1Exact"/>
    <w:qFormat/>
    <w:pPr>
      <w:shd w:val="clear" w:color="auto" w:fill="FFFFFF"/>
      <w:spacing w:line="246" w:lineRule="exact"/>
    </w:pPr>
    <w:rPr>
      <w:rFonts w:ascii="Arial" w:eastAsia="Arial" w:hAnsi="Arial" w:cs="Arial"/>
      <w:sz w:val="22"/>
      <w:szCs w:val="22"/>
      <w:lang w:eastAsia="fi-FI" w:bidi="fi-FI"/>
    </w:rPr>
  </w:style>
  <w:style w:type="paragraph" w:customStyle="1" w:styleId="Heading11">
    <w:name w:val="Heading #1|1"/>
    <w:basedOn w:val="Normal"/>
    <w:link w:val="Heading11Exact"/>
    <w:qFormat/>
    <w:pPr>
      <w:shd w:val="clear" w:color="auto" w:fill="FFFFFF"/>
      <w:spacing w:line="514" w:lineRule="exact"/>
      <w:outlineLvl w:val="0"/>
    </w:pPr>
    <w:rPr>
      <w:rFonts w:ascii="Arial" w:eastAsia="Arial" w:hAnsi="Arial" w:cs="Arial"/>
      <w:b/>
      <w:bCs/>
      <w:sz w:val="46"/>
      <w:szCs w:val="46"/>
      <w:lang w:eastAsia="fr-FR" w:bidi="fr-FR"/>
    </w:rPr>
  </w:style>
  <w:style w:type="paragraph" w:customStyle="1" w:styleId="Bodytext20">
    <w:name w:val="Body text|2"/>
    <w:basedOn w:val="Normal"/>
    <w:link w:val="Bodytext2"/>
    <w:qFormat/>
    <w:pPr>
      <w:shd w:val="clear" w:color="auto" w:fill="FFFFFF"/>
      <w:spacing w:after="1440" w:line="269" w:lineRule="exact"/>
      <w:ind w:hanging="360"/>
    </w:pPr>
  </w:style>
  <w:style w:type="paragraph" w:customStyle="1" w:styleId="Bodytext30">
    <w:name w:val="Body text|3"/>
    <w:basedOn w:val="Normal"/>
    <w:link w:val="Bodytext3"/>
    <w:pPr>
      <w:shd w:val="clear" w:color="auto" w:fill="FFFFFF"/>
      <w:spacing w:before="1440" w:line="244" w:lineRule="exact"/>
    </w:pPr>
    <w:rPr>
      <w:b/>
      <w:bCs/>
      <w:sz w:val="22"/>
      <w:szCs w:val="22"/>
    </w:rPr>
  </w:style>
  <w:style w:type="paragraph" w:customStyle="1" w:styleId="Heading310">
    <w:name w:val="Heading #3|1"/>
    <w:basedOn w:val="Normal"/>
    <w:link w:val="Heading31"/>
    <w:qFormat/>
    <w:pPr>
      <w:shd w:val="clear" w:color="auto" w:fill="FFFFFF"/>
      <w:spacing w:after="440" w:line="244" w:lineRule="exact"/>
      <w:ind w:hanging="260"/>
      <w:jc w:val="center"/>
      <w:outlineLvl w:val="2"/>
    </w:pPr>
    <w:rPr>
      <w:b/>
      <w:bCs/>
      <w:sz w:val="22"/>
      <w:szCs w:val="22"/>
    </w:rPr>
  </w:style>
  <w:style w:type="paragraph" w:customStyle="1" w:styleId="Headerorfooter10">
    <w:name w:val="Header or footer|1"/>
    <w:basedOn w:val="Normal"/>
    <w:link w:val="Headerorfooter1"/>
    <w:qFormat/>
    <w:pPr>
      <w:shd w:val="clear" w:color="auto" w:fill="FFFFFF"/>
      <w:spacing w:line="170" w:lineRule="exact"/>
    </w:pPr>
    <w:rPr>
      <w:rFonts w:ascii="Verdana" w:eastAsia="Verdana" w:hAnsi="Verdana" w:cs="Verdana"/>
      <w:sz w:val="14"/>
      <w:szCs w:val="14"/>
    </w:rPr>
  </w:style>
  <w:style w:type="paragraph" w:styleId="TOC2">
    <w:name w:val="toc 2"/>
    <w:basedOn w:val="Normal"/>
    <w:link w:val="TOC2Char"/>
    <w:autoRedefine/>
    <w:uiPriority w:val="39"/>
    <w:qFormat/>
    <w:pPr>
      <w:shd w:val="clear" w:color="auto" w:fill="FFFFFF"/>
      <w:spacing w:before="440" w:after="120" w:line="266" w:lineRule="exact"/>
      <w:jc w:val="both"/>
    </w:pPr>
  </w:style>
  <w:style w:type="paragraph" w:customStyle="1" w:styleId="Heading210">
    <w:name w:val="Heading #2|1"/>
    <w:basedOn w:val="Normal"/>
    <w:link w:val="Heading21"/>
    <w:qFormat/>
    <w:pPr>
      <w:shd w:val="clear" w:color="auto" w:fill="FFFFFF"/>
      <w:spacing w:after="300" w:line="354" w:lineRule="exact"/>
      <w:jc w:val="center"/>
      <w:outlineLvl w:val="1"/>
    </w:pPr>
    <w:rPr>
      <w:b/>
      <w:bCs/>
      <w:sz w:val="32"/>
      <w:szCs w:val="32"/>
    </w:rPr>
  </w:style>
  <w:style w:type="paragraph" w:customStyle="1" w:styleId="Bodytext40">
    <w:name w:val="Body text|4"/>
    <w:basedOn w:val="Normal"/>
    <w:link w:val="Bodytext4"/>
    <w:pPr>
      <w:shd w:val="clear" w:color="auto" w:fill="FFFFFF"/>
      <w:spacing w:after="300" w:line="354" w:lineRule="exact"/>
    </w:pPr>
    <w:rPr>
      <w:b/>
      <w:bCs/>
      <w:sz w:val="32"/>
      <w:szCs w:val="32"/>
    </w:rPr>
  </w:style>
  <w:style w:type="paragraph" w:customStyle="1" w:styleId="Bodytext50">
    <w:name w:val="Body text|5"/>
    <w:basedOn w:val="Normal"/>
    <w:link w:val="Bodytext5"/>
    <w:pPr>
      <w:shd w:val="clear" w:color="auto" w:fill="FFFFFF"/>
      <w:spacing w:before="260" w:line="222" w:lineRule="exact"/>
      <w:jc w:val="both"/>
    </w:pPr>
    <w:rPr>
      <w:sz w:val="20"/>
      <w:szCs w:val="20"/>
    </w:rPr>
  </w:style>
  <w:style w:type="paragraph" w:customStyle="1" w:styleId="Tablecaption10">
    <w:name w:val="Table caption|1"/>
    <w:basedOn w:val="Normal"/>
    <w:link w:val="Tablecaption1"/>
    <w:qFormat/>
    <w:pPr>
      <w:shd w:val="clear" w:color="auto" w:fill="FFFFFF"/>
      <w:spacing w:line="244" w:lineRule="exact"/>
    </w:pPr>
    <w:rPr>
      <w:i/>
      <w:iCs/>
      <w:sz w:val="22"/>
      <w:szCs w:val="22"/>
    </w:rPr>
  </w:style>
  <w:style w:type="paragraph" w:styleId="FootnoteText">
    <w:name w:val="footnote text"/>
    <w:aliases w:val="Footnote Text Char1 Char,Footnote Text Char Char Char,Footnote Text Char1 Char Char Char,Footnote Text Char Char Char Char Char,Footnote Text Char1 Char1 Char,Footnote Text Char Char Char1 Char,Footnote Text Char1 Char Char Char Char Char"/>
    <w:basedOn w:val="Normal"/>
    <w:link w:val="FootnoteTextChar1"/>
    <w:qFormat/>
    <w:pPr>
      <w:autoSpaceDE w:val="0"/>
      <w:autoSpaceDN w:val="0"/>
      <w:adjustRightInd w:val="0"/>
      <w:spacing w:after="120"/>
      <w:ind w:left="284" w:hanging="284"/>
      <w:jc w:val="both"/>
    </w:pPr>
    <w:rPr>
      <w:rFonts w:ascii="Verdana" w:hAnsi="Verdana"/>
      <w:color w:val="auto"/>
      <w:sz w:val="20"/>
      <w:szCs w:val="20"/>
      <w:lang w:eastAsia="en-GB" w:bidi="ar-SA"/>
    </w:rPr>
  </w:style>
  <w:style w:type="character" w:customStyle="1" w:styleId="FootnoteTextChar">
    <w:name w:val="Footnote Text Char"/>
    <w:basedOn w:val="DefaultParagraphFont"/>
    <w:uiPriority w:val="99"/>
    <w:semiHidden/>
    <w:rPr>
      <w:color w:val="000000"/>
      <w:sz w:val="20"/>
      <w:szCs w:val="20"/>
    </w:rPr>
  </w:style>
  <w:style w:type="character" w:customStyle="1" w:styleId="FootnoteTextChar1">
    <w:name w:val="Footnote Text Char1"/>
    <w:aliases w:val="Footnote Text Char1 Char Char1,Footnote Text Char Char Char Char1,Footnote Text Char1 Char Char Char Char1,Footnote Text Char Char Char Char Char Char1,Footnote Text Char1 Char1 Char Char1,Footnote Text Char Char Char1 Char Char1"/>
    <w:link w:val="FootnoteText"/>
    <w:locked/>
    <w:rPr>
      <w:rFonts w:ascii="Verdana" w:hAnsi="Verdana"/>
      <w:sz w:val="20"/>
      <w:szCs w:val="20"/>
      <w:lang w:val="lt-LT" w:eastAsia="en-GB" w:bidi="ar-SA"/>
    </w:rPr>
  </w:style>
  <w:style w:type="character" w:styleId="Hyperlink">
    <w:name w:val="Hyperlink"/>
    <w:uiPriority w:val="99"/>
    <w:rPr>
      <w:color w:val="0000FF"/>
      <w:u w:val="single"/>
    </w:rPr>
  </w:style>
  <w:style w:type="character" w:customStyle="1" w:styleId="FootnoteTextCharChar">
    <w:name w:val="Footnote Text Char Char"/>
    <w:aliases w:val="Footnote Text Char1 Char Char,Footnote Text Char Char Char Char,Footnote Text Char1 Char Char Char Char,Footnote Text Char Char Char Char Char Char,Footnote Text Char1 Char1 Char Char,Footnote Text Char Char Char1 Char Char"/>
    <w:rPr>
      <w:lang w:val="lt-LT" w:eastAsia="ko-KR" w:bidi="ar-SA"/>
    </w:rPr>
  </w:style>
  <w:style w:type="character" w:styleId="FootnoteReference">
    <w:name w:val="footnote reference"/>
    <w:aliases w:val="Footnote symbol,Footnote reference number,Footnote,Times 10 Point,Exposant 3 Point,Ref,de nota al pie,note TESI,SUPERS,EN Footnote Reference,EN Footnote text,-E Fußnotenzeichen, BVI fnr,Footnote number,Footnote Reference Number,BVI f"/>
    <w:link w:val="Nota"/>
    <w:qFormat/>
    <w:rPr>
      <w:vertAlign w:val="superscript"/>
    </w:rPr>
  </w:style>
  <w:style w:type="paragraph" w:customStyle="1" w:styleId="AARText">
    <w:name w:val="AAR Text"/>
    <w:basedOn w:val="Normal"/>
    <w:link w:val="AARTextChar"/>
    <w:qFormat/>
    <w:pPr>
      <w:autoSpaceDE w:val="0"/>
      <w:autoSpaceDN w:val="0"/>
      <w:adjustRightInd w:val="0"/>
      <w:spacing w:after="240"/>
      <w:jc w:val="both"/>
    </w:pPr>
    <w:rPr>
      <w:rFonts w:ascii="Verdana" w:hAnsi="Verdana"/>
      <w:color w:val="auto"/>
      <w:sz w:val="20"/>
      <w:lang w:eastAsia="en-GB" w:bidi="ar-SA"/>
    </w:rPr>
  </w:style>
  <w:style w:type="character" w:customStyle="1" w:styleId="AARTextChar">
    <w:name w:val="AAR Text Char"/>
    <w:link w:val="AARText"/>
    <w:rPr>
      <w:rFonts w:ascii="Verdana" w:hAnsi="Verdana"/>
      <w:sz w:val="20"/>
      <w:lang w:val="lt-LT" w:eastAsia="en-GB" w:bidi="ar-SA"/>
    </w:rPr>
  </w:style>
  <w:style w:type="paragraph" w:customStyle="1" w:styleId="Nota">
    <w:name w:val="Nota"/>
    <w:aliases w:val=" Char1,Char1,(NECG) Footnote Reference,fr,Appel note de bas de p,o,Style 6,Signature Ch"/>
    <w:basedOn w:val="Normal"/>
    <w:link w:val="FootnoteReference"/>
    <w:pPr>
      <w:widowControl/>
      <w:spacing w:after="160" w:line="240" w:lineRule="exact"/>
    </w:pPr>
    <w:rPr>
      <w:color w:val="auto"/>
      <w:vertAlign w:val="superscript"/>
    </w:rPr>
  </w:style>
  <w:style w:type="paragraph" w:styleId="ListParagraph">
    <w:name w:val="List Paragraph"/>
    <w:basedOn w:val="Normal"/>
    <w:uiPriority w:val="34"/>
    <w:qFormat/>
    <w:pPr>
      <w:widowControl/>
      <w:ind w:left="1440" w:hanging="360"/>
    </w:pPr>
    <w:rPr>
      <w:rFonts w:ascii="Verdana" w:eastAsia="Calibri" w:hAnsi="Verdana" w:cs="Calibri"/>
      <w:b/>
      <w:i/>
      <w:color w:val="auto"/>
      <w:sz w:val="20"/>
      <w:szCs w:val="22"/>
      <w:lang w:bidi="ar-SA"/>
    </w:rPr>
  </w:style>
  <w:style w:type="table" w:styleId="TableGrid">
    <w:name w:val="Table Grid"/>
    <w:basedOn w:val="TableNormal"/>
    <w:uiPriority w:val="59"/>
    <w:pPr>
      <w:autoSpaceDE w:val="0"/>
      <w:autoSpaceDN w:val="0"/>
      <w:adjustRightInd w:val="0"/>
    </w:pPr>
    <w:rPr>
      <w:sz w:val="20"/>
      <w:szCs w:val="20"/>
      <w:lang w:eastAsia="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semiHidden/>
    <w:unhideWhenUsed/>
    <w:pPr>
      <w:spacing w:after="100"/>
      <w:ind w:left="720"/>
    </w:pPr>
  </w:style>
  <w:style w:type="character" w:customStyle="1" w:styleId="m-7373738379908728024bumpedfont15">
    <w:name w:val="m_-7373738379908728024bumpedfont15"/>
    <w:rPr>
      <w:lang w:val="lt-LT"/>
    </w:rPr>
  </w:style>
  <w:style w:type="paragraph" w:styleId="TOC1">
    <w:name w:val="toc 1"/>
    <w:basedOn w:val="Normal"/>
    <w:next w:val="Normal"/>
    <w:autoRedefine/>
    <w:uiPriority w:val="39"/>
    <w:unhideWhenUsed/>
    <w:pPr>
      <w:spacing w:after="100"/>
    </w:pPr>
  </w:style>
  <w:style w:type="paragraph" w:styleId="TOC3">
    <w:name w:val="toc 3"/>
    <w:basedOn w:val="Normal"/>
    <w:next w:val="Normal"/>
    <w:autoRedefine/>
    <w:uiPriority w:val="39"/>
    <w:unhideWhenUsed/>
    <w:pPr>
      <w:spacing w:after="100"/>
      <w:ind w:left="480"/>
    </w:p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color w:val="000000"/>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color w:val="00000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color w:val="000000"/>
      <w:sz w:val="20"/>
      <w:szCs w:val="20"/>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color w:val="000000"/>
      <w:sz w:val="18"/>
      <w:szCs w:val="18"/>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color w:val="000000"/>
      <w:sz w:val="20"/>
      <w:szCs w:val="20"/>
    </w:rPr>
  </w:style>
  <w:style w:type="paragraph" w:customStyle="1" w:styleId="Text1">
    <w:name w:val="Text 1"/>
    <w:basedOn w:val="Normal"/>
    <w:link w:val="Text1Char"/>
    <w:pPr>
      <w:widowControl/>
      <w:spacing w:after="240"/>
      <w:ind w:left="482"/>
      <w:jc w:val="both"/>
    </w:pPr>
    <w:rPr>
      <w:color w:val="auto"/>
      <w:szCs w:val="20"/>
      <w:lang w:bidi="ar-SA"/>
    </w:rPr>
  </w:style>
  <w:style w:type="character" w:customStyle="1" w:styleId="Text1Char">
    <w:name w:val="Text 1 Char"/>
    <w:basedOn w:val="DefaultParagraphFont"/>
    <w:link w:val="Text1"/>
    <w:rPr>
      <w:szCs w:val="20"/>
      <w:lang w:val="lt-LT" w:bidi="ar-SA"/>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widowControl/>
      <w:jc w:val="both"/>
    </w:pPr>
    <w:rPr>
      <w:rFonts w:eastAsiaTheme="minorHAnsi"/>
      <w:color w:val="auto"/>
      <w:szCs w:val="22"/>
      <w:lang w:bidi="ar-SA"/>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basedOn w:val="TOC2Char"/>
    <w:link w:val="FooterCoverPage"/>
    <w:rPr>
      <w:b w:val="0"/>
      <w:bCs w:val="0"/>
      <w:i w:val="0"/>
      <w:iCs w:val="0"/>
      <w:smallCaps w:val="0"/>
      <w:strike w:val="0"/>
      <w:color w:val="000000"/>
      <w:u w:val="none"/>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character" w:customStyle="1" w:styleId="FooterSensitivityChar">
    <w:name w:val="Footer Sensitivity Char"/>
    <w:basedOn w:val="TOC2Char"/>
    <w:link w:val="FooterSensitivity"/>
    <w:rPr>
      <w:b/>
      <w:bCs w:val="0"/>
      <w:i w:val="0"/>
      <w:iCs w:val="0"/>
      <w:smallCaps w:val="0"/>
      <w:strike w:val="0"/>
      <w:color w:val="000000"/>
      <w:sz w:val="32"/>
      <w:u w:val="none"/>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TOC2Char"/>
    <w:link w:val="HeaderCoverPage"/>
    <w:rPr>
      <w:b w:val="0"/>
      <w:bCs w:val="0"/>
      <w:i w:val="0"/>
      <w:iCs w:val="0"/>
      <w:smallCaps w:val="0"/>
      <w:strike w:val="0"/>
      <w:color w:val="000000"/>
      <w:u w:val="none"/>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TOC2Char"/>
    <w:link w:val="HeaderSensitivity"/>
    <w:rPr>
      <w:b/>
      <w:bCs w:val="0"/>
      <w:i w:val="0"/>
      <w:iCs w:val="0"/>
      <w:smallCaps w:val="0"/>
      <w:strike w:val="0"/>
      <w:color w:val="000000"/>
      <w:sz w:val="32"/>
      <w:u w:val="none"/>
    </w:rPr>
  </w:style>
  <w:style w:type="paragraph" w:customStyle="1" w:styleId="HeaderSensitivityRight">
    <w:name w:val="Header Sensitivity Right"/>
    <w:basedOn w:val="Normal"/>
    <w:link w:val="HeaderSensitivityRightChar"/>
    <w:pPr>
      <w:spacing w:after="120"/>
      <w:jc w:val="right"/>
    </w:pPr>
    <w:rPr>
      <w:sz w:val="28"/>
    </w:rPr>
  </w:style>
  <w:style w:type="character" w:customStyle="1" w:styleId="HeaderSensitivityRightChar">
    <w:name w:val="Header Sensitivity Right Char"/>
    <w:basedOn w:val="TOC2Char"/>
    <w:link w:val="HeaderSensitivityRight"/>
    <w:rPr>
      <w:b w:val="0"/>
      <w:bCs w:val="0"/>
      <w:i w:val="0"/>
      <w:iCs w:val="0"/>
      <w:smallCaps w:val="0"/>
      <w:strike w:val="0"/>
      <w:color w:val="000000"/>
      <w:sz w:val="28"/>
      <w:u w:val="none"/>
    </w:rPr>
  </w:style>
  <w:style w:type="character" w:styleId="FollowedHyperlink">
    <w:name w:val="FollowedHyperlink"/>
    <w:basedOn w:val="DefaultParagraphFont"/>
    <w:uiPriority w:val="99"/>
    <w:semiHidden/>
    <w:unhideWhenUsed/>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014656">
      <w:bodyDiv w:val="1"/>
      <w:marLeft w:val="0"/>
      <w:marRight w:val="0"/>
      <w:marTop w:val="0"/>
      <w:marBottom w:val="0"/>
      <w:divBdr>
        <w:top w:val="none" w:sz="0" w:space="0" w:color="auto"/>
        <w:left w:val="none" w:sz="0" w:space="0" w:color="auto"/>
        <w:bottom w:val="none" w:sz="0" w:space="0" w:color="auto"/>
        <w:right w:val="none" w:sz="0" w:space="0" w:color="auto"/>
      </w:divBdr>
    </w:div>
    <w:div w:id="1404377741">
      <w:bodyDiv w:val="1"/>
      <w:marLeft w:val="0"/>
      <w:marRight w:val="0"/>
      <w:marTop w:val="0"/>
      <w:marBottom w:val="0"/>
      <w:divBdr>
        <w:top w:val="none" w:sz="0" w:space="0" w:color="auto"/>
        <w:left w:val="none" w:sz="0" w:space="0" w:color="auto"/>
        <w:bottom w:val="none" w:sz="0" w:space="0" w:color="auto"/>
        <w:right w:val="none" w:sz="0" w:space="0" w:color="auto"/>
      </w:divBdr>
    </w:div>
    <w:div w:id="16516679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yperlink" Target="http://ec.europa.eu/echo/en"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yperlink" Target="http://ec.europa.eu/budget/fts/index_en.htm" TargetMode="External"/><Relationship Id="rId33" Type="http://schemas.openxmlformats.org/officeDocument/2006/relationships/header" Target="header7.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yperlink" Target="https://ec.europa.eu/info/publications/annual-management-and-performance-reports_l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s://publications.europa.eu/en/publication-detail/-/publication/5407980e-25db-11e9-8d04-01aa75ed71a1/language-en/format-PDF/source-88119730" TargetMode="External"/><Relationship Id="rId32" Type="http://schemas.openxmlformats.org/officeDocument/2006/relationships/hyperlink" Target="http://ec.europa.eu/echo/sites/echo-site/files/weblistpartners.pdf" TargetMode="External"/><Relationship Id="rId37" Type="http://schemas.openxmlformats.org/officeDocument/2006/relationships/header" Target="header9.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s://publications.europa.eu/en/publication-detail/-/publication/2c0ab9b4-358a-11e9-8d04-01aa75ed71a1/language-en/format-PDF/source-88119646" TargetMode="External"/><Relationship Id="rId28" Type="http://schemas.openxmlformats.org/officeDocument/2006/relationships/hyperlink" Target="http://ec.europa.eu/echo/about/annual_reports_en.htm" TargetMode="External"/><Relationship Id="rId36"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yperlink" Target="https://webgate.ec.europa.eu/hac/"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hyperlink" Target="https://ec.europa.eu/echo/sites/echo-site/files/swd_2019_3_f1_staff_working_paper_en_v2_p1_1005651.pdf" TargetMode="External"/><Relationship Id="rId27" Type="http://schemas.openxmlformats.org/officeDocument/2006/relationships/hyperlink" Target="https://ec.europa.eu/echo/financing-decisions-hips-2018_en" TargetMode="External"/><Relationship Id="rId30" Type="http://schemas.openxmlformats.org/officeDocument/2006/relationships/hyperlink" Target="http://ec.europa.eu/echo/funding-evaluations/evaluations_en" TargetMode="Externa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0AE6708F-3CFD-4BE6-8A18-F6F42B829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15</Pages>
  <Words>4428</Words>
  <Characters>30294</Characters>
  <Application>Microsoft Office Word</Application>
  <DocSecurity>0</DocSecurity>
  <Lines>776</Lines>
  <Paragraphs>226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34496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WES PDFC Administrator</cp:lastModifiedBy>
  <cp:revision>23</cp:revision>
  <dcterms:created xsi:type="dcterms:W3CDTF">2019-11-12T12:43:00Z</dcterms:created>
  <dcterms:modified xsi:type="dcterms:W3CDTF">2020-01-13T15:22:00Z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PTemplateID">
    <vt:lpwstr>CP-006</vt:lpwstr>
  </property>
  <property fmtid="{D5CDD505-2E9C-101B-9397-08002B2CF9AE}" pid="7" name="Last edited using">
    <vt:lpwstr>LW 7.0, Build 20190717</vt:lpwstr>
  </property>
  <property fmtid="{D5CDD505-2E9C-101B-9397-08002B2CF9AE}" pid="8" name="Created using">
    <vt:lpwstr>LW 7.0, Build 20190717</vt:lpwstr>
  </property>
</Properties>
</file>