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AC" w:rsidRDefault="00452FB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D5C95C4-75F2-40F2-83EF-0F07F67C662A" style="width:450.25pt;height:406.2pt">
            <v:imagedata r:id="rId8" o:title=""/>
          </v:shape>
        </w:pict>
      </w:r>
    </w:p>
    <w:bookmarkEnd w:id="0"/>
    <w:p w:rsidR="008D1BAC" w:rsidRDefault="008D1BAC">
      <w:pPr>
        <w:rPr>
          <w:noProof/>
        </w:rPr>
        <w:sectPr w:rsidR="008D1BA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8D1BAC" w:rsidRDefault="00452FBE">
      <w:pPr>
        <w:pStyle w:val="Annexetitre"/>
        <w:rPr>
          <w:noProof/>
        </w:rPr>
      </w:pPr>
      <w:r>
        <w:rPr>
          <w:noProof/>
        </w:rPr>
        <w:lastRenderedPageBreak/>
        <w:t>IARSCRÍBHINN I</w:t>
      </w:r>
    </w:p>
    <w:p w:rsidR="008D1BAC" w:rsidRDefault="00452FBE">
      <w:pPr>
        <w:rPr>
          <w:noProof/>
        </w:rPr>
      </w:pPr>
      <w:r>
        <w:rPr>
          <w:noProof/>
        </w:rPr>
        <w:t xml:space="preserve"> </w:t>
      </w:r>
    </w:p>
    <w:p w:rsidR="008D1BAC" w:rsidRDefault="00452FBE">
      <w:pPr>
        <w:jc w:val="center"/>
        <w:rPr>
          <w:b/>
          <w:noProof/>
          <w:sz w:val="28"/>
          <w:szCs w:val="28"/>
          <w:u w:val="single"/>
        </w:rPr>
      </w:pPr>
      <w:r>
        <w:rPr>
          <w:rFonts w:ascii="Times New Roman Bold" w:hAnsi="Times New Roman Bold"/>
          <w:b/>
          <w:caps/>
          <w:noProof/>
        </w:rPr>
        <w:t xml:space="preserve">An modh leithdháilte le </w:t>
      </w:r>
      <w:r>
        <w:rPr>
          <w:rFonts w:ascii="Times New Roman Bold" w:hAnsi="Times New Roman Bold"/>
          <w:b/>
          <w:noProof/>
        </w:rPr>
        <w:t>h</w:t>
      </w:r>
      <w:r>
        <w:rPr>
          <w:rFonts w:ascii="Times New Roman Bold" w:hAnsi="Times New Roman Bold"/>
          <w:b/>
          <w:caps/>
          <w:noProof/>
        </w:rPr>
        <w:t>aghaidh acmhainní an Chiste um Aistriú Cóir</w:t>
      </w:r>
    </w:p>
    <w:p w:rsidR="008D1BAC" w:rsidRDefault="008D1BAC">
      <w:pPr>
        <w:rPr>
          <w:noProof/>
        </w:rPr>
      </w:pPr>
    </w:p>
    <w:p w:rsidR="008D1BAC" w:rsidRDefault="00452FBE">
      <w:pPr>
        <w:rPr>
          <w:noProof/>
        </w:rPr>
      </w:pPr>
      <w:r>
        <w:rPr>
          <w:noProof/>
        </w:rPr>
        <w:t xml:space="preserve">I gcás gach Ballstáit, cinnfear an t-imchlúdach airgeadais i gcomhréir leis na céimeanna seo a leanas: </w:t>
      </w:r>
    </w:p>
    <w:p w:rsidR="008D1BAC" w:rsidRDefault="00452FBE">
      <w:pPr>
        <w:ind w:left="720" w:hanging="720"/>
        <w:rPr>
          <w:noProof/>
        </w:rPr>
      </w:pPr>
      <w:r>
        <w:rPr>
          <w:noProof/>
        </w:rPr>
        <w:t>(a)</w:t>
      </w:r>
      <w:r>
        <w:rPr>
          <w:noProof/>
        </w:rPr>
        <w:tab/>
        <w:t>déanfar scair gach Ballstáit a ríomh mar shuim ualaithe na sciaranna arna gcinneadh ar bhonn na gcritéar seo a leanas, agus iad ualaithe mar atá léi</w:t>
      </w:r>
      <w:r>
        <w:rPr>
          <w:noProof/>
        </w:rPr>
        <w:t>rithe:</w:t>
      </w:r>
    </w:p>
    <w:p w:rsidR="008D1BAC" w:rsidRDefault="00452FBE">
      <w:pPr>
        <w:ind w:left="1457" w:hanging="720"/>
        <w:rPr>
          <w:noProof/>
        </w:rPr>
      </w:pPr>
      <w:r>
        <w:rPr>
          <w:noProof/>
        </w:rPr>
        <w:t>(i)</w:t>
      </w:r>
      <w:r>
        <w:rPr>
          <w:noProof/>
        </w:rPr>
        <w:tab/>
        <w:t>astaíochtaí gás ceaptha teasa na saoráidí tionsclaíocha i réigiúin NUTS leibhéal 2 ar mó faoi fhachtóir a dó an déine carbóin, arna sainmhíniú ag cóimheas astaíochtaí gás ceaptha teasa na saoráidí tionsclaíocha arna thuairisciú ag na Ballstáit i</w:t>
      </w:r>
      <w:r>
        <w:rPr>
          <w:noProof/>
        </w:rPr>
        <w:t xml:space="preserve"> gcomhréir le hAirteagal 7 de Rialachán (CE) Uimh. 166/2006 ó Pharlaimint na hEorpa agus ón gComhairle</w:t>
      </w:r>
      <w:r>
        <w:rPr>
          <w:rStyle w:val="FootnoteReference"/>
          <w:noProof/>
        </w:rPr>
        <w:footnoteReference w:id="1"/>
      </w:r>
      <w:r>
        <w:rPr>
          <w:noProof/>
        </w:rPr>
        <w:t xml:space="preserve"> i gcomparáid le breisluach comhlán an tionscail, ná an meán atá na Ballstáit AE-27. I gcás nach sáraítear an leibhéal sin in aon réigiún NUTS leibhéal 2</w:t>
      </w:r>
      <w:r>
        <w:rPr>
          <w:noProof/>
        </w:rPr>
        <w:t xml:space="preserve"> i mBallstát tugtha, cuirfear astaíochtaí gás ceaptha teasa na saoráidí tionsclaíocha sa réigiún NUTS leibhéal 2 ina bhfuil an déine carbóin is airde san áireamh (ualú 49 %),</w:t>
      </w:r>
    </w:p>
    <w:p w:rsidR="008D1BAC" w:rsidRDefault="00452FBE">
      <w:pPr>
        <w:ind w:left="1457" w:hanging="720"/>
        <w:rPr>
          <w:noProof/>
        </w:rPr>
      </w:pPr>
      <w:r>
        <w:rPr>
          <w:noProof/>
        </w:rPr>
        <w:t>(ii)</w:t>
      </w:r>
      <w:r>
        <w:rPr>
          <w:noProof/>
        </w:rPr>
        <w:tab/>
        <w:t>an fhostaíocht i mianadóireacht ghuail agus ligníte (ualú 25 %),</w:t>
      </w:r>
    </w:p>
    <w:p w:rsidR="008D1BAC" w:rsidRDefault="00452FBE">
      <w:pPr>
        <w:ind w:left="1457" w:hanging="720"/>
        <w:rPr>
          <w:noProof/>
        </w:rPr>
      </w:pPr>
      <w:r>
        <w:rPr>
          <w:noProof/>
        </w:rPr>
        <w:t>(iii)</w:t>
      </w:r>
      <w:r>
        <w:rPr>
          <w:noProof/>
        </w:rPr>
        <w:tab/>
        <w:t xml:space="preserve">an </w:t>
      </w:r>
      <w:r>
        <w:rPr>
          <w:noProof/>
        </w:rPr>
        <w:t>fhostaíocht san earnáil tionsclaíochta sna réigiúin NUTS leibhéal 2 arna cur san áireamh chun críocha phointe (i) (ualú 25 %),</w:t>
      </w:r>
    </w:p>
    <w:p w:rsidR="008D1BAC" w:rsidRDefault="00452FBE">
      <w:pPr>
        <w:ind w:left="1457" w:hanging="720"/>
        <w:rPr>
          <w:noProof/>
        </w:rPr>
      </w:pPr>
      <w:r>
        <w:rPr>
          <w:noProof/>
        </w:rPr>
        <w:t>(iv)</w:t>
      </w:r>
      <w:r>
        <w:rPr>
          <w:noProof/>
        </w:rPr>
        <w:tab/>
        <w:t>baint móna (ualú 0,95 %),</w:t>
      </w:r>
    </w:p>
    <w:p w:rsidR="008D1BAC" w:rsidRDefault="00452FBE">
      <w:pPr>
        <w:ind w:left="1457" w:hanging="720"/>
        <w:rPr>
          <w:noProof/>
        </w:rPr>
      </w:pPr>
      <w:r>
        <w:rPr>
          <w:noProof/>
        </w:rPr>
        <w:t>(v)</w:t>
      </w:r>
      <w:r>
        <w:rPr>
          <w:noProof/>
        </w:rPr>
        <w:tab/>
        <w:t>táirgeadh scealla ola (ualú 0,05 %);</w:t>
      </w:r>
    </w:p>
    <w:p w:rsidR="008D1BAC" w:rsidRDefault="00452FBE">
      <w:pPr>
        <w:ind w:left="720" w:hanging="720"/>
        <w:rPr>
          <w:noProof/>
        </w:rPr>
      </w:pPr>
      <w:r>
        <w:rPr>
          <w:noProof/>
        </w:rPr>
        <w:t>(b)</w:t>
      </w:r>
      <w:r>
        <w:rPr>
          <w:noProof/>
        </w:rPr>
        <w:tab/>
        <w:t xml:space="preserve">déanfar na leithdháiltí a eascraíonn as pointe (a) a </w:t>
      </w:r>
      <w:r>
        <w:rPr>
          <w:noProof/>
        </w:rPr>
        <w:t>chur i bhfeidhm a choigeartú lena áirithiú nach bhfaighidh aon Bhallstát méid atá níos mó ná EUR 2 bhilliún. Déanfar na méideanna os cionn EUR 2 bhilliún a athdháileadh go comhréireach chuig leithdháiltí na mBallstát uile eile. Déanfar sciaranna na mBallst</w:t>
      </w:r>
      <w:r>
        <w:rPr>
          <w:noProof/>
        </w:rPr>
        <w:t>át a athríomh dá réir;</w:t>
      </w:r>
    </w:p>
    <w:p w:rsidR="008D1BAC" w:rsidRDefault="00452FBE">
      <w:pPr>
        <w:ind w:left="720" w:hanging="720"/>
        <w:rPr>
          <w:noProof/>
        </w:rPr>
      </w:pPr>
      <w:r>
        <w:rPr>
          <w:noProof/>
        </w:rPr>
        <w:t xml:space="preserve">(c) </w:t>
      </w:r>
      <w:r>
        <w:rPr>
          <w:noProof/>
        </w:rPr>
        <w:tab/>
        <w:t>déanfar sciaranna na mBallstát a eascraíonn as pointe (b) a chur i bhfeidhm a choigeartú go diúltach nó go deimhneach ag comhéifeacht de 1,5 uair den difríocht faoina sáraíonn OIN per capita an Bhallstáit sin (arna thomhas i bpa</w:t>
      </w:r>
      <w:r>
        <w:rPr>
          <w:noProof/>
        </w:rPr>
        <w:t>ireachtaí cumhachta ceannaigh) le haghaidh na tréimhse 2015-2017 meán-OIN per capita na mBallstát AE-27 (an meán arna shloinneadh mar 100 %), nó faoina dtiteann sé faoi sin;</w:t>
      </w:r>
    </w:p>
    <w:p w:rsidR="008D1BAC" w:rsidRDefault="00452FBE">
      <w:pPr>
        <w:rPr>
          <w:noProof/>
        </w:rPr>
      </w:pPr>
      <w:r>
        <w:rPr>
          <w:noProof/>
        </w:rPr>
        <w:t xml:space="preserve">Ní bheidh feidhm ag an gcoigeartú sin maidir le Ballstáit ar cuireadh uasteorainn </w:t>
      </w:r>
      <w:r>
        <w:rPr>
          <w:noProof/>
        </w:rPr>
        <w:t>lena leithdháileadh i gcomhréir le pointe (b).</w:t>
      </w:r>
    </w:p>
    <w:p w:rsidR="008D1BAC" w:rsidRDefault="00452FBE">
      <w:pPr>
        <w:ind w:left="720" w:hanging="720"/>
        <w:rPr>
          <w:noProof/>
        </w:rPr>
      </w:pPr>
      <w:r>
        <w:rPr>
          <w:noProof/>
        </w:rPr>
        <w:t>(d)</w:t>
      </w:r>
      <w:r>
        <w:rPr>
          <w:noProof/>
        </w:rPr>
        <w:tab/>
        <w:t>déanfar na leithdháiltí a eascraíonn as pointe (c) a chur i bhfeidhm a choigeartú lena áirithiú gurb é an toradh atá leis an leithdháileadh deiridh ó CUAC ná déine chabhrach per capita (arna tomhas ar bhon</w:t>
      </w:r>
      <w:r>
        <w:rPr>
          <w:noProof/>
        </w:rPr>
        <w:t xml:space="preserve">n dhaonra iomlán an Bhallstáit) de EUR 6 ar a laghad thar an tréimhse iomlán.  </w:t>
      </w:r>
    </w:p>
    <w:p w:rsidR="008D1BAC" w:rsidRDefault="00452FBE">
      <w:pPr>
        <w:ind w:left="720"/>
        <w:rPr>
          <w:noProof/>
        </w:rPr>
      </w:pPr>
      <w:r>
        <w:rPr>
          <w:noProof/>
        </w:rPr>
        <w:lastRenderedPageBreak/>
        <w:t xml:space="preserve">Bainfear na méideanna a theastaíonn chun an déine chabhrach íosta a áirithiú a bhaint go comhréireach ó leithdháiltí na mBallstát uile eile, ach amháin na cinn sin ar cuireadh </w:t>
      </w:r>
      <w:r>
        <w:rPr>
          <w:noProof/>
        </w:rPr>
        <w:t xml:space="preserve">uasteorainn lena leithdháileadh i gcomhréir le pointe (b). </w:t>
      </w:r>
    </w:p>
    <w:p w:rsidR="008D1BAC" w:rsidRDefault="00452FBE">
      <w:pPr>
        <w:rPr>
          <w:noProof/>
        </w:rPr>
      </w:pPr>
      <w:r>
        <w:rPr>
          <w:noProof/>
        </w:rPr>
        <w:t>Tá an leithdháileadh ón gCiste um Aistriú Cóir ann sa bhreis ar an leithdháileadh a eascraíonn as míreanna 1 go 16 d’Iarscríbhinn XXII de [RFC nua] agus ní chuirtear san áireamh é sa bhonn le hagh</w:t>
      </w:r>
      <w:r>
        <w:rPr>
          <w:noProof/>
        </w:rPr>
        <w:t>aidh an leithdháilte a gcuirtear pointí 10 go 15 d’Iarscríbhinn XXII de [RFC nua] i bhfeidhm ina leith.</w:t>
      </w:r>
    </w:p>
    <w:p w:rsidR="008D1BAC" w:rsidRDefault="00452FBE">
      <w:pPr>
        <w:rPr>
          <w:noProof/>
        </w:rPr>
      </w:pPr>
      <w:r>
        <w:rPr>
          <w:noProof/>
        </w:rPr>
        <w:br w:type="page"/>
      </w:r>
    </w:p>
    <w:p w:rsidR="008D1BAC" w:rsidRDefault="008D1BAC">
      <w:pPr>
        <w:rPr>
          <w:noProof/>
        </w:rPr>
      </w:pPr>
    </w:p>
    <w:p w:rsidR="008D1BAC" w:rsidRDefault="008D1BAC">
      <w:pPr>
        <w:rPr>
          <w:noProof/>
        </w:rPr>
      </w:pPr>
    </w:p>
    <w:p w:rsidR="008D1BAC" w:rsidRDefault="00452FBE">
      <w:pPr>
        <w:jc w:val="center"/>
        <w:rPr>
          <w:b/>
          <w:noProof/>
          <w:u w:val="single"/>
        </w:rPr>
      </w:pPr>
      <w:r>
        <w:rPr>
          <w:b/>
          <w:noProof/>
          <w:u w:val="single"/>
        </w:rPr>
        <w:t>IARSCRÍBHINN II</w:t>
      </w:r>
    </w:p>
    <w:p w:rsidR="008D1BAC" w:rsidRDefault="00452FBE">
      <w:pPr>
        <w:jc w:val="center"/>
        <w:rPr>
          <w:rFonts w:ascii="Times New Roman Bold" w:eastAsia="Calibri" w:hAnsi="Times New Roman Bold"/>
          <w:b/>
          <w:caps/>
          <w:noProof/>
          <w:szCs w:val="24"/>
        </w:rPr>
      </w:pPr>
      <w:r>
        <w:rPr>
          <w:rFonts w:ascii="Times New Roman Bold" w:hAnsi="Times New Roman Bold"/>
          <w:b/>
          <w:caps/>
          <w:noProof/>
        </w:rPr>
        <w:t xml:space="preserve">Teimpléad le </w:t>
      </w:r>
      <w:r>
        <w:rPr>
          <w:rFonts w:ascii="Times New Roman Bold" w:hAnsi="Times New Roman Bold"/>
          <w:b/>
          <w:noProof/>
        </w:rPr>
        <w:t>h</w:t>
      </w:r>
      <w:r>
        <w:rPr>
          <w:rFonts w:ascii="Times New Roman Bold" w:hAnsi="Times New Roman Bold"/>
          <w:b/>
          <w:caps/>
          <w:noProof/>
        </w:rPr>
        <w:t xml:space="preserve">aghaidh pleananna críochacha um aistriú cóir </w:t>
      </w:r>
    </w:p>
    <w:p w:rsidR="008D1BAC" w:rsidRDefault="008D1BAC">
      <w:pPr>
        <w:jc w:val="center"/>
        <w:rPr>
          <w:rFonts w:ascii="Times New Roman Bold" w:eastAsia="Calibri" w:hAnsi="Times New Roman Bold"/>
          <w:b/>
          <w:caps/>
          <w:noProof/>
          <w:szCs w:val="24"/>
        </w:rPr>
      </w:pPr>
    </w:p>
    <w:p w:rsidR="008D1BAC" w:rsidRDefault="00452FBE">
      <w:pPr>
        <w:numPr>
          <w:ilvl w:val="0"/>
          <w:numId w:val="1"/>
        </w:numPr>
        <w:spacing w:before="0" w:after="200" w:line="276" w:lineRule="auto"/>
        <w:jc w:val="left"/>
        <w:rPr>
          <w:rFonts w:eastAsia="Times New Roman"/>
          <w:b/>
          <w:iCs/>
          <w:noProof/>
          <w:szCs w:val="24"/>
        </w:rPr>
      </w:pPr>
      <w:r>
        <w:rPr>
          <w:b/>
          <w:iCs/>
          <w:noProof/>
        </w:rPr>
        <w:t xml:space="preserve">Leagan amach an phróisis aistrithe agus sainaithint na gcríoch ina </w:t>
      </w:r>
      <w:r>
        <w:rPr>
          <w:b/>
          <w:iCs/>
          <w:noProof/>
        </w:rPr>
        <w:t>mbeidh an tionchar is diúltaí laistigh den Bhallstát</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[12000]</w:t>
            </w:r>
          </w:p>
        </w:tc>
      </w:tr>
    </w:tbl>
    <w:p w:rsidR="008D1BAC" w:rsidRDefault="008D1BAC">
      <w:pPr>
        <w:spacing w:before="0" w:after="200" w:line="276" w:lineRule="auto"/>
        <w:ind w:left="502"/>
        <w:jc w:val="left"/>
        <w:rPr>
          <w:rFonts w:eastAsia="Times New Roman"/>
          <w:b/>
          <w:iCs/>
          <w:noProof/>
          <w:szCs w:val="24"/>
        </w:rPr>
      </w:pPr>
    </w:p>
    <w:p w:rsidR="008D1BAC" w:rsidRDefault="00452FBE">
      <w:pPr>
        <w:pStyle w:val="ListParagraph"/>
        <w:ind w:left="750"/>
        <w:rPr>
          <w:rFonts w:ascii="Times New Roman" w:hAnsi="Times New Roman" w:cs="Times New Roman"/>
          <w:noProof/>
          <w:sz w:val="24"/>
          <w:szCs w:val="24"/>
          <w:highlight w:val="yellow"/>
        </w:rPr>
      </w:pPr>
      <w:r>
        <w:rPr>
          <w:rFonts w:ascii="Times New Roman" w:hAnsi="Times New Roman"/>
          <w:i/>
          <w:noProof/>
        </w:rPr>
        <w:t>Tagairt: Airteagal 7(2)(a)</w:t>
      </w:r>
    </w:p>
    <w:tbl>
      <w:tblPr>
        <w:tblStyle w:val="TableGrid"/>
        <w:tblW w:w="0" w:type="auto"/>
        <w:tblLook w:val="04A0" w:firstRow="1" w:lastRow="0" w:firstColumn="1" w:lastColumn="0" w:noHBand="0" w:noVBand="1"/>
      </w:tblPr>
      <w:tblGrid>
        <w:gridCol w:w="9288"/>
      </w:tblGrid>
      <w:tr w:rsidR="008D1BAC">
        <w:trPr>
          <w:trHeight w:val="699"/>
        </w:trPr>
        <w:tc>
          <w:tcPr>
            <w:tcW w:w="9288" w:type="dxa"/>
          </w:tcPr>
          <w:p w:rsidR="008D1BAC" w:rsidRDefault="00452FBE">
            <w:pPr>
              <w:rPr>
                <w:i/>
                <w:noProof/>
              </w:rPr>
            </w:pPr>
            <w:r>
              <w:rPr>
                <w:i/>
                <w:noProof/>
              </w:rPr>
              <w:t xml:space="preserve">1.1. Leagan amach an phróisis aistrithe a bhfuiltear ag súil leis i dtreo geilleagar atá neodrach ó thaobh na haeráide de, i gcomhréir le cuspóirí na bPleananna Náisiúnta Fuinnimh agus Aeráide agus pleananna aistrithe eile atá ann cheana maille le hamlíne </w:t>
            </w:r>
            <w:r>
              <w:rPr>
                <w:i/>
                <w:noProof/>
              </w:rPr>
              <w:t xml:space="preserve">chun deireadh a chur le gníomhaíochtaí amhail mianadóireacht ghuail agus ligníte nó táirgeadh leictreachais gualbhreoslaithe nó na gníomhaíochtaí sin a laghdú </w:t>
            </w:r>
          </w:p>
        </w:tc>
      </w:tr>
    </w:tbl>
    <w:p w:rsidR="008D1BAC" w:rsidRDefault="008D1BAC">
      <w:pPr>
        <w:pStyle w:val="ListParagraph"/>
        <w:ind w:left="750"/>
        <w:rPr>
          <w:rFonts w:ascii="Times New Roman" w:hAnsi="Times New Roman" w:cs="Times New Roman"/>
          <w:noProof/>
          <w:sz w:val="24"/>
          <w:szCs w:val="24"/>
          <w:highlight w:val="yellow"/>
        </w:rPr>
      </w:pPr>
    </w:p>
    <w:p w:rsidR="008D1BAC" w:rsidRDefault="00452FBE">
      <w:pPr>
        <w:pStyle w:val="ListParagraph"/>
        <w:ind w:left="750"/>
        <w:rPr>
          <w:rFonts w:ascii="Times New Roman" w:hAnsi="Times New Roman" w:cs="Times New Roman"/>
          <w:noProof/>
          <w:sz w:val="24"/>
          <w:szCs w:val="24"/>
        </w:rPr>
      </w:pPr>
      <w:r>
        <w:rPr>
          <w:rFonts w:ascii="Times New Roman" w:hAnsi="Times New Roman"/>
          <w:i/>
          <w:noProof/>
        </w:rPr>
        <w:t>Tagairt: Airteagal 7(2)(b)</w:t>
      </w:r>
    </w:p>
    <w:tbl>
      <w:tblPr>
        <w:tblStyle w:val="TableGrid"/>
        <w:tblW w:w="0" w:type="auto"/>
        <w:tblLook w:val="04A0" w:firstRow="1" w:lastRow="0" w:firstColumn="1" w:lastColumn="0" w:noHBand="0" w:noVBand="1"/>
      </w:tblPr>
      <w:tblGrid>
        <w:gridCol w:w="9288"/>
      </w:tblGrid>
      <w:tr w:rsidR="008D1BAC">
        <w:trPr>
          <w:trHeight w:val="699"/>
        </w:trPr>
        <w:tc>
          <w:tcPr>
            <w:tcW w:w="9288" w:type="dxa"/>
          </w:tcPr>
          <w:p w:rsidR="008D1BAC" w:rsidRDefault="00452FBE">
            <w:pPr>
              <w:rPr>
                <w:i/>
                <w:noProof/>
              </w:rPr>
            </w:pPr>
            <w:r>
              <w:rPr>
                <w:i/>
                <w:noProof/>
              </w:rPr>
              <w:t xml:space="preserve">1.2. Sainaithint na gcríoch a bhfuiltear ag súil leis go mbeidh an </w:t>
            </w:r>
            <w:r>
              <w:rPr>
                <w:i/>
                <w:noProof/>
              </w:rPr>
              <w:t>tionchar is diúltaí iontu agus bonn cirt a thabhairt don rogha sin leis an meastachán comhfhreagrach ar na tionchair eacnamaíocha agus fostaíochta bunaithe ar an leagan amach i Roinn 1.1</w:t>
            </w:r>
          </w:p>
        </w:tc>
      </w:tr>
    </w:tbl>
    <w:p w:rsidR="008D1BAC" w:rsidRDefault="008D1BAC">
      <w:pPr>
        <w:pStyle w:val="ListParagraph"/>
        <w:ind w:left="750"/>
        <w:rPr>
          <w:noProof/>
          <w:szCs w:val="24"/>
        </w:rPr>
      </w:pPr>
    </w:p>
    <w:p w:rsidR="008D1BAC" w:rsidRDefault="00452FBE">
      <w:pPr>
        <w:numPr>
          <w:ilvl w:val="0"/>
          <w:numId w:val="1"/>
        </w:numPr>
        <w:spacing w:before="0" w:after="200" w:line="276" w:lineRule="auto"/>
        <w:jc w:val="left"/>
        <w:rPr>
          <w:rFonts w:eastAsia="Times New Roman"/>
          <w:b/>
          <w:noProof/>
          <w:szCs w:val="24"/>
        </w:rPr>
      </w:pPr>
      <w:r>
        <w:rPr>
          <w:b/>
          <w:noProof/>
        </w:rPr>
        <w:t>Measúnú ar na dúshláin i dtaca leis an aistriú, le haghaidh gach ce</w:t>
      </w:r>
      <w:r>
        <w:rPr>
          <w:b/>
          <w:noProof/>
        </w:rPr>
        <w:t>ann de na críocha arna sainaithint</w:t>
      </w:r>
    </w:p>
    <w:p w:rsidR="008D1BAC" w:rsidRDefault="00452FBE">
      <w:pPr>
        <w:pStyle w:val="ListParagraph"/>
        <w:rPr>
          <w:rFonts w:ascii="Times New Roman" w:hAnsi="Times New Roman" w:cs="Times New Roman"/>
          <w:i/>
          <w:noProof/>
          <w:sz w:val="24"/>
          <w:szCs w:val="24"/>
        </w:rPr>
      </w:pPr>
      <w:r>
        <w:rPr>
          <w:rFonts w:ascii="Times New Roman" w:hAnsi="Times New Roman"/>
          <w:noProof/>
        </w:rPr>
        <w:t xml:space="preserve">2.1. Measúnú ar an tionchar eacnamaíoch, sóisialta agus críochach a bheidh ag an aistriú chuig geilleagar atá neodrach ó thaobh na haeráide de </w:t>
      </w:r>
    </w:p>
    <w:p w:rsidR="008D1BAC" w:rsidRDefault="008D1BAC">
      <w:pPr>
        <w:pStyle w:val="ListParagraph"/>
        <w:rPr>
          <w:rFonts w:ascii="Times New Roman" w:hAnsi="Times New Roman" w:cs="Times New Roman"/>
          <w:noProof/>
          <w:sz w:val="24"/>
          <w:szCs w:val="24"/>
          <w:highlight w:val="yellow"/>
        </w:rPr>
      </w:pPr>
    </w:p>
    <w:p w:rsidR="008D1BAC" w:rsidRDefault="00452FBE">
      <w:pPr>
        <w:pStyle w:val="ListParagraph"/>
        <w:rPr>
          <w:rFonts w:ascii="Times New Roman" w:hAnsi="Times New Roman" w:cs="Times New Roman"/>
          <w:i/>
          <w:noProof/>
          <w:sz w:val="24"/>
          <w:szCs w:val="24"/>
        </w:rPr>
      </w:pPr>
      <w:r>
        <w:rPr>
          <w:rFonts w:ascii="Times New Roman" w:hAnsi="Times New Roman"/>
          <w:i/>
          <w:noProof/>
        </w:rPr>
        <w:t>Tagairt: Airteagal 7(2)(c)</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[12000]</w:t>
            </w:r>
          </w:p>
        </w:tc>
      </w:tr>
    </w:tbl>
    <w:p w:rsidR="008D1BAC" w:rsidRDefault="008D1BAC">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8D1BAC">
        <w:trPr>
          <w:trHeight w:val="699"/>
        </w:trPr>
        <w:tc>
          <w:tcPr>
            <w:tcW w:w="9288" w:type="dxa"/>
          </w:tcPr>
          <w:p w:rsidR="008D1BAC" w:rsidRDefault="00452FBE">
            <w:pPr>
              <w:spacing w:after="0"/>
              <w:rPr>
                <w:i/>
                <w:noProof/>
                <w:szCs w:val="24"/>
              </w:rPr>
            </w:pPr>
            <w:r>
              <w:rPr>
                <w:i/>
                <w:noProof/>
              </w:rPr>
              <w:t xml:space="preserve">Sainaithint na </w:t>
            </w:r>
            <w:r>
              <w:rPr>
                <w:i/>
                <w:noProof/>
              </w:rPr>
              <w:t>ngníomhaíochtaí eacnamaíocha agus na n-earnálacha tionsclaíocha a n-imreofar tionchar orthu, ina ndéantar idirdhealú idir:</w:t>
            </w:r>
          </w:p>
          <w:p w:rsidR="008D1BAC" w:rsidRDefault="00452FBE">
            <w:pPr>
              <w:spacing w:after="0"/>
              <w:rPr>
                <w:i/>
                <w:noProof/>
                <w:szCs w:val="24"/>
              </w:rPr>
            </w:pPr>
            <w:r>
              <w:rPr>
                <w:i/>
                <w:noProof/>
              </w:rPr>
              <w:t>- earnálacha atá ag dul i léig, a bhfuiltear ag súil leis go dtiocfaidh deireadh leo nó go dtiocfaidh laghdú suntasach ar a ngníomhaí</w:t>
            </w:r>
            <w:r>
              <w:rPr>
                <w:i/>
                <w:noProof/>
              </w:rPr>
              <w:t>ochtaí de bharr an aistrithe, agus amlíne chomhfhreagrach san áireamh;</w:t>
            </w:r>
          </w:p>
          <w:p w:rsidR="008D1BAC" w:rsidRDefault="00452FBE">
            <w:pPr>
              <w:spacing w:after="0"/>
              <w:rPr>
                <w:i/>
                <w:noProof/>
                <w:szCs w:val="24"/>
              </w:rPr>
            </w:pPr>
            <w:r>
              <w:rPr>
                <w:i/>
                <w:noProof/>
              </w:rPr>
              <w:t>- earnálacha ina bhfuil athrú ó bhonn ag tarlú, a bhfuiltear ag súil leis go dtiocfaidh athrú ó bhonn ar a ngníomhaíochtaí, a bpróisis agus a n-aschuir.</w:t>
            </w:r>
          </w:p>
          <w:p w:rsidR="008D1BAC" w:rsidRDefault="00452FBE">
            <w:pPr>
              <w:spacing w:after="0"/>
              <w:rPr>
                <w:i/>
                <w:noProof/>
                <w:szCs w:val="24"/>
              </w:rPr>
            </w:pPr>
            <w:r>
              <w:rPr>
                <w:i/>
                <w:noProof/>
              </w:rPr>
              <w:lastRenderedPageBreak/>
              <w:t>I gcomhair gach ceann den dá ear</w:t>
            </w:r>
            <w:r>
              <w:rPr>
                <w:i/>
                <w:noProof/>
              </w:rPr>
              <w:t xml:space="preserve">náil: </w:t>
            </w:r>
          </w:p>
          <w:p w:rsidR="008D1BAC" w:rsidRDefault="00452FBE">
            <w:pPr>
              <w:spacing w:after="0"/>
              <w:rPr>
                <w:i/>
                <w:noProof/>
                <w:szCs w:val="24"/>
              </w:rPr>
            </w:pPr>
            <w:r>
              <w:rPr>
                <w:i/>
                <w:noProof/>
              </w:rPr>
              <w:t>- na caillteanais post agus na riachtanais i ndáil le hathcháiliú a bhfuiltear ag súil leo, agus réamhaisnéisí scileanna á gcur san áireamh;</w:t>
            </w:r>
          </w:p>
          <w:p w:rsidR="008D1BAC" w:rsidRDefault="00452FBE">
            <w:pPr>
              <w:rPr>
                <w:noProof/>
                <w:szCs w:val="24"/>
              </w:rPr>
            </w:pPr>
            <w:r>
              <w:rPr>
                <w:i/>
                <w:noProof/>
              </w:rPr>
              <w:t>- an cumas féideartha éagsúlaithe eacnamaíoch agus deiseanna forbartha.</w:t>
            </w:r>
          </w:p>
        </w:tc>
      </w:tr>
    </w:tbl>
    <w:p w:rsidR="008D1BAC" w:rsidRDefault="008D1BAC">
      <w:pPr>
        <w:spacing w:before="0" w:after="200" w:line="276" w:lineRule="auto"/>
        <w:ind w:left="2880"/>
        <w:contextualSpacing/>
        <w:rPr>
          <w:rFonts w:eastAsia="Times New Roman" w:cstheme="minorBidi"/>
          <w:noProof/>
          <w:szCs w:val="24"/>
        </w:rPr>
      </w:pPr>
    </w:p>
    <w:p w:rsidR="008D1BAC" w:rsidRDefault="00452FBE">
      <w:pPr>
        <w:pStyle w:val="ListParagraph"/>
        <w:rPr>
          <w:rFonts w:ascii="Times New Roman" w:hAnsi="Times New Roman" w:cs="Times New Roman"/>
          <w:noProof/>
          <w:sz w:val="24"/>
          <w:szCs w:val="24"/>
        </w:rPr>
      </w:pPr>
      <w:r>
        <w:rPr>
          <w:rFonts w:ascii="Times New Roman" w:hAnsi="Times New Roman"/>
          <w:noProof/>
        </w:rPr>
        <w:t>2.2. Riachtanais forbartha agus cu</w:t>
      </w:r>
      <w:r>
        <w:rPr>
          <w:rFonts w:ascii="Times New Roman" w:hAnsi="Times New Roman"/>
          <w:noProof/>
        </w:rPr>
        <w:t>spóirí faoi 2030 d’fhonn neodracht ó thaobh na haeráide a bhaint amach</w:t>
      </w:r>
    </w:p>
    <w:p w:rsidR="008D1BAC" w:rsidRDefault="008D1BAC">
      <w:pPr>
        <w:pStyle w:val="ListParagraph"/>
        <w:rPr>
          <w:rFonts w:ascii="Times New Roman" w:hAnsi="Times New Roman" w:cs="Times New Roman"/>
          <w:noProof/>
          <w:sz w:val="24"/>
          <w:szCs w:val="24"/>
        </w:rPr>
      </w:pPr>
    </w:p>
    <w:p w:rsidR="008D1BAC" w:rsidRDefault="00452FBE">
      <w:pPr>
        <w:pStyle w:val="ListParagraph"/>
        <w:rPr>
          <w:rFonts w:ascii="Times New Roman" w:hAnsi="Times New Roman" w:cs="Times New Roman"/>
          <w:i/>
          <w:noProof/>
          <w:sz w:val="24"/>
          <w:szCs w:val="24"/>
        </w:rPr>
      </w:pPr>
      <w:r>
        <w:rPr>
          <w:rFonts w:ascii="Times New Roman" w:hAnsi="Times New Roman"/>
          <w:i/>
          <w:noProof/>
        </w:rPr>
        <w:t>Tagairt: Airteagal 7(2)(d)</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[6000]</w:t>
            </w:r>
          </w:p>
        </w:tc>
      </w:tr>
    </w:tbl>
    <w:p w:rsidR="008D1BAC" w:rsidRDefault="008D1BAC">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8D1BAC">
        <w:trPr>
          <w:trHeight w:val="699"/>
        </w:trPr>
        <w:tc>
          <w:tcPr>
            <w:tcW w:w="9288" w:type="dxa"/>
          </w:tcPr>
          <w:p w:rsidR="008D1BAC" w:rsidRDefault="00452FBE">
            <w:pPr>
              <w:contextualSpacing/>
              <w:rPr>
                <w:rFonts w:eastAsia="Times New Roman"/>
                <w:i/>
                <w:noProof/>
                <w:szCs w:val="24"/>
              </w:rPr>
            </w:pPr>
            <w:r>
              <w:rPr>
                <w:noProof/>
              </w:rPr>
              <w:t xml:space="preserve">- </w:t>
            </w:r>
            <w:r>
              <w:rPr>
                <w:i/>
                <w:noProof/>
              </w:rPr>
              <w:t xml:space="preserve">Riachtanais forbartha chun aghaidh a thabhairt ar dhúshláin an aistrithe; </w:t>
            </w:r>
          </w:p>
          <w:p w:rsidR="008D1BAC" w:rsidRDefault="00452FBE">
            <w:pPr>
              <w:contextualSpacing/>
              <w:rPr>
                <w:rFonts w:eastAsia="Times New Roman"/>
                <w:noProof/>
                <w:szCs w:val="24"/>
              </w:rPr>
            </w:pPr>
            <w:r>
              <w:rPr>
                <w:i/>
                <w:noProof/>
              </w:rPr>
              <w:t xml:space="preserve">- Cuspóirí agus torthaí a bhfuiltear ag súil leo trí </w:t>
            </w:r>
            <w:r>
              <w:rPr>
                <w:i/>
                <w:noProof/>
              </w:rPr>
              <w:t>thosaíocht CUAC a chur chun feidhme.</w:t>
            </w:r>
            <w:r>
              <w:rPr>
                <w:noProof/>
              </w:rPr>
              <w:t xml:space="preserve"> </w:t>
            </w:r>
          </w:p>
        </w:tc>
      </w:tr>
    </w:tbl>
    <w:p w:rsidR="008D1BAC" w:rsidRDefault="008D1BAC">
      <w:pPr>
        <w:spacing w:before="0" w:after="200" w:line="276" w:lineRule="auto"/>
        <w:ind w:left="2160"/>
        <w:contextualSpacing/>
        <w:rPr>
          <w:rFonts w:eastAsia="Times New Roman" w:cstheme="minorBidi"/>
          <w:noProof/>
          <w:szCs w:val="24"/>
        </w:rPr>
      </w:pPr>
    </w:p>
    <w:p w:rsidR="008D1BAC" w:rsidRDefault="00452FBE">
      <w:pPr>
        <w:pStyle w:val="ListParagraph"/>
        <w:rPr>
          <w:rFonts w:ascii="Times New Roman" w:hAnsi="Times New Roman" w:cs="Times New Roman"/>
          <w:noProof/>
          <w:sz w:val="24"/>
          <w:szCs w:val="24"/>
        </w:rPr>
      </w:pPr>
      <w:r>
        <w:rPr>
          <w:rFonts w:ascii="Times New Roman" w:hAnsi="Times New Roman"/>
          <w:noProof/>
        </w:rPr>
        <w:t xml:space="preserve">2.3. Comhsheasmhacht le straitéisí agus pleananna náisiúnta, réigiúnacha nó críochacha eile </w:t>
      </w:r>
    </w:p>
    <w:p w:rsidR="008D1BAC" w:rsidRDefault="008D1BAC">
      <w:pPr>
        <w:pStyle w:val="ListParagraph"/>
        <w:rPr>
          <w:rFonts w:ascii="Times New Roman" w:hAnsi="Times New Roman" w:cs="Times New Roman"/>
          <w:i/>
          <w:noProof/>
          <w:sz w:val="24"/>
          <w:szCs w:val="24"/>
        </w:rPr>
      </w:pPr>
    </w:p>
    <w:p w:rsidR="008D1BAC" w:rsidRDefault="00452FBE">
      <w:pPr>
        <w:pStyle w:val="ListParagraph"/>
        <w:rPr>
          <w:rFonts w:ascii="Times New Roman" w:hAnsi="Times New Roman" w:cs="Times New Roman"/>
          <w:i/>
          <w:noProof/>
          <w:sz w:val="24"/>
          <w:szCs w:val="24"/>
        </w:rPr>
      </w:pPr>
      <w:r>
        <w:rPr>
          <w:rFonts w:ascii="Times New Roman" w:hAnsi="Times New Roman"/>
          <w:i/>
          <w:noProof/>
        </w:rPr>
        <w:t>Tagairt: Airteagal 7(2)(e)</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[6000]</w:t>
            </w:r>
          </w:p>
        </w:tc>
      </w:tr>
    </w:tbl>
    <w:p w:rsidR="008D1BAC" w:rsidRDefault="008D1BAC">
      <w:pPr>
        <w:spacing w:before="0" w:after="200" w:line="276" w:lineRule="auto"/>
        <w:ind w:left="2160"/>
        <w:contextualSpacing/>
        <w:rPr>
          <w:rFonts w:eastAsia="Times New Roman" w:cstheme="minorBidi"/>
          <w:noProof/>
          <w:szCs w:val="24"/>
        </w:rPr>
      </w:pPr>
    </w:p>
    <w:tbl>
      <w:tblPr>
        <w:tblStyle w:val="TableGrid"/>
        <w:tblW w:w="0" w:type="auto"/>
        <w:tblLook w:val="04A0" w:firstRow="1" w:lastRow="0" w:firstColumn="1" w:lastColumn="0" w:noHBand="0" w:noVBand="1"/>
      </w:tblPr>
      <w:tblGrid>
        <w:gridCol w:w="9288"/>
      </w:tblGrid>
      <w:tr w:rsidR="008D1BAC">
        <w:trPr>
          <w:trHeight w:val="1125"/>
        </w:trPr>
        <w:tc>
          <w:tcPr>
            <w:tcW w:w="9288" w:type="dxa"/>
          </w:tcPr>
          <w:p w:rsidR="008D1BAC" w:rsidRDefault="00452FBE">
            <w:pPr>
              <w:contextualSpacing/>
              <w:rPr>
                <w:rFonts w:eastAsia="Times New Roman"/>
                <w:i/>
                <w:noProof/>
                <w:szCs w:val="24"/>
              </w:rPr>
            </w:pPr>
            <w:r>
              <w:rPr>
                <w:noProof/>
              </w:rPr>
              <w:t xml:space="preserve">- </w:t>
            </w:r>
            <w:r>
              <w:rPr>
                <w:i/>
                <w:noProof/>
              </w:rPr>
              <w:t>Straitéisí um speisialtóireacht chliste;</w:t>
            </w:r>
          </w:p>
          <w:p w:rsidR="008D1BAC" w:rsidRDefault="00452FBE">
            <w:pPr>
              <w:contextualSpacing/>
              <w:rPr>
                <w:rFonts w:eastAsia="Times New Roman"/>
                <w:i/>
                <w:noProof/>
                <w:szCs w:val="24"/>
              </w:rPr>
            </w:pPr>
            <w:r>
              <w:rPr>
                <w:i/>
                <w:noProof/>
              </w:rPr>
              <w:t xml:space="preserve">- Straitéisí críochacha dá dtagraítear in Airteagal 23 de Rialachán (AE) [RFC nua]; </w:t>
            </w:r>
          </w:p>
          <w:p w:rsidR="008D1BAC" w:rsidRDefault="00452FBE">
            <w:pPr>
              <w:contextualSpacing/>
              <w:rPr>
                <w:rFonts w:eastAsia="Times New Roman"/>
                <w:b/>
                <w:noProof/>
                <w:szCs w:val="24"/>
              </w:rPr>
            </w:pPr>
            <w:r>
              <w:rPr>
                <w:i/>
                <w:noProof/>
              </w:rPr>
              <w:t>- Pleananna forbartha réigiúnacha nó náisiúnta eile.</w:t>
            </w:r>
            <w:r>
              <w:rPr>
                <w:b/>
                <w:noProof/>
              </w:rPr>
              <w:t xml:space="preserve"> </w:t>
            </w:r>
          </w:p>
        </w:tc>
      </w:tr>
    </w:tbl>
    <w:p w:rsidR="008D1BAC" w:rsidRDefault="008D1BAC">
      <w:pPr>
        <w:spacing w:before="0" w:after="200" w:line="276" w:lineRule="auto"/>
        <w:ind w:left="2160"/>
        <w:contextualSpacing/>
        <w:rPr>
          <w:rFonts w:eastAsia="Times New Roman" w:cstheme="minorBidi"/>
          <w:noProof/>
          <w:szCs w:val="24"/>
        </w:rPr>
      </w:pPr>
    </w:p>
    <w:p w:rsidR="008D1BAC" w:rsidRDefault="00452FBE">
      <w:pPr>
        <w:pStyle w:val="ListParagraph"/>
        <w:rPr>
          <w:rFonts w:ascii="Times New Roman" w:hAnsi="Times New Roman" w:cs="Times New Roman"/>
          <w:i/>
          <w:noProof/>
          <w:sz w:val="24"/>
          <w:szCs w:val="24"/>
        </w:rPr>
      </w:pPr>
      <w:r>
        <w:rPr>
          <w:rFonts w:ascii="Times New Roman" w:hAnsi="Times New Roman"/>
          <w:noProof/>
        </w:rPr>
        <w:t>2.4. Na cineálacha oibríochtaí atá beartaithe</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[12000]</w:t>
            </w:r>
          </w:p>
        </w:tc>
      </w:tr>
    </w:tbl>
    <w:p w:rsidR="008D1BAC" w:rsidRDefault="008D1BAC">
      <w:pPr>
        <w:pStyle w:val="ListParagraph"/>
        <w:rPr>
          <w:rFonts w:ascii="Times New Roman" w:hAnsi="Times New Roman" w:cs="Times New Roman"/>
          <w:noProof/>
          <w:sz w:val="24"/>
          <w:szCs w:val="24"/>
        </w:rPr>
      </w:pPr>
    </w:p>
    <w:p w:rsidR="008D1BAC" w:rsidRDefault="00452FBE">
      <w:pPr>
        <w:pStyle w:val="ListParagraph"/>
        <w:rPr>
          <w:rFonts w:ascii="Times New Roman" w:hAnsi="Times New Roman" w:cs="Times New Roman"/>
          <w:noProof/>
          <w:sz w:val="24"/>
          <w:szCs w:val="24"/>
        </w:rPr>
      </w:pPr>
      <w:r>
        <w:rPr>
          <w:rFonts w:ascii="Times New Roman" w:hAnsi="Times New Roman"/>
          <w:i/>
          <w:noProof/>
        </w:rPr>
        <w:t>Tagairt: Airteagal 7(2)(g)</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i/>
                <w:noProof/>
                <w:szCs w:val="24"/>
              </w:rPr>
            </w:pPr>
            <w:r>
              <w:rPr>
                <w:i/>
                <w:noProof/>
              </w:rPr>
              <w:t xml:space="preserve">– na cineálacha oibríochtaí atá beartaithe agus an méid a mheastar a rannchuideoidh siad chun tionchar an aistrithe aeráide a mhaolú </w:t>
            </w:r>
          </w:p>
        </w:tc>
      </w:tr>
    </w:tbl>
    <w:p w:rsidR="008D1BAC" w:rsidRDefault="008D1BAC">
      <w:pPr>
        <w:pStyle w:val="ListParagraph"/>
        <w:rPr>
          <w:rFonts w:eastAsia="Times New Roman"/>
          <w:i/>
          <w:noProof/>
          <w:szCs w:val="24"/>
          <w:highlight w:val="yellow"/>
        </w:rPr>
      </w:pPr>
    </w:p>
    <w:p w:rsidR="008D1BAC" w:rsidRDefault="00452FBE">
      <w:pPr>
        <w:pStyle w:val="ListParagraph"/>
        <w:rPr>
          <w:rFonts w:ascii="Times New Roman" w:hAnsi="Times New Roman" w:cs="Times New Roman"/>
          <w:i/>
          <w:noProof/>
          <w:sz w:val="24"/>
          <w:szCs w:val="24"/>
        </w:rPr>
      </w:pPr>
      <w:r>
        <w:rPr>
          <w:rFonts w:ascii="Times New Roman" w:hAnsi="Times New Roman"/>
          <w:i/>
          <w:noProof/>
        </w:rPr>
        <w:t>Tagairt: Airteagal 7(2)(h)</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rFonts w:eastAsia="Times New Roman"/>
                <w:i/>
                <w:noProof/>
                <w:szCs w:val="24"/>
              </w:rPr>
            </w:pPr>
            <w:r>
              <w:rPr>
                <w:i/>
                <w:noProof/>
              </w:rPr>
              <w:t>Le líonadh isteach má thugtar tacaíocht d’infheistíochtaí táirgiúla nach FBManna iad, agus sa</w:t>
            </w:r>
            <w:r>
              <w:rPr>
                <w:i/>
                <w:noProof/>
              </w:rPr>
              <w:t xml:space="preserve"> chás sin amháin: </w:t>
            </w:r>
          </w:p>
          <w:p w:rsidR="008D1BAC" w:rsidRDefault="00452FBE">
            <w:pPr>
              <w:rPr>
                <w:noProof/>
                <w:szCs w:val="24"/>
              </w:rPr>
            </w:pPr>
            <w:r>
              <w:rPr>
                <w:i/>
                <w:noProof/>
              </w:rPr>
              <w:t xml:space="preserve">- liosta uileghabhálach de na hoibríochtaí agus fiontair den sórt sin agus i gcás gach ceann </w:t>
            </w:r>
            <w:r>
              <w:rPr>
                <w:i/>
                <w:noProof/>
              </w:rPr>
              <w:lastRenderedPageBreak/>
              <w:t xml:space="preserve">acu, bonn cirt leis an ngá atá le tacaíocht den sórt sin trí anailís ar bhearnaí a léiríonn go mbeadh líon na gcaillteanas post a bhfuiltear ag </w:t>
            </w:r>
            <w:r>
              <w:rPr>
                <w:i/>
                <w:noProof/>
              </w:rPr>
              <w:t>súil leo níos mó ná líon na bpost a bhfuiltear ag súil leis a chruthófaí in éagmais na hinfheistíochta sin</w:t>
            </w:r>
          </w:p>
        </w:tc>
      </w:tr>
    </w:tbl>
    <w:p w:rsidR="008D1BAC" w:rsidRDefault="008D1BAC">
      <w:pPr>
        <w:spacing w:before="0" w:after="160" w:line="259" w:lineRule="auto"/>
        <w:jc w:val="left"/>
        <w:rPr>
          <w:i/>
          <w:noProof/>
          <w:highlight w:val="yellow"/>
        </w:rPr>
      </w:pPr>
    </w:p>
    <w:p w:rsidR="008D1BAC" w:rsidRDefault="008D1BAC">
      <w:pPr>
        <w:spacing w:before="0" w:after="200" w:line="276" w:lineRule="auto"/>
        <w:ind w:left="1800"/>
        <w:contextualSpacing/>
        <w:rPr>
          <w:i/>
          <w:noProof/>
          <w:highlight w:val="yellow"/>
        </w:rPr>
      </w:pPr>
    </w:p>
    <w:p w:rsidR="008D1BAC" w:rsidRDefault="00452FBE">
      <w:pPr>
        <w:spacing w:before="0" w:after="200" w:line="360" w:lineRule="auto"/>
        <w:ind w:firstLine="720"/>
        <w:contextualSpacing/>
        <w:rPr>
          <w:noProof/>
        </w:rPr>
      </w:pPr>
      <w:r>
        <w:rPr>
          <w:i/>
          <w:noProof/>
        </w:rPr>
        <w:t>Tagairt: Airteagal 7(2)(i)</w:t>
      </w:r>
      <w:r>
        <w:rPr>
          <w:noProof/>
        </w:rPr>
        <w:t>;</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i/>
                <w:noProof/>
                <w:szCs w:val="24"/>
              </w:rPr>
            </w:pPr>
            <w:r>
              <w:rPr>
                <w:i/>
                <w:noProof/>
              </w:rPr>
              <w:t xml:space="preserve">Le líonadh má thugtar tacaíocht d’infheistíochtaí chun an laghdú ar astaíochtaí gás ceaptha teasa ó na gníomhaíochtaí a liostaítear in Iarscríbhinn I a ghabhann le Treoir 2003/87/CE a bhaint amach, agus sa chás sin amháin: </w:t>
            </w:r>
          </w:p>
          <w:p w:rsidR="008D1BAC" w:rsidRDefault="00452FBE">
            <w:pPr>
              <w:rPr>
                <w:noProof/>
                <w:szCs w:val="24"/>
              </w:rPr>
            </w:pPr>
            <w:r>
              <w:rPr>
                <w:i/>
                <w:noProof/>
              </w:rPr>
              <w:t>- liosta uileghabhálach d’oibrío</w:t>
            </w:r>
            <w:r>
              <w:rPr>
                <w:i/>
                <w:noProof/>
              </w:rPr>
              <w:t>chtaí a dtabharfar tacaíocht dóibh agus réasúnú go rannchuidíonn siad leis an aistriú chuig geilleagar a bheidh neodrach ó thaobh na haeráide de agus go mbeidh laghduithe suntasacha ar astaíochtaí gás ceaptha teasa mar thoradh leo a rachaidh faoi bhun na d</w:t>
            </w:r>
            <w:r>
              <w:rPr>
                <w:i/>
                <w:noProof/>
              </w:rPr>
              <w:t xml:space="preserve">tagarmharcanna ábhartha a úsáidtear don leithdháileadh saor in aisce faoi Threoir 2003/87/CE agus ar choinníoll go bhfuil siad riachtanach chun líon suntasach post a chosaint </w:t>
            </w:r>
          </w:p>
        </w:tc>
      </w:tr>
    </w:tbl>
    <w:p w:rsidR="008D1BAC" w:rsidRDefault="008D1BAC">
      <w:pPr>
        <w:spacing w:before="0" w:after="200" w:line="276" w:lineRule="auto"/>
        <w:ind w:left="1800"/>
        <w:contextualSpacing/>
        <w:rPr>
          <w:noProof/>
          <w:highlight w:val="yellow"/>
        </w:rPr>
      </w:pPr>
    </w:p>
    <w:p w:rsidR="008D1BAC" w:rsidRDefault="008D1BAC">
      <w:pPr>
        <w:spacing w:before="0" w:after="200" w:line="276" w:lineRule="auto"/>
        <w:ind w:left="1800"/>
        <w:contextualSpacing/>
        <w:rPr>
          <w:noProof/>
          <w:highlight w:val="yellow"/>
        </w:rPr>
      </w:pPr>
    </w:p>
    <w:p w:rsidR="008D1BAC" w:rsidRDefault="00452FBE">
      <w:pPr>
        <w:spacing w:before="0" w:after="200" w:line="360" w:lineRule="auto"/>
        <w:ind w:firstLine="720"/>
        <w:contextualSpacing/>
        <w:rPr>
          <w:noProof/>
        </w:rPr>
      </w:pPr>
      <w:r>
        <w:rPr>
          <w:i/>
          <w:noProof/>
        </w:rPr>
        <w:t>Tagairt: Airteagal 7(2)(j)</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i/>
                <w:noProof/>
                <w:szCs w:val="24"/>
              </w:rPr>
            </w:pPr>
            <w:r>
              <w:rPr>
                <w:i/>
                <w:noProof/>
              </w:rPr>
              <w:t>- sineirgí agus comhlántachtaí na n-oibríochtaí at</w:t>
            </w:r>
            <w:r>
              <w:rPr>
                <w:i/>
                <w:noProof/>
              </w:rPr>
              <w:t>á beartaithe le cláir eile faoi sprioc na hInfheistíochta le haghaidh post agus fáis (a thacaíonn le próiseas an aistrithe), le hionstraimí maoiniúcháin eile (an Ciste um Nuachóiriú ar Thrádáil Astaíochtaí an Aontais) agus le colúin eile an tSásra um Aistr</w:t>
            </w:r>
            <w:r>
              <w:rPr>
                <w:i/>
                <w:noProof/>
              </w:rPr>
              <w:t>iú Cóir (an scéim thiomnaithe faoi InvestEU agus saoráid iasachta na hearnála poiblí leis an mBanc Eorpach Infheistíochta) chun aghaidh a thabhairt ar riachtanais shainaitheanta infheistíochta</w:t>
            </w:r>
          </w:p>
        </w:tc>
      </w:tr>
    </w:tbl>
    <w:p w:rsidR="008D1BAC" w:rsidRDefault="008D1BAC">
      <w:pPr>
        <w:spacing w:before="0" w:after="200" w:line="276" w:lineRule="auto"/>
        <w:ind w:left="1800"/>
        <w:contextualSpacing/>
        <w:rPr>
          <w:rFonts w:eastAsia="Times New Roman" w:cstheme="minorBidi"/>
          <w:noProof/>
          <w:szCs w:val="24"/>
          <w:highlight w:val="yellow"/>
        </w:rPr>
      </w:pPr>
    </w:p>
    <w:p w:rsidR="008D1BAC" w:rsidRDefault="00452FBE">
      <w:pPr>
        <w:pStyle w:val="ListParagraph"/>
        <w:rPr>
          <w:rFonts w:ascii="Times New Roman" w:hAnsi="Times New Roman" w:cs="Times New Roman"/>
          <w:noProof/>
          <w:sz w:val="24"/>
          <w:szCs w:val="24"/>
        </w:rPr>
      </w:pPr>
      <w:r>
        <w:rPr>
          <w:rFonts w:ascii="Times New Roman" w:hAnsi="Times New Roman"/>
          <w:noProof/>
        </w:rPr>
        <w:t>2.5. Táscairí aschuir nó toraidh atá clár-shonrach</w:t>
      </w:r>
    </w:p>
    <w:p w:rsidR="008D1BAC" w:rsidRDefault="00452FBE">
      <w:pPr>
        <w:spacing w:before="0" w:after="200" w:line="276" w:lineRule="auto"/>
        <w:ind w:firstLine="720"/>
        <w:contextualSpacing/>
        <w:rPr>
          <w:rFonts w:eastAsia="Times New Roman" w:cstheme="minorBidi"/>
          <w:noProof/>
          <w:szCs w:val="24"/>
        </w:rPr>
      </w:pPr>
      <w:r>
        <w:rPr>
          <w:i/>
          <w:noProof/>
        </w:rPr>
        <w:t>Tagairt: A</w:t>
      </w:r>
      <w:r>
        <w:rPr>
          <w:i/>
          <w:noProof/>
        </w:rPr>
        <w:t>irteagal 8(1)</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rFonts w:eastAsia="Times New Roman"/>
                <w:i/>
                <w:noProof/>
                <w:szCs w:val="24"/>
              </w:rPr>
            </w:pPr>
            <w:r>
              <w:rPr>
                <w:i/>
                <w:noProof/>
              </w:rPr>
              <w:t>Le líonadh isteach má tá táscairí clár-shonracha beartaithe, agus sa chás sin amháin:</w:t>
            </w:r>
          </w:p>
          <w:p w:rsidR="008D1BAC" w:rsidRDefault="00452FBE">
            <w:pPr>
              <w:rPr>
                <w:i/>
                <w:noProof/>
                <w:szCs w:val="24"/>
              </w:rPr>
            </w:pPr>
            <w:r>
              <w:rPr>
                <w:i/>
                <w:noProof/>
              </w:rPr>
              <w:t xml:space="preserve">- réasúnú go bhfuil gá le táscairí aschuir nó toraidh clár-shonracha bunaithe ar na cineálacha oibríochtaí atá beartaithe </w:t>
            </w:r>
          </w:p>
        </w:tc>
      </w:tr>
    </w:tbl>
    <w:p w:rsidR="008D1BAC" w:rsidRDefault="008D1BAC">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849"/>
        <w:gridCol w:w="1106"/>
        <w:gridCol w:w="1883"/>
        <w:gridCol w:w="1482"/>
        <w:gridCol w:w="1497"/>
        <w:gridCol w:w="1472"/>
      </w:tblGrid>
      <w:tr w:rsidR="008D1BAC">
        <w:tc>
          <w:tcPr>
            <w:tcW w:w="9288" w:type="dxa"/>
            <w:gridSpan w:val="6"/>
          </w:tcPr>
          <w:p w:rsidR="008D1BAC" w:rsidRDefault="00452FBE">
            <w:pPr>
              <w:rPr>
                <w:b/>
                <w:noProof/>
                <w:sz w:val="18"/>
                <w:szCs w:val="18"/>
              </w:rPr>
            </w:pPr>
            <w:r>
              <w:rPr>
                <w:b/>
                <w:noProof/>
                <w:sz w:val="18"/>
                <w:szCs w:val="18"/>
              </w:rPr>
              <w:t>Tábla 1. Táscairí aschuir</w:t>
            </w:r>
          </w:p>
        </w:tc>
      </w:tr>
      <w:tr w:rsidR="008D1BAC">
        <w:trPr>
          <w:trHeight w:val="699"/>
        </w:trPr>
        <w:tc>
          <w:tcPr>
            <w:tcW w:w="1951" w:type="dxa"/>
          </w:tcPr>
          <w:p w:rsidR="008D1BAC" w:rsidRDefault="00452FBE">
            <w:pPr>
              <w:rPr>
                <w:b/>
                <w:noProof/>
                <w:sz w:val="18"/>
                <w:szCs w:val="18"/>
              </w:rPr>
            </w:pPr>
            <w:r>
              <w:rPr>
                <w:b/>
                <w:noProof/>
                <w:sz w:val="18"/>
                <w:szCs w:val="18"/>
              </w:rPr>
              <w:t>Cuspóir sonrach</w:t>
            </w:r>
          </w:p>
        </w:tc>
        <w:tc>
          <w:tcPr>
            <w:tcW w:w="709" w:type="dxa"/>
          </w:tcPr>
          <w:p w:rsidR="008D1BAC" w:rsidRDefault="00452FBE">
            <w:pPr>
              <w:rPr>
                <w:b/>
                <w:noProof/>
                <w:sz w:val="18"/>
                <w:szCs w:val="18"/>
              </w:rPr>
            </w:pPr>
            <w:r>
              <w:rPr>
                <w:b/>
                <w:noProof/>
                <w:sz w:val="18"/>
                <w:szCs w:val="18"/>
              </w:rPr>
              <w:t>Aitheantóir [5]</w:t>
            </w:r>
          </w:p>
        </w:tc>
        <w:tc>
          <w:tcPr>
            <w:tcW w:w="1984" w:type="dxa"/>
          </w:tcPr>
          <w:p w:rsidR="008D1BAC" w:rsidRDefault="00452FBE">
            <w:pPr>
              <w:rPr>
                <w:b/>
                <w:noProof/>
                <w:sz w:val="18"/>
                <w:szCs w:val="18"/>
              </w:rPr>
            </w:pPr>
            <w:r>
              <w:rPr>
                <w:b/>
                <w:noProof/>
                <w:sz w:val="18"/>
                <w:szCs w:val="18"/>
              </w:rPr>
              <w:t>Táscaire [255]</w:t>
            </w:r>
          </w:p>
        </w:tc>
        <w:tc>
          <w:tcPr>
            <w:tcW w:w="1548" w:type="dxa"/>
          </w:tcPr>
          <w:p w:rsidR="008D1BAC" w:rsidRDefault="00452FBE">
            <w:pPr>
              <w:rPr>
                <w:b/>
                <w:noProof/>
                <w:sz w:val="18"/>
                <w:szCs w:val="18"/>
              </w:rPr>
            </w:pPr>
            <w:r>
              <w:rPr>
                <w:b/>
                <w:noProof/>
                <w:sz w:val="18"/>
                <w:szCs w:val="18"/>
              </w:rPr>
              <w:t>Aonad tomhais</w:t>
            </w:r>
          </w:p>
        </w:tc>
        <w:tc>
          <w:tcPr>
            <w:tcW w:w="1548" w:type="dxa"/>
          </w:tcPr>
          <w:p w:rsidR="008D1BAC" w:rsidRDefault="00452FBE">
            <w:pPr>
              <w:rPr>
                <w:b/>
                <w:noProof/>
                <w:sz w:val="18"/>
                <w:szCs w:val="18"/>
              </w:rPr>
            </w:pPr>
            <w:r>
              <w:rPr>
                <w:b/>
                <w:noProof/>
                <w:sz w:val="18"/>
                <w:szCs w:val="18"/>
              </w:rPr>
              <w:t>Garsprioc (2024)</w:t>
            </w:r>
          </w:p>
        </w:tc>
        <w:tc>
          <w:tcPr>
            <w:tcW w:w="1548" w:type="dxa"/>
          </w:tcPr>
          <w:p w:rsidR="008D1BAC" w:rsidRDefault="00452FBE">
            <w:pPr>
              <w:rPr>
                <w:b/>
                <w:noProof/>
                <w:sz w:val="18"/>
                <w:szCs w:val="18"/>
              </w:rPr>
            </w:pPr>
            <w:r>
              <w:rPr>
                <w:b/>
                <w:noProof/>
                <w:sz w:val="18"/>
                <w:szCs w:val="18"/>
              </w:rPr>
              <w:t>Sprioc (2029)</w:t>
            </w:r>
          </w:p>
        </w:tc>
      </w:tr>
      <w:tr w:rsidR="008D1BAC">
        <w:tc>
          <w:tcPr>
            <w:tcW w:w="1951" w:type="dxa"/>
          </w:tcPr>
          <w:p w:rsidR="008D1BAC" w:rsidRDefault="008D1BAC">
            <w:pPr>
              <w:rPr>
                <w:noProof/>
                <w:sz w:val="18"/>
                <w:szCs w:val="18"/>
              </w:rPr>
            </w:pPr>
          </w:p>
        </w:tc>
        <w:tc>
          <w:tcPr>
            <w:tcW w:w="709" w:type="dxa"/>
          </w:tcPr>
          <w:p w:rsidR="008D1BAC" w:rsidRDefault="008D1BAC">
            <w:pPr>
              <w:rPr>
                <w:noProof/>
                <w:sz w:val="18"/>
                <w:szCs w:val="18"/>
              </w:rPr>
            </w:pPr>
          </w:p>
        </w:tc>
        <w:tc>
          <w:tcPr>
            <w:tcW w:w="1984" w:type="dxa"/>
          </w:tcPr>
          <w:p w:rsidR="008D1BAC" w:rsidRDefault="008D1BAC">
            <w:pPr>
              <w:rPr>
                <w:noProof/>
                <w:sz w:val="18"/>
                <w:szCs w:val="18"/>
              </w:rPr>
            </w:pPr>
          </w:p>
        </w:tc>
        <w:tc>
          <w:tcPr>
            <w:tcW w:w="1548" w:type="dxa"/>
          </w:tcPr>
          <w:p w:rsidR="008D1BAC" w:rsidRDefault="008D1BAC">
            <w:pPr>
              <w:rPr>
                <w:noProof/>
                <w:sz w:val="18"/>
                <w:szCs w:val="18"/>
              </w:rPr>
            </w:pPr>
          </w:p>
        </w:tc>
        <w:tc>
          <w:tcPr>
            <w:tcW w:w="1548" w:type="dxa"/>
          </w:tcPr>
          <w:p w:rsidR="008D1BAC" w:rsidRDefault="008D1BAC">
            <w:pPr>
              <w:rPr>
                <w:noProof/>
                <w:sz w:val="18"/>
                <w:szCs w:val="18"/>
              </w:rPr>
            </w:pPr>
          </w:p>
        </w:tc>
        <w:tc>
          <w:tcPr>
            <w:tcW w:w="1548" w:type="dxa"/>
          </w:tcPr>
          <w:p w:rsidR="008D1BAC" w:rsidRDefault="008D1BAC">
            <w:pPr>
              <w:rPr>
                <w:noProof/>
                <w:sz w:val="18"/>
                <w:szCs w:val="18"/>
              </w:rPr>
            </w:pPr>
          </w:p>
        </w:tc>
      </w:tr>
    </w:tbl>
    <w:p w:rsidR="008D1BAC" w:rsidRDefault="008D1BAC">
      <w:pPr>
        <w:spacing w:before="0" w:after="200" w:line="276" w:lineRule="auto"/>
        <w:ind w:left="1800"/>
        <w:contextualSpacing/>
        <w:rPr>
          <w:rFonts w:eastAsia="Times New Roman" w:cstheme="minorBidi"/>
          <w:noProof/>
          <w:szCs w:val="24"/>
          <w:highlight w:val="yellow"/>
        </w:rPr>
      </w:pPr>
    </w:p>
    <w:p w:rsidR="008D1BAC" w:rsidRDefault="008D1BAC">
      <w:pPr>
        <w:spacing w:before="0" w:after="200" w:line="276" w:lineRule="auto"/>
        <w:ind w:left="1800"/>
        <w:contextualSpacing/>
        <w:rPr>
          <w:rFonts w:eastAsia="Times New Roman" w:cstheme="minorBidi"/>
          <w:noProof/>
          <w:szCs w:val="24"/>
          <w:highlight w:val="yellow"/>
        </w:rPr>
      </w:pPr>
    </w:p>
    <w:p w:rsidR="008D1BAC" w:rsidRDefault="008D1BAC">
      <w:pPr>
        <w:spacing w:before="0" w:after="200" w:line="276" w:lineRule="auto"/>
        <w:ind w:left="1800"/>
        <w:contextualSpacing/>
        <w:rPr>
          <w:rFonts w:eastAsia="Times New Roman" w:cstheme="minorBidi"/>
          <w:noProof/>
          <w:szCs w:val="24"/>
          <w:highlight w:val="yellow"/>
        </w:rPr>
      </w:pPr>
    </w:p>
    <w:p w:rsidR="008D1BAC" w:rsidRDefault="008D1BAC">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101"/>
        <w:gridCol w:w="1106"/>
        <w:gridCol w:w="1135"/>
        <w:gridCol w:w="1199"/>
        <w:gridCol w:w="995"/>
        <w:gridCol w:w="1067"/>
        <w:gridCol w:w="898"/>
        <w:gridCol w:w="751"/>
        <w:gridCol w:w="1037"/>
      </w:tblGrid>
      <w:tr w:rsidR="008D1BAC">
        <w:tc>
          <w:tcPr>
            <w:tcW w:w="9288" w:type="dxa"/>
            <w:gridSpan w:val="9"/>
          </w:tcPr>
          <w:p w:rsidR="008D1BAC" w:rsidRDefault="00452FBE">
            <w:pPr>
              <w:rPr>
                <w:b/>
                <w:noProof/>
                <w:sz w:val="18"/>
                <w:szCs w:val="18"/>
              </w:rPr>
            </w:pPr>
            <w:r>
              <w:rPr>
                <w:b/>
                <w:noProof/>
                <w:sz w:val="18"/>
                <w:szCs w:val="18"/>
              </w:rPr>
              <w:lastRenderedPageBreak/>
              <w:t>Tábla 2. Táscairí toraidh</w:t>
            </w:r>
          </w:p>
        </w:tc>
      </w:tr>
      <w:tr w:rsidR="008D1BAC">
        <w:trPr>
          <w:trHeight w:val="699"/>
        </w:trPr>
        <w:tc>
          <w:tcPr>
            <w:tcW w:w="1212" w:type="dxa"/>
          </w:tcPr>
          <w:p w:rsidR="008D1BAC" w:rsidRDefault="00452FBE">
            <w:pPr>
              <w:rPr>
                <w:b/>
                <w:noProof/>
                <w:sz w:val="18"/>
                <w:szCs w:val="18"/>
              </w:rPr>
            </w:pPr>
            <w:r>
              <w:rPr>
                <w:b/>
                <w:noProof/>
                <w:sz w:val="18"/>
                <w:szCs w:val="18"/>
              </w:rPr>
              <w:t>Cuspóir sonrach</w:t>
            </w:r>
          </w:p>
        </w:tc>
        <w:tc>
          <w:tcPr>
            <w:tcW w:w="509" w:type="dxa"/>
          </w:tcPr>
          <w:p w:rsidR="008D1BAC" w:rsidRDefault="00452FBE">
            <w:pPr>
              <w:rPr>
                <w:b/>
                <w:noProof/>
                <w:sz w:val="18"/>
                <w:szCs w:val="18"/>
              </w:rPr>
            </w:pPr>
            <w:r>
              <w:rPr>
                <w:b/>
                <w:noProof/>
                <w:sz w:val="18"/>
                <w:szCs w:val="18"/>
              </w:rPr>
              <w:t>Aitheantóir [5]</w:t>
            </w:r>
          </w:p>
        </w:tc>
        <w:tc>
          <w:tcPr>
            <w:tcW w:w="1244" w:type="dxa"/>
          </w:tcPr>
          <w:p w:rsidR="008D1BAC" w:rsidRDefault="00452FBE">
            <w:pPr>
              <w:rPr>
                <w:b/>
                <w:noProof/>
                <w:sz w:val="18"/>
                <w:szCs w:val="18"/>
              </w:rPr>
            </w:pPr>
            <w:r>
              <w:rPr>
                <w:b/>
                <w:noProof/>
                <w:sz w:val="18"/>
                <w:szCs w:val="18"/>
              </w:rPr>
              <w:t>Táscaire [255]</w:t>
            </w:r>
          </w:p>
        </w:tc>
        <w:tc>
          <w:tcPr>
            <w:tcW w:w="1356" w:type="dxa"/>
          </w:tcPr>
          <w:p w:rsidR="008D1BAC" w:rsidRDefault="00452FBE">
            <w:pPr>
              <w:rPr>
                <w:b/>
                <w:noProof/>
                <w:sz w:val="18"/>
                <w:szCs w:val="18"/>
              </w:rPr>
            </w:pPr>
            <w:r>
              <w:rPr>
                <w:b/>
                <w:noProof/>
                <w:sz w:val="18"/>
                <w:szCs w:val="18"/>
              </w:rPr>
              <w:t>Aonad tomhais</w:t>
            </w:r>
          </w:p>
        </w:tc>
        <w:tc>
          <w:tcPr>
            <w:tcW w:w="1032" w:type="dxa"/>
          </w:tcPr>
          <w:p w:rsidR="008D1BAC" w:rsidRDefault="00452FBE">
            <w:pPr>
              <w:rPr>
                <w:b/>
                <w:noProof/>
                <w:sz w:val="18"/>
                <w:szCs w:val="18"/>
              </w:rPr>
            </w:pPr>
            <w:r>
              <w:rPr>
                <w:b/>
                <w:noProof/>
                <w:sz w:val="18"/>
                <w:szCs w:val="18"/>
              </w:rPr>
              <w:t>Bonnlíne nó luach tagartha</w:t>
            </w:r>
          </w:p>
        </w:tc>
        <w:tc>
          <w:tcPr>
            <w:tcW w:w="1148" w:type="dxa"/>
          </w:tcPr>
          <w:p w:rsidR="008D1BAC" w:rsidRDefault="00452FBE">
            <w:pPr>
              <w:rPr>
                <w:b/>
                <w:noProof/>
                <w:sz w:val="18"/>
                <w:szCs w:val="18"/>
              </w:rPr>
            </w:pPr>
            <w:r>
              <w:rPr>
                <w:b/>
                <w:noProof/>
                <w:sz w:val="18"/>
                <w:szCs w:val="18"/>
              </w:rPr>
              <w:t>Bliain tagartha</w:t>
            </w:r>
          </w:p>
        </w:tc>
        <w:tc>
          <w:tcPr>
            <w:tcW w:w="975" w:type="dxa"/>
          </w:tcPr>
          <w:p w:rsidR="008D1BAC" w:rsidRDefault="00452FBE">
            <w:pPr>
              <w:rPr>
                <w:b/>
                <w:noProof/>
                <w:sz w:val="18"/>
                <w:szCs w:val="18"/>
              </w:rPr>
            </w:pPr>
            <w:r>
              <w:rPr>
                <w:b/>
                <w:noProof/>
                <w:sz w:val="18"/>
                <w:szCs w:val="18"/>
              </w:rPr>
              <w:t>Sprioc (2029)</w:t>
            </w:r>
          </w:p>
        </w:tc>
        <w:tc>
          <w:tcPr>
            <w:tcW w:w="766" w:type="dxa"/>
          </w:tcPr>
          <w:p w:rsidR="008D1BAC" w:rsidRDefault="00452FBE">
            <w:pPr>
              <w:rPr>
                <w:b/>
                <w:noProof/>
                <w:sz w:val="18"/>
                <w:szCs w:val="18"/>
              </w:rPr>
            </w:pPr>
            <w:r>
              <w:rPr>
                <w:b/>
                <w:noProof/>
                <w:sz w:val="18"/>
                <w:szCs w:val="18"/>
              </w:rPr>
              <w:t xml:space="preserve">Foinse </w:t>
            </w:r>
            <w:r>
              <w:rPr>
                <w:b/>
                <w:noProof/>
                <w:sz w:val="18"/>
                <w:szCs w:val="18"/>
              </w:rPr>
              <w:t>na sonraí [200]</w:t>
            </w:r>
          </w:p>
        </w:tc>
        <w:tc>
          <w:tcPr>
            <w:tcW w:w="1046" w:type="dxa"/>
          </w:tcPr>
          <w:p w:rsidR="008D1BAC" w:rsidRDefault="00452FBE">
            <w:pPr>
              <w:rPr>
                <w:b/>
                <w:noProof/>
                <w:sz w:val="18"/>
                <w:szCs w:val="18"/>
              </w:rPr>
            </w:pPr>
            <w:r>
              <w:rPr>
                <w:b/>
                <w:noProof/>
                <w:sz w:val="18"/>
                <w:szCs w:val="18"/>
              </w:rPr>
              <w:t>Barúlacha [200]</w:t>
            </w:r>
          </w:p>
        </w:tc>
      </w:tr>
      <w:tr w:rsidR="008D1BAC">
        <w:tc>
          <w:tcPr>
            <w:tcW w:w="1212" w:type="dxa"/>
          </w:tcPr>
          <w:p w:rsidR="008D1BAC" w:rsidRDefault="008D1BAC">
            <w:pPr>
              <w:rPr>
                <w:noProof/>
                <w:sz w:val="18"/>
                <w:szCs w:val="18"/>
              </w:rPr>
            </w:pPr>
          </w:p>
        </w:tc>
        <w:tc>
          <w:tcPr>
            <w:tcW w:w="509" w:type="dxa"/>
          </w:tcPr>
          <w:p w:rsidR="008D1BAC" w:rsidRDefault="008D1BAC">
            <w:pPr>
              <w:rPr>
                <w:noProof/>
                <w:sz w:val="18"/>
                <w:szCs w:val="18"/>
              </w:rPr>
            </w:pPr>
          </w:p>
        </w:tc>
        <w:tc>
          <w:tcPr>
            <w:tcW w:w="1244" w:type="dxa"/>
          </w:tcPr>
          <w:p w:rsidR="008D1BAC" w:rsidRDefault="008D1BAC">
            <w:pPr>
              <w:rPr>
                <w:noProof/>
                <w:sz w:val="18"/>
                <w:szCs w:val="18"/>
              </w:rPr>
            </w:pPr>
          </w:p>
        </w:tc>
        <w:tc>
          <w:tcPr>
            <w:tcW w:w="1356" w:type="dxa"/>
          </w:tcPr>
          <w:p w:rsidR="008D1BAC" w:rsidRDefault="008D1BAC">
            <w:pPr>
              <w:rPr>
                <w:noProof/>
                <w:sz w:val="18"/>
                <w:szCs w:val="18"/>
              </w:rPr>
            </w:pPr>
          </w:p>
        </w:tc>
        <w:tc>
          <w:tcPr>
            <w:tcW w:w="1032" w:type="dxa"/>
          </w:tcPr>
          <w:p w:rsidR="008D1BAC" w:rsidRDefault="008D1BAC">
            <w:pPr>
              <w:rPr>
                <w:noProof/>
                <w:sz w:val="18"/>
                <w:szCs w:val="18"/>
              </w:rPr>
            </w:pPr>
          </w:p>
        </w:tc>
        <w:tc>
          <w:tcPr>
            <w:tcW w:w="1148" w:type="dxa"/>
          </w:tcPr>
          <w:p w:rsidR="008D1BAC" w:rsidRDefault="008D1BAC">
            <w:pPr>
              <w:rPr>
                <w:noProof/>
                <w:sz w:val="18"/>
                <w:szCs w:val="18"/>
              </w:rPr>
            </w:pPr>
          </w:p>
        </w:tc>
        <w:tc>
          <w:tcPr>
            <w:tcW w:w="975" w:type="dxa"/>
          </w:tcPr>
          <w:p w:rsidR="008D1BAC" w:rsidRDefault="008D1BAC">
            <w:pPr>
              <w:rPr>
                <w:noProof/>
                <w:sz w:val="18"/>
                <w:szCs w:val="18"/>
              </w:rPr>
            </w:pPr>
          </w:p>
        </w:tc>
        <w:tc>
          <w:tcPr>
            <w:tcW w:w="766" w:type="dxa"/>
          </w:tcPr>
          <w:p w:rsidR="008D1BAC" w:rsidRDefault="008D1BAC">
            <w:pPr>
              <w:rPr>
                <w:noProof/>
                <w:sz w:val="18"/>
                <w:szCs w:val="18"/>
              </w:rPr>
            </w:pPr>
          </w:p>
        </w:tc>
        <w:tc>
          <w:tcPr>
            <w:tcW w:w="1046" w:type="dxa"/>
          </w:tcPr>
          <w:p w:rsidR="008D1BAC" w:rsidRDefault="008D1BAC">
            <w:pPr>
              <w:rPr>
                <w:noProof/>
                <w:sz w:val="18"/>
                <w:szCs w:val="18"/>
              </w:rPr>
            </w:pPr>
          </w:p>
        </w:tc>
      </w:tr>
    </w:tbl>
    <w:p w:rsidR="008D1BAC" w:rsidRDefault="008D1BAC">
      <w:pPr>
        <w:spacing w:before="0" w:after="200" w:line="276" w:lineRule="auto"/>
        <w:ind w:left="1800"/>
        <w:contextualSpacing/>
        <w:rPr>
          <w:rFonts w:eastAsia="Times New Roman" w:cstheme="minorBidi"/>
          <w:noProof/>
          <w:szCs w:val="24"/>
          <w:highlight w:val="yellow"/>
        </w:rPr>
      </w:pPr>
    </w:p>
    <w:p w:rsidR="008D1BAC" w:rsidRDefault="008D1BAC">
      <w:pPr>
        <w:spacing w:before="0" w:after="200" w:line="276" w:lineRule="auto"/>
        <w:ind w:left="1800"/>
        <w:contextualSpacing/>
        <w:rPr>
          <w:rFonts w:eastAsia="Times New Roman" w:cstheme="minorBidi"/>
          <w:i/>
          <w:noProof/>
          <w:szCs w:val="24"/>
          <w:highlight w:val="yellow"/>
        </w:rPr>
      </w:pPr>
    </w:p>
    <w:p w:rsidR="008D1BAC" w:rsidRDefault="00452FBE">
      <w:pPr>
        <w:numPr>
          <w:ilvl w:val="0"/>
          <w:numId w:val="1"/>
        </w:numPr>
        <w:spacing w:before="0" w:after="200" w:line="276" w:lineRule="auto"/>
        <w:jc w:val="left"/>
        <w:rPr>
          <w:rFonts w:eastAsia="Times New Roman"/>
          <w:b/>
          <w:i/>
          <w:noProof/>
          <w:szCs w:val="24"/>
        </w:rPr>
      </w:pPr>
      <w:r>
        <w:rPr>
          <w:b/>
          <w:noProof/>
        </w:rPr>
        <w:t xml:space="preserve">Sásraí rialachais </w:t>
      </w:r>
    </w:p>
    <w:p w:rsidR="008D1BAC" w:rsidRDefault="00452FBE">
      <w:pPr>
        <w:spacing w:before="0" w:after="200" w:line="276" w:lineRule="auto"/>
        <w:ind w:left="502"/>
        <w:jc w:val="left"/>
        <w:rPr>
          <w:rFonts w:eastAsia="Times New Roman"/>
          <w:i/>
          <w:noProof/>
          <w:szCs w:val="24"/>
        </w:rPr>
      </w:pPr>
      <w:r>
        <w:rPr>
          <w:i/>
          <w:noProof/>
        </w:rPr>
        <w:t>Tagairt: Airteagal 7(2)(f)</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Réimse téacs [5000]</w:t>
            </w:r>
          </w:p>
        </w:tc>
      </w:tr>
    </w:tbl>
    <w:p w:rsidR="008D1BAC" w:rsidRDefault="008D1BAC">
      <w:pPr>
        <w:spacing w:before="0" w:after="200" w:line="276" w:lineRule="auto"/>
        <w:ind w:left="502"/>
        <w:jc w:val="left"/>
        <w:rPr>
          <w:rFonts w:eastAsia="Times New Roman"/>
          <w:b/>
          <w:i/>
          <w:noProof/>
          <w:szCs w:val="24"/>
        </w:rPr>
      </w:pPr>
    </w:p>
    <w:p w:rsidR="008D1BAC" w:rsidRDefault="008D1BAC">
      <w:pPr>
        <w:spacing w:before="0" w:after="200" w:line="276" w:lineRule="auto"/>
        <w:ind w:left="502"/>
        <w:jc w:val="left"/>
        <w:rPr>
          <w:rFonts w:eastAsia="Times New Roman"/>
          <w:b/>
          <w:i/>
          <w:noProof/>
          <w:szCs w:val="24"/>
        </w:rPr>
      </w:pPr>
    </w:p>
    <w:p w:rsidR="008D1BAC" w:rsidRDefault="00452FBE">
      <w:pPr>
        <w:pStyle w:val="ListParagraph"/>
        <w:rPr>
          <w:rFonts w:ascii="Times New Roman" w:hAnsi="Times New Roman" w:cs="Times New Roman"/>
          <w:i/>
          <w:noProof/>
          <w:sz w:val="24"/>
          <w:szCs w:val="24"/>
        </w:rPr>
      </w:pPr>
      <w:r>
        <w:rPr>
          <w:rFonts w:ascii="Times New Roman" w:hAnsi="Times New Roman"/>
          <w:i/>
          <w:noProof/>
        </w:rPr>
        <w:t>3.1. Comhpháirtíocht</w:t>
      </w:r>
    </w:p>
    <w:tbl>
      <w:tblPr>
        <w:tblStyle w:val="TableGrid"/>
        <w:tblW w:w="0" w:type="auto"/>
        <w:tblLook w:val="04A0" w:firstRow="1" w:lastRow="0" w:firstColumn="1" w:lastColumn="0" w:noHBand="0" w:noVBand="1"/>
      </w:tblPr>
      <w:tblGrid>
        <w:gridCol w:w="9288"/>
      </w:tblGrid>
      <w:tr w:rsidR="008D1BAC">
        <w:tc>
          <w:tcPr>
            <w:tcW w:w="9288" w:type="dxa"/>
          </w:tcPr>
          <w:p w:rsidR="008D1BAC" w:rsidRDefault="00452FBE">
            <w:pPr>
              <w:rPr>
                <w:rFonts w:eastAsia="Times New Roman"/>
                <w:i/>
                <w:noProof/>
                <w:szCs w:val="24"/>
              </w:rPr>
            </w:pPr>
            <w:r>
              <w:rPr>
                <w:i/>
                <w:noProof/>
              </w:rPr>
              <w:t>- Socruithe chun go mbeadh rannpháirtíocht ag comhpháirtithe in ullmhú, cur chun feidhme, faireachán agus meastóireacht a</w:t>
            </w:r>
            <w:r>
              <w:rPr>
                <w:i/>
                <w:noProof/>
              </w:rPr>
              <w:t xml:space="preserve"> dhéanamh ar an bplean críochach um aistriú cóir;</w:t>
            </w:r>
          </w:p>
          <w:p w:rsidR="008D1BAC" w:rsidRDefault="00452FBE">
            <w:pPr>
              <w:rPr>
                <w:rFonts w:eastAsia="Times New Roman"/>
                <w:i/>
                <w:noProof/>
                <w:szCs w:val="24"/>
              </w:rPr>
            </w:pPr>
            <w:r>
              <w:rPr>
                <w:i/>
                <w:noProof/>
              </w:rPr>
              <w:t xml:space="preserve">– An toradh ar an gcomhairliúchán poiblí. </w:t>
            </w:r>
          </w:p>
        </w:tc>
      </w:tr>
    </w:tbl>
    <w:p w:rsidR="008D1BAC" w:rsidRDefault="008D1BAC">
      <w:pPr>
        <w:pStyle w:val="ListParagraph"/>
        <w:rPr>
          <w:rFonts w:ascii="Times New Roman" w:hAnsi="Times New Roman" w:cs="Times New Roman"/>
          <w:noProof/>
          <w:sz w:val="24"/>
          <w:szCs w:val="24"/>
        </w:rPr>
      </w:pPr>
    </w:p>
    <w:p w:rsidR="008D1BAC" w:rsidRDefault="00452FBE">
      <w:pPr>
        <w:pStyle w:val="ListParagraph"/>
        <w:rPr>
          <w:rFonts w:ascii="Times New Roman" w:hAnsi="Times New Roman" w:cs="Times New Roman"/>
          <w:noProof/>
          <w:sz w:val="24"/>
          <w:szCs w:val="24"/>
        </w:rPr>
      </w:pPr>
      <w:r>
        <w:rPr>
          <w:rFonts w:ascii="Times New Roman" w:hAnsi="Times New Roman"/>
          <w:i/>
          <w:noProof/>
        </w:rPr>
        <w:t>3.2. Faireachán agus meastóireacht</w:t>
      </w:r>
      <w:r>
        <w:rPr>
          <w:rFonts w:ascii="Times New Roman" w:hAnsi="Times New Roman"/>
          <w:noProof/>
        </w:rPr>
        <w:t xml:space="preserve"> </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i/>
                <w:noProof/>
              </w:rPr>
            </w:pPr>
            <w:r>
              <w:rPr>
                <w:i/>
                <w:noProof/>
              </w:rPr>
              <w:t>- Bearta faireacháin agus meastóireachta atá beartaithe, lena n-áirítear táscairí chun cumas an phlean a chuspóirí a bhaint a</w:t>
            </w:r>
            <w:r>
              <w:rPr>
                <w:i/>
                <w:noProof/>
              </w:rPr>
              <w:t>mach a thomhas</w:t>
            </w:r>
          </w:p>
        </w:tc>
      </w:tr>
    </w:tbl>
    <w:p w:rsidR="008D1BAC" w:rsidRDefault="008D1BAC">
      <w:pPr>
        <w:pStyle w:val="ListParagraph"/>
        <w:rPr>
          <w:rFonts w:eastAsia="Times New Roman"/>
          <w:noProof/>
          <w:szCs w:val="24"/>
        </w:rPr>
      </w:pPr>
    </w:p>
    <w:p w:rsidR="008D1BAC" w:rsidRDefault="00452FBE">
      <w:pPr>
        <w:pStyle w:val="ListParagraph"/>
        <w:rPr>
          <w:rFonts w:ascii="Times New Roman" w:eastAsia="Times New Roman" w:hAnsi="Times New Roman" w:cs="Times New Roman"/>
          <w:i/>
          <w:noProof/>
          <w:sz w:val="24"/>
          <w:szCs w:val="24"/>
        </w:rPr>
      </w:pPr>
      <w:r>
        <w:rPr>
          <w:rFonts w:ascii="Times New Roman" w:hAnsi="Times New Roman"/>
          <w:i/>
          <w:noProof/>
        </w:rPr>
        <w:t xml:space="preserve">3.3. Comhlacht/comhlachtaí comhordaithe agus faireacháin </w:t>
      </w:r>
    </w:p>
    <w:tbl>
      <w:tblPr>
        <w:tblStyle w:val="TableGrid"/>
        <w:tblW w:w="0" w:type="auto"/>
        <w:tblLook w:val="04A0" w:firstRow="1" w:lastRow="0" w:firstColumn="1" w:lastColumn="0" w:noHBand="0" w:noVBand="1"/>
      </w:tblPr>
      <w:tblGrid>
        <w:gridCol w:w="9288"/>
      </w:tblGrid>
      <w:tr w:rsidR="008D1BAC">
        <w:trPr>
          <w:trHeight w:val="306"/>
        </w:trPr>
        <w:tc>
          <w:tcPr>
            <w:tcW w:w="9288" w:type="dxa"/>
          </w:tcPr>
          <w:p w:rsidR="008D1BAC" w:rsidRDefault="00452FBE">
            <w:pPr>
              <w:rPr>
                <w:rFonts w:eastAsia="Times New Roman"/>
                <w:i/>
                <w:noProof/>
                <w:szCs w:val="24"/>
              </w:rPr>
            </w:pPr>
            <w:r>
              <w:rPr>
                <w:i/>
                <w:noProof/>
              </w:rPr>
              <w:t>An comhlacht nó na comhlachtaí atá freagrach as comhordú agus faireachán a dhéanamh ar chur chun feidhme an phlean agus an ról atá acu</w:t>
            </w:r>
          </w:p>
        </w:tc>
      </w:tr>
    </w:tbl>
    <w:p w:rsidR="008D1BAC" w:rsidRDefault="00452FBE">
      <w:pPr>
        <w:jc w:val="left"/>
        <w:rPr>
          <w:rFonts w:eastAsia="Times New Roman"/>
          <w:i/>
          <w:noProof/>
          <w:szCs w:val="24"/>
        </w:rPr>
        <w:sectPr w:rsidR="008D1BAC">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20"/>
          <w:docGrid w:linePitch="360"/>
        </w:sectPr>
      </w:pPr>
      <w:r>
        <w:rPr>
          <w:i/>
          <w:noProof/>
        </w:rPr>
        <w:t xml:space="preserve">     </w:t>
      </w:r>
    </w:p>
    <w:p w:rsidR="008D1BAC" w:rsidRDefault="008D1BAC">
      <w:pPr>
        <w:ind w:left="2160"/>
        <w:rPr>
          <w:rFonts w:eastAsia="Times New Roman"/>
          <w:b/>
          <w:i/>
          <w:noProof/>
          <w:szCs w:val="24"/>
        </w:rPr>
      </w:pPr>
    </w:p>
    <w:p w:rsidR="008D1BAC" w:rsidRDefault="008D1BAC">
      <w:pPr>
        <w:spacing w:after="0"/>
        <w:ind w:right="-309"/>
        <w:jc w:val="center"/>
        <w:rPr>
          <w:b/>
          <w:bCs/>
          <w:noProof/>
          <w:szCs w:val="24"/>
          <w:u w:val="single"/>
        </w:rPr>
      </w:pPr>
    </w:p>
    <w:p w:rsidR="008D1BAC" w:rsidRDefault="00452FBE">
      <w:pPr>
        <w:spacing w:after="0"/>
        <w:ind w:right="-309"/>
        <w:jc w:val="center"/>
        <w:rPr>
          <w:b/>
          <w:bCs/>
          <w:noProof/>
          <w:szCs w:val="24"/>
          <w:vertAlign w:val="superscript"/>
        </w:rPr>
      </w:pPr>
      <w:r>
        <w:rPr>
          <w:b/>
          <w:bCs/>
          <w:noProof/>
          <w:u w:val="single"/>
        </w:rPr>
        <w:t>IARSCRÍBHINN III</w:t>
      </w:r>
      <w:r>
        <w:rPr>
          <w:b/>
          <w:bCs/>
          <w:noProof/>
        </w:rPr>
        <w:br/>
      </w:r>
      <w:r>
        <w:rPr>
          <w:b/>
          <w:bCs/>
          <w:noProof/>
        </w:rPr>
        <w:br/>
      </w:r>
      <w:r>
        <w:rPr>
          <w:rFonts w:ascii="Times New Roman Bold" w:hAnsi="Times New Roman Bold"/>
          <w:b/>
          <w:caps/>
          <w:noProof/>
        </w:rPr>
        <w:t xml:space="preserve">Comhtháscairí Aischuir maidir leis an </w:t>
      </w:r>
      <w:r>
        <w:rPr>
          <w:rFonts w:ascii="Times New Roman Bold" w:hAnsi="Times New Roman Bold"/>
          <w:b/>
          <w:noProof/>
        </w:rPr>
        <w:t>m</w:t>
      </w:r>
      <w:r>
        <w:rPr>
          <w:rFonts w:ascii="Times New Roman Bold" w:hAnsi="Times New Roman Bold"/>
          <w:b/>
          <w:caps/>
          <w:noProof/>
        </w:rPr>
        <w:t xml:space="preserve">Beartas Réigiúnach (‘RCO’) agus Comhtháscairí Toraidh maidir Leis an </w:t>
      </w:r>
      <w:r>
        <w:rPr>
          <w:rFonts w:ascii="Times New Roman Bold" w:hAnsi="Times New Roman Bold"/>
          <w:b/>
          <w:noProof/>
        </w:rPr>
        <w:t>m</w:t>
      </w:r>
      <w:r>
        <w:rPr>
          <w:rFonts w:ascii="Times New Roman Bold" w:hAnsi="Times New Roman Bold"/>
          <w:b/>
          <w:caps/>
          <w:noProof/>
        </w:rPr>
        <w:t xml:space="preserve">Beartas Réigiúnach (‘RCR’) le </w:t>
      </w:r>
      <w:r>
        <w:rPr>
          <w:rFonts w:ascii="Times New Roman Bold" w:hAnsi="Times New Roman Bold"/>
          <w:b/>
          <w:noProof/>
        </w:rPr>
        <w:t>h</w:t>
      </w:r>
      <w:r>
        <w:rPr>
          <w:rFonts w:ascii="Times New Roman Bold" w:hAnsi="Times New Roman Bold"/>
          <w:b/>
          <w:caps/>
          <w:noProof/>
        </w:rPr>
        <w:t>aghaidh an Chiste um Aistriú Cóir</w:t>
      </w:r>
      <w:r>
        <w:rPr>
          <w:rStyle w:val="FootnoteReference"/>
          <w:rFonts w:ascii="Times New Roman Bold" w:eastAsia="Calibri" w:hAnsi="Times New Roman Bold"/>
          <w:b/>
          <w:caps/>
          <w:noProof/>
        </w:rPr>
        <w:footnoteReference w:id="2"/>
      </w:r>
    </w:p>
    <w:p w:rsidR="008D1BAC" w:rsidRDefault="008D1BAC">
      <w:pPr>
        <w:spacing w:after="0"/>
        <w:rPr>
          <w:b/>
          <w:noProof/>
          <w:szCs w:val="24"/>
        </w:rPr>
      </w:pPr>
    </w:p>
    <w:tbl>
      <w:tblPr>
        <w:tblW w:w="13907" w:type="dxa"/>
        <w:tblInd w:w="93" w:type="dxa"/>
        <w:tblLook w:val="04A0" w:firstRow="1" w:lastRow="0" w:firstColumn="1" w:lastColumn="0" w:noHBand="0" w:noVBand="1"/>
      </w:tblPr>
      <w:tblGrid>
        <w:gridCol w:w="6961"/>
        <w:gridCol w:w="6946"/>
      </w:tblGrid>
      <w:tr w:rsidR="008D1BAC">
        <w:trPr>
          <w:trHeight w:val="300"/>
        </w:trPr>
        <w:tc>
          <w:tcPr>
            <w:tcW w:w="6961" w:type="dxa"/>
            <w:tcBorders>
              <w:top w:val="single" w:sz="4" w:space="0" w:color="auto"/>
              <w:left w:val="nil"/>
              <w:bottom w:val="single" w:sz="4" w:space="0" w:color="auto"/>
              <w:right w:val="single" w:sz="4" w:space="0" w:color="auto"/>
            </w:tcBorders>
            <w:shd w:val="clear" w:color="auto" w:fill="auto"/>
            <w:vAlign w:val="center"/>
            <w:hideMark/>
          </w:tcPr>
          <w:p w:rsidR="008D1BAC" w:rsidRDefault="00452FBE">
            <w:pPr>
              <w:spacing w:after="0"/>
              <w:jc w:val="center"/>
              <w:rPr>
                <w:rFonts w:eastAsia="Times New Roman"/>
                <w:b/>
                <w:bCs/>
                <w:noProof/>
                <w:color w:val="000000"/>
                <w:szCs w:val="24"/>
              </w:rPr>
            </w:pPr>
            <w:r>
              <w:rPr>
                <w:b/>
                <w:bCs/>
                <w:noProof/>
              </w:rPr>
              <w:t>Aschuir</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D1BAC" w:rsidRDefault="00452FBE">
            <w:pPr>
              <w:spacing w:after="0"/>
              <w:jc w:val="center"/>
              <w:rPr>
                <w:rFonts w:eastAsia="Times New Roman"/>
                <w:b/>
                <w:bCs/>
                <w:noProof/>
                <w:color w:val="000000"/>
                <w:szCs w:val="24"/>
              </w:rPr>
            </w:pPr>
            <w:r>
              <w:rPr>
                <w:b/>
                <w:bCs/>
                <w:noProof/>
              </w:rPr>
              <w:t>Torthaí</w:t>
            </w:r>
          </w:p>
        </w:tc>
      </w:tr>
      <w:tr w:rsidR="008D1BAC">
        <w:trPr>
          <w:trHeight w:val="3001"/>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RCO 01 - Fiontair</w:t>
            </w:r>
            <w:r>
              <w:rPr>
                <w:noProof/>
              </w:rPr>
              <w:t xml:space="preserve"> dá dtugtar tacaíocht (astu sin: micrifhiontair, fiontair bheaga, fiontair mheánmhéide agus fiontair mhóra)</w:t>
            </w:r>
            <w:r>
              <w:rPr>
                <w:noProof/>
              </w:rPr>
              <w:br/>
              <w:t>RCO 02 - Fiontair dá dtugtar tacaíocht trí dheontais</w:t>
            </w:r>
            <w:r>
              <w:rPr>
                <w:noProof/>
              </w:rPr>
              <w:br/>
              <w:t>RCO 03 - Fiontair dá dtugtar tacaíocht le hionstraimí airgeadais</w:t>
            </w:r>
            <w:r>
              <w:rPr>
                <w:noProof/>
              </w:rPr>
              <w:br/>
              <w:t>RCO 04 - Fiontair dá dtugtar t</w:t>
            </w:r>
            <w:r>
              <w:rPr>
                <w:noProof/>
              </w:rPr>
              <w:t>acaíocht neamhairgeadais</w:t>
            </w:r>
            <w:r>
              <w:rPr>
                <w:noProof/>
              </w:rPr>
              <w:br/>
              <w:t>RCO 05 - Gnólachtaí nuathionscanta dá dtugtar tacaíocht</w:t>
            </w:r>
            <w:r>
              <w:rPr>
                <w:noProof/>
              </w:rPr>
              <w:br/>
            </w:r>
            <w:r>
              <w:rPr>
                <w:noProof/>
              </w:rPr>
              <w:br/>
              <w:t>RCO 10 - Fiontair a chomhoibríonn le hinstitiúidí taighde</w:t>
            </w:r>
          </w:p>
          <w:p w:rsidR="008D1BAC" w:rsidRDefault="00452FBE">
            <w:pPr>
              <w:spacing w:before="0" w:after="0"/>
              <w:jc w:val="left"/>
              <w:rPr>
                <w:rFonts w:eastAsia="Times New Roman"/>
                <w:noProof/>
                <w:color w:val="000000"/>
                <w:szCs w:val="24"/>
              </w:rPr>
            </w:pPr>
            <w:r>
              <w:rPr>
                <w:noProof/>
              </w:rPr>
              <w:t>RCO 120 - Fiontair dá dtugtar tacaíocht chun an laghdú ar astaíochtaí gás ceaptha teasa ó na gníomhaíochtaí a liosta</w:t>
            </w:r>
            <w:r>
              <w:rPr>
                <w:noProof/>
              </w:rPr>
              <w:t>ítear in Iarscríbhinn I a ghabhann le Treoir 2003/87/CE a bhaint amach</w:t>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t>RCR 01 - Poist arna gcruthú in eintitis dá dtugtar tacaíocht</w:t>
            </w:r>
            <w:r>
              <w:rPr>
                <w:noProof/>
              </w:rPr>
              <w:br/>
              <w:t>RCR 02 - Infheistíochtaí príobháideacha ar chomh-mhéid le tacaíocht phoiblí (astu sin: deontais, ionstraimí airgeadais)</w:t>
            </w:r>
            <w:r>
              <w:rPr>
                <w:noProof/>
              </w:rPr>
              <w:br/>
              <w:t xml:space="preserve">RCR </w:t>
            </w:r>
            <w:r>
              <w:rPr>
                <w:noProof/>
              </w:rPr>
              <w:t>03 – FBManna a thugann isteach nuálaíocht ó thaobh táirgí agus próiseas de</w:t>
            </w:r>
            <w:r>
              <w:rPr>
                <w:noProof/>
              </w:rPr>
              <w:br/>
              <w:t>RCR 04 – FBManna a thugann nuálaíocht isteach ó thaobh margaíochta nó eagraíochta de</w:t>
            </w:r>
            <w:r>
              <w:rPr>
                <w:noProof/>
              </w:rPr>
              <w:br/>
              <w:t>RCR 05 - FBManna atá i mbun nuálaíocht inmheánach</w:t>
            </w:r>
            <w:r>
              <w:rPr>
                <w:noProof/>
              </w:rPr>
              <w:br/>
              <w:t>RCR 06 - Iarratais ar phaitinní arna gcur faoi</w:t>
            </w:r>
            <w:r>
              <w:rPr>
                <w:noProof/>
              </w:rPr>
              <w:t xml:space="preserve"> bhráid Oifig Eorpach na bPaitinní</w:t>
            </w:r>
            <w:r>
              <w:rPr>
                <w:noProof/>
              </w:rPr>
              <w:br/>
              <w:t>RCR 29 – Astaíochtaí gás ceaptha teasa ó na gníomhaíochtaí a liostaítear in Iarscríbhinn I a ghabhann le Treoir 2003/87/CE i bhfiontair dá dtugtar tacaíocht</w:t>
            </w:r>
          </w:p>
        </w:tc>
      </w:tr>
      <w:tr w:rsidR="008D1BA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br/>
              <w:t xml:space="preserve">RCO 13 - Seirbhísí agus táirgí digiteacha arna bhforbairt le </w:t>
            </w:r>
            <w:r>
              <w:rPr>
                <w:noProof/>
              </w:rPr>
              <w:t>haghaidh fiontar</w:t>
            </w:r>
            <w:r>
              <w:rPr>
                <w:noProof/>
              </w:rPr>
              <w:br/>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t>RCR 11 - Úsáideoirí seirbhísí agus feidhmchlár digiteach poiblí nua</w:t>
            </w:r>
            <w:r>
              <w:rPr>
                <w:noProof/>
              </w:rPr>
              <w:br/>
              <w:t>RCR 12 - Úsáideoirí táirgí, seirbhísí agus feidhmchlár digiteach nua arna bhforbairt ag fiontair</w:t>
            </w:r>
            <w:r>
              <w:rPr>
                <w:noProof/>
              </w:rPr>
              <w:br/>
            </w:r>
          </w:p>
        </w:tc>
      </w:tr>
      <w:tr w:rsidR="008D1BAC">
        <w:trPr>
          <w:trHeight w:val="416"/>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t>RCO 15 - Acmhainneacht ghoir arna cruthú</w:t>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br/>
              <w:t xml:space="preserve">RCR 17 - Fiontair trí bliana </w:t>
            </w:r>
            <w:r>
              <w:rPr>
                <w:noProof/>
              </w:rPr>
              <w:t>fós ar marthain sa mhargadh</w:t>
            </w:r>
            <w:r>
              <w:rPr>
                <w:noProof/>
              </w:rPr>
              <w:br/>
              <w:t>RCR 18 - FBManna a úsáideann seirbhísí goir bliain amháin tar éis an ghorlann a chruthú</w:t>
            </w:r>
            <w:r>
              <w:rPr>
                <w:noProof/>
              </w:rPr>
              <w:br/>
            </w:r>
          </w:p>
          <w:p w:rsidR="008D1BAC" w:rsidRDefault="008D1BAC">
            <w:pPr>
              <w:spacing w:after="0"/>
              <w:jc w:val="left"/>
              <w:rPr>
                <w:rFonts w:eastAsia="Times New Roman"/>
                <w:noProof/>
                <w:color w:val="000000"/>
                <w:szCs w:val="24"/>
              </w:rPr>
            </w:pPr>
          </w:p>
        </w:tc>
      </w:tr>
      <w:tr w:rsidR="008D1BAC">
        <w:trPr>
          <w:trHeight w:val="1020"/>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RCO 101 – FBManna a infheistíonn i bhforbairt scileanna</w:t>
            </w:r>
          </w:p>
          <w:p w:rsidR="008D1BAC" w:rsidRDefault="008D1BAC">
            <w:pPr>
              <w:spacing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RCR 97 – Printíseachtaí dá dtugtar tacaíocht in FBManna</w:t>
            </w:r>
          </w:p>
          <w:p w:rsidR="008D1BAC" w:rsidRDefault="00452FBE">
            <w:pPr>
              <w:spacing w:before="0" w:after="0"/>
              <w:jc w:val="left"/>
              <w:rPr>
                <w:rFonts w:eastAsia="Times New Roman"/>
                <w:noProof/>
                <w:color w:val="000000"/>
                <w:szCs w:val="24"/>
              </w:rPr>
            </w:pPr>
            <w:r>
              <w:rPr>
                <w:noProof/>
              </w:rPr>
              <w:t xml:space="preserve">RCR 98 – Foireann </w:t>
            </w:r>
            <w:r>
              <w:rPr>
                <w:noProof/>
              </w:rPr>
              <w:t>FBManna a chuireann Gairmoiliúint agus Gairmoideachas Leanúnach i gcrích (de réir an chineáil scile: scil theicniúil, bhainistíochta, fiontraíochta, ghlas, eile)</w:t>
            </w:r>
          </w:p>
        </w:tc>
      </w:tr>
      <w:tr w:rsidR="008D1BAC">
        <w:trPr>
          <w:trHeight w:val="1020"/>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RCO 22 - Acmhainneacht táirgeachta bhreise le haghaidh fuinneamh in-athnuaite (as sin: leictr</w:t>
            </w:r>
            <w:r>
              <w:rPr>
                <w:noProof/>
              </w:rPr>
              <w:t>eachas, fuinneamh teirmeach)</w:t>
            </w:r>
          </w:p>
          <w:p w:rsidR="008D1BAC" w:rsidRDefault="008D1BAC">
            <w:pPr>
              <w:spacing w:before="0"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RCR 31 - An fuinneamh in-athnuaite iomlán arna tháirgeadh (as sin: leictreachas, fuinneamh teirmeach)</w:t>
            </w:r>
            <w:r>
              <w:rPr>
                <w:noProof/>
              </w:rPr>
              <w:br/>
              <w:t>RCR 32 – Fuinneamh in-athnuaite: An acmhainneacht nasctha leis an eangach (oibríochtúil)</w:t>
            </w:r>
          </w:p>
        </w:tc>
      </w:tr>
      <w:tr w:rsidR="008D1BAC">
        <w:trPr>
          <w:trHeight w:val="1464"/>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t xml:space="preserve">RCO 34 - Acmhainneacht bhreise le haghaidh athchúrsáil uisce </w:t>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after="0"/>
              <w:jc w:val="left"/>
              <w:rPr>
                <w:rFonts w:eastAsia="Times New Roman"/>
                <w:noProof/>
                <w:color w:val="000000"/>
                <w:szCs w:val="24"/>
              </w:rPr>
            </w:pPr>
            <w:r>
              <w:rPr>
                <w:noProof/>
              </w:rPr>
              <w:t xml:space="preserve">RCR 46 - Áiseanna athchúrsála dramhaíola agus córais bainistithe uisce bheaga atá ar fáil don daonra </w:t>
            </w:r>
            <w:r>
              <w:rPr>
                <w:noProof/>
              </w:rPr>
              <w:br/>
              <w:t>RCR 47 - Dramhaíl arna hathchúrsáil</w:t>
            </w:r>
            <w:r>
              <w:rPr>
                <w:noProof/>
              </w:rPr>
              <w:br/>
              <w:t>RCR 48 - Dramhaíl arna hathchúrsáil arna húsáid mar amhá</w:t>
            </w:r>
            <w:r>
              <w:rPr>
                <w:noProof/>
              </w:rPr>
              <w:t xml:space="preserve">bhair </w:t>
            </w:r>
            <w:r>
              <w:rPr>
                <w:noProof/>
              </w:rPr>
              <w:br/>
              <w:t>RCR 49 - Dramhaíl arna gnóthú</w:t>
            </w:r>
          </w:p>
        </w:tc>
      </w:tr>
      <w:tr w:rsidR="008D1BA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RCO 38 - Achar dromchla na talún athshlánaithe dá dtugtar tacaíocht</w:t>
            </w:r>
            <w:r>
              <w:rPr>
                <w:noProof/>
              </w:rPr>
              <w:br/>
              <w:t>RCO 39 - Córais chun faireachán a dhéanamh ar thruailliú aeir arna suiteáil</w:t>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0"/>
              <w:jc w:val="left"/>
              <w:rPr>
                <w:rFonts w:eastAsia="Times New Roman"/>
                <w:noProof/>
                <w:color w:val="000000"/>
                <w:szCs w:val="24"/>
              </w:rPr>
            </w:pPr>
            <w:r>
              <w:rPr>
                <w:noProof/>
              </w:rPr>
              <w:t>RCR 50 - An daonra a bhaineann tairbhe as bearta le haghaidh cháilíocht an</w:t>
            </w:r>
            <w:r>
              <w:rPr>
                <w:noProof/>
              </w:rPr>
              <w:t xml:space="preserve"> aeir</w:t>
            </w:r>
          </w:p>
          <w:p w:rsidR="008D1BAC" w:rsidRDefault="00452FBE">
            <w:pPr>
              <w:spacing w:before="0" w:after="0"/>
              <w:jc w:val="left"/>
              <w:rPr>
                <w:rFonts w:eastAsia="Times New Roman"/>
                <w:noProof/>
                <w:color w:val="000000"/>
                <w:szCs w:val="24"/>
              </w:rPr>
            </w:pPr>
            <w:r>
              <w:rPr>
                <w:noProof/>
              </w:rPr>
              <w:t>RCR 52 - Talamh athshlánaithe arna úsáid le haghaidh limistéir ghlasa, tithíocht shóisialta, gníomhaíochtaí eacnamaíocha nó pobail</w:t>
            </w:r>
          </w:p>
        </w:tc>
      </w:tr>
      <w:tr w:rsidR="008D1BA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110" w:line="249" w:lineRule="auto"/>
              <w:rPr>
                <w:rFonts w:eastAsia="Times New Roman"/>
                <w:noProof/>
                <w:color w:val="000000"/>
              </w:rPr>
            </w:pPr>
            <w:r>
              <w:rPr>
                <w:noProof/>
              </w:rPr>
              <w:t>i gcás rannpháirtithe</w:t>
            </w:r>
            <w:r>
              <w:rPr>
                <w:rStyle w:val="FootnoteReference"/>
                <w:noProof/>
              </w:rPr>
              <w:footnoteReference w:id="3"/>
            </w:r>
            <w:r>
              <w:rPr>
                <w:bCs/>
                <w:noProof/>
                <w:vertAlign w:val="superscript"/>
              </w:rPr>
              <w:footnoteReference w:id="4"/>
            </w:r>
            <w:r>
              <w:rPr>
                <w:noProof/>
              </w:rPr>
              <w:t>:</w:t>
            </w:r>
          </w:p>
          <w:p w:rsidR="008D1BAC" w:rsidRDefault="00452FBE">
            <w:pPr>
              <w:spacing w:after="110" w:line="249" w:lineRule="auto"/>
              <w:rPr>
                <w:rFonts w:eastAsia="Times New Roman"/>
                <w:noProof/>
                <w:color w:val="000000"/>
              </w:rPr>
            </w:pPr>
            <w:r>
              <w:rPr>
                <w:noProof/>
              </w:rPr>
              <w:t xml:space="preserve">RCO 200 - daoine dífhostaithe, lena n-áirítear daoine atá dífhostaithe go fadtéarmach,  </w:t>
            </w:r>
          </w:p>
          <w:p w:rsidR="008D1BAC" w:rsidRDefault="00452FBE">
            <w:pPr>
              <w:spacing w:after="110" w:line="249" w:lineRule="auto"/>
              <w:rPr>
                <w:rFonts w:eastAsia="Times New Roman"/>
                <w:noProof/>
                <w:color w:val="000000"/>
              </w:rPr>
            </w:pPr>
            <w:r>
              <w:rPr>
                <w:noProof/>
              </w:rPr>
              <w:t xml:space="preserve">RCO 201 - daoine atá dífhostaithe go fadtéarmach,  </w:t>
            </w:r>
          </w:p>
          <w:p w:rsidR="008D1BAC" w:rsidRDefault="00452FBE">
            <w:pPr>
              <w:spacing w:after="110" w:line="249" w:lineRule="auto"/>
              <w:rPr>
                <w:rFonts w:eastAsia="Times New Roman"/>
                <w:noProof/>
                <w:color w:val="000000"/>
              </w:rPr>
            </w:pPr>
            <w:r>
              <w:rPr>
                <w:noProof/>
              </w:rPr>
              <w:t xml:space="preserve">RCO 202 - daoine neamhghníomhacha, </w:t>
            </w:r>
          </w:p>
          <w:p w:rsidR="008D1BAC" w:rsidRDefault="00452FBE">
            <w:pPr>
              <w:spacing w:after="110" w:line="249" w:lineRule="auto"/>
              <w:rPr>
                <w:rFonts w:eastAsia="Times New Roman"/>
                <w:noProof/>
                <w:color w:val="000000"/>
              </w:rPr>
            </w:pPr>
            <w:r>
              <w:rPr>
                <w:noProof/>
              </w:rPr>
              <w:t xml:space="preserve">RCO 203 - daoine fostaithe, lena n-áirítear daoine féinfhostaithe,  </w:t>
            </w:r>
          </w:p>
          <w:p w:rsidR="008D1BAC" w:rsidRDefault="00452FBE">
            <w:pPr>
              <w:spacing w:after="110" w:line="249" w:lineRule="auto"/>
              <w:rPr>
                <w:rFonts w:eastAsia="Times New Roman"/>
                <w:noProof/>
                <w:color w:val="000000"/>
              </w:rPr>
            </w:pPr>
            <w:r>
              <w:rPr>
                <w:noProof/>
              </w:rPr>
              <w:t xml:space="preserve">RCO 204 - daoine faoi bhun 30 bliain d’aois,  </w:t>
            </w:r>
          </w:p>
          <w:p w:rsidR="008D1BAC" w:rsidRDefault="00452FBE">
            <w:pPr>
              <w:spacing w:after="110" w:line="249" w:lineRule="auto"/>
              <w:rPr>
                <w:rFonts w:eastAsia="Times New Roman"/>
                <w:noProof/>
                <w:color w:val="000000"/>
              </w:rPr>
            </w:pPr>
            <w:r>
              <w:rPr>
                <w:noProof/>
              </w:rPr>
              <w:t xml:space="preserve">RCO 205 - daoine os cionn 54 bliana d’aois,  </w:t>
            </w:r>
          </w:p>
          <w:p w:rsidR="008D1BAC" w:rsidRDefault="00452FBE">
            <w:pPr>
              <w:spacing w:after="110" w:line="249" w:lineRule="auto"/>
              <w:rPr>
                <w:rFonts w:eastAsia="Times New Roman"/>
                <w:noProof/>
                <w:color w:val="000000"/>
              </w:rPr>
            </w:pPr>
            <w:r>
              <w:rPr>
                <w:noProof/>
              </w:rPr>
              <w:t>RCO 20</w:t>
            </w:r>
            <w:r>
              <w:rPr>
                <w:noProof/>
              </w:rPr>
              <w:t xml:space="preserve">6 - daoine a bhfuil oideachas meánscoile íochtaraí nó níos lú ná sin (ISCED 0-2) acu, </w:t>
            </w:r>
          </w:p>
          <w:p w:rsidR="008D1BAC" w:rsidRDefault="00452FBE">
            <w:pPr>
              <w:spacing w:after="110" w:line="249" w:lineRule="auto"/>
              <w:rPr>
                <w:rFonts w:eastAsia="Times New Roman"/>
                <w:noProof/>
                <w:color w:val="000000"/>
              </w:rPr>
            </w:pPr>
            <w:r>
              <w:rPr>
                <w:noProof/>
              </w:rPr>
              <w:t xml:space="preserve">RCO 207 - daoine a bhfuil oideachas meánscoile uachtaraí (ISCED 3) nó oideachas iar-mheánscoile (ISCED 4) acu, </w:t>
            </w:r>
          </w:p>
          <w:p w:rsidR="008D1BAC" w:rsidRDefault="00452FBE">
            <w:pPr>
              <w:spacing w:after="0"/>
              <w:rPr>
                <w:rFonts w:eastAsia="Times New Roman"/>
                <w:noProof/>
                <w:color w:val="000000"/>
              </w:rPr>
            </w:pPr>
            <w:r>
              <w:rPr>
                <w:noProof/>
              </w:rPr>
              <w:t xml:space="preserve">RCO 208 - daoine a bhfuil oideachas treasach (ISCED 5 nó </w:t>
            </w:r>
            <w:r>
              <w:rPr>
                <w:noProof/>
              </w:rPr>
              <w:t>8) acu,</w:t>
            </w:r>
          </w:p>
          <w:p w:rsidR="008D1BAC" w:rsidRDefault="00452FBE">
            <w:pPr>
              <w:spacing w:after="110" w:line="249" w:lineRule="auto"/>
              <w:rPr>
                <w:rFonts w:eastAsia="Times New Roman"/>
                <w:noProof/>
                <w:color w:val="000000"/>
                <w:sz w:val="20"/>
                <w:szCs w:val="20"/>
              </w:rPr>
            </w:pPr>
            <w:r>
              <w:rPr>
                <w:noProof/>
              </w:rPr>
              <w:t>RCO 209 - líon iomlán na rannpháirtithe</w:t>
            </w:r>
            <w:r>
              <w:rPr>
                <w:bCs/>
                <w:noProof/>
                <w:vertAlign w:val="superscript"/>
              </w:rPr>
              <w:footnoteReference w:id="5"/>
            </w:r>
            <w:r>
              <w:rPr>
                <w:noProof/>
              </w:rPr>
              <w:t xml:space="preserve"> </w:t>
            </w:r>
          </w:p>
        </w:tc>
        <w:tc>
          <w:tcPr>
            <w:tcW w:w="6946" w:type="dxa"/>
            <w:tcBorders>
              <w:top w:val="nil"/>
              <w:left w:val="nil"/>
              <w:bottom w:val="single" w:sz="4" w:space="0" w:color="auto"/>
              <w:right w:val="single" w:sz="4" w:space="0" w:color="auto"/>
            </w:tcBorders>
            <w:shd w:val="clear" w:color="auto" w:fill="auto"/>
            <w:vAlign w:val="center"/>
            <w:hideMark/>
          </w:tcPr>
          <w:p w:rsidR="008D1BAC" w:rsidRDefault="00452FBE">
            <w:pPr>
              <w:spacing w:before="0" w:after="107" w:line="249" w:lineRule="auto"/>
              <w:ind w:left="-5" w:hanging="10"/>
              <w:rPr>
                <w:rFonts w:eastAsia="Times New Roman"/>
                <w:noProof/>
                <w:color w:val="000000"/>
              </w:rPr>
            </w:pPr>
            <w:r>
              <w:rPr>
                <w:noProof/>
              </w:rPr>
              <w:t>i gcás rannpháirtithe</w:t>
            </w:r>
            <w:r>
              <w:rPr>
                <w:noProof/>
                <w:vertAlign w:val="superscript"/>
              </w:rPr>
              <w:footnoteReference w:id="6"/>
            </w:r>
            <w:r>
              <w:rPr>
                <w:noProof/>
              </w:rPr>
              <w:t xml:space="preserve">: </w:t>
            </w:r>
          </w:p>
          <w:p w:rsidR="008D1BAC" w:rsidRDefault="00452FBE">
            <w:pPr>
              <w:spacing w:before="0" w:after="107" w:line="249" w:lineRule="auto"/>
              <w:ind w:left="-5" w:hanging="10"/>
              <w:rPr>
                <w:rFonts w:eastAsia="Times New Roman"/>
                <w:noProof/>
                <w:color w:val="000000"/>
              </w:rPr>
            </w:pPr>
            <w:r>
              <w:rPr>
                <w:noProof/>
              </w:rPr>
              <w:t xml:space="preserve">RCR 200 - rannpháirtithe atá ag lorg poist i ndiaidh na rannpháirtíochta,  </w:t>
            </w:r>
          </w:p>
          <w:p w:rsidR="008D1BAC" w:rsidRDefault="00452FBE">
            <w:pPr>
              <w:spacing w:before="0" w:after="107" w:line="249" w:lineRule="auto"/>
              <w:ind w:left="-5" w:hanging="10"/>
              <w:rPr>
                <w:rFonts w:eastAsia="Times New Roman"/>
                <w:noProof/>
                <w:color w:val="000000"/>
              </w:rPr>
            </w:pPr>
            <w:r>
              <w:rPr>
                <w:noProof/>
              </w:rPr>
              <w:t xml:space="preserve">RCR 201 - rannpháirtithe in oideachas/oiliúint i ndiaidh na rannpháirtíochta,  </w:t>
            </w:r>
          </w:p>
          <w:p w:rsidR="008D1BAC" w:rsidRDefault="00452FBE">
            <w:pPr>
              <w:spacing w:after="110" w:line="249" w:lineRule="auto"/>
              <w:rPr>
                <w:rFonts w:eastAsia="Times New Roman"/>
                <w:noProof/>
                <w:color w:val="000000"/>
              </w:rPr>
            </w:pPr>
            <w:r>
              <w:rPr>
                <w:noProof/>
              </w:rPr>
              <w:t xml:space="preserve">RCR 202 - rannpháirtithe a fuair cáilíocht ar fhágáil dóibh,  </w:t>
            </w:r>
          </w:p>
          <w:p w:rsidR="008D1BAC" w:rsidRDefault="00452FBE">
            <w:pPr>
              <w:spacing w:after="110" w:line="249" w:lineRule="auto"/>
              <w:rPr>
                <w:rFonts w:eastAsia="Times New Roman"/>
                <w:noProof/>
                <w:color w:val="000000"/>
              </w:rPr>
            </w:pPr>
            <w:r>
              <w:rPr>
                <w:noProof/>
              </w:rPr>
              <w:t>RCR 203 - rannpháirtithe i bhfostaíocht, lena n-áirítear féinfhostaíocht, ar fhágáil dóibh.</w:t>
            </w:r>
          </w:p>
          <w:p w:rsidR="008D1BAC" w:rsidRDefault="008D1BAC">
            <w:pPr>
              <w:spacing w:before="0" w:after="0"/>
              <w:jc w:val="left"/>
              <w:rPr>
                <w:rFonts w:eastAsia="Times New Roman"/>
                <w:noProof/>
                <w:color w:val="000000"/>
                <w:sz w:val="20"/>
                <w:szCs w:val="20"/>
              </w:rPr>
            </w:pPr>
          </w:p>
        </w:tc>
      </w:tr>
    </w:tbl>
    <w:p w:rsidR="008D1BAC" w:rsidRDefault="008D1BAC">
      <w:pPr>
        <w:rPr>
          <w:noProof/>
        </w:rPr>
      </w:pPr>
    </w:p>
    <w:p w:rsidR="008D1BAC" w:rsidRDefault="008D1BAC">
      <w:pPr>
        <w:rPr>
          <w:noProof/>
        </w:rPr>
      </w:pPr>
    </w:p>
    <w:sectPr w:rsidR="008D1BAC">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AC" w:rsidRDefault="00452FBE">
      <w:pPr>
        <w:spacing w:before="0" w:after="0"/>
      </w:pPr>
      <w:r>
        <w:separator/>
      </w:r>
    </w:p>
  </w:endnote>
  <w:endnote w:type="continuationSeparator" w:id="0">
    <w:p w:rsidR="008D1BAC" w:rsidRDefault="00452F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452FBE">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452FBE">
    <w:pPr>
      <w:pStyle w:val="Footer"/>
      <w:rPr>
        <w:rFonts w:ascii="Arial" w:hAnsi="Arial" w:cs="Arial"/>
        <w:b/>
        <w:sz w:val="48"/>
      </w:rPr>
    </w:pPr>
    <w:r>
      <w:rPr>
        <w:rFonts w:ascii="Arial" w:hAnsi="Arial"/>
        <w:b/>
        <w:sz w:val="48"/>
      </w:rPr>
      <w:t>GA</w:t>
    </w:r>
    <w:r>
      <w:rPr>
        <w:rFonts w:ascii="Arial" w:hAnsi="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b/>
        <w:sz w:val="48"/>
      </w:rPr>
      <w:t>GA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452FBE" w:rsidP="00452FBE">
    <w:pPr>
      <w:pStyle w:val="Footer"/>
      <w:tabs>
        <w:tab w:val="clear" w:pos="4535"/>
        <w:tab w:val="clear" w:pos="9921"/>
        <w:tab w:val="center" w:pos="6804"/>
        <w:tab w:val="right" w:pos="14317"/>
      </w:tabs>
      <w:rPr>
        <w:rFonts w:ascii="Arial" w:hAnsi="Arial" w:cs="Arial"/>
        <w:b/>
        <w:sz w:val="48"/>
      </w:rPr>
    </w:pPr>
    <w:bookmarkStart w:id="1" w:name="_GoBack"/>
    <w:bookmarkEnd w:id="1"/>
    <w:r>
      <w:rPr>
        <w:rFonts w:ascii="Arial" w:hAnsi="Arial"/>
        <w:b/>
        <w:sz w:val="48"/>
      </w:rPr>
      <w:t>GA</w:t>
    </w:r>
    <w:r>
      <w:rPr>
        <w:rFonts w:ascii="Arial" w:hAnsi="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b/>
        <w:sz w:val="48"/>
      </w:rPr>
      <w:t>GA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AC" w:rsidRDefault="00452FBE">
      <w:pPr>
        <w:spacing w:before="0" w:after="0"/>
      </w:pPr>
      <w:r>
        <w:separator/>
      </w:r>
    </w:p>
  </w:footnote>
  <w:footnote w:type="continuationSeparator" w:id="0">
    <w:p w:rsidR="008D1BAC" w:rsidRDefault="00452FBE">
      <w:pPr>
        <w:spacing w:before="0" w:after="0"/>
      </w:pPr>
      <w:r>
        <w:continuationSeparator/>
      </w:r>
    </w:p>
  </w:footnote>
  <w:footnote w:id="1">
    <w:p w:rsidR="008D1BAC" w:rsidRDefault="00452FBE">
      <w:pPr>
        <w:pStyle w:val="FootnoteText"/>
      </w:pPr>
      <w:r>
        <w:rPr>
          <w:rStyle w:val="FootnoteReference"/>
        </w:rPr>
        <w:footnoteRef/>
      </w:r>
      <w:r>
        <w:t xml:space="preserve"> </w:t>
      </w:r>
      <w:r>
        <w:tab/>
        <w:t xml:space="preserve">Rialachán (CE) Uimh. 166/2006 ó Pharlaimint na </w:t>
      </w:r>
      <w:r>
        <w:t>hEorpa agus ón gComhairle an 18 Eanáir 2006 maidir le bunú Clár Eorpach um Scaoileadh Amach agus Aistriú Truailleán agus lena leasaítear Treoir 91/689/CEE agus Treoir 96/61/CE ón gComhairle (IO L 33, 4.2.2006, lch. 1).</w:t>
      </w:r>
    </w:p>
  </w:footnote>
  <w:footnote w:id="2">
    <w:p w:rsidR="008D1BAC" w:rsidRDefault="00452FBE">
      <w:pPr>
        <w:pStyle w:val="FootnoteText"/>
      </w:pPr>
      <w:r>
        <w:rPr>
          <w:rStyle w:val="FootnoteReference"/>
        </w:rPr>
        <w:footnoteRef/>
      </w:r>
      <w:r>
        <w:t xml:space="preserve"> Ar chúiseanna a bhaineann leis an g</w:t>
      </w:r>
      <w:r>
        <w:t>cur i láthair, déantar na táscairí a rangú le go mbeidh sé níos éasca iad a chur le chéile leis na táscairí atá san áireamh i rialacháin eile a bhaineann go sonrach le cistí an bheartais chomhtháthaithe.</w:t>
      </w:r>
    </w:p>
  </w:footnote>
  <w:footnote w:id="3">
    <w:p w:rsidR="008D1BAC" w:rsidRDefault="00452FBE">
      <w:pPr>
        <w:pStyle w:val="FootnoteText"/>
        <w:rPr>
          <w:sz w:val="18"/>
        </w:rPr>
      </w:pPr>
      <w:r>
        <w:rPr>
          <w:rStyle w:val="FootnoteReference"/>
          <w:sz w:val="18"/>
        </w:rPr>
        <w:footnoteRef/>
      </w:r>
      <w:r>
        <w:rPr>
          <w:sz w:val="18"/>
        </w:rPr>
        <w:t xml:space="preserve"> Tá gach táscaire aschuir agus toraidh a bhaineann le rannpháirtithe le tuairisciú.</w:t>
      </w:r>
    </w:p>
  </w:footnote>
  <w:footnote w:id="4">
    <w:p w:rsidR="008D1BAC" w:rsidRDefault="00452FBE">
      <w:pPr>
        <w:spacing w:before="0" w:after="0"/>
        <w:ind w:left="113" w:hanging="113"/>
        <w:rPr>
          <w:sz w:val="18"/>
          <w:szCs w:val="20"/>
        </w:rPr>
      </w:pPr>
      <w:r>
        <w:rPr>
          <w:rStyle w:val="FootnoteReference"/>
          <w:bCs/>
          <w:sz w:val="18"/>
        </w:rPr>
        <w:footnoteRef/>
      </w:r>
      <w:r>
        <w:rPr>
          <w:rStyle w:val="FootnoteReference"/>
          <w:bCs/>
          <w:sz w:val="22"/>
        </w:rPr>
        <w:t xml:space="preserve"> </w:t>
      </w:r>
      <w:r>
        <w:rPr>
          <w:sz w:val="18"/>
          <w:szCs w:val="20"/>
        </w:rPr>
        <w:t>Déanfar na sonraí pearsanta ar fad a mhiondealú de réir inscne (fireann/baineann – neamh-dhénártha). I gcás nach bhfuil torthaí áirithe indéanta, níl sé riachtanach sonra</w:t>
      </w:r>
      <w:r>
        <w:rPr>
          <w:sz w:val="18"/>
          <w:szCs w:val="20"/>
        </w:rPr>
        <w:t>í a bhailiú agus a thuairisciú le haghaidh na táscairí toraidh sin. Nuair a dhéantar sonraí a bhailiú ó chlárlanna, ní gá do na Ballstáit ailíniú a dhéanamh le sainmhínithe arna gcomhaontú go comhpháirteach agus féadfaidh siad sainmhínithe náisiúnta a úsái</w:t>
      </w:r>
      <w:r>
        <w:rPr>
          <w:sz w:val="18"/>
          <w:szCs w:val="20"/>
        </w:rPr>
        <w:t>d.</w:t>
      </w:r>
    </w:p>
  </w:footnote>
  <w:footnote w:id="5">
    <w:p w:rsidR="008D1BAC" w:rsidRDefault="00452FBE">
      <w:pPr>
        <w:pStyle w:val="FootnoteText"/>
        <w:ind w:left="113" w:hanging="113"/>
        <w:rPr>
          <w:sz w:val="18"/>
        </w:rPr>
      </w:pPr>
      <w:r>
        <w:rPr>
          <w:rStyle w:val="FootnoteReference"/>
          <w:bCs/>
          <w:sz w:val="18"/>
        </w:rPr>
        <w:footnoteRef/>
      </w:r>
      <w:r>
        <w:rPr>
          <w:sz w:val="18"/>
        </w:rPr>
        <w:t xml:space="preserve"> Le ríomh go huathoibríoch ar bhonn na gcomhtháscairí aschuir a bhaineann leis an stádas fostaíochta.</w:t>
      </w:r>
    </w:p>
  </w:footnote>
  <w:footnote w:id="6">
    <w:p w:rsidR="008D1BAC" w:rsidRDefault="00452FBE">
      <w:pPr>
        <w:pStyle w:val="FootnoteText"/>
        <w:ind w:left="113" w:hanging="113"/>
        <w:rPr>
          <w:sz w:val="18"/>
        </w:rPr>
      </w:pPr>
      <w:r>
        <w:rPr>
          <w:rStyle w:val="FootnoteReference"/>
          <w:bCs/>
          <w:sz w:val="18"/>
        </w:rPr>
        <w:footnoteRef/>
      </w:r>
      <w:r>
        <w:rPr>
          <w:sz w:val="18"/>
        </w:rPr>
        <w:t xml:space="preserve"> Déanfar na sonraí pearsanta ar fad a mhiondealú de réir inscne. I gcás nach bhfuil torthaí áirithe indéanta, níl sé riachtanach sonraí a bhailiú agu</w:t>
      </w:r>
      <w:r>
        <w:rPr>
          <w:sz w:val="18"/>
        </w:rPr>
        <w:t>s a thuairisciú le haghaidh na táscairí toraidh sin. Nuair a dhéantar sonraí a bhailiú ó chlárlanna, ní gá do na Ballstáit ailíniú a dhéanamh le sainmhínithe arna gcomhaontú go comhpháirteach agus féadfaidh siad sainmhínithe náisiúnta a úsáid.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C" w:rsidRDefault="008D1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w:docVar w:name="LW_ANNEX_NBR_FIRST" w:val="1"/>
    <w:docVar w:name="LW_ANNEX_NBR_LAST" w:val="3"/>
    <w:docVar w:name="LW_ANNEX_UNIQUE" w:val="0"/>
    <w:docVar w:name="LW_CORRIGENDUM" w:val="&lt;UNUSED&gt;"/>
    <w:docVar w:name="LW_COVERPAGE_EXISTS" w:val="True"/>
    <w:docVar w:name="LW_COVERPAGE_GUID" w:val="1D5C95C4-75F2-40F2-83EF-0F07F67C662A"/>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An Bhruiséil,"/>
    <w:docVar w:name="LW_EMISSION_SUFFIX" w:val=" "/>
    <w:docVar w:name="LW_ID_DOCTYPE_NONLW" w:val="CP-036"/>
    <w:docVar w:name="LW_LANGUE" w:val="GA"/>
    <w:docVar w:name="LW_LEVEL_OF_SENSITIVITY" w:val="Standard treatment"/>
    <w:docVar w:name="LW_NOM.INST" w:val="AN COIMISIÚN EORPACH"/>
    <w:docVar w:name="LW_NOM.INST_JOINTDOC" w:val="&lt;EMPTY&gt;"/>
    <w:docVar w:name="LW_OBJETACTEPRINCIPAL.CP" w:val="lena mbunaítear an Ciste um Aistriú Cóir_x000d__x000b_"/>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IARSCRÍBHINNÍ_x000b_"/>
    <w:docVar w:name="LW_TYPEACTEPRINCIPAL.CP" w:val="Togra le haghaidh_x000b__x000b_RIALACHÁN Ó PHARLAIMINT NA hEORPA AGUS ÓN gCOMHAIRLE"/>
  </w:docVars>
  <w:rsids>
    <w:rsidRoot w:val="008D1BAC"/>
    <w:rsid w:val="00452FBE"/>
    <w:rsid w:val="008D1B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50A83B6-567B-4284-826B-E4D40A37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ga-IE"/>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lang w:val="ga-IE"/>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Pr>
      <w:rFonts w:ascii="Times New Roman" w:hAnsi="Times New Roman" w:cs="Times New Roman"/>
      <w:b/>
      <w:sz w:val="24"/>
      <w:u w:val="single"/>
      <w:lang w:val="ga-IE"/>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ga-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ga-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ga-IE"/>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customStyle="1" w:styleId="Text1">
    <w:name w:val="Text 1"/>
    <w:basedOn w:val="Normal"/>
    <w:pPr>
      <w:ind w:left="850"/>
    </w:pPr>
  </w:style>
  <w:style w:type="paragraph" w:customStyle="1" w:styleId="ManualNumPar1">
    <w:name w:val="Manual NumPar 1"/>
    <w:basedOn w:val="Normal"/>
    <w:next w:val="Text1"/>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B03E4A-617B-41E6-91FB-6C708C42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1831</Words>
  <Characters>11249</Characters>
  <Application>Microsoft Office Word</Application>
  <DocSecurity>0</DocSecurity>
  <Lines>340</Lines>
  <Paragraphs>146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HEILEMANN Stefanie (SG)</cp:lastModifiedBy>
  <cp:revision>18</cp:revision>
  <dcterms:created xsi:type="dcterms:W3CDTF">2020-01-11T08:35:00Z</dcterms:created>
  <dcterms:modified xsi:type="dcterms:W3CDTF">2020-01-16T15:23:00Z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