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F18" w:rsidRDefault="000A62D6">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203E419E-D7D8-4DD4-BEBE-015267FE5166" style="width:450.25pt;height:393.3pt">
            <v:imagedata r:id="rId8" o:title=""/>
          </v:shape>
        </w:pict>
      </w:r>
    </w:p>
    <w:bookmarkEnd w:id="0"/>
    <w:p w:rsidR="00615F18" w:rsidRDefault="00615F18">
      <w:pPr>
        <w:rPr>
          <w:noProof/>
        </w:rPr>
        <w:sectPr w:rsidR="00615F18">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rsidR="00615F18" w:rsidRDefault="000A62D6">
      <w:pPr>
        <w:pStyle w:val="Annexetitre"/>
        <w:rPr>
          <w:rStyle w:val="Marker"/>
          <w:noProof/>
          <w:color w:val="auto"/>
        </w:rPr>
      </w:pPr>
      <w:r>
        <w:rPr>
          <w:noProof/>
        </w:rPr>
        <w:lastRenderedPageBreak/>
        <w:t xml:space="preserve">ΠΑΡΑΡΤΗΜΑ </w:t>
      </w:r>
      <w:r>
        <w:rPr>
          <w:rStyle w:val="Marker"/>
          <w:noProof/>
        </w:rPr>
        <w:t>Ι</w:t>
      </w:r>
    </w:p>
    <w:p w:rsidR="00615F18" w:rsidRDefault="000A62D6">
      <w:pPr>
        <w:rPr>
          <w:noProof/>
        </w:rPr>
      </w:pPr>
      <w:r>
        <w:rPr>
          <w:noProof/>
        </w:rPr>
        <w:t xml:space="preserve"> </w:t>
      </w:r>
    </w:p>
    <w:p w:rsidR="00615F18" w:rsidRDefault="000A62D6">
      <w:pPr>
        <w:jc w:val="center"/>
        <w:rPr>
          <w:b/>
          <w:noProof/>
          <w:sz w:val="28"/>
          <w:szCs w:val="28"/>
          <w:u w:val="single"/>
        </w:rPr>
      </w:pPr>
      <w:r>
        <w:rPr>
          <w:rFonts w:ascii="Times New Roman Bold" w:hAnsi="Times New Roman Bold"/>
          <w:b/>
          <w:caps/>
          <w:noProof/>
        </w:rPr>
        <w:t>Μέθοδος κατανομής των πόρων του Ταμείου Δίκαιης Μετάβασης</w:t>
      </w:r>
    </w:p>
    <w:p w:rsidR="00615F18" w:rsidRDefault="00615F18">
      <w:pPr>
        <w:rPr>
          <w:noProof/>
        </w:rPr>
      </w:pPr>
    </w:p>
    <w:p w:rsidR="00615F18" w:rsidRDefault="000A62D6">
      <w:pPr>
        <w:rPr>
          <w:noProof/>
        </w:rPr>
      </w:pPr>
      <w:r>
        <w:rPr>
          <w:noProof/>
        </w:rPr>
        <w:t xml:space="preserve">Για κάθε κράτος μέλος, το συνολικό χρηματοδοτικό κονδύλιο καθορίζεται με βάση τα ακόλουθα βήματα: </w:t>
      </w:r>
    </w:p>
    <w:p w:rsidR="00615F18" w:rsidRDefault="000A62D6">
      <w:pPr>
        <w:ind w:left="720" w:hanging="720"/>
        <w:rPr>
          <w:noProof/>
        </w:rPr>
      </w:pPr>
      <w:r>
        <w:rPr>
          <w:noProof/>
        </w:rPr>
        <w:t>α)</w:t>
      </w:r>
      <w:r>
        <w:rPr>
          <w:noProof/>
        </w:rPr>
        <w:tab/>
        <w:t>Το μερίδιο κάθε κράτους μέλους υπολογίζεται ως το σταθμισμένο άθροισμα των μεριδίων, τα οποία καθορίζονται σύμφωνα με τα ακόλουθα κριτήρια και σταθμίζοντα</w:t>
      </w:r>
      <w:r>
        <w:rPr>
          <w:noProof/>
        </w:rPr>
        <w:t>ι ως εξής:</w:t>
      </w:r>
    </w:p>
    <w:p w:rsidR="00615F18" w:rsidRDefault="000A62D6">
      <w:pPr>
        <w:ind w:left="1457" w:hanging="720"/>
        <w:rPr>
          <w:noProof/>
        </w:rPr>
      </w:pPr>
      <w:r>
        <w:rPr>
          <w:noProof/>
        </w:rPr>
        <w:t>i)</w:t>
      </w:r>
      <w:r>
        <w:rPr>
          <w:noProof/>
        </w:rPr>
        <w:tab/>
        <w:t>Εκπομπές αερίων του θερμοκηπίου βιομηχανικών εγκαταστάσεων σε περιφέρειες επιπέδου NUTS 2, στις οποίες η ένταση άνθρακα, όπως ορίζεται από την αναλογία των εκπομπών αερίων του θερμοκηπίου των βιομηχανικών εγκαταστάσεων τις οποίες υποβάλλουν τ</w:t>
      </w:r>
      <w:r>
        <w:rPr>
          <w:noProof/>
        </w:rPr>
        <w:t>α κράτη μέλη σύμφωνα με το άρθρο 7 του κανονισμού (ΕΚ) αριθ. 166/2006 του Ευρωπαϊκού Κοινοβουλίου και του Συμβουλίου</w:t>
      </w:r>
      <w:r>
        <w:rPr>
          <w:rStyle w:val="FootnoteReference"/>
          <w:noProof/>
        </w:rPr>
        <w:footnoteReference w:id="1"/>
      </w:r>
      <w:r>
        <w:rPr>
          <w:noProof/>
        </w:rPr>
        <w:t xml:space="preserve"> προς την ακαθάριστη προστιθέμενη αξία της βιομηχανίας, είναι διπλάσια από τον μέσο όρο της ΕΕ-27. Όταν δεν σημειώνεται υπέρβαση του επιπέδ</w:t>
      </w:r>
      <w:r>
        <w:rPr>
          <w:noProof/>
        </w:rPr>
        <w:t>ου αυτού σε καμία περιφέρεια επιπέδου NUTS 2 σε δεδομένο κράτος μέλος, λαμβάνονται υπόψη οι εκπομπές αερίων του θερμοκηπίου των βιομηχανικών εγκαταστάσεων στην περιφέρεια επιπέδου NUTS 2 με την υψηλότερη ένταση άνθρακα (στάθμιση 49 %),</w:t>
      </w:r>
    </w:p>
    <w:p w:rsidR="00615F18" w:rsidRDefault="000A62D6">
      <w:pPr>
        <w:ind w:left="1457" w:hanging="720"/>
        <w:rPr>
          <w:noProof/>
        </w:rPr>
      </w:pPr>
      <w:r>
        <w:rPr>
          <w:noProof/>
        </w:rPr>
        <w:t>ii)</w:t>
      </w:r>
      <w:r>
        <w:rPr>
          <w:noProof/>
        </w:rPr>
        <w:tab/>
        <w:t xml:space="preserve">Απασχόληση στον </w:t>
      </w:r>
      <w:r>
        <w:rPr>
          <w:noProof/>
        </w:rPr>
        <w:t>κλάδο της εξόρυξης άνθρακα και λιγνίτη (στάθμιση 25 %),</w:t>
      </w:r>
    </w:p>
    <w:p w:rsidR="00615F18" w:rsidRDefault="000A62D6">
      <w:pPr>
        <w:ind w:left="1457" w:hanging="720"/>
        <w:rPr>
          <w:noProof/>
        </w:rPr>
      </w:pPr>
      <w:r>
        <w:rPr>
          <w:noProof/>
        </w:rPr>
        <w:t>iii)</w:t>
      </w:r>
      <w:r>
        <w:rPr>
          <w:noProof/>
        </w:rPr>
        <w:tab/>
        <w:t>Απασχόληση στη βιομηχανία στις περιφέρειες επιπέδου NUTS 2 που λαμβάνεται υπόψη για τους σκοπούς του σημείου i) (στάθμιση 25 %)</w:t>
      </w:r>
    </w:p>
    <w:p w:rsidR="00615F18" w:rsidRDefault="000A62D6">
      <w:pPr>
        <w:ind w:left="1457" w:hanging="720"/>
        <w:rPr>
          <w:noProof/>
        </w:rPr>
      </w:pPr>
      <w:r>
        <w:rPr>
          <w:noProof/>
        </w:rPr>
        <w:t>iv)</w:t>
      </w:r>
      <w:r>
        <w:rPr>
          <w:noProof/>
        </w:rPr>
        <w:tab/>
        <w:t>παραγωγή τύρφης (στάθμιση 0,95 %)</w:t>
      </w:r>
    </w:p>
    <w:p w:rsidR="00615F18" w:rsidRDefault="000A62D6">
      <w:pPr>
        <w:ind w:left="1457" w:hanging="720"/>
        <w:rPr>
          <w:noProof/>
        </w:rPr>
      </w:pPr>
      <w:r>
        <w:rPr>
          <w:noProof/>
        </w:rPr>
        <w:t>v)</w:t>
      </w:r>
      <w:r>
        <w:rPr>
          <w:noProof/>
        </w:rPr>
        <w:tab/>
        <w:t xml:space="preserve">παραγωγή πετρελαιούχου </w:t>
      </w:r>
      <w:r>
        <w:rPr>
          <w:noProof/>
        </w:rPr>
        <w:t>σχιστόλιθου (στάθμιση 0,05 %)</w:t>
      </w:r>
    </w:p>
    <w:p w:rsidR="00615F18" w:rsidRDefault="000A62D6">
      <w:pPr>
        <w:ind w:left="720" w:hanging="720"/>
        <w:rPr>
          <w:noProof/>
        </w:rPr>
      </w:pPr>
      <w:r>
        <w:rPr>
          <w:noProof/>
        </w:rPr>
        <w:t>β)</w:t>
      </w:r>
      <w:r>
        <w:rPr>
          <w:noProof/>
        </w:rPr>
        <w:tab/>
        <w:t>Τα κονδύλια που προκύπτουν από την εφαρμογή του στοιχείου α) προσαρμόζονται ώστε να διασφαλίζεται ότι κανένα κράτος μέλος δεν λαμβάνει ποσό που υπερβαίνει τα 2 δισ. EUR. Τα ποσά που υπερβαίνουν τα 2 δισ. EUR ανά κράτος μέλο</w:t>
      </w:r>
      <w:r>
        <w:rPr>
          <w:noProof/>
        </w:rPr>
        <w:t>ς ανακατανέμονται κατ’ αναλογία προς τα κονδύλια όλων των υπολοίπων κρατών μελών. Τα μερίδια των κρατών μελών υπολογίζονται εκ νέου αναλόγως·</w:t>
      </w:r>
    </w:p>
    <w:p w:rsidR="00615F18" w:rsidRDefault="000A62D6">
      <w:pPr>
        <w:ind w:left="720" w:hanging="720"/>
        <w:rPr>
          <w:noProof/>
        </w:rPr>
      </w:pPr>
      <w:r>
        <w:rPr>
          <w:noProof/>
        </w:rPr>
        <w:t xml:space="preserve">γ) </w:t>
      </w:r>
      <w:r>
        <w:rPr>
          <w:noProof/>
        </w:rPr>
        <w:tab/>
        <w:t>Τα μερίδια των κρατών μελών που προκύπτουν από την εφαρμογή του στοιχείου β) προσαρμόζονται προς τα πάνω ή προ</w:t>
      </w:r>
      <w:r>
        <w:rPr>
          <w:noProof/>
        </w:rPr>
        <w:t xml:space="preserve">ς τα κάτω με συντελεστή 1,5 επί τη διαφορά κατά την οποία το κατά κεφαλήν ΑΕΕ του οικείου κράτους μέλους (μετρούμενο σε ισοτιμίες αγοραστικής δύναμης) για την περίοδο 2015-2017 υπερβαίνει ή υπολείπεται του μέσου κατά κεφαλήν ΑΕΕ των κρατών μελών της ΕΕ-27 </w:t>
      </w:r>
      <w:r>
        <w:rPr>
          <w:noProof/>
        </w:rPr>
        <w:t>(μέσος όρος εκφραζόμενος ως 100 %)·</w:t>
      </w:r>
    </w:p>
    <w:p w:rsidR="00615F18" w:rsidRDefault="000A62D6">
      <w:pPr>
        <w:rPr>
          <w:noProof/>
        </w:rPr>
      </w:pPr>
      <w:r>
        <w:rPr>
          <w:noProof/>
        </w:rPr>
        <w:t>η προσαρμογή αυτή δεν εφαρμόζεται στα κράτη μέλη για τα οποία έχει τεθεί ανώτατο όριο κονδυλίων σύμφωνα με το στοιχείο β)·</w:t>
      </w:r>
    </w:p>
    <w:p w:rsidR="00615F18" w:rsidRDefault="000A62D6">
      <w:pPr>
        <w:ind w:left="720" w:hanging="720"/>
        <w:rPr>
          <w:noProof/>
        </w:rPr>
      </w:pPr>
      <w:r>
        <w:rPr>
          <w:noProof/>
        </w:rPr>
        <w:t>δ)</w:t>
      </w:r>
      <w:r>
        <w:rPr>
          <w:noProof/>
        </w:rPr>
        <w:tab/>
        <w:t>Τα κονδύλια που προκύπτουν από την εφαρμογή του στοιχείου γ) προσαρμόζονται ώστε να διασφαλίζε</w:t>
      </w:r>
      <w:r>
        <w:rPr>
          <w:noProof/>
        </w:rPr>
        <w:t xml:space="preserve">ται ότι το οριστικό κονδύλι από το Ταμείο Δίκαιης Μετάβασης έχει ως αποτέλεσμα κατά κεφαλήν ένταση των ενισχύσεων (μετρούμενη με βάση το </w:t>
      </w:r>
      <w:r>
        <w:rPr>
          <w:noProof/>
        </w:rPr>
        <w:lastRenderedPageBreak/>
        <w:t xml:space="preserve">σύνολο του πληθυσμού του κράτους μέλους) τουλάχιστον 6 EUR καθ’ όλη τη διάρκεια της περιόδου.  </w:t>
      </w:r>
    </w:p>
    <w:p w:rsidR="00615F18" w:rsidRDefault="000A62D6">
      <w:pPr>
        <w:ind w:left="720"/>
        <w:rPr>
          <w:noProof/>
        </w:rPr>
      </w:pPr>
      <w:r>
        <w:rPr>
          <w:noProof/>
        </w:rPr>
        <w:t>Τα ποσά για τη διασφάλι</w:t>
      </w:r>
      <w:r>
        <w:rPr>
          <w:noProof/>
        </w:rPr>
        <w:t xml:space="preserve">ση της ελάχιστης έντασης των ενισχύσεων αφαιρούνται αναλογικά από τα κονδύλια όλων των υπολοίπων κρατών μελών, με την εξαίρεση των κρατών μελών για τα οποία έχει τεθεί ανώτατο όριο κονδυλίων σύμφωνα με το στοιχείο β). </w:t>
      </w:r>
    </w:p>
    <w:p w:rsidR="00615F18" w:rsidRDefault="000A62D6">
      <w:pPr>
        <w:rPr>
          <w:noProof/>
        </w:rPr>
      </w:pPr>
      <w:r>
        <w:rPr>
          <w:noProof/>
        </w:rPr>
        <w:t>Η κατανομή από το Ταμείο Δίκαιης Μετά</w:t>
      </w:r>
      <w:r>
        <w:rPr>
          <w:noProof/>
        </w:rPr>
        <w:t>βασης είναι επιπλέον της κατανομής που προκύπτει από τις παραγράφους 1 έως 16 του παραρτήματος XXII [νέα πρόταση ΚΚΔ] και δεν περιλαμβάνεται στη βάση κατανομής στην οποία εφαρμόζονται τα σημεία 10) έως 15) του παραρτήματος XXII του [νέα πρόταση ΚΚΔ].</w:t>
      </w:r>
    </w:p>
    <w:p w:rsidR="00615F18" w:rsidRDefault="000A62D6">
      <w:pPr>
        <w:rPr>
          <w:noProof/>
        </w:rPr>
      </w:pPr>
      <w:r>
        <w:rPr>
          <w:noProof/>
        </w:rPr>
        <w:br w:type="page"/>
      </w:r>
    </w:p>
    <w:p w:rsidR="00615F18" w:rsidRDefault="00615F18">
      <w:pPr>
        <w:rPr>
          <w:noProof/>
        </w:rPr>
      </w:pPr>
    </w:p>
    <w:p w:rsidR="00615F18" w:rsidRDefault="00615F18">
      <w:pPr>
        <w:rPr>
          <w:noProof/>
        </w:rPr>
      </w:pPr>
    </w:p>
    <w:p w:rsidR="00615F18" w:rsidRDefault="000A62D6">
      <w:pPr>
        <w:jc w:val="center"/>
        <w:rPr>
          <w:b/>
          <w:noProof/>
          <w:u w:val="single"/>
        </w:rPr>
      </w:pPr>
      <w:r>
        <w:rPr>
          <w:b/>
          <w:noProof/>
          <w:u w:val="single"/>
        </w:rPr>
        <w:t>Π</w:t>
      </w:r>
      <w:r>
        <w:rPr>
          <w:b/>
          <w:noProof/>
          <w:u w:val="single"/>
        </w:rPr>
        <w:t>ΑΡΑΡΤΗΜΑ ΙΙ</w:t>
      </w:r>
    </w:p>
    <w:p w:rsidR="00615F18" w:rsidRDefault="000A62D6">
      <w:pPr>
        <w:jc w:val="center"/>
        <w:rPr>
          <w:rFonts w:ascii="Times New Roman Bold" w:eastAsia="Calibri" w:hAnsi="Times New Roman Bold"/>
          <w:b/>
          <w:caps/>
          <w:noProof/>
          <w:szCs w:val="24"/>
        </w:rPr>
      </w:pPr>
      <w:r>
        <w:rPr>
          <w:rFonts w:ascii="Times New Roman Bold" w:hAnsi="Times New Roman Bold"/>
          <w:b/>
          <w:caps/>
          <w:noProof/>
        </w:rPr>
        <w:t xml:space="preserve">Υπόδειγμα για τα εδαφικά σχέδια δίκαιης μετάβασης </w:t>
      </w:r>
    </w:p>
    <w:p w:rsidR="00615F18" w:rsidRDefault="00615F18">
      <w:pPr>
        <w:jc w:val="center"/>
        <w:rPr>
          <w:rFonts w:ascii="Times New Roman Bold" w:eastAsia="Calibri" w:hAnsi="Times New Roman Bold"/>
          <w:b/>
          <w:caps/>
          <w:noProof/>
          <w:szCs w:val="24"/>
        </w:rPr>
      </w:pPr>
    </w:p>
    <w:p w:rsidR="00615F18" w:rsidRDefault="000A62D6">
      <w:pPr>
        <w:numPr>
          <w:ilvl w:val="0"/>
          <w:numId w:val="1"/>
        </w:numPr>
        <w:spacing w:before="0" w:after="200" w:line="276" w:lineRule="auto"/>
        <w:jc w:val="left"/>
        <w:rPr>
          <w:rFonts w:eastAsia="Times New Roman"/>
          <w:b/>
          <w:iCs/>
          <w:noProof/>
          <w:szCs w:val="24"/>
        </w:rPr>
      </w:pPr>
      <w:r>
        <w:rPr>
          <w:b/>
          <w:iCs/>
          <w:noProof/>
        </w:rPr>
        <w:t>Συνοπτική περιγραφή της διαδικασίας μετάβασης και προσδιορισμός των εδαφών του κράτους μέλους που επηρεάζονται αρνητικά σε μεγαλύτερο βαθμό</w:t>
      </w:r>
    </w:p>
    <w:tbl>
      <w:tblPr>
        <w:tblStyle w:val="TableGrid"/>
        <w:tblW w:w="0" w:type="auto"/>
        <w:tblLook w:val="04A0" w:firstRow="1" w:lastRow="0" w:firstColumn="1" w:lastColumn="0" w:noHBand="0" w:noVBand="1"/>
      </w:tblPr>
      <w:tblGrid>
        <w:gridCol w:w="9288"/>
      </w:tblGrid>
      <w:tr w:rsidR="00615F18">
        <w:trPr>
          <w:trHeight w:val="306"/>
        </w:trPr>
        <w:tc>
          <w:tcPr>
            <w:tcW w:w="9288" w:type="dxa"/>
          </w:tcPr>
          <w:p w:rsidR="00615F18" w:rsidRDefault="000A62D6">
            <w:pPr>
              <w:rPr>
                <w:i/>
                <w:noProof/>
              </w:rPr>
            </w:pPr>
            <w:r>
              <w:rPr>
                <w:i/>
                <w:noProof/>
              </w:rPr>
              <w:t>Πεδίο κειμένου [12000]</w:t>
            </w:r>
          </w:p>
        </w:tc>
      </w:tr>
    </w:tbl>
    <w:p w:rsidR="00615F18" w:rsidRDefault="00615F18">
      <w:pPr>
        <w:spacing w:before="0" w:after="200" w:line="276" w:lineRule="auto"/>
        <w:ind w:left="502"/>
        <w:jc w:val="left"/>
        <w:rPr>
          <w:rFonts w:eastAsia="Times New Roman"/>
          <w:b/>
          <w:iCs/>
          <w:noProof/>
          <w:szCs w:val="24"/>
        </w:rPr>
      </w:pPr>
    </w:p>
    <w:p w:rsidR="00615F18" w:rsidRDefault="000A62D6">
      <w:pPr>
        <w:pStyle w:val="ListParagraph"/>
        <w:ind w:left="750"/>
        <w:rPr>
          <w:rFonts w:ascii="Times New Roman" w:hAnsi="Times New Roman" w:cs="Times New Roman"/>
          <w:noProof/>
          <w:sz w:val="24"/>
          <w:szCs w:val="24"/>
          <w:highlight w:val="yellow"/>
        </w:rPr>
      </w:pPr>
      <w:r>
        <w:rPr>
          <w:rFonts w:ascii="Times New Roman" w:hAnsi="Times New Roman"/>
          <w:i/>
          <w:noProof/>
        </w:rPr>
        <w:t xml:space="preserve">Σημείο αναφοράς: Άρθρο 7 </w:t>
      </w:r>
      <w:r>
        <w:rPr>
          <w:rFonts w:ascii="Times New Roman" w:hAnsi="Times New Roman"/>
          <w:i/>
          <w:noProof/>
        </w:rPr>
        <w:t>παράγραφος 2 στοιχείο α)</w:t>
      </w:r>
    </w:p>
    <w:tbl>
      <w:tblPr>
        <w:tblStyle w:val="TableGrid"/>
        <w:tblW w:w="0" w:type="auto"/>
        <w:tblLook w:val="04A0" w:firstRow="1" w:lastRow="0" w:firstColumn="1" w:lastColumn="0" w:noHBand="0" w:noVBand="1"/>
      </w:tblPr>
      <w:tblGrid>
        <w:gridCol w:w="9288"/>
      </w:tblGrid>
      <w:tr w:rsidR="00615F18">
        <w:trPr>
          <w:trHeight w:val="699"/>
        </w:trPr>
        <w:tc>
          <w:tcPr>
            <w:tcW w:w="9288" w:type="dxa"/>
          </w:tcPr>
          <w:p w:rsidR="00615F18" w:rsidRDefault="000A62D6">
            <w:pPr>
              <w:rPr>
                <w:i/>
                <w:noProof/>
              </w:rPr>
            </w:pPr>
            <w:r>
              <w:rPr>
                <w:i/>
                <w:noProof/>
              </w:rPr>
              <w:t>1.1. Περιγραφή της αναμενόμενης διαδικασίας μετάβασης προς μια κλιματικά ουδέτερη οικονομία, σύμφωνα με τους στόχους των εθνικών σχεδίων για την ενέργεια και το κλίμα, και άλλα υφιστάμενα σχέδια μετάβασης, με χρονοδιάγραμμα ως προς</w:t>
            </w:r>
            <w:r>
              <w:rPr>
                <w:i/>
                <w:noProof/>
              </w:rPr>
              <w:t xml:space="preserve"> την παύση ή τη μείωση δραστηριοτήτων όπως η εξόρυξη άνθρακα και λιγνίτη ή η παραγωγή ηλεκτρικής ενέργειας με καύση άνθρακα. </w:t>
            </w:r>
          </w:p>
        </w:tc>
      </w:tr>
    </w:tbl>
    <w:p w:rsidR="00615F18" w:rsidRDefault="00615F18">
      <w:pPr>
        <w:pStyle w:val="ListParagraph"/>
        <w:ind w:left="750"/>
        <w:rPr>
          <w:rFonts w:ascii="Times New Roman" w:hAnsi="Times New Roman" w:cs="Times New Roman"/>
          <w:noProof/>
          <w:sz w:val="24"/>
          <w:szCs w:val="24"/>
          <w:highlight w:val="yellow"/>
        </w:rPr>
      </w:pPr>
    </w:p>
    <w:p w:rsidR="00615F18" w:rsidRDefault="000A62D6">
      <w:pPr>
        <w:pStyle w:val="ListParagraph"/>
        <w:ind w:left="750"/>
        <w:rPr>
          <w:rFonts w:ascii="Times New Roman" w:hAnsi="Times New Roman" w:cs="Times New Roman"/>
          <w:noProof/>
          <w:sz w:val="24"/>
          <w:szCs w:val="24"/>
        </w:rPr>
      </w:pPr>
      <w:r>
        <w:rPr>
          <w:rFonts w:ascii="Times New Roman" w:hAnsi="Times New Roman"/>
          <w:i/>
          <w:noProof/>
        </w:rPr>
        <w:t>Σημείο αναφοράς: Άρθρο 7 παράγραφος 2 στοιχείο β)</w:t>
      </w:r>
    </w:p>
    <w:tbl>
      <w:tblPr>
        <w:tblStyle w:val="TableGrid"/>
        <w:tblW w:w="0" w:type="auto"/>
        <w:tblLook w:val="04A0" w:firstRow="1" w:lastRow="0" w:firstColumn="1" w:lastColumn="0" w:noHBand="0" w:noVBand="1"/>
      </w:tblPr>
      <w:tblGrid>
        <w:gridCol w:w="9288"/>
      </w:tblGrid>
      <w:tr w:rsidR="00615F18">
        <w:trPr>
          <w:trHeight w:val="699"/>
        </w:trPr>
        <w:tc>
          <w:tcPr>
            <w:tcW w:w="9288" w:type="dxa"/>
          </w:tcPr>
          <w:p w:rsidR="00615F18" w:rsidRDefault="000A62D6">
            <w:pPr>
              <w:rPr>
                <w:i/>
                <w:noProof/>
              </w:rPr>
            </w:pPr>
            <w:r>
              <w:rPr>
                <w:i/>
                <w:noProof/>
              </w:rPr>
              <w:t>1.2. Προσδιορισμός των εδαφών τα οποία αναμένεται να επηρεαστούν αρνητικά σε μ</w:t>
            </w:r>
            <w:r>
              <w:rPr>
                <w:i/>
                <w:noProof/>
              </w:rPr>
              <w:t>εγαλύτερο βαθμό και αιτιολόγηση της επιλογής τους με την αντίστοιχη εκτίμηση των επιπτώσεων για την οικονομία και την απασχόληση με βάση την περιγραφή του σημείου 1.1.</w:t>
            </w:r>
          </w:p>
        </w:tc>
      </w:tr>
    </w:tbl>
    <w:p w:rsidR="00615F18" w:rsidRDefault="00615F18">
      <w:pPr>
        <w:pStyle w:val="ListParagraph"/>
        <w:ind w:left="750"/>
        <w:rPr>
          <w:noProof/>
          <w:szCs w:val="24"/>
        </w:rPr>
      </w:pPr>
    </w:p>
    <w:p w:rsidR="00615F18" w:rsidRDefault="000A62D6">
      <w:pPr>
        <w:numPr>
          <w:ilvl w:val="0"/>
          <w:numId w:val="1"/>
        </w:numPr>
        <w:spacing w:before="0" w:after="200" w:line="276" w:lineRule="auto"/>
        <w:jc w:val="left"/>
        <w:rPr>
          <w:rFonts w:eastAsia="Times New Roman"/>
          <w:b/>
          <w:noProof/>
          <w:szCs w:val="24"/>
        </w:rPr>
      </w:pPr>
      <w:r>
        <w:rPr>
          <w:b/>
          <w:noProof/>
        </w:rPr>
        <w:t>Αξιολόγηση των προκλήσεων που παρουσιάζει η μετάβαση για καθένα από τα προσδιορισθέντα</w:t>
      </w:r>
      <w:r>
        <w:rPr>
          <w:b/>
          <w:noProof/>
        </w:rPr>
        <w:t xml:space="preserve"> εδάφη:</w:t>
      </w:r>
    </w:p>
    <w:p w:rsidR="00615F18" w:rsidRDefault="000A62D6">
      <w:pPr>
        <w:pStyle w:val="ListParagraph"/>
        <w:rPr>
          <w:rFonts w:ascii="Times New Roman" w:hAnsi="Times New Roman" w:cs="Times New Roman"/>
          <w:i/>
          <w:noProof/>
          <w:sz w:val="24"/>
          <w:szCs w:val="24"/>
        </w:rPr>
      </w:pPr>
      <w:r>
        <w:rPr>
          <w:rFonts w:ascii="Times New Roman" w:hAnsi="Times New Roman"/>
          <w:noProof/>
        </w:rPr>
        <w:t xml:space="preserve">2.1. Εκτίμηση των οικονομικών, κοινωνικών και εδαφικών επιπτώσεων της μετάβασης προς μια κλιματικά ουδέτερη οικονομία. </w:t>
      </w:r>
    </w:p>
    <w:p w:rsidR="00615F18" w:rsidRDefault="00615F18">
      <w:pPr>
        <w:pStyle w:val="ListParagraph"/>
        <w:rPr>
          <w:rFonts w:ascii="Times New Roman" w:hAnsi="Times New Roman" w:cs="Times New Roman"/>
          <w:noProof/>
          <w:sz w:val="24"/>
          <w:szCs w:val="24"/>
          <w:highlight w:val="yellow"/>
        </w:rPr>
      </w:pPr>
    </w:p>
    <w:p w:rsidR="00615F18" w:rsidRDefault="000A62D6">
      <w:pPr>
        <w:pStyle w:val="ListParagraph"/>
        <w:rPr>
          <w:rFonts w:ascii="Times New Roman" w:hAnsi="Times New Roman" w:cs="Times New Roman"/>
          <w:i/>
          <w:noProof/>
          <w:sz w:val="24"/>
          <w:szCs w:val="24"/>
        </w:rPr>
      </w:pPr>
      <w:r>
        <w:rPr>
          <w:rFonts w:ascii="Times New Roman" w:hAnsi="Times New Roman"/>
          <w:i/>
          <w:noProof/>
        </w:rPr>
        <w:t>Σημείο αναφοράς: Άρθρο 7 παράγραφος 2 στοιχείο γ)</w:t>
      </w:r>
    </w:p>
    <w:tbl>
      <w:tblPr>
        <w:tblStyle w:val="TableGrid"/>
        <w:tblW w:w="0" w:type="auto"/>
        <w:tblLook w:val="04A0" w:firstRow="1" w:lastRow="0" w:firstColumn="1" w:lastColumn="0" w:noHBand="0" w:noVBand="1"/>
      </w:tblPr>
      <w:tblGrid>
        <w:gridCol w:w="9288"/>
      </w:tblGrid>
      <w:tr w:rsidR="00615F18">
        <w:trPr>
          <w:trHeight w:val="306"/>
        </w:trPr>
        <w:tc>
          <w:tcPr>
            <w:tcW w:w="9288" w:type="dxa"/>
          </w:tcPr>
          <w:p w:rsidR="00615F18" w:rsidRDefault="000A62D6">
            <w:pPr>
              <w:rPr>
                <w:i/>
                <w:noProof/>
              </w:rPr>
            </w:pPr>
            <w:r>
              <w:rPr>
                <w:i/>
                <w:noProof/>
              </w:rPr>
              <w:t>Πεδίο κειμένου [12000]</w:t>
            </w:r>
          </w:p>
        </w:tc>
      </w:tr>
    </w:tbl>
    <w:p w:rsidR="00615F18" w:rsidRDefault="00615F18">
      <w:pPr>
        <w:pStyle w:val="ListParagraph"/>
        <w:rPr>
          <w:rFonts w:ascii="Times New Roman" w:hAnsi="Times New Roman" w:cs="Times New Roman"/>
          <w:noProof/>
          <w:sz w:val="24"/>
          <w:szCs w:val="24"/>
        </w:rPr>
      </w:pPr>
    </w:p>
    <w:tbl>
      <w:tblPr>
        <w:tblStyle w:val="TableGrid"/>
        <w:tblW w:w="0" w:type="auto"/>
        <w:tblLook w:val="04A0" w:firstRow="1" w:lastRow="0" w:firstColumn="1" w:lastColumn="0" w:noHBand="0" w:noVBand="1"/>
      </w:tblPr>
      <w:tblGrid>
        <w:gridCol w:w="9288"/>
      </w:tblGrid>
      <w:tr w:rsidR="00615F18">
        <w:trPr>
          <w:trHeight w:val="699"/>
        </w:trPr>
        <w:tc>
          <w:tcPr>
            <w:tcW w:w="9288" w:type="dxa"/>
          </w:tcPr>
          <w:p w:rsidR="00615F18" w:rsidRDefault="000A62D6">
            <w:pPr>
              <w:spacing w:after="0"/>
              <w:rPr>
                <w:i/>
                <w:noProof/>
                <w:szCs w:val="24"/>
              </w:rPr>
            </w:pPr>
            <w:r>
              <w:rPr>
                <w:i/>
                <w:noProof/>
              </w:rPr>
              <w:t xml:space="preserve">Προσδιορισμός των επηρεαζόμενων οικονομικών </w:t>
            </w:r>
            <w:r>
              <w:rPr>
                <w:i/>
                <w:noProof/>
              </w:rPr>
              <w:t>δραστηριοτήτων και βιομηχανικών τομέων, υποδεικνύοντας τα ακόλουθα:</w:t>
            </w:r>
          </w:p>
          <w:p w:rsidR="00615F18" w:rsidRDefault="000A62D6">
            <w:pPr>
              <w:spacing w:after="0"/>
              <w:rPr>
                <w:i/>
                <w:noProof/>
                <w:szCs w:val="24"/>
              </w:rPr>
            </w:pPr>
            <w:r>
              <w:rPr>
                <w:i/>
                <w:noProof/>
              </w:rPr>
              <w:t>– τους παρακμάζοντες τομείς, στους οποίους αναμένεται παύση ή σημαντική μείωση δραστηριοτήτων λόγω της μετάβασης, συμπεριλαμβανομένου σχετικού χρονοδιαγράμματος·</w:t>
            </w:r>
          </w:p>
          <w:p w:rsidR="00615F18" w:rsidRDefault="000A62D6">
            <w:pPr>
              <w:spacing w:after="0"/>
              <w:rPr>
                <w:i/>
                <w:noProof/>
                <w:szCs w:val="24"/>
              </w:rPr>
            </w:pPr>
            <w:r>
              <w:rPr>
                <w:i/>
                <w:noProof/>
              </w:rPr>
              <w:t>– τους μετασχηματιζόμενους</w:t>
            </w:r>
            <w:r>
              <w:rPr>
                <w:i/>
                <w:noProof/>
              </w:rPr>
              <w:t xml:space="preserve"> τομείς, στους οποίους αναμένεται μετασχηματισμός δραστηριοτήτων, διεργασιών και εκροών.</w:t>
            </w:r>
          </w:p>
          <w:p w:rsidR="00615F18" w:rsidRDefault="000A62D6">
            <w:pPr>
              <w:spacing w:after="0"/>
              <w:rPr>
                <w:i/>
                <w:noProof/>
                <w:szCs w:val="24"/>
              </w:rPr>
            </w:pPr>
            <w:r>
              <w:rPr>
                <w:i/>
                <w:noProof/>
              </w:rPr>
              <w:lastRenderedPageBreak/>
              <w:t xml:space="preserve">Για κάθε μία εκ των δύο κατηγοριών τομέων: </w:t>
            </w:r>
          </w:p>
          <w:p w:rsidR="00615F18" w:rsidRDefault="000A62D6">
            <w:pPr>
              <w:spacing w:after="0"/>
              <w:rPr>
                <w:i/>
                <w:noProof/>
                <w:szCs w:val="24"/>
              </w:rPr>
            </w:pPr>
            <w:r>
              <w:rPr>
                <w:i/>
                <w:noProof/>
              </w:rPr>
              <w:t>– τις αναμενόμενες απώλειες θέσεων εργασίας και τις ανάγκες επανειδίκευσης, λαμβάνοντας υπόψη τις προβλέψεις για τις δεξιότ</w:t>
            </w:r>
            <w:r>
              <w:rPr>
                <w:i/>
                <w:noProof/>
              </w:rPr>
              <w:t>ητες·</w:t>
            </w:r>
          </w:p>
          <w:p w:rsidR="00615F18" w:rsidRDefault="000A62D6">
            <w:pPr>
              <w:rPr>
                <w:noProof/>
                <w:szCs w:val="24"/>
              </w:rPr>
            </w:pPr>
            <w:r>
              <w:rPr>
                <w:i/>
                <w:noProof/>
              </w:rPr>
              <w:t>– τις δυνατότητες οικονομικής διαφοροποίησης και τις ευκαιρίες ανάπτυξης.</w:t>
            </w:r>
          </w:p>
        </w:tc>
      </w:tr>
    </w:tbl>
    <w:p w:rsidR="00615F18" w:rsidRDefault="00615F18">
      <w:pPr>
        <w:spacing w:before="0" w:after="200" w:line="276" w:lineRule="auto"/>
        <w:ind w:left="2880"/>
        <w:contextualSpacing/>
        <w:rPr>
          <w:rFonts w:eastAsia="Times New Roman" w:cstheme="minorBidi"/>
          <w:noProof/>
          <w:szCs w:val="24"/>
        </w:rPr>
      </w:pPr>
    </w:p>
    <w:p w:rsidR="00615F18" w:rsidRDefault="000A62D6">
      <w:pPr>
        <w:pStyle w:val="ListParagraph"/>
        <w:rPr>
          <w:rFonts w:ascii="Times New Roman" w:hAnsi="Times New Roman" w:cs="Times New Roman"/>
          <w:noProof/>
          <w:sz w:val="24"/>
          <w:szCs w:val="24"/>
        </w:rPr>
      </w:pPr>
      <w:r>
        <w:rPr>
          <w:rFonts w:ascii="Times New Roman" w:hAnsi="Times New Roman"/>
          <w:noProof/>
        </w:rPr>
        <w:t>2.2. Ανάγκες και στόχοι που συνδέονται με την ανάπτυξη έως το 2030 με σκοπό την επίτευξη κλιματικής ουδετερότητας</w:t>
      </w:r>
    </w:p>
    <w:p w:rsidR="00615F18" w:rsidRDefault="00615F18">
      <w:pPr>
        <w:pStyle w:val="ListParagraph"/>
        <w:rPr>
          <w:rFonts w:ascii="Times New Roman" w:hAnsi="Times New Roman" w:cs="Times New Roman"/>
          <w:noProof/>
          <w:sz w:val="24"/>
          <w:szCs w:val="24"/>
        </w:rPr>
      </w:pPr>
    </w:p>
    <w:p w:rsidR="00615F18" w:rsidRDefault="000A62D6">
      <w:pPr>
        <w:pStyle w:val="ListParagraph"/>
        <w:rPr>
          <w:rFonts w:ascii="Times New Roman" w:hAnsi="Times New Roman" w:cs="Times New Roman"/>
          <w:i/>
          <w:noProof/>
          <w:sz w:val="24"/>
          <w:szCs w:val="24"/>
        </w:rPr>
      </w:pPr>
      <w:r>
        <w:rPr>
          <w:rFonts w:ascii="Times New Roman" w:hAnsi="Times New Roman"/>
          <w:i/>
          <w:noProof/>
        </w:rPr>
        <w:t>Σημείο αναφοράς: Άρθρο 7 παράγραφος 2 στοιχείο δ)</w:t>
      </w:r>
    </w:p>
    <w:tbl>
      <w:tblPr>
        <w:tblStyle w:val="TableGrid"/>
        <w:tblW w:w="0" w:type="auto"/>
        <w:tblLook w:val="04A0" w:firstRow="1" w:lastRow="0" w:firstColumn="1" w:lastColumn="0" w:noHBand="0" w:noVBand="1"/>
      </w:tblPr>
      <w:tblGrid>
        <w:gridCol w:w="9288"/>
      </w:tblGrid>
      <w:tr w:rsidR="00615F18">
        <w:trPr>
          <w:trHeight w:val="306"/>
        </w:trPr>
        <w:tc>
          <w:tcPr>
            <w:tcW w:w="9288" w:type="dxa"/>
          </w:tcPr>
          <w:p w:rsidR="00615F18" w:rsidRDefault="000A62D6">
            <w:pPr>
              <w:rPr>
                <w:i/>
                <w:noProof/>
              </w:rPr>
            </w:pPr>
            <w:r>
              <w:rPr>
                <w:i/>
                <w:noProof/>
              </w:rPr>
              <w:t>Πεδίο κει</w:t>
            </w:r>
            <w:r>
              <w:rPr>
                <w:i/>
                <w:noProof/>
              </w:rPr>
              <w:t>μένου [6000]</w:t>
            </w:r>
          </w:p>
        </w:tc>
      </w:tr>
    </w:tbl>
    <w:p w:rsidR="00615F18" w:rsidRDefault="00615F18">
      <w:pPr>
        <w:pStyle w:val="ListParagraph"/>
        <w:rPr>
          <w:rFonts w:ascii="Times New Roman" w:hAnsi="Times New Roman" w:cs="Times New Roman"/>
          <w:noProof/>
          <w:sz w:val="24"/>
          <w:szCs w:val="24"/>
        </w:rPr>
      </w:pPr>
    </w:p>
    <w:tbl>
      <w:tblPr>
        <w:tblStyle w:val="TableGrid"/>
        <w:tblW w:w="0" w:type="auto"/>
        <w:tblLook w:val="04A0" w:firstRow="1" w:lastRow="0" w:firstColumn="1" w:lastColumn="0" w:noHBand="0" w:noVBand="1"/>
      </w:tblPr>
      <w:tblGrid>
        <w:gridCol w:w="9288"/>
      </w:tblGrid>
      <w:tr w:rsidR="00615F18">
        <w:trPr>
          <w:trHeight w:val="699"/>
        </w:trPr>
        <w:tc>
          <w:tcPr>
            <w:tcW w:w="9288" w:type="dxa"/>
          </w:tcPr>
          <w:p w:rsidR="00615F18" w:rsidRDefault="000A62D6">
            <w:pPr>
              <w:contextualSpacing/>
              <w:rPr>
                <w:rFonts w:eastAsia="Times New Roman"/>
                <w:i/>
                <w:noProof/>
                <w:szCs w:val="24"/>
              </w:rPr>
            </w:pPr>
            <w:r>
              <w:rPr>
                <w:noProof/>
              </w:rPr>
              <w:t xml:space="preserve">– </w:t>
            </w:r>
            <w:r>
              <w:rPr>
                <w:i/>
                <w:noProof/>
              </w:rPr>
              <w:t xml:space="preserve">Αναπτυξιακές ανάγκες για την αντιμετώπιση των προκλήσεων που σχετίζονται με τη μετάβαση· </w:t>
            </w:r>
          </w:p>
          <w:p w:rsidR="00615F18" w:rsidRDefault="000A62D6">
            <w:pPr>
              <w:contextualSpacing/>
              <w:rPr>
                <w:rFonts w:eastAsia="Times New Roman"/>
                <w:noProof/>
                <w:szCs w:val="24"/>
              </w:rPr>
            </w:pPr>
            <w:r>
              <w:rPr>
                <w:i/>
                <w:noProof/>
              </w:rPr>
              <w:t>– Στόχοι και αποτελέσματα που αναμένονται από την υλοποίηση της προτεραιότητας του Ταμείου Δίκαιης Μετάβασης.</w:t>
            </w:r>
            <w:r>
              <w:rPr>
                <w:noProof/>
              </w:rPr>
              <w:t xml:space="preserve"> </w:t>
            </w:r>
          </w:p>
        </w:tc>
      </w:tr>
    </w:tbl>
    <w:p w:rsidR="00615F18" w:rsidRDefault="00615F18">
      <w:pPr>
        <w:spacing w:before="0" w:after="200" w:line="276" w:lineRule="auto"/>
        <w:ind w:left="2160"/>
        <w:contextualSpacing/>
        <w:rPr>
          <w:rFonts w:eastAsia="Times New Roman" w:cstheme="minorBidi"/>
          <w:noProof/>
          <w:szCs w:val="24"/>
        </w:rPr>
      </w:pPr>
    </w:p>
    <w:p w:rsidR="00615F18" w:rsidRDefault="000A62D6">
      <w:pPr>
        <w:pStyle w:val="ListParagraph"/>
        <w:rPr>
          <w:rFonts w:ascii="Times New Roman" w:hAnsi="Times New Roman" w:cs="Times New Roman"/>
          <w:noProof/>
          <w:sz w:val="24"/>
          <w:szCs w:val="24"/>
        </w:rPr>
      </w:pPr>
      <w:r>
        <w:rPr>
          <w:rFonts w:ascii="Times New Roman" w:hAnsi="Times New Roman"/>
          <w:noProof/>
        </w:rPr>
        <w:t xml:space="preserve">2.3. Συνέπεια με άλλες εθνικές, περιφερειακές ή εδαφικές στρατηγικές και σχέδια </w:t>
      </w:r>
    </w:p>
    <w:p w:rsidR="00615F18" w:rsidRDefault="00615F18">
      <w:pPr>
        <w:pStyle w:val="ListParagraph"/>
        <w:rPr>
          <w:rFonts w:ascii="Times New Roman" w:hAnsi="Times New Roman" w:cs="Times New Roman"/>
          <w:i/>
          <w:noProof/>
          <w:sz w:val="24"/>
          <w:szCs w:val="24"/>
        </w:rPr>
      </w:pPr>
    </w:p>
    <w:p w:rsidR="00615F18" w:rsidRDefault="000A62D6">
      <w:pPr>
        <w:pStyle w:val="ListParagraph"/>
        <w:rPr>
          <w:rFonts w:ascii="Times New Roman" w:hAnsi="Times New Roman" w:cs="Times New Roman"/>
          <w:i/>
          <w:noProof/>
          <w:sz w:val="24"/>
          <w:szCs w:val="24"/>
        </w:rPr>
      </w:pPr>
      <w:r>
        <w:rPr>
          <w:rFonts w:ascii="Times New Roman" w:hAnsi="Times New Roman"/>
          <w:i/>
          <w:noProof/>
        </w:rPr>
        <w:t>Σημείο αναφοράς: Άρθρο 7 παράγραφος 2 στοιχείο ε)</w:t>
      </w:r>
    </w:p>
    <w:tbl>
      <w:tblPr>
        <w:tblStyle w:val="TableGrid"/>
        <w:tblW w:w="0" w:type="auto"/>
        <w:tblLook w:val="04A0" w:firstRow="1" w:lastRow="0" w:firstColumn="1" w:lastColumn="0" w:noHBand="0" w:noVBand="1"/>
      </w:tblPr>
      <w:tblGrid>
        <w:gridCol w:w="9288"/>
      </w:tblGrid>
      <w:tr w:rsidR="00615F18">
        <w:trPr>
          <w:trHeight w:val="306"/>
        </w:trPr>
        <w:tc>
          <w:tcPr>
            <w:tcW w:w="9288" w:type="dxa"/>
          </w:tcPr>
          <w:p w:rsidR="00615F18" w:rsidRDefault="000A62D6">
            <w:pPr>
              <w:rPr>
                <w:i/>
                <w:noProof/>
              </w:rPr>
            </w:pPr>
            <w:r>
              <w:rPr>
                <w:i/>
                <w:noProof/>
              </w:rPr>
              <w:t>Πεδίο κειμένου [6000]</w:t>
            </w:r>
          </w:p>
        </w:tc>
      </w:tr>
    </w:tbl>
    <w:p w:rsidR="00615F18" w:rsidRDefault="00615F18">
      <w:pPr>
        <w:spacing w:before="0" w:after="200" w:line="276" w:lineRule="auto"/>
        <w:ind w:left="2160"/>
        <w:contextualSpacing/>
        <w:rPr>
          <w:rFonts w:eastAsia="Times New Roman" w:cstheme="minorBidi"/>
          <w:noProof/>
          <w:szCs w:val="24"/>
        </w:rPr>
      </w:pPr>
    </w:p>
    <w:tbl>
      <w:tblPr>
        <w:tblStyle w:val="TableGrid"/>
        <w:tblW w:w="0" w:type="auto"/>
        <w:tblLook w:val="04A0" w:firstRow="1" w:lastRow="0" w:firstColumn="1" w:lastColumn="0" w:noHBand="0" w:noVBand="1"/>
      </w:tblPr>
      <w:tblGrid>
        <w:gridCol w:w="9288"/>
      </w:tblGrid>
      <w:tr w:rsidR="00615F18">
        <w:trPr>
          <w:trHeight w:val="1125"/>
        </w:trPr>
        <w:tc>
          <w:tcPr>
            <w:tcW w:w="9288" w:type="dxa"/>
          </w:tcPr>
          <w:p w:rsidR="00615F18" w:rsidRDefault="000A62D6">
            <w:pPr>
              <w:contextualSpacing/>
              <w:rPr>
                <w:rFonts w:eastAsia="Times New Roman"/>
                <w:i/>
                <w:noProof/>
                <w:szCs w:val="24"/>
              </w:rPr>
            </w:pPr>
            <w:r>
              <w:rPr>
                <w:noProof/>
              </w:rPr>
              <w:t xml:space="preserve">– </w:t>
            </w:r>
            <w:r>
              <w:rPr>
                <w:i/>
                <w:noProof/>
              </w:rPr>
              <w:t>Στρατηγικές έξυπνης εξειδίκευσης·</w:t>
            </w:r>
          </w:p>
          <w:p w:rsidR="00615F18" w:rsidRDefault="000A62D6">
            <w:pPr>
              <w:contextualSpacing/>
              <w:rPr>
                <w:rFonts w:eastAsia="Times New Roman"/>
                <w:i/>
                <w:noProof/>
                <w:szCs w:val="24"/>
              </w:rPr>
            </w:pPr>
            <w:r>
              <w:rPr>
                <w:i/>
                <w:noProof/>
              </w:rPr>
              <w:t xml:space="preserve">– Εδαφικές στρατηγικές που αναφέρονται στο άρθρο 23 του κανονισμού ΕΕ [νέος ΚΚΔ]· </w:t>
            </w:r>
          </w:p>
          <w:p w:rsidR="00615F18" w:rsidRDefault="000A62D6">
            <w:pPr>
              <w:contextualSpacing/>
              <w:rPr>
                <w:rFonts w:eastAsia="Times New Roman"/>
                <w:b/>
                <w:noProof/>
                <w:szCs w:val="24"/>
              </w:rPr>
            </w:pPr>
            <w:r>
              <w:rPr>
                <w:i/>
                <w:noProof/>
              </w:rPr>
              <w:t>– Άλλα περιφερειακά ή εθνικά σχέδια ανάπτυξης.</w:t>
            </w:r>
            <w:r>
              <w:rPr>
                <w:b/>
                <w:noProof/>
              </w:rPr>
              <w:t xml:space="preserve"> </w:t>
            </w:r>
          </w:p>
        </w:tc>
      </w:tr>
    </w:tbl>
    <w:p w:rsidR="00615F18" w:rsidRDefault="00615F18">
      <w:pPr>
        <w:spacing w:before="0" w:after="200" w:line="276" w:lineRule="auto"/>
        <w:ind w:left="2160"/>
        <w:contextualSpacing/>
        <w:rPr>
          <w:rFonts w:eastAsia="Times New Roman" w:cstheme="minorBidi"/>
          <w:noProof/>
          <w:szCs w:val="24"/>
        </w:rPr>
      </w:pPr>
    </w:p>
    <w:p w:rsidR="00615F18" w:rsidRDefault="000A62D6">
      <w:pPr>
        <w:pStyle w:val="ListParagraph"/>
        <w:rPr>
          <w:rFonts w:ascii="Times New Roman" w:hAnsi="Times New Roman" w:cs="Times New Roman"/>
          <w:i/>
          <w:noProof/>
          <w:sz w:val="24"/>
          <w:szCs w:val="24"/>
        </w:rPr>
      </w:pPr>
      <w:r>
        <w:rPr>
          <w:rFonts w:ascii="Times New Roman" w:hAnsi="Times New Roman"/>
          <w:noProof/>
        </w:rPr>
        <w:t>2.4. Είδη προβλεπόμενων πράξεων</w:t>
      </w:r>
    </w:p>
    <w:tbl>
      <w:tblPr>
        <w:tblStyle w:val="TableGrid"/>
        <w:tblW w:w="0" w:type="auto"/>
        <w:tblLook w:val="04A0" w:firstRow="1" w:lastRow="0" w:firstColumn="1" w:lastColumn="0" w:noHBand="0" w:noVBand="1"/>
      </w:tblPr>
      <w:tblGrid>
        <w:gridCol w:w="9288"/>
      </w:tblGrid>
      <w:tr w:rsidR="00615F18">
        <w:trPr>
          <w:trHeight w:val="306"/>
        </w:trPr>
        <w:tc>
          <w:tcPr>
            <w:tcW w:w="9288" w:type="dxa"/>
          </w:tcPr>
          <w:p w:rsidR="00615F18" w:rsidRDefault="000A62D6">
            <w:pPr>
              <w:rPr>
                <w:i/>
                <w:noProof/>
              </w:rPr>
            </w:pPr>
            <w:r>
              <w:rPr>
                <w:i/>
                <w:noProof/>
              </w:rPr>
              <w:t>Πεδίο κειμένου [12000]</w:t>
            </w:r>
          </w:p>
        </w:tc>
      </w:tr>
    </w:tbl>
    <w:p w:rsidR="00615F18" w:rsidRDefault="00615F18">
      <w:pPr>
        <w:pStyle w:val="ListParagraph"/>
        <w:rPr>
          <w:rFonts w:ascii="Times New Roman" w:hAnsi="Times New Roman" w:cs="Times New Roman"/>
          <w:noProof/>
          <w:sz w:val="24"/>
          <w:szCs w:val="24"/>
        </w:rPr>
      </w:pPr>
    </w:p>
    <w:p w:rsidR="00615F18" w:rsidRDefault="000A62D6">
      <w:pPr>
        <w:pStyle w:val="ListParagraph"/>
        <w:rPr>
          <w:rFonts w:ascii="Times New Roman" w:hAnsi="Times New Roman" w:cs="Times New Roman"/>
          <w:noProof/>
          <w:sz w:val="24"/>
          <w:szCs w:val="24"/>
        </w:rPr>
      </w:pPr>
      <w:r>
        <w:rPr>
          <w:rFonts w:ascii="Times New Roman" w:hAnsi="Times New Roman"/>
          <w:i/>
          <w:noProof/>
        </w:rPr>
        <w:t>Σημείο αναφοράς: Άρθρο 7 παράγραφος 2 στοιχείο ζ)</w:t>
      </w:r>
    </w:p>
    <w:tbl>
      <w:tblPr>
        <w:tblStyle w:val="TableGrid"/>
        <w:tblW w:w="0" w:type="auto"/>
        <w:tblLook w:val="04A0" w:firstRow="1" w:lastRow="0" w:firstColumn="1" w:lastColumn="0" w:noHBand="0" w:noVBand="1"/>
      </w:tblPr>
      <w:tblGrid>
        <w:gridCol w:w="9288"/>
      </w:tblGrid>
      <w:tr w:rsidR="00615F18">
        <w:tc>
          <w:tcPr>
            <w:tcW w:w="9288" w:type="dxa"/>
          </w:tcPr>
          <w:p w:rsidR="00615F18" w:rsidRDefault="000A62D6">
            <w:pPr>
              <w:rPr>
                <w:i/>
                <w:noProof/>
                <w:szCs w:val="24"/>
              </w:rPr>
            </w:pPr>
            <w:r>
              <w:rPr>
                <w:i/>
                <w:noProof/>
              </w:rPr>
              <w:t xml:space="preserve">– Είδος προβλεπόμενων πράξεων και προσδοκώμενη συμβολή τους στην άμβλυνση των επιπτώσεων της κλιματικής μετάβασης· </w:t>
            </w:r>
          </w:p>
        </w:tc>
      </w:tr>
    </w:tbl>
    <w:p w:rsidR="00615F18" w:rsidRDefault="00615F18">
      <w:pPr>
        <w:pStyle w:val="ListParagraph"/>
        <w:rPr>
          <w:rFonts w:eastAsia="Times New Roman"/>
          <w:i/>
          <w:noProof/>
          <w:szCs w:val="24"/>
          <w:highlight w:val="yellow"/>
        </w:rPr>
      </w:pPr>
    </w:p>
    <w:p w:rsidR="00615F18" w:rsidRDefault="000A62D6">
      <w:pPr>
        <w:pStyle w:val="ListParagraph"/>
        <w:rPr>
          <w:rFonts w:ascii="Times New Roman" w:hAnsi="Times New Roman" w:cs="Times New Roman"/>
          <w:i/>
          <w:noProof/>
          <w:sz w:val="24"/>
          <w:szCs w:val="24"/>
        </w:rPr>
      </w:pPr>
      <w:r>
        <w:rPr>
          <w:rFonts w:ascii="Times New Roman" w:hAnsi="Times New Roman"/>
          <w:i/>
          <w:noProof/>
        </w:rPr>
        <w:t>Σημείο αναφοράς: Άρθρο 7 παράγραφος 2 στοιχείο η)</w:t>
      </w:r>
    </w:p>
    <w:tbl>
      <w:tblPr>
        <w:tblStyle w:val="TableGrid"/>
        <w:tblW w:w="0" w:type="auto"/>
        <w:tblLook w:val="04A0" w:firstRow="1" w:lastRow="0" w:firstColumn="1" w:lastColumn="0" w:noHBand="0" w:noVBand="1"/>
      </w:tblPr>
      <w:tblGrid>
        <w:gridCol w:w="9288"/>
      </w:tblGrid>
      <w:tr w:rsidR="00615F18">
        <w:tc>
          <w:tcPr>
            <w:tcW w:w="9288" w:type="dxa"/>
          </w:tcPr>
          <w:p w:rsidR="00615F18" w:rsidRDefault="000A62D6">
            <w:pPr>
              <w:rPr>
                <w:rFonts w:eastAsia="Times New Roman"/>
                <w:i/>
                <w:noProof/>
                <w:szCs w:val="24"/>
              </w:rPr>
            </w:pPr>
            <w:r>
              <w:rPr>
                <w:i/>
                <w:noProof/>
              </w:rPr>
              <w:t xml:space="preserve">Συμπληρώνεται μόνο αν παρέχεται στήριξη σε παραγωγικές επενδύσεις σε επιχειρήσεις άλλες </w:t>
            </w:r>
            <w:r>
              <w:rPr>
                <w:i/>
                <w:noProof/>
              </w:rPr>
              <w:lastRenderedPageBreak/>
              <w:t xml:space="preserve">από ΜΜΕ: </w:t>
            </w:r>
          </w:p>
          <w:p w:rsidR="00615F18" w:rsidRDefault="000A62D6">
            <w:pPr>
              <w:rPr>
                <w:noProof/>
                <w:szCs w:val="24"/>
              </w:rPr>
            </w:pPr>
            <w:r>
              <w:rPr>
                <w:i/>
                <w:noProof/>
              </w:rPr>
              <w:t>– Εξαντλητικός κατάλογος των οικείων πράξεων και επιχειρήσεων και, για καθεμία από αυτές, αιτιολόγηση της αναγκαιότητας της εν λόγω στήριξης μέσω μελέτης αποκλίσεων στην οποία θα πρέπει να καταδεικνύεται ότι ο αριθμός των θέσεων εργασίας που αναμ</w:t>
            </w:r>
            <w:r>
              <w:rPr>
                <w:i/>
                <w:noProof/>
              </w:rPr>
              <w:t>ένεται να απολεσθούν θα υπερβαίνει τον αριθμό των θέσεων εργασίας που θα δημιουργηθούν αν δεν γίνει η επένδυση</w:t>
            </w:r>
          </w:p>
        </w:tc>
      </w:tr>
    </w:tbl>
    <w:p w:rsidR="00615F18" w:rsidRDefault="00615F18">
      <w:pPr>
        <w:spacing w:before="0" w:after="200" w:line="276" w:lineRule="auto"/>
        <w:ind w:left="1800"/>
        <w:contextualSpacing/>
        <w:rPr>
          <w:i/>
          <w:noProof/>
          <w:highlight w:val="yellow"/>
        </w:rPr>
      </w:pPr>
    </w:p>
    <w:p w:rsidR="00615F18" w:rsidRDefault="00615F18">
      <w:pPr>
        <w:spacing w:before="0" w:after="200" w:line="276" w:lineRule="auto"/>
        <w:ind w:left="1800"/>
        <w:contextualSpacing/>
        <w:rPr>
          <w:i/>
          <w:noProof/>
          <w:highlight w:val="yellow"/>
        </w:rPr>
      </w:pPr>
    </w:p>
    <w:p w:rsidR="00615F18" w:rsidRDefault="000A62D6">
      <w:pPr>
        <w:spacing w:before="0" w:after="200" w:line="360" w:lineRule="auto"/>
        <w:ind w:firstLine="720"/>
        <w:contextualSpacing/>
        <w:rPr>
          <w:noProof/>
        </w:rPr>
      </w:pPr>
      <w:r>
        <w:rPr>
          <w:i/>
          <w:noProof/>
        </w:rPr>
        <w:t>Σημείο αναφοράς: Άρθρο 7 παράγραφος 2 στοιχείο θ)</w:t>
      </w:r>
    </w:p>
    <w:tbl>
      <w:tblPr>
        <w:tblStyle w:val="TableGrid"/>
        <w:tblW w:w="0" w:type="auto"/>
        <w:tblLook w:val="04A0" w:firstRow="1" w:lastRow="0" w:firstColumn="1" w:lastColumn="0" w:noHBand="0" w:noVBand="1"/>
      </w:tblPr>
      <w:tblGrid>
        <w:gridCol w:w="9288"/>
      </w:tblGrid>
      <w:tr w:rsidR="00615F18">
        <w:tc>
          <w:tcPr>
            <w:tcW w:w="9288" w:type="dxa"/>
          </w:tcPr>
          <w:p w:rsidR="00615F18" w:rsidRDefault="000A62D6">
            <w:pPr>
              <w:rPr>
                <w:i/>
                <w:noProof/>
                <w:szCs w:val="24"/>
              </w:rPr>
            </w:pPr>
            <w:r>
              <w:rPr>
                <w:i/>
                <w:noProof/>
              </w:rPr>
              <w:t xml:space="preserve">Συμπληρώνεται μόνο αν παρέχεται στήριξη σε επενδύσεις για να επιτευχθεί η μείωση των εκπομπών αερίων του θερμοκηπίου από τις δραστηριότητες που παρατίθενται στο παράρτημα Ι της οδηγίας 2003/87/ΕΚ· </w:t>
            </w:r>
          </w:p>
          <w:p w:rsidR="00615F18" w:rsidRDefault="000A62D6">
            <w:pPr>
              <w:rPr>
                <w:noProof/>
                <w:szCs w:val="24"/>
              </w:rPr>
            </w:pPr>
            <w:r>
              <w:rPr>
                <w:i/>
                <w:noProof/>
              </w:rPr>
              <w:t>– Εξαντλητικός κατάλογος των προς στήριξη πράξεων και αιτι</w:t>
            </w:r>
            <w:r>
              <w:rPr>
                <w:i/>
                <w:noProof/>
              </w:rPr>
              <w:t xml:space="preserve">ολόγηση ως προς το ότι συμβάλλουν στη μετάβαση προς μια κλιματικά ουδέτερη οικονομία και οδηγούν σε σημαντικές μειώσεις των εκπομπών αερίων του θερμοκηπίου που θα είναι κατά πολύ χαμηλότερες των δεικτών αναφοράς που χρησιμοποιούνται για τη δωρεάν κατανομή </w:t>
            </w:r>
            <w:r>
              <w:rPr>
                <w:i/>
                <w:noProof/>
              </w:rPr>
              <w:t xml:space="preserve">βάσει της οδηγίας 2003/87/ΕΚ και υπό τον όρο ότι αυτές είναι απαραίτητες για την προστασία σημαντικού αριθμού θέσεων εργασίας </w:t>
            </w:r>
          </w:p>
        </w:tc>
      </w:tr>
    </w:tbl>
    <w:p w:rsidR="00615F18" w:rsidRDefault="00615F18">
      <w:pPr>
        <w:spacing w:before="0" w:after="200" w:line="276" w:lineRule="auto"/>
        <w:ind w:left="1800"/>
        <w:contextualSpacing/>
        <w:rPr>
          <w:noProof/>
          <w:highlight w:val="yellow"/>
        </w:rPr>
      </w:pPr>
    </w:p>
    <w:p w:rsidR="00615F18" w:rsidRDefault="00615F18">
      <w:pPr>
        <w:spacing w:before="0" w:after="200" w:line="276" w:lineRule="auto"/>
        <w:ind w:left="1800"/>
        <w:contextualSpacing/>
        <w:rPr>
          <w:noProof/>
          <w:highlight w:val="yellow"/>
        </w:rPr>
      </w:pPr>
    </w:p>
    <w:p w:rsidR="00615F18" w:rsidRDefault="000A62D6">
      <w:pPr>
        <w:spacing w:before="0" w:after="200" w:line="360" w:lineRule="auto"/>
        <w:ind w:firstLine="720"/>
        <w:contextualSpacing/>
        <w:rPr>
          <w:noProof/>
        </w:rPr>
      </w:pPr>
      <w:r>
        <w:rPr>
          <w:i/>
          <w:noProof/>
        </w:rPr>
        <w:t>Σημείο αναφοράς: Άρθρο 7 παράγραφος 2 στοιχείο ι)</w:t>
      </w:r>
    </w:p>
    <w:tbl>
      <w:tblPr>
        <w:tblStyle w:val="TableGrid"/>
        <w:tblW w:w="0" w:type="auto"/>
        <w:tblLook w:val="04A0" w:firstRow="1" w:lastRow="0" w:firstColumn="1" w:lastColumn="0" w:noHBand="0" w:noVBand="1"/>
      </w:tblPr>
      <w:tblGrid>
        <w:gridCol w:w="9288"/>
      </w:tblGrid>
      <w:tr w:rsidR="00615F18">
        <w:tc>
          <w:tcPr>
            <w:tcW w:w="9288" w:type="dxa"/>
          </w:tcPr>
          <w:p w:rsidR="00615F18" w:rsidRDefault="000A62D6">
            <w:pPr>
              <w:rPr>
                <w:i/>
                <w:noProof/>
                <w:szCs w:val="24"/>
              </w:rPr>
            </w:pPr>
            <w:r>
              <w:rPr>
                <w:i/>
                <w:noProof/>
              </w:rPr>
              <w:t>– Συνέργειες και συμπληρωματικότητα των προβλεπόμενων πράξεων με άλλα προγρά</w:t>
            </w:r>
            <w:r>
              <w:rPr>
                <w:i/>
                <w:noProof/>
              </w:rPr>
              <w:t>μματα στο πλαίσιο του στόχου «Επενδύσεις στην απασχόληση και την ανάπτυξη» (σε υποστήριξη της διαδικασίας μετάβασης), με άλλα χρηματοδοτικά μέσα (Ταμείο για τον εκσυγχρονισμό του συστήματος εμπορίας δικαιωμάτων εκπομπών της Ένωσης) και με τους υπόλοιπους π</w:t>
            </w:r>
            <w:r>
              <w:rPr>
                <w:i/>
                <w:noProof/>
              </w:rPr>
              <w:t>υλώνες του Μηχανισμού Δίκαιης Μετάβασης (ειδικό καθεστώς στο πλαίσιο του InvestEU και δανειακή διευκόλυνση του δημόσιου τομέα σε συνεργασία με την Ευρωπαϊκή Τράπεζα Επενδύσεων) για την αντιμετώπιση των προσδιορισθεισών επενδυτικών αναγκών.</w:t>
            </w:r>
          </w:p>
        </w:tc>
      </w:tr>
    </w:tbl>
    <w:p w:rsidR="00615F18" w:rsidRDefault="00615F18">
      <w:pPr>
        <w:spacing w:before="0" w:after="200" w:line="276" w:lineRule="auto"/>
        <w:ind w:left="1800"/>
        <w:contextualSpacing/>
        <w:rPr>
          <w:rFonts w:eastAsia="Times New Roman" w:cstheme="minorBidi"/>
          <w:noProof/>
          <w:szCs w:val="24"/>
          <w:highlight w:val="yellow"/>
        </w:rPr>
      </w:pPr>
    </w:p>
    <w:p w:rsidR="00615F18" w:rsidRDefault="000A62D6">
      <w:pPr>
        <w:pStyle w:val="ListParagraph"/>
        <w:rPr>
          <w:rFonts w:ascii="Times New Roman" w:hAnsi="Times New Roman" w:cs="Times New Roman"/>
          <w:noProof/>
          <w:sz w:val="24"/>
          <w:szCs w:val="24"/>
        </w:rPr>
      </w:pPr>
      <w:r>
        <w:rPr>
          <w:rFonts w:ascii="Times New Roman" w:hAnsi="Times New Roman"/>
          <w:noProof/>
        </w:rPr>
        <w:t>2.5. Ειδικοί α</w:t>
      </w:r>
      <w:r>
        <w:rPr>
          <w:rFonts w:ascii="Times New Roman" w:hAnsi="Times New Roman"/>
          <w:noProof/>
        </w:rPr>
        <w:t>νά πρόγραμμα δείκτες εκροών ή αποτελεσμάτων</w:t>
      </w:r>
    </w:p>
    <w:p w:rsidR="00615F18" w:rsidRDefault="000A62D6">
      <w:pPr>
        <w:spacing w:before="0" w:after="200" w:line="276" w:lineRule="auto"/>
        <w:ind w:firstLine="720"/>
        <w:contextualSpacing/>
        <w:rPr>
          <w:rFonts w:eastAsia="Times New Roman" w:cstheme="minorBidi"/>
          <w:noProof/>
          <w:szCs w:val="24"/>
        </w:rPr>
      </w:pPr>
      <w:r>
        <w:rPr>
          <w:i/>
          <w:noProof/>
        </w:rPr>
        <w:t>Σημείο αναφοράς: Άρθρο 8 παράγραφος 1</w:t>
      </w:r>
    </w:p>
    <w:tbl>
      <w:tblPr>
        <w:tblStyle w:val="TableGrid"/>
        <w:tblW w:w="0" w:type="auto"/>
        <w:tblLook w:val="04A0" w:firstRow="1" w:lastRow="0" w:firstColumn="1" w:lastColumn="0" w:noHBand="0" w:noVBand="1"/>
      </w:tblPr>
      <w:tblGrid>
        <w:gridCol w:w="9288"/>
      </w:tblGrid>
      <w:tr w:rsidR="00615F18">
        <w:tc>
          <w:tcPr>
            <w:tcW w:w="9288" w:type="dxa"/>
          </w:tcPr>
          <w:p w:rsidR="00615F18" w:rsidRDefault="000A62D6">
            <w:pPr>
              <w:rPr>
                <w:rFonts w:eastAsia="Times New Roman"/>
                <w:i/>
                <w:noProof/>
                <w:szCs w:val="24"/>
              </w:rPr>
            </w:pPr>
            <w:r>
              <w:rPr>
                <w:i/>
                <w:noProof/>
              </w:rPr>
              <w:t>Συμπληρώνεται μόνο αν προβλέπονται ειδικοί ανά πρόγραμμα δείκτες:</w:t>
            </w:r>
          </w:p>
          <w:p w:rsidR="00615F18" w:rsidRDefault="000A62D6">
            <w:pPr>
              <w:rPr>
                <w:i/>
                <w:noProof/>
                <w:szCs w:val="24"/>
              </w:rPr>
            </w:pPr>
            <w:r>
              <w:rPr>
                <w:i/>
                <w:noProof/>
              </w:rPr>
              <w:t>– Αιτιολόγηση της ανάγκης ειδικών ανά πρόγραμμα δεικτών εκροών ή αποτελεσμάτων με βάση το είδος της προβλεπό</w:t>
            </w:r>
            <w:r>
              <w:rPr>
                <w:i/>
                <w:noProof/>
              </w:rPr>
              <w:t xml:space="preserve">μενης πράξης </w:t>
            </w:r>
          </w:p>
        </w:tc>
      </w:tr>
    </w:tbl>
    <w:p w:rsidR="00615F18" w:rsidRDefault="00615F18">
      <w:pPr>
        <w:spacing w:before="0" w:after="200" w:line="276" w:lineRule="auto"/>
        <w:ind w:left="1800"/>
        <w:contextualSpacing/>
        <w:rPr>
          <w:rFonts w:eastAsia="Times New Roman" w:cstheme="minorBidi"/>
          <w:noProof/>
          <w:szCs w:val="24"/>
          <w:highlight w:val="yellow"/>
        </w:rPr>
      </w:pPr>
    </w:p>
    <w:tbl>
      <w:tblPr>
        <w:tblStyle w:val="TableGrid"/>
        <w:tblW w:w="0" w:type="auto"/>
        <w:tblLook w:val="04A0" w:firstRow="1" w:lastRow="0" w:firstColumn="1" w:lastColumn="0" w:noHBand="0" w:noVBand="1"/>
      </w:tblPr>
      <w:tblGrid>
        <w:gridCol w:w="1951"/>
        <w:gridCol w:w="709"/>
        <w:gridCol w:w="1984"/>
        <w:gridCol w:w="1548"/>
        <w:gridCol w:w="1548"/>
        <w:gridCol w:w="1548"/>
      </w:tblGrid>
      <w:tr w:rsidR="00615F18">
        <w:tc>
          <w:tcPr>
            <w:tcW w:w="9288" w:type="dxa"/>
            <w:gridSpan w:val="6"/>
          </w:tcPr>
          <w:p w:rsidR="00615F18" w:rsidRDefault="000A62D6">
            <w:pPr>
              <w:rPr>
                <w:b/>
                <w:noProof/>
                <w:sz w:val="18"/>
                <w:szCs w:val="18"/>
              </w:rPr>
            </w:pPr>
            <w:r>
              <w:rPr>
                <w:b/>
                <w:noProof/>
                <w:sz w:val="18"/>
                <w:szCs w:val="18"/>
              </w:rPr>
              <w:t>Πίνακας 1. Δείκτες εκροών</w:t>
            </w:r>
          </w:p>
        </w:tc>
      </w:tr>
      <w:tr w:rsidR="00615F18">
        <w:trPr>
          <w:trHeight w:val="699"/>
        </w:trPr>
        <w:tc>
          <w:tcPr>
            <w:tcW w:w="1951" w:type="dxa"/>
          </w:tcPr>
          <w:p w:rsidR="00615F18" w:rsidRDefault="000A62D6">
            <w:pPr>
              <w:rPr>
                <w:b/>
                <w:noProof/>
                <w:sz w:val="18"/>
                <w:szCs w:val="18"/>
              </w:rPr>
            </w:pPr>
            <w:r>
              <w:rPr>
                <w:b/>
                <w:noProof/>
                <w:sz w:val="18"/>
                <w:szCs w:val="18"/>
              </w:rPr>
              <w:t>Ειδικός στόχος</w:t>
            </w:r>
          </w:p>
        </w:tc>
        <w:tc>
          <w:tcPr>
            <w:tcW w:w="709" w:type="dxa"/>
          </w:tcPr>
          <w:p w:rsidR="00615F18" w:rsidRDefault="000A62D6">
            <w:pPr>
              <w:rPr>
                <w:b/>
                <w:noProof/>
                <w:sz w:val="18"/>
                <w:szCs w:val="18"/>
              </w:rPr>
            </w:pPr>
            <w:r>
              <w:rPr>
                <w:b/>
                <w:noProof/>
                <w:sz w:val="18"/>
                <w:szCs w:val="18"/>
              </w:rPr>
              <w:t>ID [5]</w:t>
            </w:r>
          </w:p>
        </w:tc>
        <w:tc>
          <w:tcPr>
            <w:tcW w:w="1984" w:type="dxa"/>
          </w:tcPr>
          <w:p w:rsidR="00615F18" w:rsidRDefault="000A62D6">
            <w:pPr>
              <w:rPr>
                <w:b/>
                <w:noProof/>
                <w:sz w:val="18"/>
                <w:szCs w:val="18"/>
              </w:rPr>
            </w:pPr>
            <w:r>
              <w:rPr>
                <w:b/>
                <w:noProof/>
                <w:sz w:val="18"/>
                <w:szCs w:val="18"/>
              </w:rPr>
              <w:t>Δείκτης [255]</w:t>
            </w:r>
          </w:p>
        </w:tc>
        <w:tc>
          <w:tcPr>
            <w:tcW w:w="1548" w:type="dxa"/>
          </w:tcPr>
          <w:p w:rsidR="00615F18" w:rsidRDefault="000A62D6">
            <w:pPr>
              <w:rPr>
                <w:b/>
                <w:noProof/>
                <w:sz w:val="18"/>
                <w:szCs w:val="18"/>
              </w:rPr>
            </w:pPr>
            <w:r>
              <w:rPr>
                <w:b/>
                <w:noProof/>
                <w:sz w:val="18"/>
                <w:szCs w:val="18"/>
              </w:rPr>
              <w:t>Μονάδα μέτρησης</w:t>
            </w:r>
          </w:p>
        </w:tc>
        <w:tc>
          <w:tcPr>
            <w:tcW w:w="1548" w:type="dxa"/>
          </w:tcPr>
          <w:p w:rsidR="00615F18" w:rsidRDefault="000A62D6">
            <w:pPr>
              <w:rPr>
                <w:b/>
                <w:noProof/>
                <w:sz w:val="18"/>
                <w:szCs w:val="18"/>
              </w:rPr>
            </w:pPr>
            <w:r>
              <w:rPr>
                <w:b/>
                <w:noProof/>
                <w:sz w:val="18"/>
                <w:szCs w:val="18"/>
              </w:rPr>
              <w:t>Ορόσημο (2024)</w:t>
            </w:r>
          </w:p>
        </w:tc>
        <w:tc>
          <w:tcPr>
            <w:tcW w:w="1548" w:type="dxa"/>
          </w:tcPr>
          <w:p w:rsidR="00615F18" w:rsidRDefault="000A62D6">
            <w:pPr>
              <w:rPr>
                <w:b/>
                <w:noProof/>
                <w:sz w:val="18"/>
                <w:szCs w:val="18"/>
              </w:rPr>
            </w:pPr>
            <w:r>
              <w:rPr>
                <w:b/>
                <w:noProof/>
                <w:sz w:val="18"/>
                <w:szCs w:val="18"/>
              </w:rPr>
              <w:t>Στόχος (2029)</w:t>
            </w:r>
          </w:p>
        </w:tc>
      </w:tr>
      <w:tr w:rsidR="00615F18">
        <w:tc>
          <w:tcPr>
            <w:tcW w:w="1951" w:type="dxa"/>
          </w:tcPr>
          <w:p w:rsidR="00615F18" w:rsidRDefault="00615F18">
            <w:pPr>
              <w:rPr>
                <w:noProof/>
                <w:sz w:val="18"/>
                <w:szCs w:val="18"/>
              </w:rPr>
            </w:pPr>
          </w:p>
        </w:tc>
        <w:tc>
          <w:tcPr>
            <w:tcW w:w="709" w:type="dxa"/>
          </w:tcPr>
          <w:p w:rsidR="00615F18" w:rsidRDefault="00615F18">
            <w:pPr>
              <w:rPr>
                <w:noProof/>
                <w:sz w:val="18"/>
                <w:szCs w:val="18"/>
              </w:rPr>
            </w:pPr>
          </w:p>
        </w:tc>
        <w:tc>
          <w:tcPr>
            <w:tcW w:w="1984" w:type="dxa"/>
          </w:tcPr>
          <w:p w:rsidR="00615F18" w:rsidRDefault="00615F18">
            <w:pPr>
              <w:rPr>
                <w:noProof/>
                <w:sz w:val="18"/>
                <w:szCs w:val="18"/>
              </w:rPr>
            </w:pPr>
          </w:p>
        </w:tc>
        <w:tc>
          <w:tcPr>
            <w:tcW w:w="1548" w:type="dxa"/>
          </w:tcPr>
          <w:p w:rsidR="00615F18" w:rsidRDefault="00615F18">
            <w:pPr>
              <w:rPr>
                <w:noProof/>
                <w:sz w:val="18"/>
                <w:szCs w:val="18"/>
              </w:rPr>
            </w:pPr>
          </w:p>
        </w:tc>
        <w:tc>
          <w:tcPr>
            <w:tcW w:w="1548" w:type="dxa"/>
          </w:tcPr>
          <w:p w:rsidR="00615F18" w:rsidRDefault="00615F18">
            <w:pPr>
              <w:rPr>
                <w:noProof/>
                <w:sz w:val="18"/>
                <w:szCs w:val="18"/>
              </w:rPr>
            </w:pPr>
          </w:p>
        </w:tc>
        <w:tc>
          <w:tcPr>
            <w:tcW w:w="1548" w:type="dxa"/>
          </w:tcPr>
          <w:p w:rsidR="00615F18" w:rsidRDefault="00615F18">
            <w:pPr>
              <w:rPr>
                <w:noProof/>
                <w:sz w:val="18"/>
                <w:szCs w:val="18"/>
              </w:rPr>
            </w:pPr>
          </w:p>
        </w:tc>
      </w:tr>
    </w:tbl>
    <w:p w:rsidR="00615F18" w:rsidRDefault="00615F18">
      <w:pPr>
        <w:spacing w:before="0" w:after="200" w:line="276" w:lineRule="auto"/>
        <w:ind w:left="1800"/>
        <w:contextualSpacing/>
        <w:rPr>
          <w:rFonts w:eastAsia="Times New Roman" w:cstheme="minorBidi"/>
          <w:noProof/>
          <w:szCs w:val="24"/>
          <w:highlight w:val="yellow"/>
        </w:rPr>
      </w:pPr>
    </w:p>
    <w:tbl>
      <w:tblPr>
        <w:tblStyle w:val="TableGrid"/>
        <w:tblW w:w="0" w:type="auto"/>
        <w:tblLook w:val="04A0" w:firstRow="1" w:lastRow="0" w:firstColumn="1" w:lastColumn="0" w:noHBand="0" w:noVBand="1"/>
      </w:tblPr>
      <w:tblGrid>
        <w:gridCol w:w="1081"/>
        <w:gridCol w:w="482"/>
        <w:gridCol w:w="1107"/>
        <w:gridCol w:w="1225"/>
        <w:gridCol w:w="1013"/>
        <w:gridCol w:w="1091"/>
        <w:gridCol w:w="904"/>
        <w:gridCol w:w="1042"/>
        <w:gridCol w:w="1344"/>
      </w:tblGrid>
      <w:tr w:rsidR="00615F18">
        <w:tc>
          <w:tcPr>
            <w:tcW w:w="9288" w:type="dxa"/>
            <w:gridSpan w:val="9"/>
          </w:tcPr>
          <w:p w:rsidR="00615F18" w:rsidRDefault="000A62D6">
            <w:pPr>
              <w:rPr>
                <w:b/>
                <w:noProof/>
                <w:sz w:val="18"/>
                <w:szCs w:val="18"/>
              </w:rPr>
            </w:pPr>
            <w:r>
              <w:rPr>
                <w:b/>
                <w:noProof/>
                <w:sz w:val="18"/>
                <w:szCs w:val="18"/>
              </w:rPr>
              <w:t>Πίνακας 2. Δείκτες αποτελεσμάτων</w:t>
            </w:r>
          </w:p>
        </w:tc>
      </w:tr>
      <w:tr w:rsidR="00615F18">
        <w:trPr>
          <w:trHeight w:val="699"/>
        </w:trPr>
        <w:tc>
          <w:tcPr>
            <w:tcW w:w="1212" w:type="dxa"/>
          </w:tcPr>
          <w:p w:rsidR="00615F18" w:rsidRDefault="000A62D6">
            <w:pPr>
              <w:rPr>
                <w:b/>
                <w:noProof/>
                <w:sz w:val="18"/>
                <w:szCs w:val="18"/>
              </w:rPr>
            </w:pPr>
            <w:r>
              <w:rPr>
                <w:b/>
                <w:noProof/>
                <w:sz w:val="18"/>
                <w:szCs w:val="18"/>
              </w:rPr>
              <w:t>Ειδικός στόχος</w:t>
            </w:r>
          </w:p>
        </w:tc>
        <w:tc>
          <w:tcPr>
            <w:tcW w:w="509" w:type="dxa"/>
          </w:tcPr>
          <w:p w:rsidR="00615F18" w:rsidRDefault="000A62D6">
            <w:pPr>
              <w:rPr>
                <w:b/>
                <w:noProof/>
                <w:sz w:val="18"/>
                <w:szCs w:val="18"/>
              </w:rPr>
            </w:pPr>
            <w:r>
              <w:rPr>
                <w:b/>
                <w:noProof/>
                <w:sz w:val="18"/>
                <w:szCs w:val="18"/>
              </w:rPr>
              <w:t>ID [5]</w:t>
            </w:r>
          </w:p>
        </w:tc>
        <w:tc>
          <w:tcPr>
            <w:tcW w:w="1244" w:type="dxa"/>
          </w:tcPr>
          <w:p w:rsidR="00615F18" w:rsidRDefault="000A62D6">
            <w:pPr>
              <w:rPr>
                <w:b/>
                <w:noProof/>
                <w:sz w:val="18"/>
                <w:szCs w:val="18"/>
              </w:rPr>
            </w:pPr>
            <w:r>
              <w:rPr>
                <w:b/>
                <w:noProof/>
                <w:sz w:val="18"/>
                <w:szCs w:val="18"/>
              </w:rPr>
              <w:t>Δείκτης [255]</w:t>
            </w:r>
          </w:p>
        </w:tc>
        <w:tc>
          <w:tcPr>
            <w:tcW w:w="1356" w:type="dxa"/>
          </w:tcPr>
          <w:p w:rsidR="00615F18" w:rsidRDefault="000A62D6">
            <w:pPr>
              <w:rPr>
                <w:b/>
                <w:noProof/>
                <w:sz w:val="18"/>
                <w:szCs w:val="18"/>
              </w:rPr>
            </w:pPr>
            <w:r>
              <w:rPr>
                <w:b/>
                <w:noProof/>
                <w:sz w:val="18"/>
                <w:szCs w:val="18"/>
              </w:rPr>
              <w:t>Μονάδα μέτρησης</w:t>
            </w:r>
          </w:p>
        </w:tc>
        <w:tc>
          <w:tcPr>
            <w:tcW w:w="1032" w:type="dxa"/>
          </w:tcPr>
          <w:p w:rsidR="00615F18" w:rsidRDefault="000A62D6">
            <w:pPr>
              <w:rPr>
                <w:b/>
                <w:noProof/>
                <w:sz w:val="18"/>
                <w:szCs w:val="18"/>
              </w:rPr>
            </w:pPr>
            <w:r>
              <w:rPr>
                <w:b/>
                <w:noProof/>
                <w:sz w:val="18"/>
                <w:szCs w:val="18"/>
              </w:rPr>
              <w:t>Γραμμή βάσης ή τιμή αναφοράς</w:t>
            </w:r>
          </w:p>
        </w:tc>
        <w:tc>
          <w:tcPr>
            <w:tcW w:w="1148" w:type="dxa"/>
          </w:tcPr>
          <w:p w:rsidR="00615F18" w:rsidRDefault="000A62D6">
            <w:pPr>
              <w:rPr>
                <w:b/>
                <w:noProof/>
                <w:sz w:val="18"/>
                <w:szCs w:val="18"/>
              </w:rPr>
            </w:pPr>
            <w:r>
              <w:rPr>
                <w:b/>
                <w:noProof/>
                <w:sz w:val="18"/>
                <w:szCs w:val="18"/>
              </w:rPr>
              <w:t xml:space="preserve">Έτος </w:t>
            </w:r>
            <w:r>
              <w:rPr>
                <w:b/>
                <w:noProof/>
                <w:sz w:val="18"/>
                <w:szCs w:val="18"/>
              </w:rPr>
              <w:t>αναφοράς</w:t>
            </w:r>
          </w:p>
        </w:tc>
        <w:tc>
          <w:tcPr>
            <w:tcW w:w="975" w:type="dxa"/>
          </w:tcPr>
          <w:p w:rsidR="00615F18" w:rsidRDefault="000A62D6">
            <w:pPr>
              <w:rPr>
                <w:b/>
                <w:noProof/>
                <w:sz w:val="18"/>
                <w:szCs w:val="18"/>
              </w:rPr>
            </w:pPr>
            <w:r>
              <w:rPr>
                <w:b/>
                <w:noProof/>
                <w:sz w:val="18"/>
                <w:szCs w:val="18"/>
              </w:rPr>
              <w:t>Στόχος (2029)</w:t>
            </w:r>
          </w:p>
        </w:tc>
        <w:tc>
          <w:tcPr>
            <w:tcW w:w="766" w:type="dxa"/>
          </w:tcPr>
          <w:p w:rsidR="00615F18" w:rsidRDefault="000A62D6">
            <w:pPr>
              <w:rPr>
                <w:b/>
                <w:noProof/>
                <w:sz w:val="18"/>
                <w:szCs w:val="18"/>
              </w:rPr>
            </w:pPr>
            <w:r>
              <w:rPr>
                <w:b/>
                <w:noProof/>
                <w:sz w:val="18"/>
                <w:szCs w:val="18"/>
              </w:rPr>
              <w:t>Πηγή δεδομένων [200]</w:t>
            </w:r>
          </w:p>
        </w:tc>
        <w:tc>
          <w:tcPr>
            <w:tcW w:w="1046" w:type="dxa"/>
          </w:tcPr>
          <w:p w:rsidR="00615F18" w:rsidRDefault="000A62D6">
            <w:pPr>
              <w:rPr>
                <w:b/>
                <w:noProof/>
                <w:sz w:val="18"/>
                <w:szCs w:val="18"/>
              </w:rPr>
            </w:pPr>
            <w:r>
              <w:rPr>
                <w:b/>
                <w:noProof/>
                <w:sz w:val="18"/>
                <w:szCs w:val="18"/>
              </w:rPr>
              <w:t>Παρατηρήσεις [200]</w:t>
            </w:r>
          </w:p>
        </w:tc>
      </w:tr>
      <w:tr w:rsidR="00615F18">
        <w:tc>
          <w:tcPr>
            <w:tcW w:w="1212" w:type="dxa"/>
          </w:tcPr>
          <w:p w:rsidR="00615F18" w:rsidRDefault="00615F18">
            <w:pPr>
              <w:rPr>
                <w:noProof/>
                <w:sz w:val="18"/>
                <w:szCs w:val="18"/>
              </w:rPr>
            </w:pPr>
          </w:p>
        </w:tc>
        <w:tc>
          <w:tcPr>
            <w:tcW w:w="509" w:type="dxa"/>
          </w:tcPr>
          <w:p w:rsidR="00615F18" w:rsidRDefault="00615F18">
            <w:pPr>
              <w:rPr>
                <w:noProof/>
                <w:sz w:val="18"/>
                <w:szCs w:val="18"/>
              </w:rPr>
            </w:pPr>
          </w:p>
        </w:tc>
        <w:tc>
          <w:tcPr>
            <w:tcW w:w="1244" w:type="dxa"/>
          </w:tcPr>
          <w:p w:rsidR="00615F18" w:rsidRDefault="00615F18">
            <w:pPr>
              <w:rPr>
                <w:noProof/>
                <w:sz w:val="18"/>
                <w:szCs w:val="18"/>
              </w:rPr>
            </w:pPr>
          </w:p>
        </w:tc>
        <w:tc>
          <w:tcPr>
            <w:tcW w:w="1356" w:type="dxa"/>
          </w:tcPr>
          <w:p w:rsidR="00615F18" w:rsidRDefault="00615F18">
            <w:pPr>
              <w:rPr>
                <w:noProof/>
                <w:sz w:val="18"/>
                <w:szCs w:val="18"/>
              </w:rPr>
            </w:pPr>
          </w:p>
        </w:tc>
        <w:tc>
          <w:tcPr>
            <w:tcW w:w="1032" w:type="dxa"/>
          </w:tcPr>
          <w:p w:rsidR="00615F18" w:rsidRDefault="00615F18">
            <w:pPr>
              <w:rPr>
                <w:noProof/>
                <w:sz w:val="18"/>
                <w:szCs w:val="18"/>
              </w:rPr>
            </w:pPr>
          </w:p>
        </w:tc>
        <w:tc>
          <w:tcPr>
            <w:tcW w:w="1148" w:type="dxa"/>
          </w:tcPr>
          <w:p w:rsidR="00615F18" w:rsidRDefault="00615F18">
            <w:pPr>
              <w:rPr>
                <w:noProof/>
                <w:sz w:val="18"/>
                <w:szCs w:val="18"/>
              </w:rPr>
            </w:pPr>
          </w:p>
        </w:tc>
        <w:tc>
          <w:tcPr>
            <w:tcW w:w="975" w:type="dxa"/>
          </w:tcPr>
          <w:p w:rsidR="00615F18" w:rsidRDefault="00615F18">
            <w:pPr>
              <w:rPr>
                <w:noProof/>
                <w:sz w:val="18"/>
                <w:szCs w:val="18"/>
              </w:rPr>
            </w:pPr>
          </w:p>
        </w:tc>
        <w:tc>
          <w:tcPr>
            <w:tcW w:w="766" w:type="dxa"/>
          </w:tcPr>
          <w:p w:rsidR="00615F18" w:rsidRDefault="00615F18">
            <w:pPr>
              <w:rPr>
                <w:noProof/>
                <w:sz w:val="18"/>
                <w:szCs w:val="18"/>
              </w:rPr>
            </w:pPr>
          </w:p>
        </w:tc>
        <w:tc>
          <w:tcPr>
            <w:tcW w:w="1046" w:type="dxa"/>
          </w:tcPr>
          <w:p w:rsidR="00615F18" w:rsidRDefault="00615F18">
            <w:pPr>
              <w:rPr>
                <w:noProof/>
                <w:sz w:val="18"/>
                <w:szCs w:val="18"/>
              </w:rPr>
            </w:pPr>
          </w:p>
        </w:tc>
      </w:tr>
    </w:tbl>
    <w:p w:rsidR="00615F18" w:rsidRDefault="00615F18">
      <w:pPr>
        <w:spacing w:before="0" w:after="200" w:line="276" w:lineRule="auto"/>
        <w:ind w:left="1800"/>
        <w:contextualSpacing/>
        <w:rPr>
          <w:rFonts w:eastAsia="Times New Roman" w:cstheme="minorBidi"/>
          <w:noProof/>
          <w:szCs w:val="24"/>
          <w:highlight w:val="yellow"/>
        </w:rPr>
      </w:pPr>
    </w:p>
    <w:p w:rsidR="00615F18" w:rsidRDefault="00615F18">
      <w:pPr>
        <w:spacing w:before="0" w:after="200" w:line="276" w:lineRule="auto"/>
        <w:ind w:left="1800"/>
        <w:contextualSpacing/>
        <w:rPr>
          <w:rFonts w:eastAsia="Times New Roman" w:cstheme="minorBidi"/>
          <w:i/>
          <w:noProof/>
          <w:szCs w:val="24"/>
          <w:highlight w:val="yellow"/>
        </w:rPr>
      </w:pPr>
    </w:p>
    <w:p w:rsidR="00615F18" w:rsidRDefault="000A62D6">
      <w:pPr>
        <w:numPr>
          <w:ilvl w:val="0"/>
          <w:numId w:val="1"/>
        </w:numPr>
        <w:spacing w:before="0" w:after="200" w:line="276" w:lineRule="auto"/>
        <w:jc w:val="left"/>
        <w:rPr>
          <w:rFonts w:eastAsia="Times New Roman"/>
          <w:b/>
          <w:i/>
          <w:noProof/>
          <w:szCs w:val="24"/>
        </w:rPr>
      </w:pPr>
      <w:r>
        <w:rPr>
          <w:b/>
          <w:noProof/>
        </w:rPr>
        <w:t xml:space="preserve">Μηχανισμοί διακυβέρνησης </w:t>
      </w:r>
    </w:p>
    <w:p w:rsidR="00615F18" w:rsidRDefault="000A62D6">
      <w:pPr>
        <w:spacing w:before="0" w:after="200" w:line="276" w:lineRule="auto"/>
        <w:ind w:left="502"/>
        <w:jc w:val="left"/>
        <w:rPr>
          <w:rFonts w:eastAsia="Times New Roman"/>
          <w:i/>
          <w:noProof/>
          <w:szCs w:val="24"/>
        </w:rPr>
      </w:pPr>
      <w:r>
        <w:rPr>
          <w:i/>
          <w:noProof/>
        </w:rPr>
        <w:t>Σημείο αναφοράς: Άρθρο 7 παράγραφος 2 στοιχείο στ)</w:t>
      </w:r>
    </w:p>
    <w:tbl>
      <w:tblPr>
        <w:tblStyle w:val="TableGrid"/>
        <w:tblW w:w="0" w:type="auto"/>
        <w:tblLook w:val="04A0" w:firstRow="1" w:lastRow="0" w:firstColumn="1" w:lastColumn="0" w:noHBand="0" w:noVBand="1"/>
      </w:tblPr>
      <w:tblGrid>
        <w:gridCol w:w="9288"/>
      </w:tblGrid>
      <w:tr w:rsidR="00615F18">
        <w:trPr>
          <w:trHeight w:val="306"/>
        </w:trPr>
        <w:tc>
          <w:tcPr>
            <w:tcW w:w="9288" w:type="dxa"/>
          </w:tcPr>
          <w:p w:rsidR="00615F18" w:rsidRDefault="000A62D6">
            <w:pPr>
              <w:rPr>
                <w:i/>
                <w:noProof/>
              </w:rPr>
            </w:pPr>
            <w:r>
              <w:rPr>
                <w:i/>
                <w:noProof/>
              </w:rPr>
              <w:t>Πεδίο κειμένου [5000]</w:t>
            </w:r>
          </w:p>
        </w:tc>
      </w:tr>
    </w:tbl>
    <w:p w:rsidR="00615F18" w:rsidRDefault="00615F18">
      <w:pPr>
        <w:spacing w:before="0" w:after="200" w:line="276" w:lineRule="auto"/>
        <w:ind w:left="502"/>
        <w:jc w:val="left"/>
        <w:rPr>
          <w:rFonts w:eastAsia="Times New Roman"/>
          <w:b/>
          <w:i/>
          <w:noProof/>
          <w:szCs w:val="24"/>
        </w:rPr>
      </w:pPr>
    </w:p>
    <w:p w:rsidR="00615F18" w:rsidRDefault="00615F18">
      <w:pPr>
        <w:spacing w:before="0" w:after="200" w:line="276" w:lineRule="auto"/>
        <w:ind w:left="502"/>
        <w:jc w:val="left"/>
        <w:rPr>
          <w:rFonts w:eastAsia="Times New Roman"/>
          <w:b/>
          <w:i/>
          <w:noProof/>
          <w:szCs w:val="24"/>
        </w:rPr>
      </w:pPr>
    </w:p>
    <w:p w:rsidR="00615F18" w:rsidRDefault="000A62D6">
      <w:pPr>
        <w:pStyle w:val="ListParagraph"/>
        <w:rPr>
          <w:rFonts w:ascii="Times New Roman" w:hAnsi="Times New Roman" w:cs="Times New Roman"/>
          <w:i/>
          <w:noProof/>
          <w:sz w:val="24"/>
          <w:szCs w:val="24"/>
        </w:rPr>
      </w:pPr>
      <w:r>
        <w:rPr>
          <w:rFonts w:ascii="Times New Roman" w:hAnsi="Times New Roman"/>
          <w:i/>
          <w:noProof/>
        </w:rPr>
        <w:t>3.1. Εταιρική σχέση</w:t>
      </w:r>
    </w:p>
    <w:tbl>
      <w:tblPr>
        <w:tblStyle w:val="TableGrid"/>
        <w:tblW w:w="0" w:type="auto"/>
        <w:tblLook w:val="04A0" w:firstRow="1" w:lastRow="0" w:firstColumn="1" w:lastColumn="0" w:noHBand="0" w:noVBand="1"/>
      </w:tblPr>
      <w:tblGrid>
        <w:gridCol w:w="9288"/>
      </w:tblGrid>
      <w:tr w:rsidR="00615F18">
        <w:tc>
          <w:tcPr>
            <w:tcW w:w="9288" w:type="dxa"/>
          </w:tcPr>
          <w:p w:rsidR="00615F18" w:rsidRDefault="000A62D6">
            <w:pPr>
              <w:rPr>
                <w:rFonts w:eastAsia="Times New Roman"/>
                <w:i/>
                <w:noProof/>
                <w:szCs w:val="24"/>
              </w:rPr>
            </w:pPr>
            <w:r>
              <w:rPr>
                <w:i/>
                <w:noProof/>
              </w:rPr>
              <w:t xml:space="preserve">– Ρυθμίσεις για τη συμμετοχή των εταίρων στην </w:t>
            </w:r>
            <w:r>
              <w:rPr>
                <w:i/>
                <w:noProof/>
              </w:rPr>
              <w:t>προετοιμασία, την υλοποίηση, την παρακολούθηση και την αξιολόγηση του εδαφικού σχεδίου δίκαιης μετάβασης·</w:t>
            </w:r>
          </w:p>
          <w:p w:rsidR="00615F18" w:rsidRDefault="000A62D6">
            <w:pPr>
              <w:rPr>
                <w:rFonts w:eastAsia="Times New Roman"/>
                <w:i/>
                <w:noProof/>
                <w:szCs w:val="24"/>
              </w:rPr>
            </w:pPr>
            <w:r>
              <w:rPr>
                <w:i/>
                <w:noProof/>
              </w:rPr>
              <w:t xml:space="preserve">– Αποτελέσματα της δημόσιας διαβούλευσης. </w:t>
            </w:r>
          </w:p>
        </w:tc>
      </w:tr>
    </w:tbl>
    <w:p w:rsidR="00615F18" w:rsidRDefault="00615F18">
      <w:pPr>
        <w:pStyle w:val="ListParagraph"/>
        <w:rPr>
          <w:rFonts w:ascii="Times New Roman" w:hAnsi="Times New Roman" w:cs="Times New Roman"/>
          <w:noProof/>
          <w:sz w:val="24"/>
          <w:szCs w:val="24"/>
        </w:rPr>
      </w:pPr>
    </w:p>
    <w:p w:rsidR="00615F18" w:rsidRDefault="000A62D6">
      <w:pPr>
        <w:pStyle w:val="ListParagraph"/>
        <w:rPr>
          <w:rFonts w:ascii="Times New Roman" w:hAnsi="Times New Roman" w:cs="Times New Roman"/>
          <w:noProof/>
          <w:sz w:val="24"/>
          <w:szCs w:val="24"/>
        </w:rPr>
      </w:pPr>
      <w:r>
        <w:rPr>
          <w:rFonts w:ascii="Times New Roman" w:hAnsi="Times New Roman"/>
          <w:i/>
          <w:noProof/>
        </w:rPr>
        <w:t>3.2. Παρακολούθηση και αξιολόγηση</w:t>
      </w:r>
      <w:r>
        <w:rPr>
          <w:rFonts w:ascii="Times New Roman" w:hAnsi="Times New Roman"/>
          <w:noProof/>
        </w:rPr>
        <w:t xml:space="preserve"> </w:t>
      </w:r>
    </w:p>
    <w:tbl>
      <w:tblPr>
        <w:tblStyle w:val="TableGrid"/>
        <w:tblW w:w="0" w:type="auto"/>
        <w:tblLook w:val="04A0" w:firstRow="1" w:lastRow="0" w:firstColumn="1" w:lastColumn="0" w:noHBand="0" w:noVBand="1"/>
      </w:tblPr>
      <w:tblGrid>
        <w:gridCol w:w="9288"/>
      </w:tblGrid>
      <w:tr w:rsidR="00615F18">
        <w:trPr>
          <w:trHeight w:val="306"/>
        </w:trPr>
        <w:tc>
          <w:tcPr>
            <w:tcW w:w="9288" w:type="dxa"/>
          </w:tcPr>
          <w:p w:rsidR="00615F18" w:rsidRDefault="000A62D6">
            <w:pPr>
              <w:rPr>
                <w:i/>
                <w:noProof/>
              </w:rPr>
            </w:pPr>
            <w:r>
              <w:rPr>
                <w:i/>
                <w:noProof/>
              </w:rPr>
              <w:t>– Προγραμματισμένα μέτρα παρακολούθησης και αξιολόγησης, συμπεριλαμβαν</w:t>
            </w:r>
            <w:r>
              <w:rPr>
                <w:i/>
                <w:noProof/>
              </w:rPr>
              <w:t>ομένων δεικτών για τη μέτρηση της ικανότητας του σχεδίου να επιτύχει τους στόχους του</w:t>
            </w:r>
          </w:p>
        </w:tc>
      </w:tr>
    </w:tbl>
    <w:p w:rsidR="00615F18" w:rsidRDefault="00615F18">
      <w:pPr>
        <w:pStyle w:val="ListParagraph"/>
        <w:rPr>
          <w:rFonts w:eastAsia="Times New Roman"/>
          <w:noProof/>
          <w:szCs w:val="24"/>
        </w:rPr>
      </w:pPr>
    </w:p>
    <w:p w:rsidR="00615F18" w:rsidRDefault="000A62D6">
      <w:pPr>
        <w:pStyle w:val="ListParagraph"/>
        <w:rPr>
          <w:rFonts w:ascii="Times New Roman" w:eastAsia="Times New Roman" w:hAnsi="Times New Roman" w:cs="Times New Roman"/>
          <w:i/>
          <w:noProof/>
          <w:sz w:val="24"/>
          <w:szCs w:val="24"/>
        </w:rPr>
      </w:pPr>
      <w:r>
        <w:rPr>
          <w:rFonts w:ascii="Times New Roman" w:hAnsi="Times New Roman"/>
          <w:i/>
          <w:noProof/>
        </w:rPr>
        <w:t xml:space="preserve">3.3. Φορέας/Φορείς συντονισμού και παρακολούθησης </w:t>
      </w:r>
    </w:p>
    <w:tbl>
      <w:tblPr>
        <w:tblStyle w:val="TableGrid"/>
        <w:tblW w:w="0" w:type="auto"/>
        <w:tblLook w:val="04A0" w:firstRow="1" w:lastRow="0" w:firstColumn="1" w:lastColumn="0" w:noHBand="0" w:noVBand="1"/>
      </w:tblPr>
      <w:tblGrid>
        <w:gridCol w:w="9288"/>
      </w:tblGrid>
      <w:tr w:rsidR="00615F18">
        <w:trPr>
          <w:trHeight w:val="306"/>
        </w:trPr>
        <w:tc>
          <w:tcPr>
            <w:tcW w:w="9288" w:type="dxa"/>
          </w:tcPr>
          <w:p w:rsidR="00615F18" w:rsidRDefault="000A62D6">
            <w:pPr>
              <w:rPr>
                <w:rFonts w:eastAsia="Times New Roman"/>
                <w:i/>
                <w:noProof/>
                <w:szCs w:val="24"/>
              </w:rPr>
            </w:pPr>
            <w:r>
              <w:rPr>
                <w:i/>
                <w:noProof/>
              </w:rPr>
              <w:t>Φορέας ή φορείς αρμόδιοι για τον συντονισμό και την παρακολούθηση της υλοποίησης του σχεδίου και ρόλος αυτών</w:t>
            </w:r>
          </w:p>
        </w:tc>
      </w:tr>
    </w:tbl>
    <w:p w:rsidR="00615F18" w:rsidRDefault="000A62D6">
      <w:pPr>
        <w:jc w:val="left"/>
        <w:rPr>
          <w:rFonts w:eastAsia="Times New Roman"/>
          <w:i/>
          <w:noProof/>
          <w:szCs w:val="24"/>
        </w:rPr>
        <w:sectPr w:rsidR="00615F18">
          <w:headerReference w:type="even" r:id="rId15"/>
          <w:headerReference w:type="default" r:id="rId16"/>
          <w:footerReference w:type="even" r:id="rId17"/>
          <w:footerReference w:type="default" r:id="rId18"/>
          <w:headerReference w:type="first" r:id="rId19"/>
          <w:footerReference w:type="first" r:id="rId20"/>
          <w:pgSz w:w="11907" w:h="16839"/>
          <w:pgMar w:top="1134" w:right="1417" w:bottom="1134" w:left="1417" w:header="709" w:footer="709" w:gutter="0"/>
          <w:cols w:space="720"/>
          <w:docGrid w:linePitch="360"/>
        </w:sectPr>
      </w:pPr>
      <w:r>
        <w:rPr>
          <w:i/>
          <w:noProof/>
        </w:rPr>
        <w:t xml:space="preserve">     </w:t>
      </w:r>
    </w:p>
    <w:p w:rsidR="00615F18" w:rsidRDefault="00615F18">
      <w:pPr>
        <w:ind w:left="2160"/>
        <w:rPr>
          <w:rFonts w:eastAsia="Times New Roman"/>
          <w:b/>
          <w:i/>
          <w:noProof/>
          <w:szCs w:val="24"/>
        </w:rPr>
      </w:pPr>
    </w:p>
    <w:p w:rsidR="00615F18" w:rsidRDefault="00615F18">
      <w:pPr>
        <w:spacing w:after="0"/>
        <w:ind w:right="-309"/>
        <w:jc w:val="center"/>
        <w:rPr>
          <w:b/>
          <w:bCs/>
          <w:noProof/>
          <w:szCs w:val="24"/>
          <w:u w:val="single"/>
        </w:rPr>
      </w:pPr>
    </w:p>
    <w:p w:rsidR="00615F18" w:rsidRDefault="000A62D6">
      <w:pPr>
        <w:spacing w:after="0"/>
        <w:ind w:right="-309"/>
        <w:jc w:val="center"/>
        <w:rPr>
          <w:b/>
          <w:bCs/>
          <w:noProof/>
          <w:szCs w:val="24"/>
          <w:vertAlign w:val="superscript"/>
        </w:rPr>
      </w:pPr>
      <w:r>
        <w:rPr>
          <w:b/>
          <w:bCs/>
          <w:noProof/>
          <w:u w:val="single"/>
        </w:rPr>
        <w:t>ΠΑΡΑΡΤΗΜΑ ΙΙΙ</w:t>
      </w:r>
      <w:r>
        <w:rPr>
          <w:b/>
          <w:bCs/>
          <w:noProof/>
        </w:rPr>
        <w:br/>
      </w:r>
      <w:r>
        <w:rPr>
          <w:b/>
          <w:bCs/>
          <w:noProof/>
        </w:rPr>
        <w:br/>
      </w:r>
      <w:r>
        <w:rPr>
          <w:rFonts w:ascii="Times New Roman Bold" w:hAnsi="Times New Roman Bold"/>
          <w:b/>
          <w:caps/>
          <w:noProof/>
        </w:rPr>
        <w:t>ΚΟΙΝΟΙ ΔΕΙΚΤΕΣ ΕΚΡΟΩΝ ΠΕΡΙΦΕΡΕΙΑΚΗΣ ΠΟΛΙΤΙΚΗΣ («RCO») ΚΑΙ ΚΟΙΝΟΙ ΔΕΙΚΤΕΣ ΑΠΟΤΕΛΕΣΜΑΤΩΝ («RCR») για το Ταμείο Δίκαιης Μετάβασης</w:t>
      </w:r>
      <w:r>
        <w:rPr>
          <w:rStyle w:val="FootnoteReference"/>
          <w:rFonts w:ascii="Times New Roman Bold" w:eastAsia="Calibri" w:hAnsi="Times New Roman Bold"/>
          <w:b/>
          <w:caps/>
          <w:noProof/>
        </w:rPr>
        <w:footnoteReference w:id="2"/>
      </w:r>
    </w:p>
    <w:p w:rsidR="00615F18" w:rsidRDefault="00615F18">
      <w:pPr>
        <w:spacing w:after="0"/>
        <w:rPr>
          <w:b/>
          <w:noProof/>
          <w:szCs w:val="24"/>
        </w:rPr>
      </w:pPr>
    </w:p>
    <w:tbl>
      <w:tblPr>
        <w:tblW w:w="13907" w:type="dxa"/>
        <w:tblInd w:w="93" w:type="dxa"/>
        <w:tblLook w:val="04A0" w:firstRow="1" w:lastRow="0" w:firstColumn="1" w:lastColumn="0" w:noHBand="0" w:noVBand="1"/>
      </w:tblPr>
      <w:tblGrid>
        <w:gridCol w:w="6961"/>
        <w:gridCol w:w="6946"/>
      </w:tblGrid>
      <w:tr w:rsidR="00615F18">
        <w:trPr>
          <w:trHeight w:val="300"/>
        </w:trPr>
        <w:tc>
          <w:tcPr>
            <w:tcW w:w="6961" w:type="dxa"/>
            <w:tcBorders>
              <w:top w:val="single" w:sz="4" w:space="0" w:color="auto"/>
              <w:left w:val="nil"/>
              <w:bottom w:val="single" w:sz="4" w:space="0" w:color="auto"/>
              <w:right w:val="single" w:sz="4" w:space="0" w:color="auto"/>
            </w:tcBorders>
            <w:shd w:val="clear" w:color="auto" w:fill="auto"/>
            <w:vAlign w:val="center"/>
            <w:hideMark/>
          </w:tcPr>
          <w:p w:rsidR="00615F18" w:rsidRDefault="000A62D6">
            <w:pPr>
              <w:spacing w:after="0"/>
              <w:jc w:val="center"/>
              <w:rPr>
                <w:rFonts w:eastAsia="Times New Roman"/>
                <w:b/>
                <w:bCs/>
                <w:noProof/>
                <w:color w:val="000000"/>
                <w:szCs w:val="24"/>
              </w:rPr>
            </w:pPr>
            <w:r>
              <w:rPr>
                <w:b/>
                <w:bCs/>
                <w:noProof/>
              </w:rPr>
              <w:t>Εκροές</w:t>
            </w:r>
          </w:p>
        </w:tc>
        <w:tc>
          <w:tcPr>
            <w:tcW w:w="6946" w:type="dxa"/>
            <w:tcBorders>
              <w:top w:val="single" w:sz="4" w:space="0" w:color="auto"/>
              <w:left w:val="nil"/>
              <w:bottom w:val="single" w:sz="4" w:space="0" w:color="auto"/>
              <w:right w:val="single" w:sz="4" w:space="0" w:color="auto"/>
            </w:tcBorders>
            <w:shd w:val="clear" w:color="auto" w:fill="auto"/>
            <w:vAlign w:val="center"/>
            <w:hideMark/>
          </w:tcPr>
          <w:p w:rsidR="00615F18" w:rsidRDefault="000A62D6">
            <w:pPr>
              <w:spacing w:after="0"/>
              <w:jc w:val="center"/>
              <w:rPr>
                <w:rFonts w:eastAsia="Times New Roman"/>
                <w:b/>
                <w:bCs/>
                <w:noProof/>
                <w:color w:val="000000"/>
                <w:szCs w:val="24"/>
              </w:rPr>
            </w:pPr>
            <w:r>
              <w:rPr>
                <w:b/>
                <w:bCs/>
                <w:noProof/>
              </w:rPr>
              <w:t>Αποτελέσματα</w:t>
            </w:r>
          </w:p>
        </w:tc>
      </w:tr>
      <w:tr w:rsidR="00615F18">
        <w:trPr>
          <w:trHeight w:val="3001"/>
        </w:trPr>
        <w:tc>
          <w:tcPr>
            <w:tcW w:w="6961" w:type="dxa"/>
            <w:tcBorders>
              <w:top w:val="nil"/>
              <w:left w:val="nil"/>
              <w:bottom w:val="single" w:sz="4" w:space="0" w:color="auto"/>
              <w:right w:val="single" w:sz="4" w:space="0" w:color="auto"/>
            </w:tcBorders>
            <w:shd w:val="clear" w:color="auto" w:fill="auto"/>
            <w:vAlign w:val="center"/>
            <w:hideMark/>
          </w:tcPr>
          <w:p w:rsidR="00615F18" w:rsidRDefault="000A62D6">
            <w:pPr>
              <w:spacing w:before="0" w:after="0"/>
              <w:jc w:val="left"/>
              <w:rPr>
                <w:rFonts w:eastAsia="Times New Roman"/>
                <w:noProof/>
                <w:color w:val="000000"/>
                <w:szCs w:val="24"/>
              </w:rPr>
            </w:pPr>
            <w:r>
              <w:rPr>
                <w:noProof/>
              </w:rPr>
              <w:t xml:space="preserve">RCO 01 – Επιχειρήσεις που </w:t>
            </w:r>
            <w:r>
              <w:rPr>
                <w:noProof/>
              </w:rPr>
              <w:t>στηρίζονται (εκ των οποίων: πολύ μικρές, μικρές, μεσαίες, μεγάλες)</w:t>
            </w:r>
            <w:r>
              <w:rPr>
                <w:noProof/>
              </w:rPr>
              <w:br/>
              <w:t>RCO 02 – Επιχειρήσεις που στηρίζονται με επιχορηγήσεις</w:t>
            </w:r>
            <w:r>
              <w:rPr>
                <w:noProof/>
              </w:rPr>
              <w:br/>
              <w:t>RCO 03 – Επιχειρήσεις που στηρίζονται με χρηματοδοτικά μέσα</w:t>
            </w:r>
            <w:r>
              <w:rPr>
                <w:noProof/>
              </w:rPr>
              <w:br/>
              <w:t>RCO 04 – Επιχειρήσεις που λαμβάνουν μη χρηματοδοτική στήριξη</w:t>
            </w:r>
            <w:r>
              <w:rPr>
                <w:noProof/>
              </w:rPr>
              <w:br/>
              <w:t>RCO 05 – Νεοφ</w:t>
            </w:r>
            <w:r>
              <w:rPr>
                <w:noProof/>
              </w:rPr>
              <w:t>υείς επιχειρήσεις που στηρίζονται</w:t>
            </w:r>
            <w:r>
              <w:rPr>
                <w:noProof/>
              </w:rPr>
              <w:br/>
            </w:r>
            <w:r>
              <w:rPr>
                <w:noProof/>
              </w:rPr>
              <w:br/>
              <w:t>RCO 10 – Επιχειρήσεις που συνεργάζονται με ερευνητικά ιδρύματα</w:t>
            </w:r>
          </w:p>
          <w:p w:rsidR="00615F18" w:rsidRDefault="000A62D6">
            <w:pPr>
              <w:spacing w:before="0" w:after="0"/>
              <w:jc w:val="left"/>
              <w:rPr>
                <w:rFonts w:eastAsia="Times New Roman"/>
                <w:noProof/>
                <w:color w:val="000000"/>
                <w:szCs w:val="24"/>
              </w:rPr>
            </w:pPr>
            <w:r>
              <w:rPr>
                <w:noProof/>
              </w:rPr>
              <w:t xml:space="preserve">RCO 120 – Επιχειρήσεις που λαμβάνουν στήριξη με σκοπό να επιτευχθεί μείωση των εκπομπών αερίων του θερμοκηπίου από τις δραστηριότητες που παρατίθενται στο </w:t>
            </w:r>
            <w:r>
              <w:rPr>
                <w:noProof/>
              </w:rPr>
              <w:t>παράρτημα Ι της οδηγίας 2003/87/ΕΚ·</w:t>
            </w:r>
          </w:p>
        </w:tc>
        <w:tc>
          <w:tcPr>
            <w:tcW w:w="6946" w:type="dxa"/>
            <w:tcBorders>
              <w:top w:val="nil"/>
              <w:left w:val="nil"/>
              <w:bottom w:val="single" w:sz="4" w:space="0" w:color="auto"/>
              <w:right w:val="single" w:sz="4" w:space="0" w:color="auto"/>
            </w:tcBorders>
            <w:shd w:val="clear" w:color="auto" w:fill="auto"/>
            <w:vAlign w:val="center"/>
            <w:hideMark/>
          </w:tcPr>
          <w:p w:rsidR="00615F18" w:rsidRDefault="000A62D6">
            <w:pPr>
              <w:spacing w:after="0"/>
              <w:jc w:val="left"/>
              <w:rPr>
                <w:rFonts w:eastAsia="Times New Roman"/>
                <w:noProof/>
                <w:color w:val="000000"/>
                <w:szCs w:val="24"/>
              </w:rPr>
            </w:pPr>
            <w:r>
              <w:rPr>
                <w:noProof/>
              </w:rPr>
              <w:t>RCR 01 – Θέσεις εργασίας που δημιουργήθηκαν στις υποστηριζόμενες οντότητες</w:t>
            </w:r>
            <w:r>
              <w:rPr>
                <w:noProof/>
              </w:rPr>
              <w:br/>
              <w:t>RCR 02 – Ιδιωτικές επενδύσεις οι οποίες είναι ανάλογες προς τη δημόσια στήριξη (εκ της οποίας: επιχορηγήσεις, χρηματοδοτικά μέσα)</w:t>
            </w:r>
            <w:r>
              <w:rPr>
                <w:noProof/>
              </w:rPr>
              <w:br/>
              <w:t>RCR 03 – ΜΜΕ πο</w:t>
            </w:r>
            <w:r>
              <w:rPr>
                <w:noProof/>
              </w:rPr>
              <w:t>υ εισάγουν καινοτομίες προϊόντων ή διεργασιών</w:t>
            </w:r>
            <w:r>
              <w:rPr>
                <w:noProof/>
              </w:rPr>
              <w:br/>
              <w:t>RCR 04 – ΜΜΕ που εισάγουν καινοτομίες μάρκετινγκ ή οργάνωσης</w:t>
            </w:r>
            <w:r>
              <w:rPr>
                <w:noProof/>
              </w:rPr>
              <w:br/>
              <w:t>RCR 05 – ΜΜΕ που καινοτομούν σε ενδοεπιχειρησιακό επίπεδο</w:t>
            </w:r>
            <w:r>
              <w:rPr>
                <w:noProof/>
              </w:rPr>
              <w:br/>
              <w:t>RCR 06 – Αιτήσεις διπλωμάτων ευρεσιτεχνίας που υποβλήθηκαν στο Ευρωπαϊκό Γραφείο Διπλωμάτων</w:t>
            </w:r>
            <w:r>
              <w:rPr>
                <w:noProof/>
              </w:rPr>
              <w:t xml:space="preserve"> Ευρεσιτεχνίας</w:t>
            </w:r>
            <w:r>
              <w:rPr>
                <w:noProof/>
              </w:rPr>
              <w:br/>
              <w:t>RCR 29 – Εκτιμώμενες εκπομπές αερίων του θερμοκηπίου από τις δραστηριότητες που παρατίθενται στο παράρτημα Ι της οδηγίας 2003/87/ΕΚ στις υποστηριζόμενες επιχειρήσεις</w:t>
            </w:r>
          </w:p>
        </w:tc>
      </w:tr>
      <w:tr w:rsidR="00615F18">
        <w:trPr>
          <w:trHeight w:val="1530"/>
        </w:trPr>
        <w:tc>
          <w:tcPr>
            <w:tcW w:w="6961" w:type="dxa"/>
            <w:tcBorders>
              <w:top w:val="nil"/>
              <w:left w:val="nil"/>
              <w:bottom w:val="single" w:sz="4" w:space="0" w:color="auto"/>
              <w:right w:val="single" w:sz="4" w:space="0" w:color="auto"/>
            </w:tcBorders>
            <w:shd w:val="clear" w:color="auto" w:fill="auto"/>
            <w:vAlign w:val="center"/>
            <w:hideMark/>
          </w:tcPr>
          <w:p w:rsidR="00615F18" w:rsidRDefault="000A62D6">
            <w:pPr>
              <w:spacing w:after="0"/>
              <w:jc w:val="left"/>
              <w:rPr>
                <w:rFonts w:eastAsia="Times New Roman"/>
                <w:noProof/>
                <w:color w:val="000000"/>
                <w:szCs w:val="24"/>
              </w:rPr>
            </w:pPr>
            <w:r>
              <w:rPr>
                <w:noProof/>
              </w:rPr>
              <w:br/>
              <w:t>RCO 13 – Ψηφιακές υπηρεσίες και προϊόντα που αναπτύσσονται για επιχειρήσε</w:t>
            </w:r>
            <w:r>
              <w:rPr>
                <w:noProof/>
              </w:rPr>
              <w:t>ις</w:t>
            </w:r>
            <w:r>
              <w:rPr>
                <w:noProof/>
              </w:rPr>
              <w:br/>
            </w:r>
          </w:p>
        </w:tc>
        <w:tc>
          <w:tcPr>
            <w:tcW w:w="6946" w:type="dxa"/>
            <w:tcBorders>
              <w:top w:val="nil"/>
              <w:left w:val="nil"/>
              <w:bottom w:val="single" w:sz="4" w:space="0" w:color="auto"/>
              <w:right w:val="single" w:sz="4" w:space="0" w:color="auto"/>
            </w:tcBorders>
            <w:shd w:val="clear" w:color="auto" w:fill="auto"/>
            <w:vAlign w:val="center"/>
            <w:hideMark/>
          </w:tcPr>
          <w:p w:rsidR="00615F18" w:rsidRDefault="000A62D6">
            <w:pPr>
              <w:spacing w:after="0"/>
              <w:jc w:val="left"/>
              <w:rPr>
                <w:rFonts w:eastAsia="Times New Roman"/>
                <w:noProof/>
                <w:color w:val="000000"/>
                <w:szCs w:val="24"/>
              </w:rPr>
            </w:pPr>
            <w:r>
              <w:rPr>
                <w:noProof/>
              </w:rPr>
              <w:t>RCR 11 – Χρήστες νέων δημόσιων ψηφιακών υπηρεσιών και εφαρμογών</w:t>
            </w:r>
            <w:r>
              <w:rPr>
                <w:noProof/>
              </w:rPr>
              <w:br/>
              <w:t>RCR 12 – Χρήστες νέων ψηφιακών προϊόντων, υπηρεσιών και εφαρμογών που αναπτύσσονται από επιχειρήσεις</w:t>
            </w:r>
            <w:r>
              <w:rPr>
                <w:noProof/>
              </w:rPr>
              <w:br/>
            </w:r>
          </w:p>
        </w:tc>
      </w:tr>
      <w:tr w:rsidR="00615F18">
        <w:trPr>
          <w:trHeight w:val="416"/>
        </w:trPr>
        <w:tc>
          <w:tcPr>
            <w:tcW w:w="6961" w:type="dxa"/>
            <w:tcBorders>
              <w:top w:val="nil"/>
              <w:left w:val="nil"/>
              <w:bottom w:val="single" w:sz="4" w:space="0" w:color="auto"/>
              <w:right w:val="single" w:sz="4" w:space="0" w:color="auto"/>
            </w:tcBorders>
            <w:shd w:val="clear" w:color="auto" w:fill="auto"/>
            <w:vAlign w:val="center"/>
            <w:hideMark/>
          </w:tcPr>
          <w:p w:rsidR="00615F18" w:rsidRDefault="000A62D6">
            <w:pPr>
              <w:spacing w:after="0"/>
              <w:jc w:val="left"/>
              <w:rPr>
                <w:rFonts w:eastAsia="Times New Roman"/>
                <w:noProof/>
                <w:color w:val="000000"/>
                <w:szCs w:val="24"/>
              </w:rPr>
            </w:pPr>
            <w:r>
              <w:rPr>
                <w:noProof/>
              </w:rPr>
              <w:t>RCO 15 – Ικανότητες που έχουν δημιουργηθεί για την εκκόλαψη επιχειρήσεων</w:t>
            </w:r>
          </w:p>
        </w:tc>
        <w:tc>
          <w:tcPr>
            <w:tcW w:w="6946" w:type="dxa"/>
            <w:tcBorders>
              <w:top w:val="nil"/>
              <w:left w:val="nil"/>
              <w:bottom w:val="single" w:sz="4" w:space="0" w:color="auto"/>
              <w:right w:val="single" w:sz="4" w:space="0" w:color="auto"/>
            </w:tcBorders>
            <w:shd w:val="clear" w:color="auto" w:fill="auto"/>
            <w:vAlign w:val="center"/>
            <w:hideMark/>
          </w:tcPr>
          <w:p w:rsidR="00615F18" w:rsidRDefault="000A62D6">
            <w:pPr>
              <w:spacing w:after="0"/>
              <w:jc w:val="left"/>
              <w:rPr>
                <w:rFonts w:eastAsia="Times New Roman"/>
                <w:noProof/>
                <w:color w:val="000000"/>
                <w:szCs w:val="24"/>
              </w:rPr>
            </w:pPr>
            <w:r>
              <w:rPr>
                <w:noProof/>
              </w:rPr>
              <w:br/>
              <w:t>RCR 17 – Επ</w:t>
            </w:r>
            <w:r>
              <w:rPr>
                <w:noProof/>
              </w:rPr>
              <w:t>ιχειρήσεις ηλικίας 3 ετών που επιβιώνουν στην αγορά</w:t>
            </w:r>
            <w:r>
              <w:rPr>
                <w:noProof/>
              </w:rPr>
              <w:br/>
              <w:t>RCR 18 – ΜΜΕ που χρησιμοποιούν υπηρεσίες εκκολαπτηρίου ένα έτος μετά τη δημιουργία του εκκολαπτηρίου</w:t>
            </w:r>
            <w:r>
              <w:rPr>
                <w:noProof/>
              </w:rPr>
              <w:br/>
            </w:r>
          </w:p>
          <w:p w:rsidR="00615F18" w:rsidRDefault="00615F18">
            <w:pPr>
              <w:spacing w:after="0"/>
              <w:jc w:val="left"/>
              <w:rPr>
                <w:rFonts w:eastAsia="Times New Roman"/>
                <w:noProof/>
                <w:color w:val="000000"/>
                <w:szCs w:val="24"/>
              </w:rPr>
            </w:pPr>
          </w:p>
        </w:tc>
      </w:tr>
      <w:tr w:rsidR="00615F18">
        <w:trPr>
          <w:trHeight w:val="1020"/>
        </w:trPr>
        <w:tc>
          <w:tcPr>
            <w:tcW w:w="6961" w:type="dxa"/>
            <w:tcBorders>
              <w:top w:val="nil"/>
              <w:left w:val="nil"/>
              <w:bottom w:val="single" w:sz="4" w:space="0" w:color="auto"/>
              <w:right w:val="single" w:sz="4" w:space="0" w:color="auto"/>
            </w:tcBorders>
            <w:shd w:val="clear" w:color="auto" w:fill="auto"/>
            <w:vAlign w:val="center"/>
            <w:hideMark/>
          </w:tcPr>
          <w:p w:rsidR="00615F18" w:rsidRDefault="000A62D6">
            <w:pPr>
              <w:spacing w:before="0" w:after="0"/>
              <w:jc w:val="left"/>
              <w:rPr>
                <w:rFonts w:eastAsia="Times New Roman"/>
                <w:noProof/>
                <w:color w:val="000000"/>
                <w:szCs w:val="24"/>
              </w:rPr>
            </w:pPr>
            <w:r>
              <w:rPr>
                <w:noProof/>
              </w:rPr>
              <w:t>RCO 101 – ΜΜΕ που επενδύουν στην ανάπτυξη δεξιοτήτων</w:t>
            </w:r>
          </w:p>
          <w:p w:rsidR="00615F18" w:rsidRDefault="00615F18">
            <w:pPr>
              <w:spacing w:after="0"/>
              <w:jc w:val="left"/>
              <w:rPr>
                <w:rFonts w:eastAsia="Times New Roman"/>
                <w:noProof/>
                <w:color w:val="000000"/>
                <w:szCs w:val="24"/>
              </w:rPr>
            </w:pPr>
          </w:p>
        </w:tc>
        <w:tc>
          <w:tcPr>
            <w:tcW w:w="6946" w:type="dxa"/>
            <w:tcBorders>
              <w:top w:val="nil"/>
              <w:left w:val="nil"/>
              <w:bottom w:val="single" w:sz="4" w:space="0" w:color="auto"/>
              <w:right w:val="single" w:sz="4" w:space="0" w:color="auto"/>
            </w:tcBorders>
            <w:shd w:val="clear" w:color="auto" w:fill="auto"/>
            <w:vAlign w:val="center"/>
            <w:hideMark/>
          </w:tcPr>
          <w:p w:rsidR="00615F18" w:rsidRDefault="000A62D6">
            <w:pPr>
              <w:spacing w:before="0" w:after="0"/>
              <w:jc w:val="left"/>
              <w:rPr>
                <w:rFonts w:eastAsia="Times New Roman"/>
                <w:noProof/>
                <w:color w:val="000000"/>
                <w:szCs w:val="24"/>
              </w:rPr>
            </w:pPr>
            <w:r>
              <w:rPr>
                <w:noProof/>
              </w:rPr>
              <w:t xml:space="preserve">RCR 97 – Προγράμματα μαθητείας που </w:t>
            </w:r>
            <w:r>
              <w:rPr>
                <w:noProof/>
              </w:rPr>
              <w:t>υποστηρίζονται σε ΜΜΕ</w:t>
            </w:r>
          </w:p>
          <w:p w:rsidR="00615F18" w:rsidRDefault="000A62D6">
            <w:pPr>
              <w:spacing w:before="0" w:after="0"/>
              <w:jc w:val="left"/>
              <w:rPr>
                <w:rFonts w:eastAsia="Times New Roman"/>
                <w:noProof/>
                <w:color w:val="000000"/>
                <w:szCs w:val="24"/>
              </w:rPr>
            </w:pPr>
            <w:r>
              <w:rPr>
                <w:noProof/>
              </w:rPr>
              <w:t>RCR 98 – Προσωπικό ΜΜΕ που ολοκληρώνει συνεχή επαγγελματική εκπαίδευση και κατάρτιση (ΣΕΕΚ) (ανά είδος δεξιοτήτων: τεχνικές, διαχειριστικές, επιχειρηματικές, πράσινες, άλλες)</w:t>
            </w:r>
          </w:p>
        </w:tc>
      </w:tr>
      <w:tr w:rsidR="00615F18">
        <w:trPr>
          <w:trHeight w:val="1020"/>
        </w:trPr>
        <w:tc>
          <w:tcPr>
            <w:tcW w:w="6961" w:type="dxa"/>
            <w:tcBorders>
              <w:top w:val="nil"/>
              <w:left w:val="nil"/>
              <w:bottom w:val="single" w:sz="4" w:space="0" w:color="auto"/>
              <w:right w:val="single" w:sz="4" w:space="0" w:color="auto"/>
            </w:tcBorders>
            <w:shd w:val="clear" w:color="auto" w:fill="auto"/>
            <w:vAlign w:val="center"/>
            <w:hideMark/>
          </w:tcPr>
          <w:p w:rsidR="00615F18" w:rsidRDefault="000A62D6">
            <w:pPr>
              <w:spacing w:before="0" w:after="0"/>
              <w:jc w:val="left"/>
              <w:rPr>
                <w:rFonts w:eastAsia="Times New Roman"/>
                <w:noProof/>
                <w:color w:val="000000"/>
                <w:szCs w:val="24"/>
              </w:rPr>
            </w:pPr>
            <w:r>
              <w:rPr>
                <w:noProof/>
              </w:rPr>
              <w:t>RCO 22 - Πρόσθετη παραγωγική ικανότητα για ενέργεια από αν</w:t>
            </w:r>
            <w:r>
              <w:rPr>
                <w:noProof/>
              </w:rPr>
              <w:t>ανεώσιμες πηγές (εκ της οποίας: ηλεκτρική, θερμική)</w:t>
            </w:r>
          </w:p>
          <w:p w:rsidR="00615F18" w:rsidRDefault="00615F18">
            <w:pPr>
              <w:spacing w:before="0" w:after="0"/>
              <w:jc w:val="left"/>
              <w:rPr>
                <w:rFonts w:eastAsia="Times New Roman"/>
                <w:noProof/>
                <w:color w:val="000000"/>
                <w:szCs w:val="24"/>
              </w:rPr>
            </w:pPr>
          </w:p>
        </w:tc>
        <w:tc>
          <w:tcPr>
            <w:tcW w:w="6946" w:type="dxa"/>
            <w:tcBorders>
              <w:top w:val="nil"/>
              <w:left w:val="nil"/>
              <w:bottom w:val="single" w:sz="4" w:space="0" w:color="auto"/>
              <w:right w:val="single" w:sz="4" w:space="0" w:color="auto"/>
            </w:tcBorders>
            <w:shd w:val="clear" w:color="auto" w:fill="auto"/>
            <w:vAlign w:val="center"/>
            <w:hideMark/>
          </w:tcPr>
          <w:p w:rsidR="00615F18" w:rsidRDefault="000A62D6">
            <w:pPr>
              <w:spacing w:before="0" w:after="0"/>
              <w:jc w:val="left"/>
              <w:rPr>
                <w:rFonts w:eastAsia="Times New Roman"/>
                <w:noProof/>
                <w:color w:val="000000"/>
                <w:szCs w:val="24"/>
              </w:rPr>
            </w:pPr>
            <w:r>
              <w:rPr>
                <w:noProof/>
              </w:rPr>
              <w:t>RCR 31 - Συνολική παραγωγή ενέργειας από ανανεώσιμες πηγές (εκ της οποίας: ηλεκτρική, θερμική)</w:t>
            </w:r>
            <w:r>
              <w:rPr>
                <w:noProof/>
              </w:rPr>
              <w:br/>
              <w:t>RCR 32 – Ενέργεια από ανανεώσιμες πηγές: ικανότητα που συνδέεται με το δίκτυο (επιχειρησιακή)</w:t>
            </w:r>
          </w:p>
        </w:tc>
      </w:tr>
      <w:tr w:rsidR="00615F18">
        <w:trPr>
          <w:trHeight w:val="1464"/>
        </w:trPr>
        <w:tc>
          <w:tcPr>
            <w:tcW w:w="6961" w:type="dxa"/>
            <w:tcBorders>
              <w:top w:val="nil"/>
              <w:left w:val="nil"/>
              <w:bottom w:val="single" w:sz="4" w:space="0" w:color="auto"/>
              <w:right w:val="single" w:sz="4" w:space="0" w:color="auto"/>
            </w:tcBorders>
            <w:shd w:val="clear" w:color="auto" w:fill="auto"/>
            <w:vAlign w:val="center"/>
            <w:hideMark/>
          </w:tcPr>
          <w:p w:rsidR="00615F18" w:rsidRDefault="000A62D6">
            <w:pPr>
              <w:spacing w:after="0"/>
              <w:jc w:val="left"/>
              <w:rPr>
                <w:rFonts w:eastAsia="Times New Roman"/>
                <w:noProof/>
                <w:color w:val="000000"/>
                <w:szCs w:val="24"/>
              </w:rPr>
            </w:pPr>
            <w:r>
              <w:rPr>
                <w:noProof/>
              </w:rPr>
              <w:t xml:space="preserve">RCO 34 - Πρόσθετη ικανότητα για την ανακύκλωση των αποβλήτων </w:t>
            </w:r>
          </w:p>
        </w:tc>
        <w:tc>
          <w:tcPr>
            <w:tcW w:w="6946" w:type="dxa"/>
            <w:tcBorders>
              <w:top w:val="nil"/>
              <w:left w:val="nil"/>
              <w:bottom w:val="single" w:sz="4" w:space="0" w:color="auto"/>
              <w:right w:val="single" w:sz="4" w:space="0" w:color="auto"/>
            </w:tcBorders>
            <w:shd w:val="clear" w:color="auto" w:fill="auto"/>
            <w:vAlign w:val="center"/>
            <w:hideMark/>
          </w:tcPr>
          <w:p w:rsidR="00615F18" w:rsidRDefault="000A62D6">
            <w:pPr>
              <w:spacing w:after="0"/>
              <w:jc w:val="left"/>
              <w:rPr>
                <w:rFonts w:eastAsia="Times New Roman"/>
                <w:noProof/>
                <w:color w:val="000000"/>
                <w:szCs w:val="24"/>
              </w:rPr>
            </w:pPr>
            <w:r>
              <w:rPr>
                <w:noProof/>
              </w:rPr>
              <w:t xml:space="preserve">RCR 46 - Πληθυσμός που εξυπηρετείται από εγκαταστάσεις ανακύκλωσης αποβλήτων και μικρά συστήματα διαχείρισης αποβλήτων </w:t>
            </w:r>
            <w:r>
              <w:rPr>
                <w:noProof/>
              </w:rPr>
              <w:br/>
              <w:t>RCR 47 - Ανακυκλωμένα απόβλητα</w:t>
            </w:r>
            <w:r>
              <w:rPr>
                <w:noProof/>
              </w:rPr>
              <w:br/>
              <w:t>RCR 48 - Ανακυκλωμένα απόβλητα που χρησιμοπ</w:t>
            </w:r>
            <w:r>
              <w:rPr>
                <w:noProof/>
              </w:rPr>
              <w:t xml:space="preserve">οιούνται ως πρώτες ύλες </w:t>
            </w:r>
            <w:r>
              <w:rPr>
                <w:noProof/>
              </w:rPr>
              <w:br/>
              <w:t>RCR 49 - Ανακτηθέντα απόβλητα</w:t>
            </w:r>
          </w:p>
        </w:tc>
      </w:tr>
      <w:tr w:rsidR="00615F18">
        <w:trPr>
          <w:trHeight w:val="1530"/>
        </w:trPr>
        <w:tc>
          <w:tcPr>
            <w:tcW w:w="6961" w:type="dxa"/>
            <w:tcBorders>
              <w:top w:val="nil"/>
              <w:left w:val="nil"/>
              <w:bottom w:val="single" w:sz="4" w:space="0" w:color="auto"/>
              <w:right w:val="single" w:sz="4" w:space="0" w:color="auto"/>
            </w:tcBorders>
            <w:shd w:val="clear" w:color="auto" w:fill="auto"/>
            <w:vAlign w:val="center"/>
            <w:hideMark/>
          </w:tcPr>
          <w:p w:rsidR="00615F18" w:rsidRDefault="000A62D6">
            <w:pPr>
              <w:spacing w:before="0" w:after="0"/>
              <w:jc w:val="left"/>
              <w:rPr>
                <w:rFonts w:eastAsia="Times New Roman"/>
                <w:noProof/>
                <w:color w:val="000000"/>
                <w:szCs w:val="24"/>
              </w:rPr>
            </w:pPr>
            <w:r>
              <w:rPr>
                <w:noProof/>
              </w:rPr>
              <w:t>RCO 38 - Επιφάνεια αποκατεστημένου εδάφους που υποστηρίζεται</w:t>
            </w:r>
            <w:r>
              <w:rPr>
                <w:noProof/>
              </w:rPr>
              <w:br/>
              <w:t>RCO 39 - Εγκατεστημένα συστήματα παρακολούθησης της ατμοσφαιρικής ρύπανσης</w:t>
            </w:r>
          </w:p>
        </w:tc>
        <w:tc>
          <w:tcPr>
            <w:tcW w:w="6946" w:type="dxa"/>
            <w:tcBorders>
              <w:top w:val="nil"/>
              <w:left w:val="nil"/>
              <w:bottom w:val="single" w:sz="4" w:space="0" w:color="auto"/>
              <w:right w:val="single" w:sz="4" w:space="0" w:color="auto"/>
            </w:tcBorders>
            <w:shd w:val="clear" w:color="auto" w:fill="auto"/>
            <w:vAlign w:val="center"/>
            <w:hideMark/>
          </w:tcPr>
          <w:p w:rsidR="00615F18" w:rsidRDefault="000A62D6">
            <w:pPr>
              <w:spacing w:before="0" w:after="0"/>
              <w:jc w:val="left"/>
              <w:rPr>
                <w:rFonts w:eastAsia="Times New Roman"/>
                <w:noProof/>
                <w:color w:val="000000"/>
                <w:szCs w:val="24"/>
              </w:rPr>
            </w:pPr>
            <w:r>
              <w:rPr>
                <w:noProof/>
              </w:rPr>
              <w:t xml:space="preserve">RCR 50 - Πληθυσμός που ωφελείται από μέτρα για την ποιότητα του </w:t>
            </w:r>
            <w:r>
              <w:rPr>
                <w:noProof/>
              </w:rPr>
              <w:t>αέρα</w:t>
            </w:r>
          </w:p>
          <w:p w:rsidR="00615F18" w:rsidRDefault="000A62D6">
            <w:pPr>
              <w:spacing w:before="0" w:after="0"/>
              <w:jc w:val="left"/>
              <w:rPr>
                <w:rFonts w:eastAsia="Times New Roman"/>
                <w:noProof/>
                <w:color w:val="000000"/>
                <w:szCs w:val="24"/>
              </w:rPr>
            </w:pPr>
            <w:r>
              <w:rPr>
                <w:noProof/>
              </w:rPr>
              <w:t>RCR 52 - Αποκατεστημένα εδάφη που χρησιμοποιούνται για χώρους πρασίνου, κοινωνικές κατοικίες, οικονομικές ή κοινοτικές δραστηριότητες</w:t>
            </w:r>
          </w:p>
        </w:tc>
      </w:tr>
      <w:tr w:rsidR="00615F18">
        <w:trPr>
          <w:trHeight w:val="1530"/>
        </w:trPr>
        <w:tc>
          <w:tcPr>
            <w:tcW w:w="6961" w:type="dxa"/>
            <w:tcBorders>
              <w:top w:val="nil"/>
              <w:left w:val="nil"/>
              <w:bottom w:val="single" w:sz="4" w:space="0" w:color="auto"/>
              <w:right w:val="single" w:sz="4" w:space="0" w:color="auto"/>
            </w:tcBorders>
            <w:shd w:val="clear" w:color="auto" w:fill="auto"/>
            <w:vAlign w:val="center"/>
            <w:hideMark/>
          </w:tcPr>
          <w:p w:rsidR="00615F18" w:rsidRDefault="000A62D6">
            <w:pPr>
              <w:spacing w:before="0" w:after="110" w:line="249" w:lineRule="auto"/>
              <w:rPr>
                <w:rFonts w:eastAsia="Times New Roman"/>
                <w:noProof/>
                <w:color w:val="000000"/>
              </w:rPr>
            </w:pPr>
            <w:r>
              <w:rPr>
                <w:noProof/>
              </w:rPr>
              <w:t>για τους συμμετέχοντες</w:t>
            </w:r>
            <w:r>
              <w:rPr>
                <w:rStyle w:val="FootnoteReference"/>
                <w:noProof/>
              </w:rPr>
              <w:footnoteReference w:id="3"/>
            </w:r>
            <w:r>
              <w:rPr>
                <w:noProof/>
              </w:rPr>
              <w:t xml:space="preserve"> </w:t>
            </w:r>
            <w:r>
              <w:rPr>
                <w:bCs/>
                <w:noProof/>
                <w:vertAlign w:val="superscript"/>
              </w:rPr>
              <w:footnoteReference w:id="4"/>
            </w:r>
            <w:r>
              <w:rPr>
                <w:noProof/>
              </w:rPr>
              <w:t>:</w:t>
            </w:r>
          </w:p>
          <w:p w:rsidR="00615F18" w:rsidRDefault="000A62D6">
            <w:pPr>
              <w:spacing w:after="110" w:line="249" w:lineRule="auto"/>
              <w:rPr>
                <w:rFonts w:eastAsia="Times New Roman"/>
                <w:noProof/>
                <w:color w:val="000000"/>
              </w:rPr>
            </w:pPr>
            <w:r>
              <w:rPr>
                <w:noProof/>
              </w:rPr>
              <w:t xml:space="preserve">RCO 200 – άνεργοι, συμπεριλαμβανομένων των μακροχρόνια ανέργων  </w:t>
            </w:r>
          </w:p>
          <w:p w:rsidR="00615F18" w:rsidRDefault="000A62D6">
            <w:pPr>
              <w:spacing w:after="110" w:line="249" w:lineRule="auto"/>
              <w:rPr>
                <w:rFonts w:eastAsia="Times New Roman"/>
                <w:noProof/>
                <w:color w:val="000000"/>
              </w:rPr>
            </w:pPr>
            <w:r>
              <w:rPr>
                <w:noProof/>
              </w:rPr>
              <w:t xml:space="preserve">RCO 201 – μακροχρόνια άνεργοι  </w:t>
            </w:r>
          </w:p>
          <w:p w:rsidR="00615F18" w:rsidRDefault="000A62D6">
            <w:pPr>
              <w:spacing w:after="110" w:line="249" w:lineRule="auto"/>
              <w:rPr>
                <w:rFonts w:eastAsia="Times New Roman"/>
                <w:noProof/>
                <w:color w:val="000000"/>
              </w:rPr>
            </w:pPr>
            <w:r>
              <w:rPr>
                <w:noProof/>
              </w:rPr>
              <w:t xml:space="preserve">RCO 202 – ανενεργοί </w:t>
            </w:r>
          </w:p>
          <w:p w:rsidR="00615F18" w:rsidRDefault="000A62D6">
            <w:pPr>
              <w:spacing w:after="110" w:line="249" w:lineRule="auto"/>
              <w:rPr>
                <w:rFonts w:eastAsia="Times New Roman"/>
                <w:noProof/>
                <w:color w:val="000000"/>
              </w:rPr>
            </w:pPr>
            <w:r>
              <w:rPr>
                <w:noProof/>
              </w:rPr>
              <w:t xml:space="preserve">RCO 203 – απασχολούμενοι, συμπεριλαμβανομένων των αυτοαπασχολουμένων  </w:t>
            </w:r>
          </w:p>
          <w:p w:rsidR="00615F18" w:rsidRDefault="000A62D6">
            <w:pPr>
              <w:spacing w:after="110" w:line="249" w:lineRule="auto"/>
              <w:rPr>
                <w:rFonts w:eastAsia="Times New Roman"/>
                <w:noProof/>
                <w:color w:val="000000"/>
              </w:rPr>
            </w:pPr>
            <w:r>
              <w:rPr>
                <w:noProof/>
              </w:rPr>
              <w:t xml:space="preserve">RCO 204 – κάτω των 30 ετών  </w:t>
            </w:r>
          </w:p>
          <w:p w:rsidR="00615F18" w:rsidRDefault="000A62D6">
            <w:pPr>
              <w:spacing w:after="110" w:line="249" w:lineRule="auto"/>
              <w:rPr>
                <w:rFonts w:eastAsia="Times New Roman"/>
                <w:noProof/>
                <w:color w:val="000000"/>
              </w:rPr>
            </w:pPr>
            <w:r>
              <w:rPr>
                <w:noProof/>
              </w:rPr>
              <w:t xml:space="preserve">RCO 205 – άνω των 54 ετών  </w:t>
            </w:r>
          </w:p>
          <w:p w:rsidR="00615F18" w:rsidRDefault="000A62D6">
            <w:pPr>
              <w:spacing w:after="110" w:line="249" w:lineRule="auto"/>
              <w:rPr>
                <w:rFonts w:eastAsia="Times New Roman"/>
                <w:noProof/>
                <w:color w:val="000000"/>
              </w:rPr>
            </w:pPr>
            <w:r>
              <w:rPr>
                <w:noProof/>
              </w:rPr>
              <w:t>RCO 206 – απόφοιτοι κατώτερης δευτεροβάθμιας εκπαίδευσης ή χαμηλότερου επιπ</w:t>
            </w:r>
            <w:r>
              <w:rPr>
                <w:noProof/>
              </w:rPr>
              <w:t xml:space="preserve">έδου εκπαίδευσης (ISCED 0-2) </w:t>
            </w:r>
          </w:p>
          <w:p w:rsidR="00615F18" w:rsidRDefault="000A62D6">
            <w:pPr>
              <w:spacing w:after="110" w:line="249" w:lineRule="auto"/>
              <w:rPr>
                <w:rFonts w:eastAsia="Times New Roman"/>
                <w:noProof/>
                <w:color w:val="000000"/>
              </w:rPr>
            </w:pPr>
            <w:r>
              <w:rPr>
                <w:noProof/>
              </w:rPr>
              <w:t xml:space="preserve">RCO 207 – απόφοιτοι ανώτερης δευτεροβάθμιας (ISCED 3) ή μεταδευτεροβάθμιας εκπαίδευσης (ISCED 4) </w:t>
            </w:r>
          </w:p>
          <w:p w:rsidR="00615F18" w:rsidRDefault="000A62D6">
            <w:pPr>
              <w:spacing w:after="0"/>
              <w:rPr>
                <w:rFonts w:eastAsia="Times New Roman"/>
                <w:noProof/>
                <w:color w:val="000000"/>
              </w:rPr>
            </w:pPr>
            <w:r>
              <w:rPr>
                <w:noProof/>
              </w:rPr>
              <w:t>RCO 208 – απόφοιτοι τριτοβάθμιας εκπαίδευσης (ISCED 5 έως 8)</w:t>
            </w:r>
          </w:p>
          <w:p w:rsidR="00615F18" w:rsidRDefault="000A62D6">
            <w:pPr>
              <w:spacing w:after="110" w:line="249" w:lineRule="auto"/>
              <w:rPr>
                <w:rFonts w:eastAsia="Times New Roman"/>
                <w:noProof/>
                <w:color w:val="000000"/>
                <w:sz w:val="20"/>
                <w:szCs w:val="20"/>
              </w:rPr>
            </w:pPr>
            <w:r>
              <w:rPr>
                <w:noProof/>
              </w:rPr>
              <w:t>RCO 209 – συνολικός αριθμός συμμετεχόντων</w:t>
            </w:r>
            <w:r>
              <w:rPr>
                <w:bCs/>
                <w:noProof/>
                <w:vertAlign w:val="superscript"/>
              </w:rPr>
              <w:footnoteReference w:id="5"/>
            </w:r>
            <w:r>
              <w:rPr>
                <w:noProof/>
              </w:rPr>
              <w:t xml:space="preserve"> </w:t>
            </w:r>
          </w:p>
        </w:tc>
        <w:tc>
          <w:tcPr>
            <w:tcW w:w="6946" w:type="dxa"/>
            <w:tcBorders>
              <w:top w:val="nil"/>
              <w:left w:val="nil"/>
              <w:bottom w:val="single" w:sz="4" w:space="0" w:color="auto"/>
              <w:right w:val="single" w:sz="4" w:space="0" w:color="auto"/>
            </w:tcBorders>
            <w:shd w:val="clear" w:color="auto" w:fill="auto"/>
            <w:vAlign w:val="center"/>
            <w:hideMark/>
          </w:tcPr>
          <w:p w:rsidR="00615F18" w:rsidRDefault="000A62D6">
            <w:pPr>
              <w:spacing w:before="0" w:after="107" w:line="249" w:lineRule="auto"/>
              <w:ind w:left="-5" w:hanging="10"/>
              <w:rPr>
                <w:rFonts w:eastAsia="Times New Roman"/>
                <w:noProof/>
                <w:color w:val="000000"/>
              </w:rPr>
            </w:pPr>
            <w:r>
              <w:rPr>
                <w:noProof/>
              </w:rPr>
              <w:t>για τους συμμετέχοντες</w:t>
            </w:r>
            <w:r>
              <w:rPr>
                <w:noProof/>
                <w:vertAlign w:val="superscript"/>
              </w:rPr>
              <w:footnoteReference w:id="6"/>
            </w:r>
            <w:r>
              <w:rPr>
                <w:noProof/>
              </w:rPr>
              <w:t xml:space="preserve">: </w:t>
            </w:r>
          </w:p>
          <w:p w:rsidR="00615F18" w:rsidRDefault="000A62D6">
            <w:pPr>
              <w:spacing w:before="0" w:after="107" w:line="249" w:lineRule="auto"/>
              <w:ind w:left="-5" w:hanging="10"/>
              <w:rPr>
                <w:rFonts w:eastAsia="Times New Roman"/>
                <w:noProof/>
                <w:color w:val="000000"/>
              </w:rPr>
            </w:pPr>
            <w:r>
              <w:rPr>
                <w:noProof/>
              </w:rPr>
              <w:t xml:space="preserve">RCR 200 –συμμετέχοντες που δραστηριοποιούνται σε αναζήτηση εργασίας αμέσως μετά την αποχώρησή τους  </w:t>
            </w:r>
          </w:p>
          <w:p w:rsidR="00615F18" w:rsidRDefault="000A62D6">
            <w:pPr>
              <w:spacing w:before="0" w:after="107" w:line="249" w:lineRule="auto"/>
              <w:ind w:left="-5" w:hanging="10"/>
              <w:rPr>
                <w:rFonts w:eastAsia="Times New Roman"/>
                <w:noProof/>
                <w:color w:val="000000"/>
              </w:rPr>
            </w:pPr>
            <w:r>
              <w:rPr>
                <w:noProof/>
              </w:rPr>
              <w:t xml:space="preserve">RCR 201 – συμμετέχοντες σε εκπαίδευση ή κατάρτιση αμέσως μετά την αποχώρησή τους  </w:t>
            </w:r>
          </w:p>
          <w:p w:rsidR="00615F18" w:rsidRDefault="000A62D6">
            <w:pPr>
              <w:spacing w:after="110" w:line="249" w:lineRule="auto"/>
              <w:rPr>
                <w:rFonts w:eastAsia="Times New Roman"/>
                <w:noProof/>
                <w:color w:val="000000"/>
              </w:rPr>
            </w:pPr>
            <w:r>
              <w:rPr>
                <w:noProof/>
              </w:rPr>
              <w:t>RCR 202 – συμμετέχοντες που αποκτούν εξειδίκευση αμέσως μετά την αποχ</w:t>
            </w:r>
            <w:r>
              <w:rPr>
                <w:noProof/>
              </w:rPr>
              <w:t xml:space="preserve">ώρησή τους  </w:t>
            </w:r>
          </w:p>
          <w:p w:rsidR="00615F18" w:rsidRDefault="000A62D6">
            <w:pPr>
              <w:spacing w:after="110" w:line="249" w:lineRule="auto"/>
              <w:rPr>
                <w:rFonts w:eastAsia="Times New Roman"/>
                <w:noProof/>
                <w:color w:val="000000"/>
              </w:rPr>
            </w:pPr>
            <w:r>
              <w:rPr>
                <w:noProof/>
              </w:rPr>
              <w:t>RCR 203 – συμμετέχοντες που εργάζονται, συμπεριλαμβανομένων των αυτοαπασχολουμένων, αμέσως μετά την αποχώρησή τους</w:t>
            </w:r>
          </w:p>
          <w:p w:rsidR="00615F18" w:rsidRDefault="00615F18">
            <w:pPr>
              <w:spacing w:before="0" w:after="0"/>
              <w:jc w:val="left"/>
              <w:rPr>
                <w:rFonts w:eastAsia="Times New Roman"/>
                <w:noProof/>
                <w:color w:val="000000"/>
                <w:sz w:val="20"/>
                <w:szCs w:val="20"/>
              </w:rPr>
            </w:pPr>
          </w:p>
        </w:tc>
      </w:tr>
    </w:tbl>
    <w:p w:rsidR="00615F18" w:rsidRDefault="00615F18">
      <w:pPr>
        <w:rPr>
          <w:noProof/>
        </w:rPr>
      </w:pPr>
    </w:p>
    <w:p w:rsidR="00615F18" w:rsidRDefault="00615F18">
      <w:pPr>
        <w:rPr>
          <w:noProof/>
        </w:rPr>
      </w:pPr>
    </w:p>
    <w:sectPr w:rsidR="00615F18">
      <w:headerReference w:type="even" r:id="rId21"/>
      <w:headerReference w:type="default" r:id="rId22"/>
      <w:footerReference w:type="even" r:id="rId23"/>
      <w:footerReference w:type="default" r:id="rId24"/>
      <w:headerReference w:type="first" r:id="rId25"/>
      <w:footerReference w:type="first" r:id="rId2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F18" w:rsidRDefault="000A62D6">
      <w:pPr>
        <w:spacing w:before="0" w:after="0"/>
      </w:pPr>
      <w:r>
        <w:separator/>
      </w:r>
    </w:p>
  </w:endnote>
  <w:endnote w:type="continuationSeparator" w:id="0">
    <w:p w:rsidR="00615F18" w:rsidRDefault="000A62D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F18" w:rsidRDefault="00615F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F18" w:rsidRDefault="000A62D6">
    <w:pPr>
      <w:pStyle w:val="FooterCoverPage"/>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F18" w:rsidRDefault="00615F18">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F18" w:rsidRDefault="00615F1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F18" w:rsidRDefault="000A62D6">
    <w:pPr>
      <w:pStyle w:val="Footer"/>
      <w:rPr>
        <w:rFonts w:ascii="Arial" w:hAnsi="Arial" w:cs="Arial"/>
        <w:b/>
        <w:sz w:val="48"/>
        <w:lang w:val="fr-BE"/>
      </w:rPr>
    </w:pPr>
    <w:r>
      <w:rPr>
        <w:rFonts w:ascii="Arial" w:hAnsi="Arial"/>
        <w:b/>
        <w:sz w:val="48"/>
      </w:rPr>
      <w:t>E</w:t>
    </w:r>
    <w:r>
      <w:rPr>
        <w:rFonts w:ascii="Arial" w:hAnsi="Arial"/>
        <w:b/>
        <w:sz w:val="48"/>
        <w:lang w:val="fr-BE"/>
      </w:rPr>
      <w:t>L</w:t>
    </w:r>
    <w:r>
      <w:rPr>
        <w:rFonts w:ascii="Arial" w:hAnsi="Arial"/>
        <w:b/>
        <w:sz w:val="48"/>
      </w:rPr>
      <w:tab/>
    </w:r>
    <w:r>
      <w:fldChar w:fldCharType="begin"/>
    </w:r>
    <w:r>
      <w:instrText xml:space="preserve"> PAGE  \* MERGEFORMAT </w:instrText>
    </w:r>
    <w:r>
      <w:fldChar w:fldCharType="separate"/>
    </w:r>
    <w:r>
      <w:rPr>
        <w:noProof/>
      </w:rPr>
      <w:t>3</w:t>
    </w:r>
    <w:r>
      <w:fldChar w:fldCharType="end"/>
    </w:r>
    <w:r>
      <w:tab/>
    </w:r>
    <w:r>
      <w:tab/>
    </w:r>
    <w:r>
      <w:rPr>
        <w:rFonts w:ascii="Arial" w:hAnsi="Arial"/>
        <w:b/>
        <w:sz w:val="48"/>
      </w:rPr>
      <w:t>E</w:t>
    </w:r>
    <w:r>
      <w:rPr>
        <w:rFonts w:ascii="Arial" w:hAnsi="Arial"/>
        <w:b/>
        <w:sz w:val="48"/>
        <w:lang w:val="fr-BE"/>
      </w:rPr>
      <w:t>L</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F18" w:rsidRDefault="00615F1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F18" w:rsidRDefault="00615F1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F18" w:rsidRDefault="000A62D6" w:rsidP="000A62D6">
    <w:pPr>
      <w:pStyle w:val="Footer"/>
      <w:tabs>
        <w:tab w:val="clear" w:pos="4535"/>
        <w:tab w:val="clear" w:pos="9921"/>
        <w:tab w:val="center" w:pos="6804"/>
        <w:tab w:val="right" w:pos="14459"/>
      </w:tabs>
      <w:rPr>
        <w:rFonts w:ascii="Arial" w:hAnsi="Arial" w:cs="Arial"/>
        <w:b/>
        <w:sz w:val="48"/>
        <w:lang w:val="fr-BE"/>
      </w:rPr>
    </w:pPr>
    <w:bookmarkStart w:id="1" w:name="_GoBack"/>
    <w:bookmarkEnd w:id="1"/>
    <w:r>
      <w:rPr>
        <w:rFonts w:ascii="Arial" w:hAnsi="Arial"/>
        <w:b/>
        <w:sz w:val="48"/>
      </w:rPr>
      <w:t>E</w:t>
    </w:r>
    <w:r>
      <w:rPr>
        <w:rFonts w:ascii="Arial" w:hAnsi="Arial"/>
        <w:b/>
        <w:sz w:val="48"/>
        <w:lang w:val="fr-BE"/>
      </w:rPr>
      <w:t>L</w:t>
    </w:r>
    <w:r>
      <w:rPr>
        <w:rFonts w:ascii="Arial" w:hAnsi="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b/>
        <w:sz w:val="48"/>
      </w:rPr>
      <w:t>E</w:t>
    </w:r>
    <w:r>
      <w:rPr>
        <w:rFonts w:ascii="Arial" w:hAnsi="Arial"/>
        <w:b/>
        <w:sz w:val="48"/>
        <w:lang w:val="fr-BE"/>
      </w:rPr>
      <w:t>L</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F18" w:rsidRDefault="00615F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F18" w:rsidRDefault="000A62D6">
      <w:pPr>
        <w:spacing w:before="0" w:after="0"/>
      </w:pPr>
      <w:r>
        <w:separator/>
      </w:r>
    </w:p>
  </w:footnote>
  <w:footnote w:type="continuationSeparator" w:id="0">
    <w:p w:rsidR="00615F18" w:rsidRDefault="000A62D6">
      <w:pPr>
        <w:spacing w:before="0" w:after="0"/>
      </w:pPr>
      <w:r>
        <w:continuationSeparator/>
      </w:r>
    </w:p>
  </w:footnote>
  <w:footnote w:id="1">
    <w:p w:rsidR="00615F18" w:rsidRDefault="000A62D6">
      <w:pPr>
        <w:pStyle w:val="FootnoteText"/>
      </w:pPr>
      <w:r>
        <w:rPr>
          <w:rStyle w:val="FootnoteReference"/>
        </w:rPr>
        <w:footnoteRef/>
      </w:r>
      <w:r>
        <w:tab/>
        <w:t>Κανονισμός (ΕΚ) αριθ. 166/2006 του Ευρωπαϊκού Κοινοβουλίου και του Συμβουλίου,</w:t>
      </w:r>
      <w:r>
        <w:t xml:space="preserve"> της 18ης Ιανουαρίου 2006, για τη σύσταση ευρωπαϊκού μητρώου έκλυσης και μεταφοράς ρύπων και για την τροποποίηση των οδηγιών 91/689/ΕΟΚ και 96/61/ΕΚ του Συμβουλίου (ΕΕ L 33 της 4.2.2006, σ. 1).</w:t>
      </w:r>
    </w:p>
  </w:footnote>
  <w:footnote w:id="2">
    <w:p w:rsidR="00615F18" w:rsidRDefault="000A62D6">
      <w:pPr>
        <w:pStyle w:val="FootnoteText"/>
      </w:pPr>
      <w:r>
        <w:rPr>
          <w:rStyle w:val="FootnoteReference"/>
        </w:rPr>
        <w:footnoteRef/>
      </w:r>
      <w:r>
        <w:tab/>
        <w:t>Για λόγους παρουσίασης, οι δείκτες ομαδοποιούνται, ώστε να δ</w:t>
      </w:r>
      <w:r>
        <w:t>ιευκολυνθεί η αντιστοίχιση με τους δείκτες που περιλαμβάνονται σε άλλους κανονισμούς για την πολιτική συνοχής που είναι ειδικοί για κάθε ταμείο.</w:t>
      </w:r>
    </w:p>
  </w:footnote>
  <w:footnote w:id="3">
    <w:p w:rsidR="00615F18" w:rsidRDefault="000A62D6">
      <w:pPr>
        <w:pStyle w:val="FootnoteText"/>
        <w:rPr>
          <w:sz w:val="18"/>
        </w:rPr>
      </w:pPr>
      <w:r>
        <w:rPr>
          <w:rStyle w:val="FootnoteReference"/>
          <w:sz w:val="18"/>
        </w:rPr>
        <w:footnoteRef/>
      </w:r>
      <w:r>
        <w:rPr>
          <w:sz w:val="18"/>
        </w:rPr>
        <w:t xml:space="preserve"> Πρέπει να αναφέρονται όλοι οι δείκτες εκροών που σχετίζονται με τους συμμετέχοντες</w:t>
      </w:r>
    </w:p>
  </w:footnote>
  <w:footnote w:id="4">
    <w:p w:rsidR="00615F18" w:rsidRDefault="000A62D6">
      <w:pPr>
        <w:spacing w:before="0" w:after="0"/>
        <w:ind w:left="113" w:hanging="113"/>
        <w:rPr>
          <w:sz w:val="18"/>
          <w:szCs w:val="20"/>
        </w:rPr>
      </w:pPr>
      <w:r>
        <w:rPr>
          <w:rStyle w:val="FootnoteReference"/>
          <w:bCs/>
          <w:sz w:val="18"/>
        </w:rPr>
        <w:footnoteRef/>
      </w:r>
      <w:r>
        <w:rPr>
          <w:rStyle w:val="FootnoteReference"/>
          <w:bCs/>
          <w:sz w:val="22"/>
        </w:rPr>
        <w:t xml:space="preserve"> </w:t>
      </w:r>
      <w:r>
        <w:rPr>
          <w:sz w:val="18"/>
          <w:szCs w:val="20"/>
        </w:rPr>
        <w:t>Όλα τα δεδομένα προσωπικ</w:t>
      </w:r>
      <w:r>
        <w:rPr>
          <w:sz w:val="18"/>
          <w:szCs w:val="20"/>
        </w:rPr>
        <w:t>ού χαρακτήρα πρέπει να αναλύονται ανά φύλο (άρρεν/θήλυ – μη δυαδικό). Όταν δεν είναι δυνατόν να επιτευχθούν ορισμένα αποτελέσματα, δεν είναι απαραίτητη η συλλογή και η υποβολή στοιχείων για τους εν λόγω δείκτες αποτελεσμάτων. Όταν τα δεδομένα συλλέγονται α</w:t>
      </w:r>
      <w:r>
        <w:rPr>
          <w:sz w:val="18"/>
          <w:szCs w:val="20"/>
        </w:rPr>
        <w:t>πό μητρώα, τα κράτη μέλη δεν χρειάζεται να ευθυγραμμίζονται με τους από κοινού συμφωνηθέντες ορισμούς και μπορούν να χρησιμοποιούν εθνικούς ορισμούς.</w:t>
      </w:r>
    </w:p>
  </w:footnote>
  <w:footnote w:id="5">
    <w:p w:rsidR="00615F18" w:rsidRDefault="000A62D6">
      <w:pPr>
        <w:pStyle w:val="FootnoteText"/>
        <w:ind w:left="113" w:hanging="113"/>
        <w:rPr>
          <w:sz w:val="18"/>
        </w:rPr>
      </w:pPr>
      <w:r>
        <w:rPr>
          <w:rStyle w:val="FootnoteReference"/>
          <w:bCs/>
          <w:sz w:val="18"/>
        </w:rPr>
        <w:footnoteRef/>
      </w:r>
      <w:r>
        <w:t xml:space="preserve"> Πρέπει να υπολογίζεται αυτόματα με βάση τους κοινούς δείκτες εκροών που σχετίζονται με την κατάσταση απα</w:t>
      </w:r>
      <w:r>
        <w:t>σχόλησης.</w:t>
      </w:r>
    </w:p>
  </w:footnote>
  <w:footnote w:id="6">
    <w:p w:rsidR="00615F18" w:rsidRDefault="000A62D6">
      <w:pPr>
        <w:pStyle w:val="FootnoteText"/>
        <w:ind w:left="113" w:hanging="113"/>
        <w:rPr>
          <w:sz w:val="18"/>
        </w:rPr>
      </w:pPr>
      <w:r>
        <w:rPr>
          <w:rStyle w:val="FootnoteReference"/>
          <w:bCs/>
          <w:sz w:val="18"/>
        </w:rPr>
        <w:footnoteRef/>
      </w:r>
      <w:r>
        <w:t xml:space="preserve"> Όλα τα δεδομένα προσωπικού χαρακτήρα πρέπει να αναλύονται ανά φύλο.</w:t>
      </w:r>
      <w:r>
        <w:rPr>
          <w:sz w:val="18"/>
        </w:rPr>
        <w:t xml:space="preserve"> Όταν δεν είναι δυνατόν να επιτευχθούν ορισμένα αποτελέσματα, δεν είναι απαραίτητη η συλλογή και η υποβολή στοιχείων για τους εν λόγω δείκτες αποτελεσμάτων. Όταν τα δεδομένα συλ</w:t>
      </w:r>
      <w:r>
        <w:rPr>
          <w:sz w:val="18"/>
        </w:rPr>
        <w:t>λέγονται από μητρώα, τα κράτη μέλη δεν χρειάζεται να ευθυγραμμίζονται με τους από κοινού συμφωνηθέντες ορισμούς και μπορούν να χρησιμοποιούν εθνικούς ορισμούς.</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F18" w:rsidRDefault="00615F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F18" w:rsidRDefault="00615F18">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F18" w:rsidRDefault="00615F18">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F18" w:rsidRDefault="00615F1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F18" w:rsidRDefault="00615F1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F18" w:rsidRDefault="00615F1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F18" w:rsidRDefault="00615F1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F18" w:rsidRDefault="00615F1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F18" w:rsidRDefault="00615F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A4615"/>
    <w:multiLevelType w:val="hybridMultilevel"/>
    <w:tmpl w:val="37F636A6"/>
    <w:lvl w:ilvl="0" w:tplc="F83472C8">
      <w:start w:val="1"/>
      <w:numFmt w:val="decimal"/>
      <w:lvlText w:val="%1."/>
      <w:lvlJc w:val="left"/>
      <w:pPr>
        <w:ind w:left="502" w:hanging="360"/>
      </w:pPr>
      <w:rPr>
        <w:i w:val="0"/>
      </w:rPr>
    </w:lvl>
    <w:lvl w:ilvl="1" w:tplc="08090019">
      <w:start w:val="1"/>
      <w:numFmt w:val="lowerLetter"/>
      <w:lvlText w:val="%2."/>
      <w:lvlJc w:val="left"/>
      <w:pPr>
        <w:ind w:left="1440" w:hanging="360"/>
      </w:pPr>
    </w:lvl>
    <w:lvl w:ilvl="2" w:tplc="DEECC106">
      <w:start w:val="239"/>
      <w:numFmt w:val="bullet"/>
      <w:lvlText w:val="-"/>
      <w:lvlJc w:val="left"/>
      <w:pPr>
        <w:ind w:left="2160" w:hanging="180"/>
      </w:pPr>
      <w:rPr>
        <w:rFonts w:ascii="Calibri" w:eastAsia="Calibri" w:hAnsi="Calibri" w:cs="Calibri"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hideGrammaticalErrors/>
  <w:defaultTabStop w:val="720"/>
  <w:hyphenationZone w:val="425"/>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u964?\u951?\u962?"/>
    <w:docVar w:name="LW_ANNEX_NBR_FIRST" w:val="1"/>
    <w:docVar w:name="LW_ANNEX_NBR_LAST" w:val="3"/>
    <w:docVar w:name="LW_ANNEX_UNIQUE" w:val="0"/>
    <w:docVar w:name="LW_CORRIGENDUM" w:val="&lt;UNUSED&gt;"/>
    <w:docVar w:name="LW_COVERPAGE_EXISTS" w:val="True"/>
    <w:docVar w:name="LW_COVERPAGE_GUID" w:val="203E419E-D7D8-4DD4-BEBE-015267FE5166"/>
    <w:docVar w:name="LW_COVERPAGE_TYPE" w:val="1"/>
    <w:docVar w:name="LW_CROSSREFERENCE" w:val="&lt;UNUSED&gt;"/>
    <w:docVar w:name="LW_DocType" w:val="NORMAL"/>
    <w:docVar w:name="LW_EMISSION" w:val="14.1.2020"/>
    <w:docVar w:name="LW_EMISSION_ISODATE" w:val="2020-01-14"/>
    <w:docVar w:name="LW_EMISSION_LOCATION" w:val="BRX"/>
    <w:docVar w:name="LW_EMISSION_PREFIX" w:val="Βρυξέλλες, "/>
    <w:docVar w:name="LW_EMISSION_SUFFIX" w:val=" "/>
    <w:docVar w:name="LW_ID_DOCTYPE_NONLW" w:val="CP-036"/>
    <w:docVar w:name="LW_LANGUE" w:val="EL"/>
    <w:docVar w:name="LW_LEVEL_OF_SENSITIVITY" w:val="Standard treatment"/>
    <w:docVar w:name="LW_NOM.INST" w:val="\u917?\u933?\u929?\u937?\u928?\u913?\u938?\u922?\u919? \u917?\u928?\u921?\u932?\u929?\u927?\u928?\u919?"/>
    <w:docVar w:name="LW_NOM.INST_JOINTDOC" w:val="&lt;EMPTY&gt;"/>
    <w:docVar w:name="LW_OBJETACTEPRINCIPAL.CP" w:val="\u947?\u953?\u945? \u964?\u951? \u952?\u941?\u963?\u960?\u953?\u963?\u951? \u964?\u959?\u965? \u932?\u945?\u956?\u949?\u943?\u959?\u965? \u916?\u943?\u954?\u945?\u953?\u951?\u962? \u924?\u949?\u964?\u940?\u946?\u945?\u963?\u951?\u962?"/>
    <w:docVar w:name="LW_PART_NBR" w:val="&lt;UNUSED&gt;"/>
    <w:docVar w:name="LW_PART_NBR_TOTAL" w:val="&lt;UNUSED&gt;"/>
    <w:docVar w:name="LW_REF.INST.NEW" w:val="COM"/>
    <w:docVar w:name="LW_REF.INST.NEW_ADOPTED" w:val="final"/>
    <w:docVar w:name="LW_REF.INST.NEW_TEXT" w:val="(2020) 2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u928?\u913?\u929?\u913?\u929?\u932?\u919?\u924?\u913?\u932?\u913?_x000b_"/>
    <w:docVar w:name="LW_TYPEACTEPRINCIPAL.CP" w:val="\u960?\u961?\u972?\u964?\u945?\u963?\u951?\u962?_x000b__x000b_\u922?\u913?\u925?\u927?\u925?\u921?\u931?\u924?\u927?\u933? \u932?\u927?\u933? \u917?\u933?\u929?\u937?\u928?\u913?\u938?\u922?\u927?\u933? \u922?\u927?\u921?\u925?\u927?\u914?\u927?\u933?\u923?\u921?\u927?\u933? \u922?\u913?\u921? \u932?\u927?\u933? \u931?\u933?\u924?\u914?\u927?\u933?\u923?\u921?\u927?\u933?"/>
  </w:docVars>
  <w:rsids>
    <w:rsidRoot w:val="00615F18"/>
    <w:rsid w:val="000A62D6"/>
    <w:rsid w:val="00615F1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5:docId w15:val="{B4DE9320-7DE0-459A-828A-D120F5112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aliases w:val="Footnote Text Char1,Footnote Text Char1 Char Char,Footnote Text Char Char Char Char,Footnote Text Char Char Char Char Char Char Char Char,Footnote Text Char Char1,Schriftart: 9 pt,f"/>
    <w:basedOn w:val="Normal"/>
    <w:link w:val="FootnoteTextChar"/>
    <w:uiPriority w:val="99"/>
    <w:unhideWhenUsed/>
    <w:pPr>
      <w:spacing w:before="0" w:after="0"/>
      <w:ind w:left="720" w:hanging="720"/>
    </w:pPr>
    <w:rPr>
      <w:sz w:val="20"/>
      <w:szCs w:val="20"/>
    </w:rPr>
  </w:style>
  <w:style w:type="character" w:customStyle="1" w:styleId="FootnoteTextChar">
    <w:name w:val="Footnote Text Char"/>
    <w:aliases w:val="Footnote Text Char1 Char,Footnote Text Char1 Char Char Char,Footnote Text Char Char Char Char Char,Footnote Text Char Char Char Char Char Char Char Char Char,Footnote Text Char Char1 Char,Schriftart: 9 pt Char,f Char"/>
    <w:basedOn w:val="DefaultParagraphFont"/>
    <w:link w:val="FootnoteText"/>
    <w:uiPriority w:val="99"/>
    <w:rPr>
      <w:rFonts w:ascii="Times New Roman" w:hAnsi="Times New Roman" w:cs="Times New Roman"/>
      <w:sz w:val="20"/>
      <w:szCs w:val="20"/>
      <w:lang w:val="el-GR"/>
    </w:rPr>
  </w:style>
  <w:style w:type="character" w:styleId="FootnoteReference">
    <w:name w:val="footnote reference"/>
    <w:aliases w:val="Footnote call,BVI fnr,SUPERS,Footnote symbol, BVI fnr,(Footnote Reference),Footnote,Voetnootverwijzing,Times 10 Point,Exposant 3 Point,Footnote reference number,note TESI,stylish,Ref,de nota al pie,Footnote Reference1,16 Point"/>
    <w:basedOn w:val="DefaultParagraphFont"/>
    <w:uiPriority w:val="99"/>
    <w:unhideWhenUsed/>
    <w:rPr>
      <w:shd w:val="clear" w:color="auto" w:fill="auto"/>
      <w:vertAlign w:val="superscript"/>
    </w:rPr>
  </w:style>
  <w:style w:type="character" w:customStyle="1" w:styleId="Marker">
    <w:name w:val="Marker"/>
    <w:basedOn w:val="DefaultParagraphFont"/>
    <w:rPr>
      <w:color w:val="0000FF"/>
      <w:shd w:val="clear" w:color="auto" w:fill="auto"/>
    </w:rPr>
  </w:style>
  <w:style w:type="paragraph" w:customStyle="1" w:styleId="Annexetitre">
    <w:name w:val="Annexe titre"/>
    <w:basedOn w:val="Normal"/>
    <w:next w:val="Normal"/>
    <w:link w:val="AnnexetitreChar"/>
    <w:pPr>
      <w:jc w:val="center"/>
    </w:pPr>
    <w:rPr>
      <w:b/>
      <w:u w:val="single"/>
    </w:rPr>
  </w:style>
  <w:style w:type="paragraph" w:styleId="ListParagraph">
    <w:name w:val="List Paragraph"/>
    <w:aliases w:val="List Paragraph compact,Normal bullet 2,Paragraphe de liste 2,Reference list,Bullet list,Numbered List,List Paragraph1,1st level - Bullet List Paragraph,Lettre d'introduction,Paragraph,Bullet EY,List Paragraph11,Normal bullet 21,List L1"/>
    <w:basedOn w:val="Normal"/>
    <w:link w:val="ListParagraphChar"/>
    <w:uiPriority w:val="34"/>
    <w:qFormat/>
    <w:pPr>
      <w:spacing w:before="0" w:after="200" w:line="276" w:lineRule="auto"/>
      <w:ind w:left="720"/>
      <w:contextualSpacing/>
      <w:jc w:val="left"/>
    </w:pPr>
    <w:rPr>
      <w:rFonts w:asciiTheme="minorHAnsi" w:hAnsiTheme="minorHAnsi" w:cstheme="minorBidi"/>
      <w:sz w:val="22"/>
    </w:rPr>
  </w:style>
  <w:style w:type="character" w:customStyle="1" w:styleId="ListParagraphChar">
    <w:name w:val="List Paragraph Char"/>
    <w:aliases w:val="List Paragraph compact Char,Normal bullet 2 Char,Paragraphe de liste 2 Char,Reference list Char,Bullet list Char,Numbered List Char,List Paragraph1 Char,1st level - Bullet List Paragraph Char,Lettre d'introduction Char,Paragraph Char"/>
    <w:link w:val="ListParagraph"/>
    <w:uiPriority w:val="34"/>
    <w:qFormat/>
    <w:locked/>
    <w:rPr>
      <w:lang w:val="el-GR"/>
    </w:rPr>
  </w:style>
  <w:style w:type="table" w:styleId="TableGrid">
    <w:name w:val="Table Grid"/>
    <w:basedOn w:val="TableNormal"/>
    <w:uiPriority w:val="59"/>
    <w:unhideWhenUs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edecouverture">
    <w:name w:val="Page de couverture"/>
    <w:basedOn w:val="Normal"/>
    <w:next w:val="Normal"/>
    <w:pPr>
      <w:spacing w:before="0" w:after="0"/>
    </w:pPr>
  </w:style>
  <w:style w:type="paragraph" w:styleId="Header">
    <w:name w:val="header"/>
    <w:basedOn w:val="Normal"/>
    <w:link w:val="HeaderChar"/>
    <w:uiPriority w:val="99"/>
    <w:unhideWhenUsed/>
    <w:pPr>
      <w:tabs>
        <w:tab w:val="center" w:pos="4513"/>
        <w:tab w:val="right" w:pos="9026"/>
      </w:tabs>
      <w:spacing w:before="0" w:after="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AnnexetitreChar">
    <w:name w:val="Annexe titre Char"/>
    <w:basedOn w:val="DefaultParagraphFont"/>
    <w:link w:val="Annexetitre"/>
    <w:rPr>
      <w:rFonts w:ascii="Times New Roman" w:hAnsi="Times New Roman" w:cs="Times New Roman"/>
      <w:b/>
      <w:sz w:val="24"/>
      <w:u w:val="single"/>
      <w:lang w:val="el-GR"/>
    </w:rPr>
  </w:style>
  <w:style w:type="character" w:customStyle="1" w:styleId="FooterCoverPageChar">
    <w:name w:val="Footer Cover Page Char"/>
    <w:basedOn w:val="AnnexetitreChar"/>
    <w:link w:val="FooterCoverPage"/>
    <w:rPr>
      <w:rFonts w:ascii="Times New Roman" w:hAnsi="Times New Roman" w:cs="Times New Roman"/>
      <w:b w:val="0"/>
      <w:sz w:val="24"/>
      <w:u w:val="single"/>
      <w:lang w:val="el-GR"/>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AnnexetitreChar"/>
    <w:link w:val="FooterSensitivity"/>
    <w:rPr>
      <w:rFonts w:ascii="Times New Roman" w:hAnsi="Times New Roman" w:cs="Times New Roman"/>
      <w:b/>
      <w:sz w:val="32"/>
      <w:u w:val="single"/>
      <w:lang w:val="el-GR"/>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AnnexetitreChar"/>
    <w:link w:val="HeaderCoverPage"/>
    <w:rPr>
      <w:rFonts w:ascii="Times New Roman" w:hAnsi="Times New Roman" w:cs="Times New Roman"/>
      <w:b w:val="0"/>
      <w:sz w:val="24"/>
      <w:u w:val="single"/>
      <w:lang w:val="el-GR"/>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character" w:customStyle="1" w:styleId="HeaderSensitivityChar">
    <w:name w:val="Header Sensitivity Char"/>
    <w:basedOn w:val="AnnexetitreChar"/>
    <w:link w:val="HeaderSensitivity"/>
    <w:rPr>
      <w:rFonts w:ascii="Times New Roman" w:hAnsi="Times New Roman" w:cs="Times New Roman"/>
      <w:b/>
      <w:sz w:val="32"/>
      <w:u w:val="single"/>
      <w:lang w:val="el-GR"/>
    </w:rPr>
  </w:style>
  <w:style w:type="paragraph" w:customStyle="1" w:styleId="HeaderSensitivityRight">
    <w:name w:val="Header Sensitivity Right"/>
    <w:basedOn w:val="Normal"/>
    <w:link w:val="HeaderSensitivityRightChar"/>
    <w:pPr>
      <w:spacing w:before="0"/>
      <w:jc w:val="right"/>
    </w:pPr>
    <w:rPr>
      <w:sz w:val="28"/>
    </w:rPr>
  </w:style>
  <w:style w:type="character" w:customStyle="1" w:styleId="HeaderSensitivityRightChar">
    <w:name w:val="Header Sensitivity Right Char"/>
    <w:basedOn w:val="AnnexetitreChar"/>
    <w:link w:val="HeaderSensitivityRight"/>
    <w:rPr>
      <w:rFonts w:ascii="Times New Roman" w:hAnsi="Times New Roman" w:cs="Times New Roman"/>
      <w:b w:val="0"/>
      <w:sz w:val="28"/>
      <w:u w:val="single"/>
      <w:lang w:val="el-G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l-GR"/>
    </w:rPr>
  </w:style>
  <w:style w:type="paragraph" w:customStyle="1" w:styleId="Text1">
    <w:name w:val="Text 1"/>
    <w:basedOn w:val="Normal"/>
    <w:pPr>
      <w:ind w:left="850"/>
    </w:pPr>
  </w:style>
  <w:style w:type="paragraph" w:customStyle="1" w:styleId="ManualNumPar1">
    <w:name w:val="Manual NumPar 1"/>
    <w:basedOn w:val="Normal"/>
    <w:next w:val="Text1"/>
    <w:pPr>
      <w:ind w:left="850" w:hanging="8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F9F1821-9918-4937-BDEF-BEFA33A42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1562</Words>
  <Characters>11607</Characters>
  <Application>Microsoft Office Word</Application>
  <DocSecurity>0</DocSecurity>
  <Lines>362</Lines>
  <Paragraphs>164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MEIJER Martine (REGIO)</dc:creator>
  <cp:keywords/>
  <dc:description/>
  <cp:lastModifiedBy>HEILEMANN Stefanie (SG)</cp:lastModifiedBy>
  <cp:revision>9</cp:revision>
  <dcterms:created xsi:type="dcterms:W3CDTF">2020-01-11T08:35:00Z</dcterms:created>
  <dcterms:modified xsi:type="dcterms:W3CDTF">2020-01-16T15:29:00Z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1</vt:lpwstr>
  </property>
  <property fmtid="{D5CDD505-2E9C-101B-9397-08002B2CF9AE}" pid="4" name="Last annex">
    <vt:lpwstr>3</vt:lpwstr>
  </property>
  <property fmtid="{D5CDD505-2E9C-101B-9397-08002B2CF9AE}" pid="5" name="Unique annex">
    <vt:lpwstr>0</vt:lpwstr>
  </property>
  <property fmtid="{D5CDD505-2E9C-101B-9397-08002B2CF9AE}" pid="6" name="Part">
    <vt:lpwstr>&lt;UNUSED&gt;</vt:lpwstr>
  </property>
  <property fmtid="{D5CDD505-2E9C-101B-9397-08002B2CF9AE}" pid="7" name="Total parts">
    <vt:lpwstr>&lt;UNUSED&gt;</vt:lpwstr>
  </property>
  <property fmtid="{D5CDD505-2E9C-101B-9397-08002B2CF9AE}" pid="8" name="DocStatus">
    <vt:lpwstr>Green</vt:lpwstr>
  </property>
  <property fmtid="{D5CDD505-2E9C-101B-9397-08002B2CF9AE}" pid="9" name="CPTemplateID">
    <vt:lpwstr>CP-036</vt:lpwstr>
  </property>
  <property fmtid="{D5CDD505-2E9C-101B-9397-08002B2CF9AE}" pid="10" name="Last edited using">
    <vt:lpwstr>LW 7.0, Build 20190717</vt:lpwstr>
  </property>
  <property fmtid="{D5CDD505-2E9C-101B-9397-08002B2CF9AE}" pid="11" name="Created using">
    <vt:lpwstr>LW 7.0, Build 20190717</vt:lpwstr>
  </property>
</Properties>
</file>