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77E" w:rsidRDefault="006E3F75">
      <w:pPr>
        <w:pStyle w:val="Pagedecouverture"/>
        <w:rPr>
          <w:noProof/>
        </w:rPr>
      </w:pPr>
      <w:bookmarkStart w:id="0" w:name="LW_BM_COVERPAGE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1E1C4C95-6DA2-4C48-8D25-C2059760BF75" style="width:450.25pt;height:393.3pt">
            <v:imagedata r:id="rId8" o:title=""/>
          </v:shape>
        </w:pict>
      </w:r>
    </w:p>
    <w:bookmarkEnd w:id="0"/>
    <w:p w:rsidR="009A077E" w:rsidRDefault="009A077E">
      <w:pPr>
        <w:rPr>
          <w:noProof/>
        </w:rPr>
        <w:sectPr w:rsidR="009A077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 w:rsidR="009A077E" w:rsidRDefault="006E3F75">
      <w:pPr>
        <w:pStyle w:val="Annexetitre"/>
        <w:rPr>
          <w:rStyle w:val="Marker"/>
          <w:noProof/>
          <w:color w:val="auto"/>
        </w:rPr>
      </w:pPr>
      <w:r>
        <w:rPr>
          <w:noProof/>
        </w:rPr>
        <w:lastRenderedPageBreak/>
        <w:t xml:space="preserve">LIITE </w:t>
      </w:r>
      <w:r>
        <w:rPr>
          <w:rStyle w:val="Marker"/>
          <w:noProof/>
          <w:color w:val="auto"/>
        </w:rPr>
        <w:t>I</w:t>
      </w:r>
    </w:p>
    <w:p w:rsidR="009A077E" w:rsidRDefault="006E3F75">
      <w:pPr>
        <w:rPr>
          <w:noProof/>
        </w:rPr>
      </w:pPr>
      <w:r>
        <w:rPr>
          <w:noProof/>
        </w:rPr>
        <w:t xml:space="preserve"> </w:t>
      </w:r>
    </w:p>
    <w:p w:rsidR="009A077E" w:rsidRDefault="006E3F75">
      <w:pPr>
        <w:jc w:val="center"/>
        <w:rPr>
          <w:b/>
          <w:noProof/>
          <w:sz w:val="28"/>
          <w:szCs w:val="28"/>
          <w:u w:val="single"/>
        </w:rPr>
      </w:pPr>
      <w:r>
        <w:rPr>
          <w:rFonts w:ascii="Times New Roman Bold" w:hAnsi="Times New Roman Bold"/>
          <w:b/>
          <w:caps/>
          <w:noProof/>
        </w:rPr>
        <w:t>Oikeudenmukaisen siirtymän rahaston varojen jakomenetelmä</w:t>
      </w:r>
    </w:p>
    <w:p w:rsidR="009A077E" w:rsidRDefault="009A077E">
      <w:pPr>
        <w:rPr>
          <w:noProof/>
        </w:rPr>
      </w:pPr>
    </w:p>
    <w:p w:rsidR="009A077E" w:rsidRDefault="006E3F75">
      <w:pPr>
        <w:rPr>
          <w:noProof/>
        </w:rPr>
      </w:pPr>
      <w:r>
        <w:rPr>
          <w:noProof/>
        </w:rPr>
        <w:t xml:space="preserve">Kunkin jäsenvaltion kokonaismäärärahat määritetään seuraavien vaiheiden mukaisesti: </w:t>
      </w:r>
    </w:p>
    <w:p w:rsidR="009A077E" w:rsidRDefault="006E3F75">
      <w:pPr>
        <w:ind w:left="720" w:hanging="720"/>
        <w:rPr>
          <w:noProof/>
        </w:rPr>
      </w:pPr>
      <w:r>
        <w:rPr>
          <w:noProof/>
        </w:rPr>
        <w:t>a)</w:t>
      </w:r>
      <w:r>
        <w:rPr>
          <w:noProof/>
        </w:rPr>
        <w:tab/>
        <w:t>kunkin jäsenvaltion osuus lasketaan seuraavien kriteerien perusteella määritettyjen osuuksien painotettuna summana seuraavien painotusten mukaisesti:</w:t>
      </w:r>
    </w:p>
    <w:p w:rsidR="009A077E" w:rsidRDefault="006E3F75">
      <w:pPr>
        <w:ind w:left="1457" w:hanging="720"/>
        <w:rPr>
          <w:noProof/>
        </w:rPr>
      </w:pPr>
      <w:r>
        <w:rPr>
          <w:noProof/>
        </w:rPr>
        <w:t>i)</w:t>
      </w:r>
      <w:r>
        <w:rPr>
          <w:noProof/>
        </w:rPr>
        <w:tab/>
        <w:t>teollisuuslaito</w:t>
      </w:r>
      <w:r>
        <w:rPr>
          <w:noProof/>
        </w:rPr>
        <w:t>sten kasvihuonekaasupäästöt NUTS 2 -tason alueilla, joilla hiili-intensiteetti – määritettynä jäsenvaltioiden Euroopan parlamentin ja neuvoston asetuksen (EY) N:o 166/2006</w:t>
      </w:r>
      <w:r>
        <w:rPr>
          <w:rStyle w:val="FootnoteReference"/>
          <w:noProof/>
        </w:rPr>
        <w:footnoteReference w:id="1"/>
      </w:r>
      <w:r>
        <w:rPr>
          <w:noProof/>
        </w:rPr>
        <w:t xml:space="preserve"> 7 artiklan mukaisesti ilmoittamalla teollisuuslaitosten kasvihuonekaasupäästöjen su</w:t>
      </w:r>
      <w:r>
        <w:rPr>
          <w:noProof/>
        </w:rPr>
        <w:t>hdeluvulla – verrattuna teollisuuden bruttoarvonlisäykseen ylittää kaksinkertaisesti EU27:n keskiarvon. Jos taso ei ylity millään NUTS 2 -tason alueella tietyssä jäsenvaltiossa, huomioon otetaan teollisuuslaitosten kasvihuonekaasupäästöt sillä NUTS 2 -taso</w:t>
      </w:r>
      <w:r>
        <w:rPr>
          <w:noProof/>
        </w:rPr>
        <w:t>n alueella, jolla hiili-intensiteetti on suurin (painotus 49 %),</w:t>
      </w:r>
    </w:p>
    <w:p w:rsidR="009A077E" w:rsidRDefault="006E3F75">
      <w:pPr>
        <w:ind w:left="1457" w:hanging="720"/>
        <w:rPr>
          <w:noProof/>
        </w:rPr>
      </w:pPr>
      <w:r>
        <w:rPr>
          <w:noProof/>
        </w:rPr>
        <w:t>ii)</w:t>
      </w:r>
      <w:r>
        <w:rPr>
          <w:noProof/>
        </w:rPr>
        <w:tab/>
        <w:t>työllisyys kivihiilen ja ruskohiilen louhinnassa (painotus 25 %),</w:t>
      </w:r>
    </w:p>
    <w:p w:rsidR="009A077E" w:rsidRDefault="006E3F75">
      <w:pPr>
        <w:ind w:left="1457" w:hanging="720"/>
        <w:rPr>
          <w:noProof/>
        </w:rPr>
      </w:pPr>
      <w:r>
        <w:rPr>
          <w:noProof/>
        </w:rPr>
        <w:t>iii)</w:t>
      </w:r>
      <w:r>
        <w:rPr>
          <w:noProof/>
        </w:rPr>
        <w:tab/>
        <w:t xml:space="preserve">työllisyys teollisuudessa NUTS 2 -tason alueilla, jotka on otettu huomioon i alakohdan soveltamiseksi (painotus 25 </w:t>
      </w:r>
      <w:r>
        <w:rPr>
          <w:noProof/>
        </w:rPr>
        <w:t>%),</w:t>
      </w:r>
    </w:p>
    <w:p w:rsidR="009A077E" w:rsidRDefault="006E3F75">
      <w:pPr>
        <w:ind w:left="1457" w:hanging="720"/>
        <w:rPr>
          <w:noProof/>
        </w:rPr>
      </w:pPr>
      <w:r>
        <w:rPr>
          <w:noProof/>
        </w:rPr>
        <w:t>iv)</w:t>
      </w:r>
      <w:r>
        <w:rPr>
          <w:noProof/>
        </w:rPr>
        <w:tab/>
        <w:t>turpeen tuotanto (painotus 0,95 %),</w:t>
      </w:r>
    </w:p>
    <w:p w:rsidR="009A077E" w:rsidRDefault="006E3F75">
      <w:pPr>
        <w:ind w:left="1457" w:hanging="720"/>
        <w:rPr>
          <w:noProof/>
        </w:rPr>
      </w:pPr>
      <w:r>
        <w:rPr>
          <w:noProof/>
        </w:rPr>
        <w:t>v)</w:t>
      </w:r>
      <w:r>
        <w:rPr>
          <w:noProof/>
        </w:rPr>
        <w:tab/>
        <w:t>liuskeöljyn tuotanto (painotus 0,05 %);</w:t>
      </w:r>
    </w:p>
    <w:p w:rsidR="009A077E" w:rsidRDefault="006E3F75">
      <w:pPr>
        <w:ind w:left="720" w:hanging="720"/>
        <w:rPr>
          <w:noProof/>
        </w:rPr>
      </w:pPr>
      <w:r>
        <w:rPr>
          <w:noProof/>
        </w:rPr>
        <w:t>b)</w:t>
      </w:r>
      <w:r>
        <w:rPr>
          <w:noProof/>
        </w:rPr>
        <w:tab/>
        <w:t>a alakohdan soveltamisesta johtuvia määrärahoja mukautetaan sen varmistamiseksi, että kunkin jäsenvaltion saama määrä on enintään 2 miljardia euroa. Määrät, jotka yli</w:t>
      </w:r>
      <w:r>
        <w:rPr>
          <w:noProof/>
        </w:rPr>
        <w:t>ttävät 2 miljardia euroa jäsenvaltiota kohti, jaetaan uudelleen suhteutettuna muiden jäsenvaltioiden saamiin määriin. Jäsenvaltioiden osuudet lasketaan uudelleen vastaavasti;</w:t>
      </w:r>
    </w:p>
    <w:p w:rsidR="009A077E" w:rsidRDefault="006E3F75">
      <w:pPr>
        <w:ind w:left="720" w:hanging="720"/>
        <w:rPr>
          <w:noProof/>
        </w:rPr>
      </w:pPr>
      <w:r>
        <w:rPr>
          <w:noProof/>
        </w:rPr>
        <w:t xml:space="preserve">c) </w:t>
      </w:r>
      <w:r>
        <w:rPr>
          <w:noProof/>
        </w:rPr>
        <w:tab/>
        <w:t>jäsenvaltioiden osuuksia, jotka johtuvat b alakohdan soveltamisesta, mukautet</w:t>
      </w:r>
      <w:r>
        <w:rPr>
          <w:noProof/>
        </w:rPr>
        <w:t xml:space="preserve">aan negatiivisesti tai positiivisesti kertoimella, joka on 1,5 kertaa erotus, jolla kyseisen jäsenvaltion asukasta kohti laskettu bruttokansantulo (ostovoimapariteettina mitattuna) vuosina 2015–2017 ylittää tai alittaa EU27:n keskimääräisen asukasta kohti </w:t>
      </w:r>
      <w:r>
        <w:rPr>
          <w:noProof/>
        </w:rPr>
        <w:t>lasketun bruttokansantulon (keskiarvo on 100 %);</w:t>
      </w:r>
    </w:p>
    <w:p w:rsidR="009A077E" w:rsidRDefault="006E3F75">
      <w:pPr>
        <w:rPr>
          <w:noProof/>
        </w:rPr>
      </w:pPr>
      <w:r>
        <w:rPr>
          <w:noProof/>
        </w:rPr>
        <w:t>Mukautusta ei sovelleta jäsenvaltioihin, joiden määrärahaan on sovellettu ylärajaa b alakohdan mukaisesti.</w:t>
      </w:r>
    </w:p>
    <w:p w:rsidR="009A077E" w:rsidRDefault="006E3F75">
      <w:pPr>
        <w:ind w:left="720" w:hanging="720"/>
        <w:rPr>
          <w:noProof/>
        </w:rPr>
      </w:pPr>
      <w:r>
        <w:rPr>
          <w:noProof/>
        </w:rPr>
        <w:t>d)</w:t>
      </w:r>
      <w:r>
        <w:rPr>
          <w:noProof/>
        </w:rPr>
        <w:tab/>
        <w:t>c alakohdan soveltamisesta johtuvia määrärahoja mukautetaan sen varmistamiseksi, että JTF-rahasto</w:t>
      </w:r>
      <w:r>
        <w:rPr>
          <w:noProof/>
        </w:rPr>
        <w:t xml:space="preserve">sta myönnettyjen lopullisten määrärahojen tuki-intensiteetti asukasta kohti (mitattuna jäsenvaltion koko väestön perusteella) on vähintään 6 euroa koko kaudella.  </w:t>
      </w:r>
    </w:p>
    <w:p w:rsidR="009A077E" w:rsidRDefault="006E3F75">
      <w:pPr>
        <w:ind w:left="720"/>
        <w:rPr>
          <w:noProof/>
        </w:rPr>
      </w:pPr>
      <w:r>
        <w:rPr>
          <w:noProof/>
        </w:rPr>
        <w:t xml:space="preserve">Määrät, joilla varmistetaan vähimmäistuki-intensiteetti, vähennetään suhteutettuna kaikkien </w:t>
      </w:r>
      <w:r>
        <w:rPr>
          <w:noProof/>
        </w:rPr>
        <w:t xml:space="preserve">muiden jäsenvaltioiden määrärahoista, lukuun ottamatta niitä, joiden määrärahaan on sovellettu ylärajaa b alakohdan mukaisesti. </w:t>
      </w:r>
    </w:p>
    <w:p w:rsidR="009A077E" w:rsidRDefault="006E3F75">
      <w:pPr>
        <w:rPr>
          <w:noProof/>
        </w:rPr>
      </w:pPr>
      <w:r>
        <w:rPr>
          <w:noProof/>
        </w:rPr>
        <w:lastRenderedPageBreak/>
        <w:t>Oikeudenmukaisen siirtymän rahastosta myönnettävät määrärahat täydentävät asetuksen (EU) [uusi yhteisiä säännöksiä koskeva aset</w:t>
      </w:r>
      <w:r>
        <w:rPr>
          <w:noProof/>
        </w:rPr>
        <w:t>us] liitteessä XXII olevan 1–16 kohdan mukaisesti myönnettäviä määrärahoja eivätkä sisälly jakoperusteisiin, joihin asetuksen (EU) [uusi yhteisiä säännöksiä koskeva asetus] liitteessä XXII olevaa 10–15 kohtaa sovelletaan.</w:t>
      </w:r>
    </w:p>
    <w:p w:rsidR="009A077E" w:rsidRDefault="006E3F75">
      <w:pPr>
        <w:rPr>
          <w:noProof/>
        </w:rPr>
      </w:pPr>
      <w:r>
        <w:rPr>
          <w:noProof/>
        </w:rPr>
        <w:br w:type="page"/>
      </w:r>
    </w:p>
    <w:p w:rsidR="009A077E" w:rsidRDefault="009A077E">
      <w:pPr>
        <w:rPr>
          <w:noProof/>
        </w:rPr>
      </w:pPr>
    </w:p>
    <w:p w:rsidR="009A077E" w:rsidRDefault="009A077E">
      <w:pPr>
        <w:rPr>
          <w:noProof/>
        </w:rPr>
      </w:pPr>
    </w:p>
    <w:p w:rsidR="009A077E" w:rsidRDefault="006E3F75">
      <w:pPr>
        <w:jc w:val="center"/>
        <w:rPr>
          <w:b/>
          <w:noProof/>
          <w:u w:val="single"/>
        </w:rPr>
      </w:pPr>
      <w:r>
        <w:rPr>
          <w:b/>
          <w:noProof/>
          <w:u w:val="single"/>
        </w:rPr>
        <w:t>LIITE II</w:t>
      </w:r>
    </w:p>
    <w:p w:rsidR="009A077E" w:rsidRDefault="006E3F75">
      <w:pPr>
        <w:jc w:val="center"/>
        <w:rPr>
          <w:rFonts w:ascii="Times New Roman Bold" w:eastAsia="Calibri" w:hAnsi="Times New Roman Bold"/>
          <w:b/>
          <w:caps/>
          <w:noProof/>
          <w:szCs w:val="24"/>
        </w:rPr>
      </w:pPr>
      <w:r>
        <w:rPr>
          <w:rFonts w:ascii="Times New Roman Bold" w:hAnsi="Times New Roman Bold"/>
          <w:b/>
          <w:caps/>
          <w:noProof/>
        </w:rPr>
        <w:t xml:space="preserve">Alueellisten oikeudenmukaista siirtymää koskevien suunnitelmien malli </w:t>
      </w:r>
    </w:p>
    <w:p w:rsidR="009A077E" w:rsidRDefault="009A077E">
      <w:pPr>
        <w:jc w:val="center"/>
        <w:rPr>
          <w:rFonts w:ascii="Times New Roman Bold" w:eastAsia="Calibri" w:hAnsi="Times New Roman Bold"/>
          <w:b/>
          <w:caps/>
          <w:noProof/>
          <w:szCs w:val="24"/>
        </w:rPr>
      </w:pPr>
    </w:p>
    <w:p w:rsidR="009A077E" w:rsidRDefault="006E3F75">
      <w:pPr>
        <w:numPr>
          <w:ilvl w:val="0"/>
          <w:numId w:val="1"/>
        </w:numPr>
        <w:spacing w:before="0" w:after="200" w:line="276" w:lineRule="auto"/>
        <w:jc w:val="left"/>
        <w:rPr>
          <w:rFonts w:eastAsia="Times New Roman"/>
          <w:b/>
          <w:iCs/>
          <w:noProof/>
          <w:szCs w:val="24"/>
        </w:rPr>
      </w:pPr>
      <w:r>
        <w:rPr>
          <w:b/>
          <w:iCs/>
          <w:noProof/>
        </w:rPr>
        <w:t>Luonnos siirtymäprosessista ja niiden alueiden yksilöinti, joihin siirtymä vaikuttaa kielteisimmin jäsenvaltiossa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9A077E">
        <w:trPr>
          <w:trHeight w:val="306"/>
        </w:trPr>
        <w:tc>
          <w:tcPr>
            <w:tcW w:w="9288" w:type="dxa"/>
          </w:tcPr>
          <w:p w:rsidR="009A077E" w:rsidRDefault="006E3F75">
            <w:pPr>
              <w:rPr>
                <w:i/>
                <w:noProof/>
              </w:rPr>
            </w:pPr>
            <w:r>
              <w:rPr>
                <w:i/>
                <w:noProof/>
              </w:rPr>
              <w:t>Tekstikenttä [12000]</w:t>
            </w:r>
          </w:p>
        </w:tc>
      </w:tr>
    </w:tbl>
    <w:p w:rsidR="009A077E" w:rsidRDefault="009A077E">
      <w:pPr>
        <w:spacing w:before="0" w:after="200" w:line="276" w:lineRule="auto"/>
        <w:ind w:left="502"/>
        <w:jc w:val="left"/>
        <w:rPr>
          <w:rFonts w:eastAsia="Times New Roman"/>
          <w:b/>
          <w:iCs/>
          <w:noProof/>
          <w:szCs w:val="24"/>
        </w:rPr>
      </w:pPr>
    </w:p>
    <w:p w:rsidR="009A077E" w:rsidRDefault="006E3F75">
      <w:pPr>
        <w:pStyle w:val="ListParagraph"/>
        <w:ind w:left="750"/>
        <w:rPr>
          <w:rFonts w:ascii="Times New Roman" w:hAnsi="Times New Roman" w:cs="Times New Roman"/>
          <w:noProof/>
          <w:sz w:val="24"/>
          <w:szCs w:val="24"/>
          <w:highlight w:val="yellow"/>
        </w:rPr>
      </w:pPr>
      <w:r>
        <w:rPr>
          <w:rFonts w:ascii="Times New Roman" w:hAnsi="Times New Roman"/>
          <w:i/>
          <w:noProof/>
        </w:rPr>
        <w:t>Viite: 7 artiklan 2 kohdan a alakohta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9A077E">
        <w:trPr>
          <w:trHeight w:val="699"/>
        </w:trPr>
        <w:tc>
          <w:tcPr>
            <w:tcW w:w="9288" w:type="dxa"/>
          </w:tcPr>
          <w:p w:rsidR="009A077E" w:rsidRDefault="006E3F75">
            <w:pPr>
              <w:rPr>
                <w:i/>
                <w:noProof/>
              </w:rPr>
            </w:pPr>
            <w:r>
              <w:rPr>
                <w:i/>
                <w:noProof/>
              </w:rPr>
              <w:t xml:space="preserve">1.1. Luonnos odotetusta prosessista siirryttäessä ilmastoneutraaliin talouteen kansallisten energia- ja ilmastosuunnitelmien ja muiden olemassa olevien siirtymäsuunnitelmien tavoitteiden mukaisesti sekä aikataulusta, jonka mukaan toiminnot, kuten kivi- ja </w:t>
            </w:r>
            <w:r>
              <w:rPr>
                <w:i/>
                <w:noProof/>
              </w:rPr>
              <w:t xml:space="preserve">ruskohiilen louhinta tai hiiltä käyttävä energiantuotanto, lopetetaan tai niitä vähennetään asteittain </w:t>
            </w:r>
          </w:p>
        </w:tc>
      </w:tr>
    </w:tbl>
    <w:p w:rsidR="009A077E" w:rsidRDefault="009A077E">
      <w:pPr>
        <w:pStyle w:val="ListParagraph"/>
        <w:ind w:left="750"/>
        <w:rPr>
          <w:rFonts w:ascii="Times New Roman" w:hAnsi="Times New Roman" w:cs="Times New Roman"/>
          <w:noProof/>
          <w:sz w:val="24"/>
          <w:szCs w:val="24"/>
          <w:highlight w:val="yellow"/>
        </w:rPr>
      </w:pPr>
    </w:p>
    <w:p w:rsidR="009A077E" w:rsidRDefault="006E3F75">
      <w:pPr>
        <w:pStyle w:val="ListParagraph"/>
        <w:ind w:left="75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i/>
          <w:noProof/>
        </w:rPr>
        <w:t>Viite: 7 artiklan 2 kohdan b alakohta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9A077E">
        <w:trPr>
          <w:trHeight w:val="699"/>
        </w:trPr>
        <w:tc>
          <w:tcPr>
            <w:tcW w:w="9288" w:type="dxa"/>
          </w:tcPr>
          <w:p w:rsidR="009A077E" w:rsidRDefault="006E3F75">
            <w:pPr>
              <w:rPr>
                <w:i/>
                <w:noProof/>
              </w:rPr>
            </w:pPr>
            <w:r>
              <w:rPr>
                <w:i/>
                <w:noProof/>
              </w:rPr>
              <w:t xml:space="preserve">1.2. Yksilöidään alueet, joihin vaikutusten odotetaan kohdistuvan kielteisimmin, ja perustellaan tämä arvioilla </w:t>
            </w:r>
            <w:r>
              <w:rPr>
                <w:i/>
                <w:noProof/>
              </w:rPr>
              <w:t>taloudellisista ja työllisyysvaikutuksista 1.1 kohdassa esitetyn luonnoksen perusteella</w:t>
            </w:r>
          </w:p>
        </w:tc>
      </w:tr>
    </w:tbl>
    <w:p w:rsidR="009A077E" w:rsidRDefault="009A077E">
      <w:pPr>
        <w:pStyle w:val="ListParagraph"/>
        <w:ind w:left="750"/>
        <w:rPr>
          <w:noProof/>
          <w:szCs w:val="24"/>
        </w:rPr>
      </w:pPr>
    </w:p>
    <w:p w:rsidR="009A077E" w:rsidRDefault="006E3F75">
      <w:pPr>
        <w:numPr>
          <w:ilvl w:val="0"/>
          <w:numId w:val="1"/>
        </w:numPr>
        <w:spacing w:before="0" w:after="200" w:line="276" w:lineRule="auto"/>
        <w:jc w:val="left"/>
        <w:rPr>
          <w:rFonts w:eastAsia="Times New Roman"/>
          <w:b/>
          <w:noProof/>
          <w:szCs w:val="24"/>
        </w:rPr>
      </w:pPr>
      <w:r>
        <w:rPr>
          <w:b/>
          <w:noProof/>
        </w:rPr>
        <w:t>Siirtymään liittyvien haasteiden arviointi kunkin yksilöidyn alueen osalta</w:t>
      </w:r>
    </w:p>
    <w:p w:rsidR="009A077E" w:rsidRDefault="006E3F75">
      <w:pPr>
        <w:pStyle w:val="ListParagraph"/>
        <w:rPr>
          <w:rFonts w:ascii="Times New Roman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/>
          <w:noProof/>
        </w:rPr>
        <w:t>2.1. Ilmastoneutraaliin talouteen siirtymisestä aiheutuvien taloudellisten, yhteiskunnallis</w:t>
      </w:r>
      <w:r>
        <w:rPr>
          <w:rFonts w:ascii="Times New Roman" w:hAnsi="Times New Roman"/>
          <w:noProof/>
        </w:rPr>
        <w:t xml:space="preserve">ten ja alueellisten vaikutusten arviointi </w:t>
      </w:r>
    </w:p>
    <w:p w:rsidR="009A077E" w:rsidRDefault="009A077E">
      <w:pPr>
        <w:pStyle w:val="ListParagraph"/>
        <w:rPr>
          <w:rFonts w:ascii="Times New Roman" w:hAnsi="Times New Roman" w:cs="Times New Roman"/>
          <w:noProof/>
          <w:sz w:val="24"/>
          <w:szCs w:val="24"/>
          <w:highlight w:val="yellow"/>
        </w:rPr>
      </w:pPr>
    </w:p>
    <w:p w:rsidR="009A077E" w:rsidRDefault="006E3F75">
      <w:pPr>
        <w:pStyle w:val="ListParagraph"/>
        <w:rPr>
          <w:rFonts w:ascii="Times New Roman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/>
          <w:i/>
          <w:noProof/>
        </w:rPr>
        <w:t>Viite: 7 artiklan 2 kohdan c alakohta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9A077E">
        <w:trPr>
          <w:trHeight w:val="306"/>
        </w:trPr>
        <w:tc>
          <w:tcPr>
            <w:tcW w:w="9288" w:type="dxa"/>
          </w:tcPr>
          <w:p w:rsidR="009A077E" w:rsidRDefault="006E3F75">
            <w:pPr>
              <w:rPr>
                <w:i/>
                <w:noProof/>
              </w:rPr>
            </w:pPr>
            <w:r>
              <w:rPr>
                <w:i/>
                <w:noProof/>
              </w:rPr>
              <w:t>Tekstikenttä [12000]</w:t>
            </w:r>
          </w:p>
        </w:tc>
      </w:tr>
    </w:tbl>
    <w:p w:rsidR="009A077E" w:rsidRDefault="009A077E">
      <w:pPr>
        <w:pStyle w:val="ListParagraph"/>
        <w:rPr>
          <w:rFonts w:ascii="Times New Roman" w:hAnsi="Times New Roman" w:cs="Times New Roman"/>
          <w:noProof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9A077E">
        <w:trPr>
          <w:trHeight w:val="699"/>
        </w:trPr>
        <w:tc>
          <w:tcPr>
            <w:tcW w:w="9288" w:type="dxa"/>
          </w:tcPr>
          <w:p w:rsidR="009A077E" w:rsidRDefault="006E3F75">
            <w:pPr>
              <w:spacing w:after="0"/>
              <w:rPr>
                <w:i/>
                <w:noProof/>
                <w:szCs w:val="24"/>
              </w:rPr>
            </w:pPr>
            <w:r>
              <w:rPr>
                <w:i/>
                <w:noProof/>
              </w:rPr>
              <w:t>Yksilöidään taloudellinen toiminta ja toimialat, joihin vaikutus kohdistuu, ja erotetaan toisistaan</w:t>
            </w:r>
          </w:p>
          <w:p w:rsidR="009A077E" w:rsidRDefault="006E3F75">
            <w:pPr>
              <w:spacing w:after="0"/>
              <w:rPr>
                <w:i/>
                <w:noProof/>
                <w:szCs w:val="24"/>
              </w:rPr>
            </w:pPr>
            <w:r>
              <w:rPr>
                <w:i/>
                <w:noProof/>
              </w:rPr>
              <w:t xml:space="preserve">– taantuvat alat, joiden toiminnan odotetaan </w:t>
            </w:r>
            <w:r>
              <w:rPr>
                <w:i/>
                <w:noProof/>
              </w:rPr>
              <w:t>loppuvan tai vähenevän merkittävästi asteittain siirtymään liittyen; mukaan on liitettävä myös aikataulu</w:t>
            </w:r>
          </w:p>
          <w:p w:rsidR="009A077E" w:rsidRDefault="006E3F75">
            <w:pPr>
              <w:spacing w:after="0"/>
              <w:rPr>
                <w:i/>
                <w:noProof/>
                <w:szCs w:val="24"/>
              </w:rPr>
            </w:pPr>
            <w:r>
              <w:rPr>
                <w:i/>
                <w:noProof/>
              </w:rPr>
              <w:t>– murroksessa olevat alat, joiden odotetaan muuttavan toimintaansa, prosessejaan ja tuotostaan</w:t>
            </w:r>
          </w:p>
          <w:p w:rsidR="009A077E" w:rsidRDefault="006E3F75">
            <w:pPr>
              <w:spacing w:after="0"/>
              <w:rPr>
                <w:i/>
                <w:noProof/>
                <w:szCs w:val="24"/>
              </w:rPr>
            </w:pPr>
            <w:r>
              <w:rPr>
                <w:i/>
                <w:noProof/>
              </w:rPr>
              <w:t xml:space="preserve">Kummankin alan osalta seuraavat: </w:t>
            </w:r>
          </w:p>
          <w:p w:rsidR="009A077E" w:rsidRDefault="006E3F75">
            <w:pPr>
              <w:spacing w:after="0"/>
              <w:rPr>
                <w:i/>
                <w:noProof/>
                <w:szCs w:val="24"/>
              </w:rPr>
            </w:pPr>
            <w:r>
              <w:rPr>
                <w:i/>
                <w:noProof/>
              </w:rPr>
              <w:lastRenderedPageBreak/>
              <w:t>– odotetut työpaikan m</w:t>
            </w:r>
            <w:r>
              <w:rPr>
                <w:i/>
                <w:noProof/>
              </w:rPr>
              <w:t>enetykset ja uudelleenkoulutustarpeet, ottaen huomioon taitotarpeiden ennusteet</w:t>
            </w:r>
          </w:p>
          <w:p w:rsidR="009A077E" w:rsidRDefault="006E3F75">
            <w:pPr>
              <w:rPr>
                <w:noProof/>
                <w:szCs w:val="24"/>
              </w:rPr>
            </w:pPr>
            <w:r>
              <w:rPr>
                <w:i/>
                <w:noProof/>
              </w:rPr>
              <w:t>– talouden monipuolistamiseen liittyvä potentiaali ja kehitysmahdollisuudet</w:t>
            </w:r>
          </w:p>
        </w:tc>
      </w:tr>
    </w:tbl>
    <w:p w:rsidR="009A077E" w:rsidRDefault="009A077E">
      <w:pPr>
        <w:spacing w:before="0" w:after="200" w:line="276" w:lineRule="auto"/>
        <w:ind w:left="2880"/>
        <w:contextualSpacing/>
        <w:rPr>
          <w:rFonts w:eastAsia="Times New Roman" w:cstheme="minorBidi"/>
          <w:noProof/>
          <w:szCs w:val="24"/>
        </w:rPr>
      </w:pPr>
    </w:p>
    <w:p w:rsidR="009A077E" w:rsidRDefault="006E3F75">
      <w:pPr>
        <w:pStyle w:val="ListParagrap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2.2. Kehitystarpeet ja -tavoitteet vuoteen 2030 mennessä ottaen huomioon ilmastoneutraaliuden saav</w:t>
      </w:r>
      <w:r>
        <w:rPr>
          <w:rFonts w:ascii="Times New Roman" w:hAnsi="Times New Roman"/>
          <w:noProof/>
        </w:rPr>
        <w:t>uttaminen</w:t>
      </w:r>
    </w:p>
    <w:p w:rsidR="009A077E" w:rsidRDefault="009A077E">
      <w:pPr>
        <w:pStyle w:val="ListParagraph"/>
        <w:rPr>
          <w:rFonts w:ascii="Times New Roman" w:hAnsi="Times New Roman" w:cs="Times New Roman"/>
          <w:noProof/>
          <w:sz w:val="24"/>
          <w:szCs w:val="24"/>
        </w:rPr>
      </w:pPr>
    </w:p>
    <w:p w:rsidR="009A077E" w:rsidRDefault="006E3F75">
      <w:pPr>
        <w:pStyle w:val="ListParagraph"/>
        <w:rPr>
          <w:rFonts w:ascii="Times New Roman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/>
          <w:i/>
          <w:noProof/>
        </w:rPr>
        <w:t>Viite: 7 artiklan 2 kohdan d alakohta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9A077E">
        <w:trPr>
          <w:trHeight w:val="306"/>
        </w:trPr>
        <w:tc>
          <w:tcPr>
            <w:tcW w:w="9288" w:type="dxa"/>
          </w:tcPr>
          <w:p w:rsidR="009A077E" w:rsidRDefault="006E3F75">
            <w:pPr>
              <w:rPr>
                <w:i/>
                <w:noProof/>
              </w:rPr>
            </w:pPr>
            <w:r>
              <w:rPr>
                <w:i/>
                <w:noProof/>
              </w:rPr>
              <w:t>Tekstikenttä [6000]</w:t>
            </w:r>
          </w:p>
        </w:tc>
      </w:tr>
    </w:tbl>
    <w:p w:rsidR="009A077E" w:rsidRDefault="009A077E">
      <w:pPr>
        <w:pStyle w:val="ListParagraph"/>
        <w:rPr>
          <w:rFonts w:ascii="Times New Roman" w:hAnsi="Times New Roman" w:cs="Times New Roman"/>
          <w:noProof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9A077E">
        <w:trPr>
          <w:trHeight w:val="699"/>
        </w:trPr>
        <w:tc>
          <w:tcPr>
            <w:tcW w:w="9288" w:type="dxa"/>
          </w:tcPr>
          <w:p w:rsidR="009A077E" w:rsidRDefault="006E3F75">
            <w:pPr>
              <w:contextualSpacing/>
              <w:rPr>
                <w:rFonts w:eastAsia="Times New Roman"/>
                <w:i/>
                <w:noProof/>
                <w:szCs w:val="24"/>
              </w:rPr>
            </w:pPr>
            <w:r>
              <w:rPr>
                <w:noProof/>
              </w:rPr>
              <w:t xml:space="preserve">– </w:t>
            </w:r>
            <w:r>
              <w:rPr>
                <w:i/>
                <w:noProof/>
              </w:rPr>
              <w:t xml:space="preserve">Kehitystarpeet, jotta voidaan käsitellä siirtymähaasteita </w:t>
            </w:r>
          </w:p>
          <w:p w:rsidR="009A077E" w:rsidRDefault="006E3F75">
            <w:pPr>
              <w:contextualSpacing/>
              <w:rPr>
                <w:rFonts w:eastAsia="Times New Roman"/>
                <w:noProof/>
                <w:szCs w:val="24"/>
              </w:rPr>
            </w:pPr>
            <w:r>
              <w:rPr>
                <w:i/>
                <w:noProof/>
              </w:rPr>
              <w:t>– Tavoitteet ja tulokset, joita odotetaan JTF-toimintalinjan täytäntöönpanosta</w:t>
            </w:r>
            <w:r>
              <w:rPr>
                <w:noProof/>
              </w:rPr>
              <w:t xml:space="preserve"> </w:t>
            </w:r>
          </w:p>
        </w:tc>
      </w:tr>
    </w:tbl>
    <w:p w:rsidR="009A077E" w:rsidRDefault="009A077E">
      <w:pPr>
        <w:spacing w:before="0" w:after="200" w:line="276" w:lineRule="auto"/>
        <w:ind w:left="2160"/>
        <w:contextualSpacing/>
        <w:rPr>
          <w:rFonts w:eastAsia="Times New Roman" w:cstheme="minorBidi"/>
          <w:noProof/>
          <w:szCs w:val="24"/>
        </w:rPr>
      </w:pPr>
    </w:p>
    <w:p w:rsidR="009A077E" w:rsidRDefault="006E3F75">
      <w:pPr>
        <w:pStyle w:val="ListParagrap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 xml:space="preserve">2.3. Johdonmukaisuus muihin kansallisiin ja alueellisiin strategioihin ja suunnitelmiin nähden </w:t>
      </w:r>
    </w:p>
    <w:p w:rsidR="009A077E" w:rsidRDefault="009A077E">
      <w:pPr>
        <w:pStyle w:val="ListParagraph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9A077E" w:rsidRDefault="006E3F75">
      <w:pPr>
        <w:pStyle w:val="ListParagraph"/>
        <w:rPr>
          <w:rFonts w:ascii="Times New Roman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/>
          <w:i/>
          <w:noProof/>
        </w:rPr>
        <w:t>Viite: 7 artiklan 2 kohdan e alakohta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9A077E">
        <w:trPr>
          <w:trHeight w:val="306"/>
        </w:trPr>
        <w:tc>
          <w:tcPr>
            <w:tcW w:w="9288" w:type="dxa"/>
          </w:tcPr>
          <w:p w:rsidR="009A077E" w:rsidRDefault="006E3F75">
            <w:pPr>
              <w:rPr>
                <w:i/>
                <w:noProof/>
              </w:rPr>
            </w:pPr>
            <w:r>
              <w:rPr>
                <w:i/>
                <w:noProof/>
              </w:rPr>
              <w:t>Tekstikenttä [6000]</w:t>
            </w:r>
          </w:p>
        </w:tc>
      </w:tr>
    </w:tbl>
    <w:p w:rsidR="009A077E" w:rsidRDefault="009A077E">
      <w:pPr>
        <w:spacing w:before="0" w:after="200" w:line="276" w:lineRule="auto"/>
        <w:ind w:left="2160"/>
        <w:contextualSpacing/>
        <w:rPr>
          <w:rFonts w:eastAsia="Times New Roman" w:cstheme="minorBidi"/>
          <w:noProof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9A077E">
        <w:trPr>
          <w:trHeight w:val="1125"/>
        </w:trPr>
        <w:tc>
          <w:tcPr>
            <w:tcW w:w="9288" w:type="dxa"/>
          </w:tcPr>
          <w:p w:rsidR="009A077E" w:rsidRDefault="006E3F75">
            <w:pPr>
              <w:contextualSpacing/>
              <w:rPr>
                <w:rFonts w:eastAsia="Times New Roman"/>
                <w:i/>
                <w:noProof/>
                <w:szCs w:val="24"/>
              </w:rPr>
            </w:pPr>
            <w:r>
              <w:rPr>
                <w:noProof/>
              </w:rPr>
              <w:t xml:space="preserve">– </w:t>
            </w:r>
            <w:r>
              <w:rPr>
                <w:i/>
                <w:noProof/>
              </w:rPr>
              <w:t>Älykkään erikoistumisen strategiat</w:t>
            </w:r>
          </w:p>
          <w:p w:rsidR="009A077E" w:rsidRDefault="006E3F75">
            <w:pPr>
              <w:contextualSpacing/>
              <w:rPr>
                <w:rFonts w:eastAsia="Times New Roman"/>
                <w:i/>
                <w:noProof/>
                <w:szCs w:val="24"/>
              </w:rPr>
            </w:pPr>
            <w:r>
              <w:rPr>
                <w:i/>
                <w:noProof/>
              </w:rPr>
              <w:t>– Asetuksen (EU) [uusi yhteisiä säännöksiä koskeva asetus] [23</w:t>
            </w:r>
            <w:r>
              <w:rPr>
                <w:i/>
                <w:noProof/>
              </w:rPr>
              <w:t xml:space="preserve">] artiklassa tarkoitetut alueelliset strategiat </w:t>
            </w:r>
          </w:p>
          <w:p w:rsidR="009A077E" w:rsidRDefault="006E3F75">
            <w:pPr>
              <w:contextualSpacing/>
              <w:rPr>
                <w:rFonts w:eastAsia="Times New Roman"/>
                <w:b/>
                <w:noProof/>
                <w:szCs w:val="24"/>
              </w:rPr>
            </w:pPr>
            <w:r>
              <w:rPr>
                <w:i/>
                <w:noProof/>
              </w:rPr>
              <w:t>– Muut alueelliset tai kansalliset kehityssuunnitelmat</w:t>
            </w:r>
            <w:r>
              <w:rPr>
                <w:b/>
                <w:noProof/>
              </w:rPr>
              <w:t xml:space="preserve"> </w:t>
            </w:r>
          </w:p>
        </w:tc>
      </w:tr>
    </w:tbl>
    <w:p w:rsidR="009A077E" w:rsidRDefault="009A077E">
      <w:pPr>
        <w:spacing w:before="0" w:after="200" w:line="276" w:lineRule="auto"/>
        <w:ind w:left="2160"/>
        <w:contextualSpacing/>
        <w:rPr>
          <w:rFonts w:eastAsia="Times New Roman" w:cstheme="minorBidi"/>
          <w:noProof/>
          <w:szCs w:val="24"/>
        </w:rPr>
      </w:pPr>
    </w:p>
    <w:p w:rsidR="009A077E" w:rsidRDefault="006E3F75">
      <w:pPr>
        <w:pStyle w:val="ListParagraph"/>
        <w:rPr>
          <w:rFonts w:ascii="Times New Roman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/>
          <w:noProof/>
        </w:rPr>
        <w:t>2.4. Suunnitellut toimintatyypit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9A077E">
        <w:trPr>
          <w:trHeight w:val="306"/>
        </w:trPr>
        <w:tc>
          <w:tcPr>
            <w:tcW w:w="9288" w:type="dxa"/>
          </w:tcPr>
          <w:p w:rsidR="009A077E" w:rsidRDefault="006E3F75">
            <w:pPr>
              <w:rPr>
                <w:i/>
                <w:noProof/>
              </w:rPr>
            </w:pPr>
            <w:r>
              <w:rPr>
                <w:i/>
                <w:noProof/>
              </w:rPr>
              <w:t>Tekstikenttä [12000]</w:t>
            </w:r>
          </w:p>
        </w:tc>
      </w:tr>
    </w:tbl>
    <w:p w:rsidR="009A077E" w:rsidRDefault="009A077E">
      <w:pPr>
        <w:pStyle w:val="ListParagraph"/>
        <w:rPr>
          <w:rFonts w:ascii="Times New Roman" w:hAnsi="Times New Roman" w:cs="Times New Roman"/>
          <w:noProof/>
          <w:sz w:val="24"/>
          <w:szCs w:val="24"/>
        </w:rPr>
      </w:pPr>
    </w:p>
    <w:p w:rsidR="009A077E" w:rsidRDefault="006E3F75">
      <w:pPr>
        <w:pStyle w:val="ListParagrap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i/>
          <w:noProof/>
        </w:rPr>
        <w:t>Viite: 7 artiklan 2 kohdan g alakohta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9A077E">
        <w:tc>
          <w:tcPr>
            <w:tcW w:w="9288" w:type="dxa"/>
          </w:tcPr>
          <w:p w:rsidR="009A077E" w:rsidRDefault="006E3F75">
            <w:pPr>
              <w:rPr>
                <w:i/>
                <w:noProof/>
                <w:szCs w:val="24"/>
              </w:rPr>
            </w:pPr>
            <w:r>
              <w:rPr>
                <w:i/>
                <w:noProof/>
              </w:rPr>
              <w:t xml:space="preserve">– Suunnitellut toimintatyypit ja niiden odotettu panos ilmastosiirtymän vaikutuksen lieventämiseen </w:t>
            </w:r>
          </w:p>
        </w:tc>
      </w:tr>
    </w:tbl>
    <w:p w:rsidR="009A077E" w:rsidRDefault="009A077E">
      <w:pPr>
        <w:pStyle w:val="ListParagraph"/>
        <w:rPr>
          <w:rFonts w:eastAsia="Times New Roman"/>
          <w:i/>
          <w:noProof/>
          <w:szCs w:val="24"/>
          <w:highlight w:val="yellow"/>
        </w:rPr>
      </w:pPr>
    </w:p>
    <w:p w:rsidR="009A077E" w:rsidRDefault="006E3F75">
      <w:pPr>
        <w:pStyle w:val="ListParagraph"/>
        <w:rPr>
          <w:rFonts w:ascii="Times New Roman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/>
          <w:i/>
          <w:noProof/>
        </w:rPr>
        <w:t>Viite: 7 artiklan 2 kohdan h alakohta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9A077E">
        <w:tc>
          <w:tcPr>
            <w:tcW w:w="9288" w:type="dxa"/>
          </w:tcPr>
          <w:p w:rsidR="009A077E" w:rsidRDefault="006E3F75">
            <w:pPr>
              <w:rPr>
                <w:rFonts w:eastAsia="Times New Roman"/>
                <w:i/>
                <w:noProof/>
                <w:szCs w:val="24"/>
              </w:rPr>
            </w:pPr>
            <w:r>
              <w:rPr>
                <w:i/>
                <w:noProof/>
              </w:rPr>
              <w:t>Täytetään vain, jos tukea myönnetään muihin yrityksiin kuin pk-yrityksiin tehtäviin tuotannollisiin investointeihin:</w:t>
            </w:r>
            <w:r>
              <w:rPr>
                <w:i/>
                <w:noProof/>
              </w:rPr>
              <w:t xml:space="preserve"> </w:t>
            </w:r>
          </w:p>
          <w:p w:rsidR="009A077E" w:rsidRDefault="006E3F75">
            <w:pPr>
              <w:rPr>
                <w:noProof/>
                <w:szCs w:val="24"/>
              </w:rPr>
            </w:pPr>
            <w:r>
              <w:rPr>
                <w:i/>
                <w:noProof/>
              </w:rPr>
              <w:t xml:space="preserve">– kattava luettelo tällaisista toimista ja yrityksistä sekä kunkin osalta perustelu tällaisen tuen tarpeellisuudesta puuteanalyysillä, jossa osoitetaan, että jos investointia ei tehdä, odotettu </w:t>
            </w:r>
            <w:r>
              <w:rPr>
                <w:i/>
                <w:noProof/>
              </w:rPr>
              <w:lastRenderedPageBreak/>
              <w:t xml:space="preserve">työpaikkojen menetysten määrä ylittäisi odotetun uusien </w:t>
            </w:r>
            <w:r>
              <w:rPr>
                <w:i/>
                <w:noProof/>
              </w:rPr>
              <w:t>työpaikkojen määrän</w:t>
            </w:r>
          </w:p>
        </w:tc>
      </w:tr>
    </w:tbl>
    <w:p w:rsidR="009A077E" w:rsidRDefault="009A077E">
      <w:pPr>
        <w:spacing w:before="0" w:after="200" w:line="276" w:lineRule="auto"/>
        <w:ind w:left="1800"/>
        <w:contextualSpacing/>
        <w:rPr>
          <w:i/>
          <w:noProof/>
          <w:highlight w:val="yellow"/>
        </w:rPr>
      </w:pPr>
    </w:p>
    <w:p w:rsidR="009A077E" w:rsidRDefault="009A077E">
      <w:pPr>
        <w:spacing w:before="0" w:after="200" w:line="276" w:lineRule="auto"/>
        <w:ind w:left="1800"/>
        <w:contextualSpacing/>
        <w:rPr>
          <w:i/>
          <w:noProof/>
          <w:highlight w:val="yellow"/>
        </w:rPr>
      </w:pPr>
    </w:p>
    <w:p w:rsidR="009A077E" w:rsidRDefault="006E3F75">
      <w:pPr>
        <w:spacing w:before="0" w:after="200" w:line="360" w:lineRule="auto"/>
        <w:ind w:firstLine="720"/>
        <w:contextualSpacing/>
        <w:rPr>
          <w:noProof/>
        </w:rPr>
      </w:pPr>
      <w:r>
        <w:rPr>
          <w:i/>
          <w:noProof/>
        </w:rPr>
        <w:t>Viite: 7 artiklan 2 kohdan i alakohta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9A077E">
        <w:tc>
          <w:tcPr>
            <w:tcW w:w="9288" w:type="dxa"/>
          </w:tcPr>
          <w:p w:rsidR="009A077E" w:rsidRDefault="006E3F75">
            <w:pPr>
              <w:rPr>
                <w:i/>
                <w:noProof/>
                <w:szCs w:val="24"/>
              </w:rPr>
            </w:pPr>
            <w:r>
              <w:rPr>
                <w:i/>
                <w:noProof/>
              </w:rPr>
              <w:t xml:space="preserve">Täytetään vain, jos tukea myönnetään investointeihin, joilla pyritään vähentämään direktiivin 2003/87/EY liitteessä I luetellusta toiminnasta syntyviä kasvihuonekaasupäästöjä: </w:t>
            </w:r>
          </w:p>
          <w:p w:rsidR="009A077E" w:rsidRDefault="006E3F75">
            <w:pPr>
              <w:rPr>
                <w:noProof/>
                <w:szCs w:val="24"/>
              </w:rPr>
            </w:pPr>
            <w:r>
              <w:rPr>
                <w:i/>
                <w:noProof/>
              </w:rPr>
              <w:t>– kattava luettelo tuettavasta toiminnasta ja perustelut, jotka osoittavat, että toiminta johtaa kasvihuonekaasupäästöjen merkittävään vähenemiseen siten, että päästöt alittavat merkittävästi direktiivin 2003/87/EY mukaiset ilmaisjaon laskemiseen käytettäv</w:t>
            </w:r>
            <w:r>
              <w:rPr>
                <w:i/>
                <w:noProof/>
              </w:rPr>
              <w:t xml:space="preserve">ät vertailuarvot, ja että toiminta on tarpeen, jotta voidaan suojella merkittävä määrä työpaikkoja </w:t>
            </w:r>
          </w:p>
        </w:tc>
      </w:tr>
    </w:tbl>
    <w:p w:rsidR="009A077E" w:rsidRDefault="009A077E">
      <w:pPr>
        <w:spacing w:before="0" w:after="200" w:line="276" w:lineRule="auto"/>
        <w:ind w:left="1800"/>
        <w:contextualSpacing/>
        <w:rPr>
          <w:noProof/>
          <w:highlight w:val="yellow"/>
        </w:rPr>
      </w:pPr>
    </w:p>
    <w:p w:rsidR="009A077E" w:rsidRDefault="009A077E">
      <w:pPr>
        <w:spacing w:before="0" w:after="200" w:line="276" w:lineRule="auto"/>
        <w:ind w:left="1800"/>
        <w:contextualSpacing/>
        <w:rPr>
          <w:noProof/>
          <w:highlight w:val="yellow"/>
        </w:rPr>
      </w:pPr>
    </w:p>
    <w:p w:rsidR="009A077E" w:rsidRDefault="006E3F75">
      <w:pPr>
        <w:spacing w:before="0" w:after="200" w:line="360" w:lineRule="auto"/>
        <w:ind w:firstLine="720"/>
        <w:contextualSpacing/>
        <w:rPr>
          <w:noProof/>
        </w:rPr>
      </w:pPr>
      <w:r>
        <w:rPr>
          <w:i/>
          <w:noProof/>
        </w:rPr>
        <w:t>Viite: 7 artiklan 2 kohdan j alakohta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9A077E">
        <w:tc>
          <w:tcPr>
            <w:tcW w:w="9288" w:type="dxa"/>
          </w:tcPr>
          <w:p w:rsidR="009A077E" w:rsidRDefault="006E3F75">
            <w:pPr>
              <w:rPr>
                <w:i/>
                <w:noProof/>
                <w:szCs w:val="24"/>
              </w:rPr>
            </w:pPr>
            <w:r>
              <w:rPr>
                <w:i/>
                <w:noProof/>
              </w:rPr>
              <w:t>– Suunniteltujen toimien synergia ja täydentävyys muiden Investoinnit työpaikkoihin ja kasvuun -tavoitteeseen kuulu</w:t>
            </w:r>
            <w:r>
              <w:rPr>
                <w:i/>
                <w:noProof/>
              </w:rPr>
              <w:t>vien unionin ohjelmien (siirtymäprosessin tukeminen), muiden rahoitusvälineiden (unionin päästökauppajärjestelmän modernisaatiorahasto) ja muiden oikeudenmukaisen siirtymän mekanismin pilareiden (erityisjärjestely InvestEU-ohjelman puitteissa ja EIP:n kans</w:t>
            </w:r>
            <w:r>
              <w:rPr>
                <w:i/>
                <w:noProof/>
              </w:rPr>
              <w:t>sa toteutettava julkisen sektorin lainajärjestely) kanssa yksilöityjen investointitarpeiden käsittelemiseksi</w:t>
            </w:r>
          </w:p>
        </w:tc>
      </w:tr>
    </w:tbl>
    <w:p w:rsidR="009A077E" w:rsidRDefault="009A077E">
      <w:pPr>
        <w:spacing w:before="0" w:after="200" w:line="276" w:lineRule="auto"/>
        <w:ind w:left="1800"/>
        <w:contextualSpacing/>
        <w:rPr>
          <w:rFonts w:eastAsia="Times New Roman" w:cstheme="minorBidi"/>
          <w:noProof/>
          <w:szCs w:val="24"/>
          <w:highlight w:val="yellow"/>
        </w:rPr>
      </w:pPr>
    </w:p>
    <w:p w:rsidR="009A077E" w:rsidRDefault="006E3F75">
      <w:pPr>
        <w:pStyle w:val="ListParagrap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2.5. Ohjelmakohtaiset tuotos- tai tulosindikaattorit</w:t>
      </w:r>
    </w:p>
    <w:p w:rsidR="009A077E" w:rsidRDefault="006E3F75">
      <w:pPr>
        <w:spacing w:before="0" w:after="200" w:line="276" w:lineRule="auto"/>
        <w:ind w:firstLine="720"/>
        <w:contextualSpacing/>
        <w:rPr>
          <w:rFonts w:eastAsia="Times New Roman" w:cstheme="minorBidi"/>
          <w:noProof/>
          <w:szCs w:val="24"/>
        </w:rPr>
      </w:pPr>
      <w:r>
        <w:rPr>
          <w:i/>
          <w:noProof/>
        </w:rPr>
        <w:t>Viite: 8 artiklan 1 kohta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9A077E">
        <w:tc>
          <w:tcPr>
            <w:tcW w:w="9288" w:type="dxa"/>
          </w:tcPr>
          <w:p w:rsidR="009A077E" w:rsidRDefault="006E3F75">
            <w:pPr>
              <w:rPr>
                <w:rFonts w:eastAsia="Times New Roman"/>
                <w:i/>
                <w:noProof/>
                <w:szCs w:val="24"/>
              </w:rPr>
            </w:pPr>
            <w:r>
              <w:rPr>
                <w:i/>
                <w:noProof/>
              </w:rPr>
              <w:t>Täytetään vain, jos tarkoitus on vahvistaa ohjelmakohtaisia indika</w:t>
            </w:r>
            <w:r>
              <w:rPr>
                <w:i/>
                <w:noProof/>
              </w:rPr>
              <w:t>attoreita:</w:t>
            </w:r>
          </w:p>
          <w:p w:rsidR="009A077E" w:rsidRDefault="006E3F75">
            <w:pPr>
              <w:rPr>
                <w:i/>
                <w:noProof/>
                <w:szCs w:val="24"/>
              </w:rPr>
            </w:pPr>
            <w:r>
              <w:rPr>
                <w:i/>
                <w:noProof/>
              </w:rPr>
              <w:t xml:space="preserve">– perustellaan ohjelmakohtaisten tuotos- tai tulosindikaattoreiden tarve suunniteltujen toimintatyyppien perusteella </w:t>
            </w:r>
          </w:p>
        </w:tc>
      </w:tr>
    </w:tbl>
    <w:p w:rsidR="009A077E" w:rsidRDefault="009A077E">
      <w:pPr>
        <w:spacing w:before="0" w:after="200" w:line="276" w:lineRule="auto"/>
        <w:ind w:left="1800"/>
        <w:contextualSpacing/>
        <w:rPr>
          <w:rFonts w:eastAsia="Times New Roman" w:cstheme="minorBidi"/>
          <w:noProof/>
          <w:szCs w:val="24"/>
          <w:highlight w:val="yellow"/>
        </w:rPr>
      </w:pPr>
    </w:p>
    <w:tbl>
      <w:tblPr>
        <w:tblStyle w:val="TableGrid"/>
        <w:tblW w:w="0" w:type="auto"/>
        <w:tblInd w:w="-459" w:type="dxa"/>
        <w:tblLook w:val="04A0" w:firstRow="1" w:lastRow="0" w:firstColumn="1" w:lastColumn="0" w:noHBand="0" w:noVBand="1"/>
      </w:tblPr>
      <w:tblGrid>
        <w:gridCol w:w="2389"/>
        <w:gridCol w:w="807"/>
        <w:gridCol w:w="1958"/>
        <w:gridCol w:w="1538"/>
        <w:gridCol w:w="1532"/>
        <w:gridCol w:w="1524"/>
      </w:tblGrid>
      <w:tr w:rsidR="009A077E">
        <w:tc>
          <w:tcPr>
            <w:tcW w:w="9748" w:type="dxa"/>
            <w:gridSpan w:val="6"/>
          </w:tcPr>
          <w:p w:rsidR="009A077E" w:rsidRDefault="006E3F75">
            <w:pPr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Taulukko 1. Tuotosindikaattorit</w:t>
            </w:r>
          </w:p>
        </w:tc>
      </w:tr>
      <w:tr w:rsidR="009A077E">
        <w:trPr>
          <w:trHeight w:val="699"/>
        </w:trPr>
        <w:tc>
          <w:tcPr>
            <w:tcW w:w="2389" w:type="dxa"/>
          </w:tcPr>
          <w:p w:rsidR="009A077E" w:rsidRDefault="006E3F75">
            <w:pPr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Erityistavoite</w:t>
            </w:r>
          </w:p>
        </w:tc>
        <w:tc>
          <w:tcPr>
            <w:tcW w:w="807" w:type="dxa"/>
          </w:tcPr>
          <w:p w:rsidR="009A077E" w:rsidRDefault="006E3F75">
            <w:pPr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Tunnus [5]</w:t>
            </w:r>
          </w:p>
        </w:tc>
        <w:tc>
          <w:tcPr>
            <w:tcW w:w="1958" w:type="dxa"/>
          </w:tcPr>
          <w:p w:rsidR="009A077E" w:rsidRDefault="006E3F75">
            <w:pPr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Indikaattori [255]</w:t>
            </w:r>
          </w:p>
        </w:tc>
        <w:tc>
          <w:tcPr>
            <w:tcW w:w="1538" w:type="dxa"/>
          </w:tcPr>
          <w:p w:rsidR="009A077E" w:rsidRDefault="006E3F75">
            <w:pPr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Mittayksikkö</w:t>
            </w:r>
          </w:p>
        </w:tc>
        <w:tc>
          <w:tcPr>
            <w:tcW w:w="1532" w:type="dxa"/>
          </w:tcPr>
          <w:p w:rsidR="009A077E" w:rsidRDefault="006E3F75">
            <w:pPr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Välitavoite (2024)</w:t>
            </w:r>
          </w:p>
        </w:tc>
        <w:tc>
          <w:tcPr>
            <w:tcW w:w="1524" w:type="dxa"/>
          </w:tcPr>
          <w:p w:rsidR="009A077E" w:rsidRDefault="006E3F75">
            <w:pPr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Tavoite (2029)</w:t>
            </w:r>
          </w:p>
        </w:tc>
      </w:tr>
      <w:tr w:rsidR="009A077E">
        <w:tc>
          <w:tcPr>
            <w:tcW w:w="2389" w:type="dxa"/>
          </w:tcPr>
          <w:p w:rsidR="009A077E" w:rsidRDefault="009A077E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807" w:type="dxa"/>
          </w:tcPr>
          <w:p w:rsidR="009A077E" w:rsidRDefault="009A077E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1958" w:type="dxa"/>
          </w:tcPr>
          <w:p w:rsidR="009A077E" w:rsidRDefault="009A077E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1538" w:type="dxa"/>
          </w:tcPr>
          <w:p w:rsidR="009A077E" w:rsidRDefault="009A077E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1532" w:type="dxa"/>
          </w:tcPr>
          <w:p w:rsidR="009A077E" w:rsidRDefault="009A077E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1524" w:type="dxa"/>
          </w:tcPr>
          <w:p w:rsidR="009A077E" w:rsidRDefault="009A077E">
            <w:pPr>
              <w:rPr>
                <w:noProof/>
                <w:sz w:val="18"/>
                <w:szCs w:val="18"/>
              </w:rPr>
            </w:pPr>
          </w:p>
        </w:tc>
      </w:tr>
    </w:tbl>
    <w:p w:rsidR="009A077E" w:rsidRDefault="009A077E">
      <w:pPr>
        <w:spacing w:before="0" w:after="200" w:line="276" w:lineRule="auto"/>
        <w:ind w:left="1800"/>
        <w:contextualSpacing/>
        <w:rPr>
          <w:rFonts w:eastAsia="Times New Roman" w:cstheme="minorBidi"/>
          <w:noProof/>
          <w:szCs w:val="24"/>
          <w:highlight w:val="yellow"/>
        </w:rPr>
      </w:pPr>
    </w:p>
    <w:tbl>
      <w:tblPr>
        <w:tblStyle w:val="TableGrid"/>
        <w:tblW w:w="0" w:type="auto"/>
        <w:tblInd w:w="-459" w:type="dxa"/>
        <w:tblLook w:val="04A0" w:firstRow="1" w:lastRow="0" w:firstColumn="1" w:lastColumn="0" w:noHBand="0" w:noVBand="1"/>
      </w:tblPr>
      <w:tblGrid>
        <w:gridCol w:w="1394"/>
        <w:gridCol w:w="807"/>
        <w:gridCol w:w="1157"/>
        <w:gridCol w:w="1247"/>
        <w:gridCol w:w="966"/>
        <w:gridCol w:w="987"/>
        <w:gridCol w:w="796"/>
        <w:gridCol w:w="1037"/>
        <w:gridCol w:w="1357"/>
      </w:tblGrid>
      <w:tr w:rsidR="009A077E">
        <w:tc>
          <w:tcPr>
            <w:tcW w:w="9748" w:type="dxa"/>
            <w:gridSpan w:val="9"/>
          </w:tcPr>
          <w:p w:rsidR="009A077E" w:rsidRDefault="006E3F75">
            <w:pPr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Taulukko 2. Tulosindikaattorit</w:t>
            </w:r>
          </w:p>
        </w:tc>
      </w:tr>
      <w:tr w:rsidR="009A077E">
        <w:trPr>
          <w:trHeight w:val="699"/>
        </w:trPr>
        <w:tc>
          <w:tcPr>
            <w:tcW w:w="1396" w:type="dxa"/>
          </w:tcPr>
          <w:p w:rsidR="009A077E" w:rsidRDefault="006E3F75">
            <w:pPr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Erityistavoite</w:t>
            </w:r>
          </w:p>
        </w:tc>
        <w:tc>
          <w:tcPr>
            <w:tcW w:w="806" w:type="dxa"/>
          </w:tcPr>
          <w:p w:rsidR="009A077E" w:rsidRDefault="006E3F75">
            <w:pPr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Tunnus [5]</w:t>
            </w:r>
          </w:p>
        </w:tc>
        <w:tc>
          <w:tcPr>
            <w:tcW w:w="1156" w:type="dxa"/>
          </w:tcPr>
          <w:p w:rsidR="009A077E" w:rsidRDefault="006E3F75">
            <w:pPr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Indikaattori [255]</w:t>
            </w:r>
          </w:p>
        </w:tc>
        <w:tc>
          <w:tcPr>
            <w:tcW w:w="1247" w:type="dxa"/>
          </w:tcPr>
          <w:p w:rsidR="009A077E" w:rsidRDefault="006E3F75">
            <w:pPr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Mittayksikkö</w:t>
            </w:r>
          </w:p>
        </w:tc>
        <w:tc>
          <w:tcPr>
            <w:tcW w:w="966" w:type="dxa"/>
          </w:tcPr>
          <w:p w:rsidR="009A077E" w:rsidRDefault="006E3F75">
            <w:pPr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Perustaso tai viitearvo</w:t>
            </w:r>
          </w:p>
        </w:tc>
        <w:tc>
          <w:tcPr>
            <w:tcW w:w="987" w:type="dxa"/>
          </w:tcPr>
          <w:p w:rsidR="009A077E" w:rsidRDefault="006E3F75">
            <w:pPr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Viitevuosi</w:t>
            </w:r>
          </w:p>
        </w:tc>
        <w:tc>
          <w:tcPr>
            <w:tcW w:w="796" w:type="dxa"/>
          </w:tcPr>
          <w:p w:rsidR="009A077E" w:rsidRDefault="006E3F75">
            <w:pPr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Tavoite (2029)</w:t>
            </w:r>
          </w:p>
        </w:tc>
        <w:tc>
          <w:tcPr>
            <w:tcW w:w="1037" w:type="dxa"/>
          </w:tcPr>
          <w:p w:rsidR="009A077E" w:rsidRDefault="006E3F75">
            <w:pPr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Tietolähde [200]</w:t>
            </w:r>
          </w:p>
        </w:tc>
        <w:tc>
          <w:tcPr>
            <w:tcW w:w="1357" w:type="dxa"/>
          </w:tcPr>
          <w:p w:rsidR="009A077E" w:rsidRDefault="006E3F75">
            <w:pPr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Huomautukset [200]</w:t>
            </w:r>
          </w:p>
        </w:tc>
      </w:tr>
      <w:tr w:rsidR="009A077E">
        <w:tc>
          <w:tcPr>
            <w:tcW w:w="1396" w:type="dxa"/>
          </w:tcPr>
          <w:p w:rsidR="009A077E" w:rsidRDefault="009A077E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806" w:type="dxa"/>
          </w:tcPr>
          <w:p w:rsidR="009A077E" w:rsidRDefault="009A077E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1156" w:type="dxa"/>
          </w:tcPr>
          <w:p w:rsidR="009A077E" w:rsidRDefault="009A077E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1247" w:type="dxa"/>
          </w:tcPr>
          <w:p w:rsidR="009A077E" w:rsidRDefault="009A077E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966" w:type="dxa"/>
          </w:tcPr>
          <w:p w:rsidR="009A077E" w:rsidRDefault="009A077E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987" w:type="dxa"/>
          </w:tcPr>
          <w:p w:rsidR="009A077E" w:rsidRDefault="009A077E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796" w:type="dxa"/>
          </w:tcPr>
          <w:p w:rsidR="009A077E" w:rsidRDefault="009A077E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1037" w:type="dxa"/>
          </w:tcPr>
          <w:p w:rsidR="009A077E" w:rsidRDefault="009A077E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1357" w:type="dxa"/>
          </w:tcPr>
          <w:p w:rsidR="009A077E" w:rsidRDefault="009A077E">
            <w:pPr>
              <w:rPr>
                <w:noProof/>
                <w:sz w:val="18"/>
                <w:szCs w:val="18"/>
              </w:rPr>
            </w:pPr>
          </w:p>
        </w:tc>
      </w:tr>
    </w:tbl>
    <w:p w:rsidR="009A077E" w:rsidRDefault="009A077E">
      <w:pPr>
        <w:spacing w:before="0" w:after="200" w:line="276" w:lineRule="auto"/>
        <w:ind w:left="1800"/>
        <w:contextualSpacing/>
        <w:rPr>
          <w:rFonts w:eastAsia="Times New Roman" w:cstheme="minorBidi"/>
          <w:noProof/>
          <w:szCs w:val="24"/>
          <w:highlight w:val="yellow"/>
        </w:rPr>
      </w:pPr>
    </w:p>
    <w:p w:rsidR="009A077E" w:rsidRDefault="009A077E">
      <w:pPr>
        <w:spacing w:before="0" w:after="200" w:line="276" w:lineRule="auto"/>
        <w:ind w:left="1800"/>
        <w:contextualSpacing/>
        <w:rPr>
          <w:rFonts w:eastAsia="Times New Roman" w:cstheme="minorBidi"/>
          <w:i/>
          <w:noProof/>
          <w:szCs w:val="24"/>
          <w:highlight w:val="yellow"/>
        </w:rPr>
      </w:pPr>
    </w:p>
    <w:p w:rsidR="009A077E" w:rsidRDefault="006E3F75">
      <w:pPr>
        <w:numPr>
          <w:ilvl w:val="0"/>
          <w:numId w:val="1"/>
        </w:numPr>
        <w:spacing w:before="0" w:after="200" w:line="276" w:lineRule="auto"/>
        <w:jc w:val="left"/>
        <w:rPr>
          <w:rFonts w:eastAsia="Times New Roman"/>
          <w:b/>
          <w:i/>
          <w:noProof/>
          <w:szCs w:val="24"/>
        </w:rPr>
      </w:pPr>
      <w:r>
        <w:rPr>
          <w:b/>
          <w:noProof/>
        </w:rPr>
        <w:t xml:space="preserve">Hallintojärjestely </w:t>
      </w:r>
    </w:p>
    <w:p w:rsidR="009A077E" w:rsidRDefault="006E3F75">
      <w:pPr>
        <w:spacing w:before="0" w:after="200" w:line="276" w:lineRule="auto"/>
        <w:ind w:left="502"/>
        <w:jc w:val="left"/>
        <w:rPr>
          <w:rFonts w:eastAsia="Times New Roman"/>
          <w:i/>
          <w:noProof/>
          <w:szCs w:val="24"/>
        </w:rPr>
      </w:pPr>
      <w:r>
        <w:rPr>
          <w:i/>
          <w:noProof/>
        </w:rPr>
        <w:t>Viite: 7 artiklan 2 kohdan f alakohta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9A077E">
        <w:trPr>
          <w:trHeight w:val="306"/>
        </w:trPr>
        <w:tc>
          <w:tcPr>
            <w:tcW w:w="9288" w:type="dxa"/>
          </w:tcPr>
          <w:p w:rsidR="009A077E" w:rsidRDefault="006E3F75">
            <w:pPr>
              <w:rPr>
                <w:i/>
                <w:noProof/>
              </w:rPr>
            </w:pPr>
            <w:r>
              <w:rPr>
                <w:i/>
                <w:noProof/>
              </w:rPr>
              <w:lastRenderedPageBreak/>
              <w:t>Tekstikenttä [5000]</w:t>
            </w:r>
          </w:p>
        </w:tc>
      </w:tr>
    </w:tbl>
    <w:p w:rsidR="009A077E" w:rsidRDefault="009A077E">
      <w:pPr>
        <w:spacing w:before="0" w:after="200" w:line="276" w:lineRule="auto"/>
        <w:ind w:left="502"/>
        <w:jc w:val="left"/>
        <w:rPr>
          <w:rFonts w:eastAsia="Times New Roman"/>
          <w:b/>
          <w:i/>
          <w:noProof/>
          <w:szCs w:val="24"/>
        </w:rPr>
      </w:pPr>
    </w:p>
    <w:p w:rsidR="009A077E" w:rsidRDefault="009A077E">
      <w:pPr>
        <w:spacing w:before="0" w:after="200" w:line="276" w:lineRule="auto"/>
        <w:ind w:left="502"/>
        <w:jc w:val="left"/>
        <w:rPr>
          <w:rFonts w:eastAsia="Times New Roman"/>
          <w:b/>
          <w:i/>
          <w:noProof/>
          <w:szCs w:val="24"/>
        </w:rPr>
      </w:pPr>
    </w:p>
    <w:p w:rsidR="009A077E" w:rsidRDefault="006E3F75">
      <w:pPr>
        <w:pStyle w:val="ListParagraph"/>
        <w:rPr>
          <w:rFonts w:ascii="Times New Roman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/>
          <w:i/>
          <w:noProof/>
        </w:rPr>
        <w:t>3.1. Kumppanuus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9A077E">
        <w:tc>
          <w:tcPr>
            <w:tcW w:w="9288" w:type="dxa"/>
          </w:tcPr>
          <w:p w:rsidR="009A077E" w:rsidRDefault="006E3F75">
            <w:pPr>
              <w:rPr>
                <w:rFonts w:eastAsia="Times New Roman"/>
                <w:i/>
                <w:noProof/>
                <w:szCs w:val="24"/>
              </w:rPr>
            </w:pPr>
            <w:r>
              <w:rPr>
                <w:i/>
                <w:noProof/>
              </w:rPr>
              <w:t>– Järjestelyt, joilla otetaan kumppanit mukaan alueellisen oikeudenmukaista siirtymää koskevan suunnitelman laatimiseen, toteuttamiseen, seurantaan ja arviointiin;</w:t>
            </w:r>
          </w:p>
          <w:p w:rsidR="009A077E" w:rsidRDefault="006E3F75">
            <w:pPr>
              <w:rPr>
                <w:rFonts w:eastAsia="Times New Roman"/>
                <w:i/>
                <w:noProof/>
                <w:szCs w:val="24"/>
              </w:rPr>
            </w:pPr>
            <w:r>
              <w:rPr>
                <w:i/>
                <w:noProof/>
              </w:rPr>
              <w:t xml:space="preserve">– Julkisen kuulemisen tulokset. </w:t>
            </w:r>
          </w:p>
        </w:tc>
      </w:tr>
    </w:tbl>
    <w:p w:rsidR="009A077E" w:rsidRDefault="009A077E">
      <w:pPr>
        <w:pStyle w:val="ListParagraph"/>
        <w:rPr>
          <w:rFonts w:ascii="Times New Roman" w:hAnsi="Times New Roman" w:cs="Times New Roman"/>
          <w:noProof/>
          <w:sz w:val="24"/>
          <w:szCs w:val="24"/>
        </w:rPr>
      </w:pPr>
    </w:p>
    <w:p w:rsidR="009A077E" w:rsidRDefault="006E3F75">
      <w:pPr>
        <w:pStyle w:val="ListParagrap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i/>
          <w:noProof/>
        </w:rPr>
        <w:t xml:space="preserve">3.2. Seuranta ja </w:t>
      </w:r>
      <w:r>
        <w:rPr>
          <w:rFonts w:ascii="Times New Roman" w:hAnsi="Times New Roman"/>
          <w:i/>
          <w:noProof/>
        </w:rPr>
        <w:t>arviointi</w:t>
      </w:r>
      <w:r>
        <w:rPr>
          <w:rFonts w:ascii="Times New Roman" w:hAnsi="Times New Roman"/>
          <w:noProof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9A077E">
        <w:trPr>
          <w:trHeight w:val="306"/>
        </w:trPr>
        <w:tc>
          <w:tcPr>
            <w:tcW w:w="9288" w:type="dxa"/>
          </w:tcPr>
          <w:p w:rsidR="009A077E" w:rsidRDefault="006E3F75">
            <w:pPr>
              <w:rPr>
                <w:i/>
                <w:noProof/>
              </w:rPr>
            </w:pPr>
            <w:r>
              <w:rPr>
                <w:i/>
                <w:noProof/>
              </w:rPr>
              <w:t>– Suunniteltu seuranta ja arviointi, mukaan luettuna indikaattorit, joilla mitataan suunnitelman kykyä saavuttaa tavoitteensa</w:t>
            </w:r>
          </w:p>
        </w:tc>
      </w:tr>
    </w:tbl>
    <w:p w:rsidR="009A077E" w:rsidRDefault="009A077E">
      <w:pPr>
        <w:pStyle w:val="ListParagraph"/>
        <w:rPr>
          <w:rFonts w:eastAsia="Times New Roman"/>
          <w:noProof/>
          <w:szCs w:val="24"/>
        </w:rPr>
      </w:pPr>
    </w:p>
    <w:p w:rsidR="009A077E" w:rsidRDefault="006E3F75">
      <w:pPr>
        <w:pStyle w:val="ListParagraph"/>
        <w:rPr>
          <w:rFonts w:ascii="Times New Roman" w:eastAsia="Times New Roman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/>
          <w:i/>
          <w:noProof/>
        </w:rPr>
        <w:t xml:space="preserve">3.3. Koordinointi- ja seurantaelin(-elimet)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9A077E">
        <w:trPr>
          <w:trHeight w:val="306"/>
        </w:trPr>
        <w:tc>
          <w:tcPr>
            <w:tcW w:w="9288" w:type="dxa"/>
          </w:tcPr>
          <w:p w:rsidR="009A077E" w:rsidRDefault="006E3F75">
            <w:pPr>
              <w:rPr>
                <w:rFonts w:eastAsia="Times New Roman"/>
                <w:i/>
                <w:noProof/>
                <w:szCs w:val="24"/>
              </w:rPr>
            </w:pPr>
            <w:r>
              <w:rPr>
                <w:i/>
                <w:noProof/>
              </w:rPr>
              <w:t>Elin tai elimet, jotka ovat vastuussa suunnitelman täytäntöönpanon koord</w:t>
            </w:r>
            <w:r>
              <w:rPr>
                <w:i/>
                <w:noProof/>
              </w:rPr>
              <w:t>inoinnista ja seurannasta, ja niiden tehtävät.</w:t>
            </w:r>
          </w:p>
        </w:tc>
      </w:tr>
    </w:tbl>
    <w:p w:rsidR="009A077E" w:rsidRDefault="006E3F75">
      <w:pPr>
        <w:jc w:val="left"/>
        <w:rPr>
          <w:rFonts w:eastAsia="Times New Roman"/>
          <w:i/>
          <w:noProof/>
          <w:szCs w:val="24"/>
        </w:rPr>
        <w:sectPr w:rsidR="009A077E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7" w:h="16839"/>
          <w:pgMar w:top="1134" w:right="1417" w:bottom="1134" w:left="1417" w:header="709" w:footer="709" w:gutter="0"/>
          <w:cols w:space="720"/>
          <w:docGrid w:linePitch="360"/>
        </w:sectPr>
      </w:pPr>
      <w:r>
        <w:rPr>
          <w:i/>
          <w:noProof/>
        </w:rPr>
        <w:t xml:space="preserve">     </w:t>
      </w:r>
    </w:p>
    <w:p w:rsidR="009A077E" w:rsidRDefault="009A077E">
      <w:pPr>
        <w:ind w:left="2160"/>
        <w:rPr>
          <w:rFonts w:eastAsia="Times New Roman"/>
          <w:b/>
          <w:i/>
          <w:noProof/>
          <w:szCs w:val="24"/>
        </w:rPr>
      </w:pPr>
    </w:p>
    <w:p w:rsidR="009A077E" w:rsidRDefault="009A077E">
      <w:pPr>
        <w:spacing w:after="0"/>
        <w:ind w:right="-309"/>
        <w:jc w:val="center"/>
        <w:rPr>
          <w:b/>
          <w:bCs/>
          <w:noProof/>
          <w:szCs w:val="24"/>
          <w:u w:val="single"/>
        </w:rPr>
      </w:pPr>
    </w:p>
    <w:p w:rsidR="009A077E" w:rsidRDefault="006E3F75">
      <w:pPr>
        <w:spacing w:after="0"/>
        <w:ind w:right="-309"/>
        <w:jc w:val="center"/>
        <w:rPr>
          <w:b/>
          <w:bCs/>
          <w:noProof/>
          <w:szCs w:val="24"/>
          <w:vertAlign w:val="superscript"/>
        </w:rPr>
      </w:pPr>
      <w:r>
        <w:rPr>
          <w:b/>
          <w:bCs/>
          <w:noProof/>
          <w:u w:val="single"/>
        </w:rPr>
        <w:t>LIITE III</w:t>
      </w:r>
      <w:r>
        <w:rPr>
          <w:b/>
          <w:bCs/>
          <w:noProof/>
        </w:rPr>
        <w:br/>
      </w:r>
      <w:r>
        <w:rPr>
          <w:b/>
          <w:bCs/>
          <w:noProof/>
        </w:rPr>
        <w:br/>
      </w:r>
      <w:r>
        <w:rPr>
          <w:rFonts w:ascii="Times New Roman Bold" w:hAnsi="Times New Roman Bold"/>
          <w:b/>
          <w:caps/>
          <w:noProof/>
        </w:rPr>
        <w:t xml:space="preserve">ALUEPOLITIIKAN yhteiset tuotosindikaattorit (RCO) ja ALUEPOLITIIKAN yhteiset tulosindikaattorit (RCR) oikeudenmukaisen siirtymän </w:t>
      </w:r>
      <w:r>
        <w:rPr>
          <w:rFonts w:ascii="Times New Roman Bold" w:hAnsi="Times New Roman Bold"/>
          <w:b/>
          <w:caps/>
          <w:noProof/>
        </w:rPr>
        <w:t>rahastoa varten</w:t>
      </w:r>
      <w:r>
        <w:rPr>
          <w:rStyle w:val="FootnoteReference"/>
          <w:rFonts w:ascii="Times New Roman Bold" w:eastAsia="Calibri" w:hAnsi="Times New Roman Bold"/>
          <w:b/>
          <w:caps/>
          <w:noProof/>
        </w:rPr>
        <w:footnoteReference w:id="2"/>
      </w:r>
    </w:p>
    <w:p w:rsidR="009A077E" w:rsidRDefault="009A077E">
      <w:pPr>
        <w:spacing w:after="0"/>
        <w:rPr>
          <w:b/>
          <w:noProof/>
          <w:szCs w:val="24"/>
        </w:rPr>
      </w:pPr>
    </w:p>
    <w:tbl>
      <w:tblPr>
        <w:tblW w:w="13907" w:type="dxa"/>
        <w:tblInd w:w="93" w:type="dxa"/>
        <w:tblLook w:val="04A0" w:firstRow="1" w:lastRow="0" w:firstColumn="1" w:lastColumn="0" w:noHBand="0" w:noVBand="1"/>
      </w:tblPr>
      <w:tblGrid>
        <w:gridCol w:w="6961"/>
        <w:gridCol w:w="6946"/>
      </w:tblGrid>
      <w:tr w:rsidR="009A077E">
        <w:trPr>
          <w:trHeight w:val="300"/>
        </w:trPr>
        <w:tc>
          <w:tcPr>
            <w:tcW w:w="6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77E" w:rsidRDefault="006E3F75">
            <w:pPr>
              <w:spacing w:after="0"/>
              <w:jc w:val="center"/>
              <w:rPr>
                <w:rFonts w:eastAsia="Times New Roman"/>
                <w:b/>
                <w:bCs/>
                <w:noProof/>
                <w:color w:val="000000"/>
                <w:szCs w:val="24"/>
              </w:rPr>
            </w:pPr>
            <w:r>
              <w:rPr>
                <w:b/>
                <w:bCs/>
                <w:noProof/>
              </w:rPr>
              <w:t>Tuotokset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77E" w:rsidRDefault="006E3F75">
            <w:pPr>
              <w:spacing w:after="0"/>
              <w:jc w:val="center"/>
              <w:rPr>
                <w:rFonts w:eastAsia="Times New Roman"/>
                <w:b/>
                <w:bCs/>
                <w:noProof/>
                <w:color w:val="000000"/>
                <w:szCs w:val="24"/>
              </w:rPr>
            </w:pPr>
            <w:r>
              <w:rPr>
                <w:b/>
                <w:bCs/>
                <w:noProof/>
              </w:rPr>
              <w:t>Tulokset</w:t>
            </w:r>
          </w:p>
        </w:tc>
      </w:tr>
      <w:tr w:rsidR="009A077E">
        <w:trPr>
          <w:trHeight w:val="3001"/>
        </w:trPr>
        <w:tc>
          <w:tcPr>
            <w:tcW w:w="6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77E" w:rsidRDefault="006E3F7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</w:rPr>
              <w:t>RCO01 – Tuetut yritykset (joista mikro-, pk- ja suuryrityksiä)</w:t>
            </w:r>
            <w:r>
              <w:rPr>
                <w:noProof/>
              </w:rPr>
              <w:br/>
              <w:t>RCO 02 – Avustuksilla tuetut yritykset</w:t>
            </w:r>
            <w:r>
              <w:rPr>
                <w:noProof/>
              </w:rPr>
              <w:br/>
              <w:t>RCO 03 – Rahoitusvälineistä tuetut yritykset</w:t>
            </w:r>
            <w:r>
              <w:rPr>
                <w:noProof/>
              </w:rPr>
              <w:br/>
              <w:t>RCO 04 – Muuta kuin rahoitustukea saaneet yritykset</w:t>
            </w:r>
            <w:r>
              <w:rPr>
                <w:noProof/>
              </w:rPr>
              <w:br/>
              <w:t>RCO 05 – Tuetut sta</w:t>
            </w:r>
            <w:r>
              <w:rPr>
                <w:noProof/>
              </w:rPr>
              <w:t>rtup-yritykset</w:t>
            </w:r>
            <w:r>
              <w:rPr>
                <w:noProof/>
              </w:rPr>
              <w:br/>
            </w:r>
            <w:r>
              <w:rPr>
                <w:noProof/>
              </w:rPr>
              <w:br/>
              <w:t>RCO 10 – Yritykset yhteistyössä tutkimuslaitosten kanssa</w:t>
            </w:r>
          </w:p>
          <w:p w:rsidR="009A077E" w:rsidRDefault="006E3F7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</w:rPr>
              <w:t>RCO 120 – Tuetut yritykset, jotka pyrkivät vähentämään direktiivin 2003/87/EY liitteessä I luetellusta toiminnasta syntyviä kasvihuonekaasupäästöjä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77E" w:rsidRDefault="006E3F75">
            <w:pPr>
              <w:spacing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</w:rPr>
              <w:t xml:space="preserve">RCR01 – Tuettuihin yksiköihin </w:t>
            </w:r>
            <w:r>
              <w:rPr>
                <w:noProof/>
              </w:rPr>
              <w:t>luodut työpaikat</w:t>
            </w:r>
            <w:r>
              <w:rPr>
                <w:noProof/>
              </w:rPr>
              <w:br/>
              <w:t>RCR 02 – Yksityiset investoinnit, jotka ovat saaneet julkista tukea (josta avustuksia, rahoitusvälineitä)</w:t>
            </w:r>
            <w:r>
              <w:rPr>
                <w:noProof/>
              </w:rPr>
              <w:br/>
              <w:t>RCR 03 – Tuote- tai prosessi-innovaatioita toteuttavat pk-yritykset</w:t>
            </w:r>
            <w:r>
              <w:rPr>
                <w:noProof/>
              </w:rPr>
              <w:br/>
              <w:t xml:space="preserve">RCR 04 – Organisaatio- ja markkinointi-innovaatioita toteuttavat </w:t>
            </w:r>
            <w:r>
              <w:rPr>
                <w:noProof/>
              </w:rPr>
              <w:t>pk-yritykset</w:t>
            </w:r>
            <w:r>
              <w:rPr>
                <w:noProof/>
              </w:rPr>
              <w:br/>
              <w:t>RCR 05 – Itse innovoivat pk-yritykset</w:t>
            </w:r>
            <w:r>
              <w:rPr>
                <w:noProof/>
              </w:rPr>
              <w:br/>
              <w:t>RCR 06 – Euroopan patenttivirastoon tehdyt patenttihakemukset</w:t>
            </w:r>
            <w:r>
              <w:rPr>
                <w:noProof/>
              </w:rPr>
              <w:br/>
              <w:t>RCR 29 – Arvioidut kasvihuonekaasupäästöt direktiivin 2003/87/EY liitteessä I luetellusta toiminnasta tuetuissa yrityksissä</w:t>
            </w:r>
          </w:p>
        </w:tc>
      </w:tr>
      <w:tr w:rsidR="009A077E">
        <w:trPr>
          <w:trHeight w:val="1530"/>
        </w:trPr>
        <w:tc>
          <w:tcPr>
            <w:tcW w:w="6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77E" w:rsidRDefault="006E3F75">
            <w:pPr>
              <w:spacing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</w:rPr>
              <w:br/>
              <w:t>RCO 13 – Yrityksi</w:t>
            </w:r>
            <w:r>
              <w:rPr>
                <w:noProof/>
              </w:rPr>
              <w:t>lle kehitetyt digipalvelut ja -tuotteet</w:t>
            </w:r>
            <w:r>
              <w:rPr>
                <w:noProof/>
              </w:rPr>
              <w:br/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77E" w:rsidRDefault="006E3F75">
            <w:pPr>
              <w:spacing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</w:rPr>
              <w:t>RCR 11 – Uusien julkisten digipalvelujen ja -sovellusten käyttäjät</w:t>
            </w:r>
            <w:r>
              <w:rPr>
                <w:noProof/>
              </w:rPr>
              <w:br/>
              <w:t>RCR 12 – Yritysten kehittämien uusien digituotteiden, -palvelujen ja -sovellusten käyttäjät</w:t>
            </w:r>
            <w:r>
              <w:rPr>
                <w:noProof/>
              </w:rPr>
              <w:br/>
            </w:r>
          </w:p>
        </w:tc>
      </w:tr>
      <w:tr w:rsidR="009A077E">
        <w:trPr>
          <w:trHeight w:val="416"/>
        </w:trPr>
        <w:tc>
          <w:tcPr>
            <w:tcW w:w="6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77E" w:rsidRDefault="006E3F75">
            <w:pPr>
              <w:spacing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</w:rPr>
              <w:t>RCO 15 – Perustettujen yrityshautomojen kapasiteetti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77E" w:rsidRDefault="006E3F75">
            <w:pPr>
              <w:spacing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</w:rPr>
              <w:br/>
            </w:r>
            <w:r>
              <w:rPr>
                <w:noProof/>
              </w:rPr>
              <w:t>RCR 17 – Elinkelpoiset 3 vuotta toimineet yritykset</w:t>
            </w:r>
            <w:r>
              <w:rPr>
                <w:noProof/>
              </w:rPr>
              <w:br/>
              <w:t>RCR 18 – Pk-yritykset, jotka käyttävät yrityshautomopalveluja vuoden kuluttua yrityshautomon perustamisesta</w:t>
            </w:r>
            <w:r>
              <w:rPr>
                <w:noProof/>
              </w:rPr>
              <w:br/>
            </w:r>
          </w:p>
          <w:p w:rsidR="009A077E" w:rsidRDefault="009A077E">
            <w:pPr>
              <w:spacing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</w:p>
        </w:tc>
      </w:tr>
      <w:tr w:rsidR="009A077E">
        <w:trPr>
          <w:trHeight w:val="1020"/>
        </w:trPr>
        <w:tc>
          <w:tcPr>
            <w:tcW w:w="6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77E" w:rsidRDefault="006E3F7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</w:rPr>
              <w:t>RCO 101 – Taitojen kehittämiseen investoivat pk-yritykset</w:t>
            </w:r>
          </w:p>
          <w:p w:rsidR="009A077E" w:rsidRDefault="009A077E">
            <w:pPr>
              <w:spacing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77E" w:rsidRDefault="006E3F7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</w:rPr>
              <w:t xml:space="preserve">RCR 97 – Tuen piiriin kuuluvat </w:t>
            </w:r>
            <w:r>
              <w:rPr>
                <w:noProof/>
              </w:rPr>
              <w:t>oppisopimuskoulutukset pk-yrityksissä</w:t>
            </w:r>
          </w:p>
          <w:p w:rsidR="009A077E" w:rsidRDefault="006E3F7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</w:rPr>
              <w:t>RCR 98 – Pk-yritysten henkilöstö, joka on suorittanut ammatillista jatkokoulutusta (CVET) (taitojen mukaan: tekniset, hallinto-, yrittäjyys-, vihreät tai muut taidot)</w:t>
            </w:r>
          </w:p>
        </w:tc>
      </w:tr>
      <w:tr w:rsidR="009A077E">
        <w:trPr>
          <w:trHeight w:val="1020"/>
        </w:trPr>
        <w:tc>
          <w:tcPr>
            <w:tcW w:w="6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77E" w:rsidRDefault="006E3F7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</w:rPr>
              <w:t>RCO 22 – Uusiutuvan energian lisätuotantokapasitee</w:t>
            </w:r>
            <w:r>
              <w:rPr>
                <w:noProof/>
              </w:rPr>
              <w:t>tti (josta sähköenergiaa, lämpöenergiaa)</w:t>
            </w:r>
          </w:p>
          <w:p w:rsidR="009A077E" w:rsidRDefault="009A077E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77E" w:rsidRDefault="006E3F7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</w:rPr>
              <w:t>RCR 31 – Tuotettu uusiutuva energia yhteensä (josta sähköenergiaa, lämpöenergiaa)</w:t>
            </w:r>
            <w:r>
              <w:rPr>
                <w:noProof/>
              </w:rPr>
              <w:br/>
              <w:t>RCR 32 – Uusiutuva energia: verkkoon liitetty kapasiteetti (toiminnassa)</w:t>
            </w:r>
          </w:p>
        </w:tc>
      </w:tr>
      <w:tr w:rsidR="009A077E">
        <w:trPr>
          <w:trHeight w:val="1464"/>
        </w:trPr>
        <w:tc>
          <w:tcPr>
            <w:tcW w:w="6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77E" w:rsidRDefault="006E3F75">
            <w:pPr>
              <w:spacing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</w:rPr>
              <w:t xml:space="preserve">RCO 34 – Lisäkapasiteetti jätteen kierrätystä varten 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77E" w:rsidRDefault="006E3F75">
            <w:pPr>
              <w:spacing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</w:rPr>
              <w:t xml:space="preserve">RCR 46 – Jätteen kierrätyslaitosten ja pienimuotoisten jätehuoltojärjestelmien piirissä oleva asukasmäärä </w:t>
            </w:r>
            <w:r>
              <w:rPr>
                <w:noProof/>
              </w:rPr>
              <w:br/>
              <w:t>RCR 47 – Kierrätetty jäte</w:t>
            </w:r>
            <w:r>
              <w:rPr>
                <w:noProof/>
              </w:rPr>
              <w:br/>
              <w:t xml:space="preserve">RCR 48 – Raaka-aineena käytetty kierrätetty jäte </w:t>
            </w:r>
            <w:r>
              <w:rPr>
                <w:noProof/>
              </w:rPr>
              <w:br/>
              <w:t>RCR 49 – Talteenotettu jäte</w:t>
            </w:r>
          </w:p>
        </w:tc>
      </w:tr>
      <w:tr w:rsidR="009A077E">
        <w:trPr>
          <w:trHeight w:val="1530"/>
        </w:trPr>
        <w:tc>
          <w:tcPr>
            <w:tcW w:w="6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77E" w:rsidRDefault="006E3F7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</w:rPr>
              <w:t>RCO 38 – Tuen piiriin kuuluvan kunnostetun m</w:t>
            </w:r>
            <w:r>
              <w:rPr>
                <w:noProof/>
              </w:rPr>
              <w:t>aaperän pinta-ala</w:t>
            </w:r>
            <w:r>
              <w:rPr>
                <w:noProof/>
              </w:rPr>
              <w:br/>
              <w:t>RCO 39 – Ilmanlaadun seurantajärjestelmät asennettu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77E" w:rsidRDefault="006E3F7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</w:rPr>
              <w:t>RCR 50 – Ilmanlaatua parantavista toimista hyötyvä asukasmäärä</w:t>
            </w:r>
          </w:p>
          <w:p w:rsidR="009A077E" w:rsidRDefault="006E3F7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</w:rPr>
              <w:t xml:space="preserve">RCR 52 – Kunnostettu maaperä, jota käytetään viheralueena, sosiaalista asuntotuotantoa, taloudellista tai yhteisöjen </w:t>
            </w:r>
            <w:r>
              <w:rPr>
                <w:noProof/>
              </w:rPr>
              <w:t>toimintaa varten</w:t>
            </w:r>
          </w:p>
        </w:tc>
      </w:tr>
      <w:tr w:rsidR="009A077E">
        <w:trPr>
          <w:trHeight w:val="1530"/>
        </w:trPr>
        <w:tc>
          <w:tcPr>
            <w:tcW w:w="6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77E" w:rsidRDefault="006E3F75">
            <w:pPr>
              <w:spacing w:before="0" w:after="110" w:line="249" w:lineRule="auto"/>
              <w:rPr>
                <w:rFonts w:eastAsia="Times New Roman"/>
                <w:noProof/>
                <w:color w:val="000000"/>
              </w:rPr>
            </w:pPr>
            <w:r>
              <w:rPr>
                <w:noProof/>
              </w:rPr>
              <w:t>osallistujille</w:t>
            </w:r>
            <w:r>
              <w:rPr>
                <w:rStyle w:val="FootnoteReference"/>
                <w:noProof/>
              </w:rPr>
              <w:footnoteReference w:id="3"/>
            </w:r>
            <w:r>
              <w:rPr>
                <w:noProof/>
              </w:rPr>
              <w:t xml:space="preserve"> </w:t>
            </w:r>
            <w:r>
              <w:rPr>
                <w:bCs/>
                <w:noProof/>
                <w:vertAlign w:val="superscript"/>
              </w:rPr>
              <w:footnoteReference w:id="4"/>
            </w:r>
            <w:r>
              <w:rPr>
                <w:noProof/>
              </w:rPr>
              <w:t>:</w:t>
            </w:r>
          </w:p>
          <w:p w:rsidR="009A077E" w:rsidRDefault="006E3F75">
            <w:pPr>
              <w:spacing w:after="110" w:line="249" w:lineRule="auto"/>
              <w:rPr>
                <w:rFonts w:eastAsia="Times New Roman"/>
                <w:noProof/>
                <w:color w:val="000000"/>
              </w:rPr>
            </w:pPr>
            <w:r>
              <w:rPr>
                <w:noProof/>
              </w:rPr>
              <w:t xml:space="preserve">RCO 200·– työttömät, mukaan lukien pitkäaikaistyöttömät  </w:t>
            </w:r>
          </w:p>
          <w:p w:rsidR="009A077E" w:rsidRDefault="006E3F75">
            <w:pPr>
              <w:spacing w:after="110" w:line="249" w:lineRule="auto"/>
              <w:rPr>
                <w:rFonts w:eastAsia="Times New Roman"/>
                <w:noProof/>
                <w:color w:val="000000"/>
              </w:rPr>
            </w:pPr>
            <w:r>
              <w:rPr>
                <w:noProof/>
              </w:rPr>
              <w:t xml:space="preserve">RCO 201 – pitkäaikaistyöttömät  </w:t>
            </w:r>
          </w:p>
          <w:p w:rsidR="009A077E" w:rsidRDefault="006E3F75">
            <w:pPr>
              <w:spacing w:after="110" w:line="249" w:lineRule="auto"/>
              <w:rPr>
                <w:rFonts w:eastAsia="Times New Roman"/>
                <w:noProof/>
                <w:color w:val="000000"/>
              </w:rPr>
            </w:pPr>
            <w:r>
              <w:rPr>
                <w:noProof/>
              </w:rPr>
              <w:t xml:space="preserve">RCO 202 – työmarkkinoiden ulkopuolella olevat </w:t>
            </w:r>
          </w:p>
          <w:p w:rsidR="009A077E" w:rsidRDefault="006E3F75">
            <w:pPr>
              <w:spacing w:after="110" w:line="249" w:lineRule="auto"/>
              <w:rPr>
                <w:rFonts w:eastAsia="Times New Roman"/>
                <w:noProof/>
                <w:color w:val="000000"/>
              </w:rPr>
            </w:pPr>
            <w:r>
              <w:rPr>
                <w:noProof/>
              </w:rPr>
              <w:t xml:space="preserve">RCO 203 – työlliset, mukaan lukien itsenäiset ammatinharjoittajat  </w:t>
            </w:r>
          </w:p>
          <w:p w:rsidR="009A077E" w:rsidRDefault="006E3F75">
            <w:pPr>
              <w:spacing w:after="110" w:line="249" w:lineRule="auto"/>
              <w:rPr>
                <w:rFonts w:eastAsia="Times New Roman"/>
                <w:noProof/>
                <w:color w:val="000000"/>
              </w:rPr>
            </w:pPr>
            <w:r>
              <w:rPr>
                <w:noProof/>
              </w:rPr>
              <w:t xml:space="preserve">RCO 204 – alle 30-vuotiaat  </w:t>
            </w:r>
          </w:p>
          <w:p w:rsidR="009A077E" w:rsidRDefault="006E3F75">
            <w:pPr>
              <w:spacing w:after="110" w:line="249" w:lineRule="auto"/>
              <w:rPr>
                <w:rFonts w:eastAsia="Times New Roman"/>
                <w:noProof/>
                <w:color w:val="000000"/>
              </w:rPr>
            </w:pPr>
            <w:r>
              <w:rPr>
                <w:noProof/>
              </w:rPr>
              <w:t xml:space="preserve">RCO 205 – yli 54-vuotiaat  </w:t>
            </w:r>
          </w:p>
          <w:p w:rsidR="009A077E" w:rsidRDefault="006E3F75">
            <w:pPr>
              <w:spacing w:after="110" w:line="249" w:lineRule="auto"/>
              <w:rPr>
                <w:rFonts w:eastAsia="Times New Roman"/>
                <w:noProof/>
                <w:color w:val="000000"/>
              </w:rPr>
            </w:pPr>
            <w:r>
              <w:rPr>
                <w:noProof/>
              </w:rPr>
              <w:t xml:space="preserve">RCO 206 – henkilöt, joilla on enintään ylemmän perusasteen koulutus (ISCED 0–2) </w:t>
            </w:r>
          </w:p>
          <w:p w:rsidR="009A077E" w:rsidRDefault="006E3F75">
            <w:pPr>
              <w:spacing w:after="110" w:line="249" w:lineRule="auto"/>
              <w:rPr>
                <w:rFonts w:eastAsia="Times New Roman"/>
                <w:noProof/>
                <w:color w:val="000000"/>
              </w:rPr>
            </w:pPr>
            <w:r>
              <w:rPr>
                <w:noProof/>
              </w:rPr>
              <w:t xml:space="preserve">RCO 207 – henkilöt, joilla on keskiasteen (ISCED 3) tai keskiasteen jälkeinen (ISCED 4) koulutus </w:t>
            </w:r>
          </w:p>
          <w:p w:rsidR="009A077E" w:rsidRDefault="006E3F75">
            <w:pPr>
              <w:spacing w:after="0"/>
              <w:rPr>
                <w:rFonts w:eastAsia="Times New Roman"/>
                <w:noProof/>
                <w:color w:val="000000"/>
              </w:rPr>
            </w:pPr>
            <w:r>
              <w:rPr>
                <w:noProof/>
              </w:rPr>
              <w:t xml:space="preserve">RCO 208 – henkilöt, </w:t>
            </w:r>
            <w:r>
              <w:rPr>
                <w:noProof/>
              </w:rPr>
              <w:t>joilla on korkea-asteen koulutus (ISCED 5–8)</w:t>
            </w:r>
          </w:p>
          <w:p w:rsidR="009A077E" w:rsidRDefault="006E3F75">
            <w:pPr>
              <w:spacing w:after="110" w:line="249" w:lineRule="auto"/>
              <w:rPr>
                <w:rFonts w:eastAsia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</w:rPr>
              <w:t>RCO 209 – osallistujien kokonaismäärä</w:t>
            </w:r>
            <w:r>
              <w:rPr>
                <w:bCs/>
                <w:noProof/>
                <w:vertAlign w:val="superscript"/>
              </w:rPr>
              <w:footnoteReference w:id="5"/>
            </w:r>
            <w:r>
              <w:rPr>
                <w:noProof/>
              </w:rPr>
              <w:t xml:space="preserve"> 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77E" w:rsidRDefault="006E3F75">
            <w:pPr>
              <w:spacing w:before="0" w:after="107" w:line="249" w:lineRule="auto"/>
              <w:ind w:left="-5" w:hanging="10"/>
              <w:rPr>
                <w:rFonts w:eastAsia="Times New Roman"/>
                <w:noProof/>
                <w:color w:val="000000"/>
              </w:rPr>
            </w:pPr>
            <w:r>
              <w:rPr>
                <w:noProof/>
              </w:rPr>
              <w:t xml:space="preserve">osallistujille </w:t>
            </w:r>
            <w:r>
              <w:rPr>
                <w:noProof/>
                <w:vertAlign w:val="superscript"/>
              </w:rPr>
              <w:footnoteReference w:id="6"/>
            </w:r>
            <w:r>
              <w:rPr>
                <w:noProof/>
              </w:rPr>
              <w:t xml:space="preserve">: </w:t>
            </w:r>
          </w:p>
          <w:p w:rsidR="009A077E" w:rsidRDefault="006E3F75">
            <w:pPr>
              <w:spacing w:before="0" w:after="107" w:line="249" w:lineRule="auto"/>
              <w:ind w:left="-5" w:hanging="10"/>
              <w:rPr>
                <w:rFonts w:eastAsia="Times New Roman"/>
                <w:noProof/>
                <w:color w:val="000000"/>
              </w:rPr>
            </w:pPr>
            <w:r>
              <w:rPr>
                <w:noProof/>
              </w:rPr>
              <w:t xml:space="preserve">RCR 200 – osallistujat, jotka ovat ryhtyneet työnhakuun jättäessään toimen  </w:t>
            </w:r>
          </w:p>
          <w:p w:rsidR="009A077E" w:rsidRDefault="006E3F75">
            <w:pPr>
              <w:spacing w:before="0" w:after="107" w:line="249" w:lineRule="auto"/>
              <w:ind w:left="-5" w:hanging="10"/>
              <w:rPr>
                <w:rFonts w:eastAsia="Times New Roman"/>
                <w:noProof/>
                <w:color w:val="000000"/>
              </w:rPr>
            </w:pPr>
            <w:r>
              <w:rPr>
                <w:noProof/>
              </w:rPr>
              <w:t xml:space="preserve">RCR 201 – osallistujat, jotka ovat koulutuksessa jättäessään toimen  </w:t>
            </w:r>
          </w:p>
          <w:p w:rsidR="009A077E" w:rsidRDefault="006E3F75">
            <w:pPr>
              <w:spacing w:after="110" w:line="249" w:lineRule="auto"/>
              <w:rPr>
                <w:rFonts w:eastAsia="Times New Roman"/>
                <w:noProof/>
                <w:color w:val="000000"/>
              </w:rPr>
            </w:pPr>
            <w:r>
              <w:rPr>
                <w:noProof/>
              </w:rPr>
              <w:t xml:space="preserve">RCR 202 – osallistujat, jotka saavat ammattipätevyyden jättäessään toimen  </w:t>
            </w:r>
          </w:p>
          <w:p w:rsidR="009A077E" w:rsidRDefault="006E3F75">
            <w:pPr>
              <w:spacing w:after="110" w:line="249" w:lineRule="auto"/>
              <w:rPr>
                <w:rFonts w:eastAsia="Times New Roman"/>
                <w:noProof/>
                <w:color w:val="000000"/>
              </w:rPr>
            </w:pPr>
            <w:r>
              <w:rPr>
                <w:noProof/>
              </w:rPr>
              <w:t>RCR 203 – osallistujat, jotka ovat työelämässä, myös itsenäisinä ammatinharjoittajina, jättäessään toimen.</w:t>
            </w:r>
          </w:p>
          <w:p w:rsidR="009A077E" w:rsidRDefault="009A077E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 w:val="20"/>
                <w:szCs w:val="20"/>
              </w:rPr>
            </w:pPr>
          </w:p>
        </w:tc>
      </w:tr>
    </w:tbl>
    <w:p w:rsidR="009A077E" w:rsidRDefault="009A077E">
      <w:pPr>
        <w:rPr>
          <w:noProof/>
        </w:rPr>
      </w:pPr>
    </w:p>
    <w:p w:rsidR="009A077E" w:rsidRDefault="009A077E">
      <w:pPr>
        <w:rPr>
          <w:noProof/>
        </w:rPr>
      </w:pPr>
    </w:p>
    <w:sectPr w:rsidR="009A077E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77E" w:rsidRDefault="006E3F75">
      <w:pPr>
        <w:spacing w:before="0" w:after="0"/>
      </w:pPr>
      <w:r>
        <w:separator/>
      </w:r>
    </w:p>
  </w:endnote>
  <w:endnote w:type="continuationSeparator" w:id="0">
    <w:p w:rsidR="009A077E" w:rsidRDefault="006E3F7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77E" w:rsidRDefault="009A07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77E" w:rsidRDefault="006E3F75">
    <w:pPr>
      <w:pStyle w:val="FooterCoverPag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FI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FI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77E" w:rsidRDefault="009A077E">
    <w:pPr>
      <w:pStyle w:val="FooterCover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77E" w:rsidRDefault="009A077E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77E" w:rsidRDefault="006E3F75">
    <w:pPr>
      <w:pStyle w:val="Footer"/>
      <w:rPr>
        <w:rFonts w:ascii="Arial" w:hAnsi="Arial" w:cs="Arial"/>
        <w:b/>
        <w:sz w:val="48"/>
      </w:rPr>
    </w:pPr>
    <w:r>
      <w:rPr>
        <w:rFonts w:ascii="Arial" w:hAnsi="Arial"/>
        <w:b/>
        <w:sz w:val="48"/>
      </w:rPr>
      <w:t>FI</w:t>
    </w:r>
    <w:r>
      <w:rPr>
        <w:rFonts w:ascii="Arial" w:hAnsi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3</w:t>
    </w:r>
    <w:r>
      <w:fldChar w:fldCharType="end"/>
    </w:r>
    <w:r>
      <w:tab/>
    </w:r>
    <w:r>
      <w:tab/>
    </w:r>
    <w:r>
      <w:rPr>
        <w:rFonts w:ascii="Arial" w:hAnsi="Arial"/>
        <w:b/>
        <w:sz w:val="48"/>
      </w:rPr>
      <w:t>FI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77E" w:rsidRDefault="009A077E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77E" w:rsidRDefault="009A077E"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77E" w:rsidRDefault="006E3F75" w:rsidP="006E3F75">
    <w:pPr>
      <w:pStyle w:val="Footer"/>
      <w:tabs>
        <w:tab w:val="clear" w:pos="4535"/>
        <w:tab w:val="clear" w:pos="9921"/>
        <w:tab w:val="center" w:pos="6804"/>
        <w:tab w:val="right" w:pos="14317"/>
      </w:tabs>
      <w:rPr>
        <w:rFonts w:ascii="Arial" w:hAnsi="Arial" w:cs="Arial"/>
        <w:b/>
        <w:sz w:val="48"/>
      </w:rPr>
    </w:pPr>
    <w:bookmarkStart w:id="1" w:name="_GoBack"/>
    <w:bookmarkEnd w:id="1"/>
    <w:r>
      <w:rPr>
        <w:rFonts w:ascii="Arial" w:hAnsi="Arial"/>
        <w:b/>
        <w:sz w:val="48"/>
      </w:rPr>
      <w:t>FI</w:t>
    </w:r>
    <w:r>
      <w:rPr>
        <w:rFonts w:ascii="Arial" w:hAnsi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7</w:t>
    </w:r>
    <w:r>
      <w:fldChar w:fldCharType="end"/>
    </w:r>
    <w:r>
      <w:tab/>
    </w:r>
    <w:r>
      <w:tab/>
    </w:r>
    <w:r>
      <w:rPr>
        <w:rFonts w:ascii="Arial" w:hAnsi="Arial"/>
        <w:b/>
        <w:sz w:val="48"/>
      </w:rPr>
      <w:t>FI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77E" w:rsidRDefault="009A07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77E" w:rsidRDefault="006E3F75">
      <w:pPr>
        <w:spacing w:before="0" w:after="0"/>
      </w:pPr>
      <w:r>
        <w:separator/>
      </w:r>
    </w:p>
  </w:footnote>
  <w:footnote w:type="continuationSeparator" w:id="0">
    <w:p w:rsidR="009A077E" w:rsidRDefault="006E3F75">
      <w:pPr>
        <w:spacing w:before="0" w:after="0"/>
      </w:pPr>
      <w:r>
        <w:continuationSeparator/>
      </w:r>
    </w:p>
  </w:footnote>
  <w:footnote w:id="1">
    <w:p w:rsidR="009A077E" w:rsidRDefault="006E3F75">
      <w:pPr>
        <w:pStyle w:val="FootnoteText"/>
      </w:pPr>
      <w:r>
        <w:rPr>
          <w:rStyle w:val="FootnoteReference"/>
        </w:rPr>
        <w:footnoteRef/>
      </w:r>
      <w:r>
        <w:tab/>
        <w:t>Euroopan parlamentin ja</w:t>
      </w:r>
      <w:r>
        <w:t xml:space="preserve"> neuvoston asetus (EY) N:o 166/2006, annettu 18 päivänä tammikuuta 2006, epäpuhtauksien päästöjä ja siirtoja koskevan eurooppalaisen rekisterin perustamisesta ja neuvoston direktiivien 91/689/ETY ja 96/61/EY muuttamisesta (EUVL L 33, 4.2.2006, s. 1).</w:t>
      </w:r>
    </w:p>
  </w:footnote>
  <w:footnote w:id="2">
    <w:p w:rsidR="009A077E" w:rsidRDefault="006E3F75">
      <w:pPr>
        <w:pStyle w:val="FootnoteText"/>
      </w:pPr>
      <w:r>
        <w:rPr>
          <w:rStyle w:val="FootnoteReference"/>
        </w:rPr>
        <w:footnoteRef/>
      </w:r>
      <w:r>
        <w:t xml:space="preserve"> Sel</w:t>
      </w:r>
      <w:r>
        <w:t>keyden vuoksi indikaattorit on ryhmitelty, jotta niitä on helpompi verrata muihin koheesiopolitiikan rahastokohtaisiin asetuksiin sisältyviin indikaattoreihin.</w:t>
      </w:r>
    </w:p>
  </w:footnote>
  <w:footnote w:id="3">
    <w:p w:rsidR="009A077E" w:rsidRDefault="006E3F75">
      <w:pPr>
        <w:pStyle w:val="FootnoteText"/>
        <w:rPr>
          <w:sz w:val="18"/>
        </w:rPr>
      </w:pPr>
      <w:r>
        <w:rPr>
          <w:rStyle w:val="FootnoteReference"/>
          <w:sz w:val="18"/>
        </w:rPr>
        <w:footnoteRef/>
      </w:r>
      <w:r>
        <w:t xml:space="preserve"> Kaikki osallistujiin liittyvät tuotos- ja tulosindikaattorit on ilmoitettava.</w:t>
      </w:r>
    </w:p>
  </w:footnote>
  <w:footnote w:id="4">
    <w:p w:rsidR="009A077E" w:rsidRDefault="006E3F75">
      <w:pPr>
        <w:spacing w:before="0" w:after="0"/>
        <w:ind w:left="113" w:hanging="113"/>
        <w:rPr>
          <w:sz w:val="18"/>
          <w:szCs w:val="20"/>
        </w:rPr>
      </w:pPr>
      <w:r>
        <w:rPr>
          <w:rStyle w:val="FootnoteReference"/>
          <w:bCs/>
          <w:sz w:val="18"/>
        </w:rPr>
        <w:footnoteRef/>
      </w:r>
      <w:r>
        <w:rPr>
          <w:rStyle w:val="FootnoteReference"/>
          <w:bCs/>
          <w:sz w:val="22"/>
        </w:rPr>
        <w:t xml:space="preserve"> </w:t>
      </w:r>
      <w:r>
        <w:rPr>
          <w:sz w:val="18"/>
          <w:szCs w:val="20"/>
        </w:rPr>
        <w:t>Kaikki henkilö</w:t>
      </w:r>
      <w:r>
        <w:rPr>
          <w:sz w:val="18"/>
          <w:szCs w:val="20"/>
        </w:rPr>
        <w:t>tiedot on eriteltävä sukupuolen (nainen, mies, ei-binäärinen) mukaan. Jos tietyt tulokset eivät ole mahdollisia, sellaisia tulosindikaattoreita koskevia tietoja ei tarvitse kerätä eikä toimittaa. Jos tiedot kerätään rekistereistä, jäsenvaltioiden ei tarvit</w:t>
      </w:r>
      <w:r>
        <w:rPr>
          <w:sz w:val="18"/>
          <w:szCs w:val="20"/>
        </w:rPr>
        <w:t>se käyttää yhteisesti sovittuja määritelmiä vaan ne voivat käyttää kansallisia määritelmiä.</w:t>
      </w:r>
    </w:p>
  </w:footnote>
  <w:footnote w:id="5">
    <w:p w:rsidR="009A077E" w:rsidRDefault="006E3F75">
      <w:pPr>
        <w:pStyle w:val="FootnoteText"/>
        <w:ind w:left="113" w:hanging="113"/>
        <w:rPr>
          <w:sz w:val="18"/>
        </w:rPr>
      </w:pPr>
      <w:r>
        <w:rPr>
          <w:rStyle w:val="FootnoteReference"/>
          <w:bCs/>
          <w:sz w:val="18"/>
        </w:rPr>
        <w:footnoteRef/>
      </w:r>
      <w:r>
        <w:t xml:space="preserve"> Lasketaan automaattisesti ammattiasemaan liittyvien yhteisten tuotosindikaattorien perusteella.</w:t>
      </w:r>
    </w:p>
  </w:footnote>
  <w:footnote w:id="6">
    <w:p w:rsidR="009A077E" w:rsidRDefault="006E3F75">
      <w:pPr>
        <w:pStyle w:val="FootnoteText"/>
        <w:ind w:left="113" w:hanging="113"/>
        <w:rPr>
          <w:sz w:val="18"/>
        </w:rPr>
      </w:pPr>
      <w:r>
        <w:rPr>
          <w:rStyle w:val="FootnoteReference"/>
          <w:bCs/>
          <w:sz w:val="18"/>
        </w:rPr>
        <w:footnoteRef/>
      </w:r>
      <w:r>
        <w:t xml:space="preserve"> Kaikki henkilötiedot on eriteltävä sukupuolen mukaan.</w:t>
      </w:r>
      <w:r>
        <w:rPr>
          <w:sz w:val="18"/>
        </w:rPr>
        <w:t xml:space="preserve"> Jos tietyt</w:t>
      </w:r>
      <w:r>
        <w:rPr>
          <w:sz w:val="18"/>
        </w:rPr>
        <w:t xml:space="preserve"> tulokset eivät ole mahdollisia, sellaisia tulosindikaattoreita koskevia tietoja ei tarvitse kerätä eikä toimittaa. Jos tiedot kerätään rekistereistä, jäsenvaltioiden ei tarvitse käyttää yhteisesti sovittuja määritelmiä vaan ne voivat käyttää kansallisia m</w:t>
      </w:r>
      <w:r>
        <w:rPr>
          <w:sz w:val="18"/>
        </w:rPr>
        <w:t>ääritelmiä.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77E" w:rsidRDefault="009A07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77E" w:rsidRDefault="009A077E">
    <w:pPr>
      <w:pStyle w:val="HeaderCoverPag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77E" w:rsidRDefault="009A077E">
    <w:pPr>
      <w:pStyle w:val="HeaderCoverPag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77E" w:rsidRDefault="009A077E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77E" w:rsidRDefault="009A077E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77E" w:rsidRDefault="009A077E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77E" w:rsidRDefault="009A077E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77E" w:rsidRDefault="009A077E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77E" w:rsidRDefault="009A07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A4615"/>
    <w:multiLevelType w:val="hybridMultilevel"/>
    <w:tmpl w:val="37F636A6"/>
    <w:lvl w:ilvl="0" w:tplc="F83472C8">
      <w:start w:val="1"/>
      <w:numFmt w:val="decimal"/>
      <w:lvlText w:val="%1."/>
      <w:lvlJc w:val="left"/>
      <w:pPr>
        <w:ind w:left="502" w:hanging="360"/>
      </w:pPr>
      <w:rPr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DEECC106">
      <w:start w:val="239"/>
      <w:numFmt w:val="bullet"/>
      <w:lvlText w:val="-"/>
      <w:lvlJc w:val="left"/>
      <w:pPr>
        <w:ind w:left="2160" w:hanging="180"/>
      </w:pPr>
      <w:rPr>
        <w:rFonts w:ascii="Calibri" w:eastAsia="Calibri" w:hAnsi="Calibri" w:cs="Calibri" w:hint="default"/>
      </w:r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hideSpellingErrors/>
  <w:hideGrammaticalErrors/>
  <w:defaultTabStop w:val="720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Status" w:val="Green"/>
    <w:docVar w:name="LW_ACCOMPAGNANT.CP" w:val="asiakirjaan"/>
    <w:docVar w:name="LW_ANNEX_NBR_FIRST" w:val="1"/>
    <w:docVar w:name="LW_ANNEX_NBR_LAST" w:val="3"/>
    <w:docVar w:name="LW_ANNEX_UNIQUE" w:val="0"/>
    <w:docVar w:name="LW_CORRIGENDUM" w:val="&lt;UNUSED&gt;"/>
    <w:docVar w:name="LW_COVERPAGE_EXISTS" w:val="True"/>
    <w:docVar w:name="LW_COVERPAGE_GUID" w:val="1E1C4C95-6DA2-4C48-8D25-C2059760BF75"/>
    <w:docVar w:name="LW_COVERPAGE_TYPE" w:val="1"/>
    <w:docVar w:name="LW_CROSSREFERENCE" w:val="&lt;UNUSED&gt;"/>
    <w:docVar w:name="LW_DocType" w:val="NORMAL"/>
    <w:docVar w:name="LW_EMISSION" w:val="14.1.2020"/>
    <w:docVar w:name="LW_EMISSION_ISODATE" w:val="2020-01-14"/>
    <w:docVar w:name="LW_EMISSION_LOCATION" w:val="BRX"/>
    <w:docVar w:name="LW_EMISSION_PREFIX" w:val="Bryssel "/>
    <w:docVar w:name="LW_EMISSION_SUFFIX" w:val=" "/>
    <w:docVar w:name="LW_ID_DOCTYPE_NONLW" w:val="CP-036"/>
    <w:docVar w:name="LW_LANGUE" w:val="FI"/>
    <w:docVar w:name="LW_LEVEL_OF_SENSITIVITY" w:val="Standard treatment"/>
    <w:docVar w:name="LW_NOM.INST" w:val="EUROOPAN KOMISSIO"/>
    <w:docVar w:name="LW_NOM.INST_JOINTDOC" w:val="&lt;EMPTY&gt;"/>
    <w:docVar w:name="LW_OBJETACTEPRINCIPAL.CP" w:val="oikeudenmukaisen siirtymän rahaston perustamisesta"/>
    <w:docVar w:name="LW_PART_NBR" w:val="&lt;UNUSED&gt;"/>
    <w:docVar w:name="LW_PART_NBR_TOTAL" w:val="&lt;UNUSED&gt;"/>
    <w:docVar w:name="LW_REF.INST.NEW" w:val="COM"/>
    <w:docVar w:name="LW_REF.INST.NEW_ADOPTED" w:val="final"/>
    <w:docVar w:name="LW_REF.INST.NEW_TEXT" w:val="(2020) 22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UPERTITRE" w:val="&lt;UNUSED&gt;"/>
    <w:docVar w:name="LW_TYPE.DOC.CP" w:val="LIITTEET_x000b_"/>
    <w:docVar w:name="LW_TYPEACTEPRINCIPAL.CP" w:val="Ehdotus_x000b__x000b_EUROOPAN PARLAMENTIN JA NEUVOSTON ASETUKSEKSI"/>
  </w:docVars>
  <w:rsids>
    <w:rsidRoot w:val="009A077E"/>
    <w:rsid w:val="006E3F75"/>
    <w:rsid w:val="009A0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docId w15:val="{3B230158-C770-4DD0-AC06-F0D1C94A5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fi-FI"/>
    </w:rPr>
  </w:style>
  <w:style w:type="paragraph" w:styleId="FootnoteText">
    <w:name w:val="footnote text"/>
    <w:aliases w:val="Footnote Text Char1,Footnote Text Char1 Char Char,Footnote Text Char Char Char Char,Footnote Text Char Char Char Char Char Char Char Char,Footnote Text Char Char1,Schriftart: 9 pt,f"/>
    <w:basedOn w:val="Normal"/>
    <w:link w:val="FootnoteTextChar"/>
    <w:uiPriority w:val="99"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aliases w:val="Footnote Text Char1 Char,Footnote Text Char1 Char Char Char,Footnote Text Char Char Char Char Char,Footnote Text Char Char Char Char Char Char Char Char Char,Footnote Text Char Char1 Char,Schriftart: 9 pt Char,f Char"/>
    <w:basedOn w:val="DefaultParagraphFont"/>
    <w:link w:val="FootnoteText"/>
    <w:uiPriority w:val="99"/>
    <w:rPr>
      <w:rFonts w:ascii="Times New Roman" w:hAnsi="Times New Roman" w:cs="Times New Roman"/>
      <w:sz w:val="20"/>
      <w:szCs w:val="20"/>
      <w:lang w:val="fi-FI"/>
    </w:rPr>
  </w:style>
  <w:style w:type="character" w:styleId="FootnoteReference">
    <w:name w:val="footnote reference"/>
    <w:aliases w:val="Footnote call,BVI fnr,SUPERS,Footnote symbol, BVI fnr,(Footnote Reference),Footnote,Voetnootverwijzing,Times 10 Point,Exposant 3 Point,Footnote reference number,note TESI,stylish,Ref,de nota al pie,Footnote Reference1,16 Point"/>
    <w:basedOn w:val="DefaultParagraphFont"/>
    <w:uiPriority w:val="99"/>
    <w:unhideWhenUsed/>
    <w:rPr>
      <w:shd w:val="clear" w:color="auto" w:fill="auto"/>
      <w:vertAlign w:val="superscript"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Annexetitre">
    <w:name w:val="Annexe titre"/>
    <w:basedOn w:val="Normal"/>
    <w:next w:val="Normal"/>
    <w:link w:val="AnnexetitreChar"/>
    <w:pPr>
      <w:jc w:val="center"/>
    </w:pPr>
    <w:rPr>
      <w:b/>
      <w:u w:val="single"/>
    </w:rPr>
  </w:style>
  <w:style w:type="paragraph" w:styleId="ListParagraph">
    <w:name w:val="List Paragraph"/>
    <w:aliases w:val="List Paragraph compact,Normal bullet 2,Paragraphe de liste 2,Reference list,Bullet list,Numbered List,List Paragraph1,1st level - Bullet List Paragraph,Lettre d'introduction,Paragraph,Bullet EY,List Paragraph11,Normal bullet 21,List L1"/>
    <w:basedOn w:val="Normal"/>
    <w:link w:val="ListParagraphChar"/>
    <w:uiPriority w:val="34"/>
    <w:qFormat/>
    <w:pPr>
      <w:spacing w:before="0" w:after="200" w:line="276" w:lineRule="auto"/>
      <w:ind w:left="720"/>
      <w:contextualSpacing/>
      <w:jc w:val="left"/>
    </w:pPr>
    <w:rPr>
      <w:rFonts w:asciiTheme="minorHAnsi" w:hAnsiTheme="minorHAnsi" w:cstheme="minorBidi"/>
      <w:sz w:val="22"/>
    </w:rPr>
  </w:style>
  <w:style w:type="character" w:customStyle="1" w:styleId="ListParagraphChar">
    <w:name w:val="List Paragraph Char"/>
    <w:aliases w:val="List Paragraph compact Char,Normal bullet 2 Char,Paragraphe de liste 2 Char,Reference list Char,Bullet list Char,Numbered List Char,List Paragraph1 Char,1st level - Bullet List Paragraph Char,Lettre d'introduction Char,Paragraph Char"/>
    <w:link w:val="ListParagraph"/>
    <w:uiPriority w:val="34"/>
    <w:qFormat/>
    <w:locked/>
    <w:rPr>
      <w:lang w:val="fi-FI"/>
    </w:rPr>
  </w:style>
  <w:style w:type="table" w:styleId="TableGrid">
    <w:name w:val="Table Grid"/>
    <w:basedOn w:val="TableNormal"/>
    <w:uiPriority w:val="59"/>
    <w:unhideWhenUsed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fi-FI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AnnexetitreChar">
    <w:name w:val="Annexe titre Char"/>
    <w:basedOn w:val="DefaultParagraphFont"/>
    <w:link w:val="Annexetitre"/>
    <w:rPr>
      <w:rFonts w:ascii="Times New Roman" w:hAnsi="Times New Roman" w:cs="Times New Roman"/>
      <w:b/>
      <w:sz w:val="24"/>
      <w:u w:val="single"/>
      <w:lang w:val="fi-FI"/>
    </w:rPr>
  </w:style>
  <w:style w:type="character" w:customStyle="1" w:styleId="FooterCoverPageChar">
    <w:name w:val="Footer Cover Page Char"/>
    <w:basedOn w:val="AnnexetitreChar"/>
    <w:link w:val="FooterCoverPage"/>
    <w:rPr>
      <w:rFonts w:ascii="Times New Roman" w:hAnsi="Times New Roman" w:cs="Times New Roman"/>
      <w:b w:val="0"/>
      <w:sz w:val="24"/>
      <w:u w:val="single"/>
      <w:lang w:val="fi-FI"/>
    </w:rPr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character" w:customStyle="1" w:styleId="FooterSensitivityChar">
    <w:name w:val="Footer Sensitivity Char"/>
    <w:basedOn w:val="AnnexetitreChar"/>
    <w:link w:val="FooterSensitivity"/>
    <w:rPr>
      <w:rFonts w:ascii="Times New Roman" w:hAnsi="Times New Roman" w:cs="Times New Roman"/>
      <w:b/>
      <w:sz w:val="32"/>
      <w:u w:val="single"/>
      <w:lang w:val="fi-FI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before="0"/>
    </w:pPr>
  </w:style>
  <w:style w:type="character" w:customStyle="1" w:styleId="HeaderCoverPageChar">
    <w:name w:val="Header Cover Page Char"/>
    <w:basedOn w:val="AnnexetitreChar"/>
    <w:link w:val="HeaderCoverPage"/>
    <w:rPr>
      <w:rFonts w:ascii="Times New Roman" w:hAnsi="Times New Roman" w:cs="Times New Roman"/>
      <w:b w:val="0"/>
      <w:sz w:val="24"/>
      <w:u w:val="single"/>
      <w:lang w:val="fi-FI"/>
    </w:rPr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character" w:customStyle="1" w:styleId="HeaderSensitivityChar">
    <w:name w:val="Header Sensitivity Char"/>
    <w:basedOn w:val="AnnexetitreChar"/>
    <w:link w:val="HeaderSensitivity"/>
    <w:rPr>
      <w:rFonts w:ascii="Times New Roman" w:hAnsi="Times New Roman" w:cs="Times New Roman"/>
      <w:b/>
      <w:sz w:val="32"/>
      <w:u w:val="single"/>
      <w:lang w:val="fi-FI"/>
    </w:rPr>
  </w:style>
  <w:style w:type="paragraph" w:customStyle="1" w:styleId="HeaderSensitivityRight">
    <w:name w:val="Header Sensitivity Right"/>
    <w:basedOn w:val="Normal"/>
    <w:link w:val="HeaderSensitivityRightChar"/>
    <w:pPr>
      <w:spacing w:before="0"/>
      <w:jc w:val="right"/>
    </w:pPr>
    <w:rPr>
      <w:sz w:val="28"/>
    </w:rPr>
  </w:style>
  <w:style w:type="character" w:customStyle="1" w:styleId="HeaderSensitivityRightChar">
    <w:name w:val="Header Sensitivity Right Char"/>
    <w:basedOn w:val="AnnexetitreChar"/>
    <w:link w:val="HeaderSensitivityRight"/>
    <w:rPr>
      <w:rFonts w:ascii="Times New Roman" w:hAnsi="Times New Roman" w:cs="Times New Roman"/>
      <w:b w:val="0"/>
      <w:sz w:val="28"/>
      <w:u w:val="single"/>
      <w:lang w:val="fi-FI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fi-FI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oter" Target="footer9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8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C7715359-CD68-4343-8FD6-117ED5799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</Pages>
  <Words>1650</Words>
  <Characters>10132</Characters>
  <Application>Microsoft Office Word</Application>
  <DocSecurity>0</DocSecurity>
  <Lines>307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MEIJER Martine (REGIO)</dc:creator>
  <cp:keywords/>
  <dc:description/>
  <cp:lastModifiedBy>HEILEMANN Stefanie (SG)</cp:lastModifiedBy>
  <cp:revision>24</cp:revision>
  <dcterms:created xsi:type="dcterms:W3CDTF">2020-01-11T08:35:00Z</dcterms:created>
  <dcterms:modified xsi:type="dcterms:W3CDTF">2020-01-16T15:24:00Z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evel of sensitivity">
    <vt:lpwstr>Standard treatment</vt:lpwstr>
  </property>
  <property fmtid="{D5CDD505-2E9C-101B-9397-08002B2CF9AE}" pid="3" name="First annex">
    <vt:lpwstr>1</vt:lpwstr>
  </property>
  <property fmtid="{D5CDD505-2E9C-101B-9397-08002B2CF9AE}" pid="4" name="Last annex">
    <vt:lpwstr>3</vt:lpwstr>
  </property>
  <property fmtid="{D5CDD505-2E9C-101B-9397-08002B2CF9AE}" pid="5" name="Unique annex">
    <vt:lpwstr>0</vt:lpwstr>
  </property>
  <property fmtid="{D5CDD505-2E9C-101B-9397-08002B2CF9AE}" pid="6" name="Part">
    <vt:lpwstr>&lt;UNUSED&gt;</vt:lpwstr>
  </property>
  <property fmtid="{D5CDD505-2E9C-101B-9397-08002B2CF9AE}" pid="7" name="Total parts">
    <vt:lpwstr>&lt;UNUSED&gt;</vt:lpwstr>
  </property>
  <property fmtid="{D5CDD505-2E9C-101B-9397-08002B2CF9AE}" pid="8" name="DocStatus">
    <vt:lpwstr>Green</vt:lpwstr>
  </property>
  <property fmtid="{D5CDD505-2E9C-101B-9397-08002B2CF9AE}" pid="9" name="CPTemplateID">
    <vt:lpwstr>CP-036</vt:lpwstr>
  </property>
  <property fmtid="{D5CDD505-2E9C-101B-9397-08002B2CF9AE}" pid="10" name="Last edited using">
    <vt:lpwstr>LW 7.0, Build 20190717</vt:lpwstr>
  </property>
  <property fmtid="{D5CDD505-2E9C-101B-9397-08002B2CF9AE}" pid="11" name="Created using">
    <vt:lpwstr>LW 7.0, Build 20190717</vt:lpwstr>
  </property>
</Properties>
</file>