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D1C" w:rsidRDefault="00E664B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D0F53C0-BE0F-448C-B6E2-6D44DCC38704" style="width:450.25pt;height:379.35pt">
            <v:imagedata r:id="rId8" o:title=""/>
          </v:shape>
        </w:pict>
      </w:r>
    </w:p>
    <w:bookmarkEnd w:id="0"/>
    <w:p w:rsidR="00E72D1C" w:rsidRDefault="00E72D1C">
      <w:pPr>
        <w:rPr>
          <w:noProof/>
        </w:rPr>
        <w:sectPr w:rsidR="00E72D1C">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E72D1C" w:rsidRDefault="00E664BF">
      <w:pPr>
        <w:pStyle w:val="Annexetitre"/>
        <w:rPr>
          <w:rStyle w:val="Marker"/>
          <w:noProof/>
          <w:color w:val="auto"/>
        </w:rPr>
      </w:pPr>
      <w:r>
        <w:rPr>
          <w:rStyle w:val="Marker"/>
          <w:noProof/>
        </w:rPr>
        <w:lastRenderedPageBreak/>
        <w:t>I</w:t>
      </w:r>
      <w:r>
        <w:rPr>
          <w:noProof/>
        </w:rPr>
        <w:t xml:space="preserve"> PRIEDAS</w:t>
      </w:r>
    </w:p>
    <w:p w:rsidR="00E72D1C" w:rsidRDefault="00E664BF">
      <w:pPr>
        <w:rPr>
          <w:noProof/>
        </w:rPr>
      </w:pPr>
      <w:r>
        <w:rPr>
          <w:noProof/>
        </w:rPr>
        <w:t xml:space="preserve"> </w:t>
      </w:r>
    </w:p>
    <w:p w:rsidR="00E72D1C" w:rsidRDefault="00E664BF">
      <w:pPr>
        <w:jc w:val="center"/>
        <w:rPr>
          <w:b/>
          <w:noProof/>
          <w:sz w:val="28"/>
          <w:szCs w:val="28"/>
          <w:u w:val="single"/>
        </w:rPr>
      </w:pPr>
      <w:r>
        <w:rPr>
          <w:rFonts w:ascii="Times New Roman Bold" w:hAnsi="Times New Roman Bold"/>
          <w:b/>
          <w:caps/>
          <w:noProof/>
        </w:rPr>
        <w:t>Teisingos pertvarkos fondo išteklių paskirstymo metodas</w:t>
      </w:r>
    </w:p>
    <w:p w:rsidR="00E72D1C" w:rsidRDefault="00E72D1C">
      <w:pPr>
        <w:rPr>
          <w:noProof/>
        </w:rPr>
      </w:pPr>
    </w:p>
    <w:p w:rsidR="00E72D1C" w:rsidRDefault="00E664BF">
      <w:pPr>
        <w:rPr>
          <w:noProof/>
        </w:rPr>
      </w:pPr>
      <w:r>
        <w:rPr>
          <w:noProof/>
        </w:rPr>
        <w:t xml:space="preserve">Kiekvienos valstybės narės finansinis paketas nustatomas šiais etapais: </w:t>
      </w:r>
    </w:p>
    <w:p w:rsidR="00E72D1C" w:rsidRDefault="00E664BF">
      <w:pPr>
        <w:ind w:left="720" w:hanging="720"/>
        <w:rPr>
          <w:noProof/>
        </w:rPr>
      </w:pPr>
      <w:r>
        <w:rPr>
          <w:noProof/>
        </w:rPr>
        <w:t>a)</w:t>
      </w:r>
      <w:r>
        <w:rPr>
          <w:noProof/>
        </w:rPr>
        <w:tab/>
      </w:r>
      <w:r>
        <w:rPr>
          <w:noProof/>
        </w:rPr>
        <w:t>Kiekvienos valstybės narės dalis apskaičiuojama kaip dalių, nustatytų pagal toliau nurodytus kriterijus, svertinė suma, ir pritaikomi nurodyti koeficientai:</w:t>
      </w:r>
    </w:p>
    <w:p w:rsidR="00E72D1C" w:rsidRDefault="00E664BF">
      <w:pPr>
        <w:ind w:left="1457" w:hanging="720"/>
        <w:rPr>
          <w:noProof/>
        </w:rPr>
      </w:pPr>
      <w:r>
        <w:rPr>
          <w:noProof/>
        </w:rPr>
        <w:t>i)</w:t>
      </w:r>
      <w:r>
        <w:rPr>
          <w:noProof/>
        </w:rPr>
        <w:tab/>
        <w:t>pramonės įrenginių išmetamų šiltnamio efektą sukeliančių dujų kiekis NUTS 2 lygio regionuose, ku</w:t>
      </w:r>
      <w:r>
        <w:rPr>
          <w:noProof/>
        </w:rPr>
        <w:t>riuose taršos anglies dioksidu intensyvumas, nustatytas kaip pramonės įrenginių išmetamų šiltnamio efektą sukeliančių dujų kiekio, apie kurį valstybės narės praneša pagal Europos Parlamento ir Tarybos Reglamento (EB) Nr. 166/2006</w:t>
      </w:r>
      <w:r>
        <w:rPr>
          <w:rStyle w:val="FootnoteReference"/>
          <w:noProof/>
        </w:rPr>
        <w:footnoteReference w:id="1"/>
      </w:r>
      <w:r>
        <w:rPr>
          <w:noProof/>
        </w:rPr>
        <w:t xml:space="preserve"> 7 straipsnį, ir pramonės </w:t>
      </w:r>
      <w:r>
        <w:rPr>
          <w:noProof/>
        </w:rPr>
        <w:t xml:space="preserve">sektoriaus bendrosios pridėtinės vertės santykis, du kartus viršija ES-27 vidurkį. Jei tas lygis konkrečioje valstybėje narėje neviršijamas nė viename NUTS 2 lygio regione, atsižvelgiama į pramonės įrenginių, kurių taršos anglies dioksidu intensyvumas yra </w:t>
      </w:r>
      <w:r>
        <w:rPr>
          <w:noProof/>
        </w:rPr>
        <w:t>didžiausias, išmetamą šiltnamio efektą sukeliančių dujų kiekį NUTS 2 lygio regione (koeficientas – 49 proc.);</w:t>
      </w:r>
    </w:p>
    <w:p w:rsidR="00E72D1C" w:rsidRDefault="00E664BF">
      <w:pPr>
        <w:ind w:left="1457" w:hanging="720"/>
        <w:rPr>
          <w:noProof/>
        </w:rPr>
      </w:pPr>
      <w:r>
        <w:rPr>
          <w:noProof/>
        </w:rPr>
        <w:t>ii)</w:t>
      </w:r>
      <w:r>
        <w:rPr>
          <w:noProof/>
        </w:rPr>
        <w:tab/>
        <w:t>užimtumas anglių ir lignito kasybos sektoriuje (koeficientas – 25 proc.);</w:t>
      </w:r>
    </w:p>
    <w:p w:rsidR="00E72D1C" w:rsidRDefault="00E664BF">
      <w:pPr>
        <w:ind w:left="1457" w:hanging="720"/>
        <w:rPr>
          <w:noProof/>
        </w:rPr>
      </w:pPr>
      <w:r>
        <w:rPr>
          <w:noProof/>
        </w:rPr>
        <w:t>iii)</w:t>
      </w:r>
      <w:r>
        <w:rPr>
          <w:noProof/>
        </w:rPr>
        <w:tab/>
        <w:t xml:space="preserve">užimtumas pramonės sektoriuje NUTS 2 lygio regionuose, į </w:t>
      </w:r>
      <w:r>
        <w:rPr>
          <w:noProof/>
        </w:rPr>
        <w:t>kuriuos atsižvelgiama taikant i papunktį (koeficientas – 25 proc.);</w:t>
      </w:r>
    </w:p>
    <w:p w:rsidR="00E72D1C" w:rsidRDefault="00E664BF">
      <w:pPr>
        <w:ind w:left="1457" w:hanging="720"/>
        <w:rPr>
          <w:noProof/>
        </w:rPr>
      </w:pPr>
      <w:r>
        <w:rPr>
          <w:noProof/>
        </w:rPr>
        <w:t>iv)</w:t>
      </w:r>
      <w:r>
        <w:rPr>
          <w:noProof/>
        </w:rPr>
        <w:tab/>
        <w:t>durpių gamyba (koeficientas – 0,95 proc.);</w:t>
      </w:r>
    </w:p>
    <w:p w:rsidR="00E72D1C" w:rsidRDefault="00E664BF">
      <w:pPr>
        <w:ind w:left="1457" w:hanging="720"/>
        <w:rPr>
          <w:noProof/>
        </w:rPr>
      </w:pPr>
      <w:r>
        <w:rPr>
          <w:noProof/>
        </w:rPr>
        <w:t>v)</w:t>
      </w:r>
      <w:r>
        <w:rPr>
          <w:noProof/>
        </w:rPr>
        <w:tab/>
        <w:t>degiųjų skalūnų gamyba (koeficientas – 0,05 proc.).</w:t>
      </w:r>
    </w:p>
    <w:p w:rsidR="00E72D1C" w:rsidRDefault="00E664BF">
      <w:pPr>
        <w:ind w:left="720" w:hanging="720"/>
        <w:rPr>
          <w:noProof/>
        </w:rPr>
      </w:pPr>
      <w:r>
        <w:rPr>
          <w:noProof/>
        </w:rPr>
        <w:t>b)</w:t>
      </w:r>
      <w:r>
        <w:rPr>
          <w:noProof/>
        </w:rPr>
        <w:tab/>
        <w:t xml:space="preserve">Asignavimai, gauti taikant a punktą, koreguojami siekiant užtikrinti, kad nė viena </w:t>
      </w:r>
      <w:r>
        <w:rPr>
          <w:noProof/>
        </w:rPr>
        <w:t>valstybė narė negautų didesnės nei 2 mlrd. EUR sumos. 2 mlrd. EUR vienai valstybei narei viršijančios sumos perskirstomos proporcingai visų kitų valstybių narių asignavimams. Atitinkamai perskaičiuojamos valstybių narių dalys.</w:t>
      </w:r>
    </w:p>
    <w:p w:rsidR="00E72D1C" w:rsidRDefault="00E664BF">
      <w:pPr>
        <w:ind w:left="720" w:hanging="720"/>
        <w:rPr>
          <w:noProof/>
        </w:rPr>
      </w:pPr>
      <w:r>
        <w:rPr>
          <w:noProof/>
        </w:rPr>
        <w:t xml:space="preserve">c) </w:t>
      </w:r>
      <w:r>
        <w:rPr>
          <w:noProof/>
        </w:rPr>
        <w:tab/>
        <w:t>Taikant b punktą gautos v</w:t>
      </w:r>
      <w:r>
        <w:rPr>
          <w:noProof/>
        </w:rPr>
        <w:t>alstybių narių dalys pakoreguojamos į didesnę arba mažesnę pusę, tos valstybės narės BNP vienam gyventojui (apskaičiuoto perkamosios galios paritetais) 2015–2017 m. ir ES 27 valstybių narių BNP vienam gyventojui vidurkio (vidurkis išreikštas 100 proc.) ski</w:t>
      </w:r>
      <w:r>
        <w:rPr>
          <w:noProof/>
        </w:rPr>
        <w:t>rtumą, teigiamą arba neigiamą, padauginant iš 1,5 koeficiento.</w:t>
      </w:r>
    </w:p>
    <w:p w:rsidR="00E72D1C" w:rsidRDefault="00E664BF">
      <w:pPr>
        <w:rPr>
          <w:noProof/>
        </w:rPr>
      </w:pPr>
      <w:r>
        <w:rPr>
          <w:noProof/>
        </w:rPr>
        <w:t>Šis koregavimas netaikomas valstybėms narėms, kurių asignavimai buvo apriboti pagal b punktą.</w:t>
      </w:r>
    </w:p>
    <w:p w:rsidR="00E72D1C" w:rsidRDefault="00E664BF">
      <w:pPr>
        <w:ind w:left="720" w:hanging="720"/>
        <w:rPr>
          <w:noProof/>
        </w:rPr>
      </w:pPr>
      <w:r>
        <w:rPr>
          <w:noProof/>
        </w:rPr>
        <w:t>d)</w:t>
      </w:r>
      <w:r>
        <w:rPr>
          <w:noProof/>
        </w:rPr>
        <w:tab/>
        <w:t>Taikant c punktą gauti asignavimai yra koreguojami siekiant užtikrinti, kad dėl galutinio TPF as</w:t>
      </w:r>
      <w:r>
        <w:rPr>
          <w:noProof/>
        </w:rPr>
        <w:t xml:space="preserve">ignavimo pagalbos intensyvumas vienam gyventojui (skaičiuojamas pagal bendrą valstybės narės gyventojų skaičių) per visą laikotarpį siektų bent 6 EUR.  </w:t>
      </w:r>
    </w:p>
    <w:p w:rsidR="00E72D1C" w:rsidRDefault="00E664BF">
      <w:pPr>
        <w:ind w:left="720"/>
        <w:rPr>
          <w:noProof/>
        </w:rPr>
      </w:pPr>
      <w:r>
        <w:rPr>
          <w:noProof/>
        </w:rPr>
        <w:t>Sumos, skirtos užtikrinti minimalų pagalbos intensyvumą, proporcingai išskaičiuojamos iš visų kitų vals</w:t>
      </w:r>
      <w:r>
        <w:rPr>
          <w:noProof/>
        </w:rPr>
        <w:t xml:space="preserve">tybių narių asignavimų, išskyrus tas, kurių asignavimai apriboti pagal b punktą. </w:t>
      </w:r>
    </w:p>
    <w:p w:rsidR="00E72D1C" w:rsidRDefault="00E664BF">
      <w:pPr>
        <w:rPr>
          <w:noProof/>
        </w:rPr>
      </w:pPr>
      <w:r>
        <w:rPr>
          <w:noProof/>
        </w:rPr>
        <w:lastRenderedPageBreak/>
        <w:t>Teisingos pertvarkos fondo asignavimai papildo asignavimus, gaunamus pagal [naujo BNR pasiūlymo] XXII priedo 1–16 punktus, ir neįtraukiami į asignavimų pagrindą, kuriam taiko</w:t>
      </w:r>
      <w:r>
        <w:rPr>
          <w:noProof/>
        </w:rPr>
        <w:t>mi [naujo BNR pasiūlymo] XXII priedo 10–15 punktai.</w:t>
      </w:r>
    </w:p>
    <w:p w:rsidR="00E72D1C" w:rsidRDefault="00E664BF">
      <w:pPr>
        <w:rPr>
          <w:noProof/>
        </w:rPr>
      </w:pPr>
      <w:r>
        <w:rPr>
          <w:noProof/>
        </w:rPr>
        <w:br w:type="page"/>
      </w:r>
    </w:p>
    <w:p w:rsidR="00E72D1C" w:rsidRDefault="00E72D1C">
      <w:pPr>
        <w:rPr>
          <w:noProof/>
        </w:rPr>
      </w:pPr>
    </w:p>
    <w:p w:rsidR="00E72D1C" w:rsidRDefault="00E72D1C">
      <w:pPr>
        <w:rPr>
          <w:noProof/>
        </w:rPr>
      </w:pPr>
    </w:p>
    <w:p w:rsidR="00E72D1C" w:rsidRDefault="00E664BF">
      <w:pPr>
        <w:jc w:val="center"/>
        <w:rPr>
          <w:b/>
          <w:noProof/>
          <w:u w:val="single"/>
        </w:rPr>
      </w:pPr>
      <w:r>
        <w:rPr>
          <w:b/>
          <w:noProof/>
          <w:u w:val="single"/>
        </w:rPr>
        <w:t>II PRIEDAS</w:t>
      </w:r>
    </w:p>
    <w:p w:rsidR="00E72D1C" w:rsidRDefault="00E664BF">
      <w:pPr>
        <w:jc w:val="center"/>
        <w:rPr>
          <w:rFonts w:ascii="Times New Roman Bold" w:eastAsia="Calibri" w:hAnsi="Times New Roman Bold"/>
          <w:b/>
          <w:caps/>
          <w:noProof/>
          <w:szCs w:val="24"/>
        </w:rPr>
      </w:pPr>
      <w:r>
        <w:rPr>
          <w:rFonts w:ascii="Times New Roman Bold" w:hAnsi="Times New Roman Bold"/>
          <w:b/>
          <w:caps/>
          <w:noProof/>
        </w:rPr>
        <w:t xml:space="preserve">Teritorinio teisingos pertvarkos plano pavyzdys </w:t>
      </w:r>
    </w:p>
    <w:p w:rsidR="00E72D1C" w:rsidRDefault="00E72D1C">
      <w:pPr>
        <w:jc w:val="center"/>
        <w:rPr>
          <w:rFonts w:ascii="Times New Roman Bold" w:eastAsia="Calibri" w:hAnsi="Times New Roman Bold"/>
          <w:b/>
          <w:caps/>
          <w:noProof/>
          <w:szCs w:val="24"/>
        </w:rPr>
      </w:pPr>
    </w:p>
    <w:p w:rsidR="00E72D1C" w:rsidRDefault="00E664BF">
      <w:pPr>
        <w:numPr>
          <w:ilvl w:val="0"/>
          <w:numId w:val="1"/>
        </w:numPr>
        <w:spacing w:before="0" w:after="200" w:line="276" w:lineRule="auto"/>
        <w:jc w:val="left"/>
        <w:rPr>
          <w:rFonts w:eastAsia="Times New Roman"/>
          <w:b/>
          <w:iCs/>
          <w:noProof/>
          <w:szCs w:val="24"/>
        </w:rPr>
      </w:pPr>
      <w:r>
        <w:rPr>
          <w:b/>
          <w:iCs/>
          <w:noProof/>
        </w:rPr>
        <w:t>Pertvarkos proceso metmenys ir labiausiai neigiamai paveiktų teritorijų valstybėje narėje nustatymas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[12000]</w:t>
            </w:r>
          </w:p>
        </w:tc>
      </w:tr>
    </w:tbl>
    <w:p w:rsidR="00E72D1C" w:rsidRDefault="00E72D1C">
      <w:pPr>
        <w:spacing w:before="0" w:after="200" w:line="276" w:lineRule="auto"/>
        <w:ind w:left="502"/>
        <w:jc w:val="left"/>
        <w:rPr>
          <w:rFonts w:eastAsia="Times New Roman"/>
          <w:b/>
          <w:iCs/>
          <w:noProof/>
          <w:szCs w:val="24"/>
        </w:rPr>
      </w:pPr>
    </w:p>
    <w:p w:rsidR="00E72D1C" w:rsidRDefault="00E664BF">
      <w:pPr>
        <w:pStyle w:val="ListParagraph"/>
        <w:ind w:left="750"/>
        <w:rPr>
          <w:rFonts w:ascii="Times New Roman" w:hAnsi="Times New Roman" w:cs="Times New Roman"/>
          <w:noProof/>
          <w:sz w:val="24"/>
          <w:szCs w:val="24"/>
          <w:highlight w:val="yellow"/>
        </w:rPr>
      </w:pPr>
      <w:r>
        <w:rPr>
          <w:rFonts w:ascii="Times New Roman" w:hAnsi="Times New Roman"/>
          <w:i/>
          <w:noProof/>
        </w:rPr>
        <w:t xml:space="preserve">Nuoroda: </w:t>
      </w:r>
      <w:r>
        <w:rPr>
          <w:rFonts w:ascii="Times New Roman" w:hAnsi="Times New Roman"/>
          <w:i/>
          <w:noProof/>
        </w:rPr>
        <w:t>7 straipsnio 2 dalies a punktas</w:t>
      </w:r>
    </w:p>
    <w:tbl>
      <w:tblPr>
        <w:tblStyle w:val="TableGrid"/>
        <w:tblW w:w="0" w:type="auto"/>
        <w:tblLook w:val="04A0" w:firstRow="1" w:lastRow="0" w:firstColumn="1" w:lastColumn="0" w:noHBand="0" w:noVBand="1"/>
      </w:tblPr>
      <w:tblGrid>
        <w:gridCol w:w="9288"/>
      </w:tblGrid>
      <w:tr w:rsidR="00E72D1C">
        <w:trPr>
          <w:trHeight w:val="699"/>
        </w:trPr>
        <w:tc>
          <w:tcPr>
            <w:tcW w:w="9288" w:type="dxa"/>
          </w:tcPr>
          <w:p w:rsidR="00E72D1C" w:rsidRDefault="00E664BF">
            <w:pPr>
              <w:rPr>
                <w:i/>
                <w:noProof/>
              </w:rPr>
            </w:pPr>
            <w:r>
              <w:rPr>
                <w:i/>
                <w:noProof/>
              </w:rPr>
              <w:t xml:space="preserve">1.1. Numatomo perėjimo prie neutralaus poveikio klimatui ekonomikos proceso metmenys, atsižvelgiant į nacionalinių energetikos ir klimato srities veiksmų planų ir kitų esamų pertvarkos planų tikslus, kartu pateikiant tokios </w:t>
            </w:r>
            <w:r>
              <w:rPr>
                <w:i/>
                <w:noProof/>
              </w:rPr>
              <w:t xml:space="preserve">veiklos kaip anglių ir lignito kasyba arba anglimis kūrenamų elektrinių energijos gamybos nutraukimo arba laipsniško veiklos apimčių mažinimo tvarkaraštį. </w:t>
            </w:r>
          </w:p>
        </w:tc>
      </w:tr>
    </w:tbl>
    <w:p w:rsidR="00E72D1C" w:rsidRDefault="00E72D1C">
      <w:pPr>
        <w:pStyle w:val="ListParagraph"/>
        <w:ind w:left="750"/>
        <w:rPr>
          <w:rFonts w:ascii="Times New Roman" w:hAnsi="Times New Roman" w:cs="Times New Roman"/>
          <w:noProof/>
          <w:sz w:val="24"/>
          <w:szCs w:val="24"/>
          <w:highlight w:val="yellow"/>
        </w:rPr>
      </w:pPr>
    </w:p>
    <w:p w:rsidR="00E72D1C" w:rsidRDefault="00E664BF">
      <w:pPr>
        <w:pStyle w:val="ListParagraph"/>
        <w:ind w:left="750"/>
        <w:rPr>
          <w:rFonts w:ascii="Times New Roman" w:hAnsi="Times New Roman" w:cs="Times New Roman"/>
          <w:noProof/>
          <w:sz w:val="24"/>
          <w:szCs w:val="24"/>
        </w:rPr>
      </w:pPr>
      <w:r>
        <w:rPr>
          <w:rFonts w:ascii="Times New Roman" w:hAnsi="Times New Roman"/>
          <w:i/>
          <w:noProof/>
        </w:rPr>
        <w:t>Nuoroda: 7 straipsnio 2 dalies b punktas</w:t>
      </w:r>
    </w:p>
    <w:tbl>
      <w:tblPr>
        <w:tblStyle w:val="TableGrid"/>
        <w:tblW w:w="0" w:type="auto"/>
        <w:tblLook w:val="04A0" w:firstRow="1" w:lastRow="0" w:firstColumn="1" w:lastColumn="0" w:noHBand="0" w:noVBand="1"/>
      </w:tblPr>
      <w:tblGrid>
        <w:gridCol w:w="9288"/>
      </w:tblGrid>
      <w:tr w:rsidR="00E72D1C">
        <w:trPr>
          <w:trHeight w:val="699"/>
        </w:trPr>
        <w:tc>
          <w:tcPr>
            <w:tcW w:w="9288" w:type="dxa"/>
          </w:tcPr>
          <w:p w:rsidR="00E72D1C" w:rsidRDefault="00E664BF">
            <w:pPr>
              <w:rPr>
                <w:i/>
                <w:noProof/>
              </w:rPr>
            </w:pPr>
            <w:r>
              <w:rPr>
                <w:i/>
                <w:noProof/>
              </w:rPr>
              <w:t>1.2. Teritorijų, kurios, numatoma, patirs didžiausią neig</w:t>
            </w:r>
            <w:r>
              <w:rPr>
                <w:i/>
                <w:noProof/>
              </w:rPr>
              <w:t>iamą poveikį, nustatymas ir tokio pasirinkimo pagrindimas atitinkamai įvertinant poveikį ekonomikai ir užimtumui, remiantis 1.1 skirsnio metmenimis.</w:t>
            </w:r>
          </w:p>
        </w:tc>
      </w:tr>
    </w:tbl>
    <w:p w:rsidR="00E72D1C" w:rsidRDefault="00E72D1C">
      <w:pPr>
        <w:pStyle w:val="ListParagraph"/>
        <w:ind w:left="750"/>
        <w:rPr>
          <w:noProof/>
          <w:szCs w:val="24"/>
        </w:rPr>
      </w:pPr>
    </w:p>
    <w:p w:rsidR="00E72D1C" w:rsidRDefault="00E664BF">
      <w:pPr>
        <w:numPr>
          <w:ilvl w:val="0"/>
          <w:numId w:val="1"/>
        </w:numPr>
        <w:spacing w:before="0" w:after="200" w:line="276" w:lineRule="auto"/>
        <w:jc w:val="left"/>
        <w:rPr>
          <w:rFonts w:eastAsia="Times New Roman"/>
          <w:b/>
          <w:noProof/>
          <w:szCs w:val="24"/>
        </w:rPr>
      </w:pPr>
      <w:r>
        <w:rPr>
          <w:b/>
          <w:noProof/>
        </w:rPr>
        <w:t>Kiekvienos nustatytos teritorijos pertvarkos uždavinių vertinimas</w:t>
      </w:r>
    </w:p>
    <w:p w:rsidR="00E72D1C" w:rsidRDefault="00E664BF">
      <w:pPr>
        <w:pStyle w:val="ListParagraph"/>
        <w:rPr>
          <w:rFonts w:ascii="Times New Roman" w:hAnsi="Times New Roman" w:cs="Times New Roman"/>
          <w:i/>
          <w:noProof/>
          <w:sz w:val="24"/>
          <w:szCs w:val="24"/>
        </w:rPr>
      </w:pPr>
      <w:r>
        <w:rPr>
          <w:rFonts w:ascii="Times New Roman" w:hAnsi="Times New Roman"/>
          <w:noProof/>
        </w:rPr>
        <w:t xml:space="preserve">2.1. Perėjimo prie neutralaus poveikio </w:t>
      </w:r>
      <w:r>
        <w:rPr>
          <w:rFonts w:ascii="Times New Roman" w:hAnsi="Times New Roman"/>
          <w:noProof/>
        </w:rPr>
        <w:t xml:space="preserve">klimatui ekonomikos ekonominio, socialinio ir teritorinio poveikio vertinimas </w:t>
      </w:r>
    </w:p>
    <w:p w:rsidR="00E72D1C" w:rsidRDefault="00E72D1C">
      <w:pPr>
        <w:pStyle w:val="ListParagraph"/>
        <w:rPr>
          <w:rFonts w:ascii="Times New Roman" w:hAnsi="Times New Roman" w:cs="Times New Roman"/>
          <w:noProof/>
          <w:sz w:val="24"/>
          <w:szCs w:val="24"/>
          <w:highlight w:val="yellow"/>
        </w:rPr>
      </w:pPr>
    </w:p>
    <w:p w:rsidR="00E72D1C" w:rsidRDefault="00E664BF">
      <w:pPr>
        <w:pStyle w:val="ListParagraph"/>
        <w:rPr>
          <w:rFonts w:ascii="Times New Roman" w:hAnsi="Times New Roman" w:cs="Times New Roman"/>
          <w:i/>
          <w:noProof/>
          <w:sz w:val="24"/>
          <w:szCs w:val="24"/>
        </w:rPr>
      </w:pPr>
      <w:r>
        <w:rPr>
          <w:rFonts w:ascii="Times New Roman" w:hAnsi="Times New Roman"/>
          <w:i/>
          <w:noProof/>
        </w:rPr>
        <w:t>Nuoroda: 7 straipsnio 2 dalies c punktas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[12000]</w:t>
            </w:r>
          </w:p>
        </w:tc>
      </w:tr>
    </w:tbl>
    <w:p w:rsidR="00E72D1C" w:rsidRDefault="00E72D1C">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E72D1C">
        <w:trPr>
          <w:trHeight w:val="699"/>
        </w:trPr>
        <w:tc>
          <w:tcPr>
            <w:tcW w:w="9288" w:type="dxa"/>
          </w:tcPr>
          <w:p w:rsidR="00E72D1C" w:rsidRDefault="00E664BF">
            <w:pPr>
              <w:spacing w:after="0"/>
              <w:rPr>
                <w:i/>
                <w:noProof/>
                <w:szCs w:val="24"/>
              </w:rPr>
            </w:pPr>
            <w:r>
              <w:rPr>
                <w:i/>
                <w:noProof/>
              </w:rPr>
              <w:t>Ekonominės veiklos ir pramonės sektorių, kuriems daromas poveikis, nustatymas, išskiriant:</w:t>
            </w:r>
          </w:p>
          <w:p w:rsidR="00E72D1C" w:rsidRDefault="00E664BF">
            <w:pPr>
              <w:spacing w:after="0"/>
              <w:rPr>
                <w:i/>
                <w:noProof/>
                <w:szCs w:val="24"/>
              </w:rPr>
            </w:pPr>
            <w:r>
              <w:rPr>
                <w:i/>
                <w:noProof/>
              </w:rPr>
              <w:t xml:space="preserve">- nuosmukį </w:t>
            </w:r>
            <w:r>
              <w:rPr>
                <w:i/>
                <w:noProof/>
              </w:rPr>
              <w:t>patiriančius sektorius, kurie, numatoma, nutrauks su pertvarka susijusią veiklą arba žymiai sumažins jos apimtis; be kita ko, pateikti atitinkamą tvarkaraštį;</w:t>
            </w:r>
          </w:p>
          <w:p w:rsidR="00E72D1C" w:rsidRDefault="00E664BF">
            <w:pPr>
              <w:spacing w:after="0"/>
              <w:rPr>
                <w:i/>
                <w:noProof/>
                <w:szCs w:val="24"/>
              </w:rPr>
            </w:pPr>
            <w:r>
              <w:rPr>
                <w:i/>
                <w:noProof/>
              </w:rPr>
              <w:t>- pertvarkomus sektorius, kurie, numatoma, keis veiklą, procesus ir rezultatus.</w:t>
            </w:r>
          </w:p>
          <w:p w:rsidR="00E72D1C" w:rsidRDefault="00E664BF">
            <w:pPr>
              <w:spacing w:after="0"/>
              <w:rPr>
                <w:i/>
                <w:noProof/>
                <w:szCs w:val="24"/>
              </w:rPr>
            </w:pPr>
            <w:r>
              <w:rPr>
                <w:i/>
                <w:noProof/>
              </w:rPr>
              <w:t>Apie kiekvieną iš</w:t>
            </w:r>
            <w:r>
              <w:rPr>
                <w:i/>
                <w:noProof/>
              </w:rPr>
              <w:t xml:space="preserve"> šių dviejų sektorių nurodyti tokią informaciją: </w:t>
            </w:r>
          </w:p>
          <w:p w:rsidR="00E72D1C" w:rsidRDefault="00E664BF">
            <w:pPr>
              <w:spacing w:after="0"/>
              <w:rPr>
                <w:i/>
                <w:noProof/>
                <w:szCs w:val="24"/>
              </w:rPr>
            </w:pPr>
            <w:r>
              <w:rPr>
                <w:i/>
                <w:noProof/>
              </w:rPr>
              <w:t>- numatomą darbo vietų praradimą ir perkvalifikavimo poreikius, atsižvelgiant į įgūdžių prognozes;</w:t>
            </w:r>
          </w:p>
          <w:p w:rsidR="00E72D1C" w:rsidRDefault="00E664BF">
            <w:pPr>
              <w:rPr>
                <w:noProof/>
                <w:szCs w:val="24"/>
              </w:rPr>
            </w:pPr>
            <w:r>
              <w:rPr>
                <w:i/>
                <w:noProof/>
              </w:rPr>
              <w:lastRenderedPageBreak/>
              <w:t>- ekonomikos įvairinimo potencialą ir plėtros galimybes.</w:t>
            </w:r>
          </w:p>
        </w:tc>
      </w:tr>
    </w:tbl>
    <w:p w:rsidR="00E72D1C" w:rsidRDefault="00E72D1C">
      <w:pPr>
        <w:spacing w:before="0" w:after="200" w:line="276" w:lineRule="auto"/>
        <w:ind w:left="2880"/>
        <w:contextualSpacing/>
        <w:rPr>
          <w:rFonts w:eastAsia="Times New Roman" w:cstheme="minorBidi"/>
          <w:noProof/>
          <w:szCs w:val="24"/>
        </w:rPr>
      </w:pPr>
    </w:p>
    <w:p w:rsidR="00E72D1C" w:rsidRDefault="00E664BF">
      <w:pPr>
        <w:pStyle w:val="ListParagraph"/>
        <w:rPr>
          <w:rFonts w:ascii="Times New Roman" w:hAnsi="Times New Roman" w:cs="Times New Roman"/>
          <w:noProof/>
          <w:sz w:val="24"/>
          <w:szCs w:val="24"/>
        </w:rPr>
      </w:pPr>
      <w:r>
        <w:rPr>
          <w:rFonts w:ascii="Times New Roman" w:hAnsi="Times New Roman"/>
          <w:noProof/>
        </w:rPr>
        <w:t>2.2. Plėtros poreikiai ir tikslai iki 2030 m., k</w:t>
      </w:r>
      <w:r>
        <w:rPr>
          <w:rFonts w:ascii="Times New Roman" w:hAnsi="Times New Roman"/>
          <w:noProof/>
        </w:rPr>
        <w:t>ad būtų pasiektas poveikio klimatui neutralumas</w:t>
      </w:r>
    </w:p>
    <w:p w:rsidR="00E72D1C" w:rsidRDefault="00E72D1C">
      <w:pPr>
        <w:pStyle w:val="ListParagraph"/>
        <w:rPr>
          <w:rFonts w:ascii="Times New Roman" w:hAnsi="Times New Roman" w:cs="Times New Roman"/>
          <w:noProof/>
          <w:sz w:val="24"/>
          <w:szCs w:val="24"/>
        </w:rPr>
      </w:pPr>
    </w:p>
    <w:p w:rsidR="00E72D1C" w:rsidRDefault="00E664BF">
      <w:pPr>
        <w:pStyle w:val="ListParagraph"/>
        <w:rPr>
          <w:rFonts w:ascii="Times New Roman" w:hAnsi="Times New Roman" w:cs="Times New Roman"/>
          <w:i/>
          <w:noProof/>
          <w:sz w:val="24"/>
          <w:szCs w:val="24"/>
        </w:rPr>
      </w:pPr>
      <w:r>
        <w:rPr>
          <w:rFonts w:ascii="Times New Roman" w:hAnsi="Times New Roman"/>
          <w:i/>
          <w:noProof/>
        </w:rPr>
        <w:t>Nuoroda: 7 straipsnio 2 dalies d punktas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[6000]</w:t>
            </w:r>
          </w:p>
        </w:tc>
      </w:tr>
    </w:tbl>
    <w:p w:rsidR="00E72D1C" w:rsidRDefault="00E72D1C">
      <w:pPr>
        <w:pStyle w:val="ListParagraph"/>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9288"/>
      </w:tblGrid>
      <w:tr w:rsidR="00E72D1C">
        <w:trPr>
          <w:trHeight w:val="699"/>
        </w:trPr>
        <w:tc>
          <w:tcPr>
            <w:tcW w:w="9288" w:type="dxa"/>
          </w:tcPr>
          <w:p w:rsidR="00E72D1C" w:rsidRDefault="00E664BF">
            <w:pPr>
              <w:contextualSpacing/>
              <w:rPr>
                <w:rFonts w:eastAsia="Times New Roman"/>
                <w:i/>
                <w:noProof/>
                <w:szCs w:val="24"/>
              </w:rPr>
            </w:pPr>
            <w:r>
              <w:rPr>
                <w:noProof/>
              </w:rPr>
              <w:t xml:space="preserve">- </w:t>
            </w:r>
            <w:r>
              <w:rPr>
                <w:i/>
                <w:noProof/>
              </w:rPr>
              <w:t xml:space="preserve">Plėtra reikia spręsti pertvarkos uždavinius; </w:t>
            </w:r>
          </w:p>
          <w:p w:rsidR="00E72D1C" w:rsidRDefault="00E664BF">
            <w:pPr>
              <w:contextualSpacing/>
              <w:rPr>
                <w:rFonts w:eastAsia="Times New Roman"/>
                <w:noProof/>
                <w:szCs w:val="24"/>
              </w:rPr>
            </w:pPr>
            <w:r>
              <w:rPr>
                <w:i/>
                <w:noProof/>
              </w:rPr>
              <w:t>- Tikslai ir rezultatai, kurių tikimasi įgyvendinant TPF prioritetą.</w:t>
            </w:r>
            <w:r>
              <w:rPr>
                <w:noProof/>
              </w:rPr>
              <w:t xml:space="preserve"> </w:t>
            </w:r>
          </w:p>
        </w:tc>
      </w:tr>
    </w:tbl>
    <w:p w:rsidR="00E72D1C" w:rsidRDefault="00E72D1C">
      <w:pPr>
        <w:spacing w:before="0" w:after="200" w:line="276" w:lineRule="auto"/>
        <w:ind w:left="2160"/>
        <w:contextualSpacing/>
        <w:rPr>
          <w:rFonts w:eastAsia="Times New Roman" w:cstheme="minorBidi"/>
          <w:noProof/>
          <w:szCs w:val="24"/>
        </w:rPr>
      </w:pPr>
    </w:p>
    <w:p w:rsidR="00E72D1C" w:rsidRDefault="00E664BF">
      <w:pPr>
        <w:pStyle w:val="ListParagraph"/>
        <w:rPr>
          <w:rFonts w:ascii="Times New Roman" w:hAnsi="Times New Roman" w:cs="Times New Roman"/>
          <w:noProof/>
          <w:sz w:val="24"/>
          <w:szCs w:val="24"/>
        </w:rPr>
      </w:pPr>
      <w:r>
        <w:rPr>
          <w:rFonts w:ascii="Times New Roman" w:hAnsi="Times New Roman"/>
          <w:noProof/>
        </w:rPr>
        <w:t xml:space="preserve">2.3. Derėjimas su kitomis nacionalinėmis, regioninėmis ar teritorinėmis strategijomis ir planais </w:t>
      </w:r>
    </w:p>
    <w:p w:rsidR="00E72D1C" w:rsidRDefault="00E72D1C">
      <w:pPr>
        <w:pStyle w:val="ListParagraph"/>
        <w:rPr>
          <w:rFonts w:ascii="Times New Roman" w:hAnsi="Times New Roman" w:cs="Times New Roman"/>
          <w:i/>
          <w:noProof/>
          <w:sz w:val="24"/>
          <w:szCs w:val="24"/>
        </w:rPr>
      </w:pPr>
    </w:p>
    <w:p w:rsidR="00E72D1C" w:rsidRDefault="00E664BF">
      <w:pPr>
        <w:pStyle w:val="ListParagraph"/>
        <w:rPr>
          <w:rFonts w:ascii="Times New Roman" w:hAnsi="Times New Roman" w:cs="Times New Roman"/>
          <w:i/>
          <w:noProof/>
          <w:sz w:val="24"/>
          <w:szCs w:val="24"/>
        </w:rPr>
      </w:pPr>
      <w:r>
        <w:rPr>
          <w:rFonts w:ascii="Times New Roman" w:hAnsi="Times New Roman"/>
          <w:i/>
          <w:noProof/>
        </w:rPr>
        <w:t>Nuoroda: 7 straipsnio 2 dalies e punktas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[6000]</w:t>
            </w:r>
          </w:p>
        </w:tc>
      </w:tr>
    </w:tbl>
    <w:p w:rsidR="00E72D1C" w:rsidRDefault="00E72D1C">
      <w:pPr>
        <w:spacing w:before="0" w:after="200" w:line="276" w:lineRule="auto"/>
        <w:ind w:left="2160"/>
        <w:contextualSpacing/>
        <w:rPr>
          <w:rFonts w:eastAsia="Times New Roman" w:cstheme="minorBidi"/>
          <w:noProof/>
          <w:szCs w:val="24"/>
        </w:rPr>
      </w:pPr>
    </w:p>
    <w:tbl>
      <w:tblPr>
        <w:tblStyle w:val="TableGrid"/>
        <w:tblW w:w="0" w:type="auto"/>
        <w:tblLook w:val="04A0" w:firstRow="1" w:lastRow="0" w:firstColumn="1" w:lastColumn="0" w:noHBand="0" w:noVBand="1"/>
      </w:tblPr>
      <w:tblGrid>
        <w:gridCol w:w="9288"/>
      </w:tblGrid>
      <w:tr w:rsidR="00E72D1C">
        <w:trPr>
          <w:trHeight w:val="1125"/>
        </w:trPr>
        <w:tc>
          <w:tcPr>
            <w:tcW w:w="9288" w:type="dxa"/>
          </w:tcPr>
          <w:p w:rsidR="00E72D1C" w:rsidRDefault="00E664BF">
            <w:pPr>
              <w:contextualSpacing/>
              <w:rPr>
                <w:rFonts w:eastAsia="Times New Roman"/>
                <w:i/>
                <w:noProof/>
                <w:szCs w:val="24"/>
              </w:rPr>
            </w:pPr>
            <w:r>
              <w:rPr>
                <w:noProof/>
              </w:rPr>
              <w:t xml:space="preserve">- </w:t>
            </w:r>
            <w:r>
              <w:rPr>
                <w:i/>
                <w:noProof/>
              </w:rPr>
              <w:t>Pažangiosios specializacijos strategijos;</w:t>
            </w:r>
          </w:p>
          <w:p w:rsidR="00E72D1C" w:rsidRDefault="00E664BF">
            <w:pPr>
              <w:contextualSpacing/>
              <w:rPr>
                <w:rFonts w:eastAsia="Times New Roman"/>
                <w:i/>
                <w:noProof/>
                <w:szCs w:val="24"/>
              </w:rPr>
            </w:pPr>
            <w:r>
              <w:rPr>
                <w:i/>
                <w:noProof/>
              </w:rPr>
              <w:t xml:space="preserve">- Reglamento (ES) [naujasis BNR] 23 straipsnyje nurodytos teritorinės strategijos; </w:t>
            </w:r>
          </w:p>
          <w:p w:rsidR="00E72D1C" w:rsidRDefault="00E664BF">
            <w:pPr>
              <w:contextualSpacing/>
              <w:rPr>
                <w:rFonts w:eastAsia="Times New Roman"/>
                <w:b/>
                <w:noProof/>
                <w:szCs w:val="24"/>
              </w:rPr>
            </w:pPr>
            <w:r>
              <w:rPr>
                <w:i/>
                <w:noProof/>
              </w:rPr>
              <w:t>- Kiti regioniniai ar nacionaliniai plėtros planai.</w:t>
            </w:r>
            <w:r>
              <w:rPr>
                <w:b/>
                <w:noProof/>
              </w:rPr>
              <w:t xml:space="preserve"> </w:t>
            </w:r>
          </w:p>
        </w:tc>
      </w:tr>
    </w:tbl>
    <w:p w:rsidR="00E72D1C" w:rsidRDefault="00E72D1C">
      <w:pPr>
        <w:spacing w:before="0" w:after="200" w:line="276" w:lineRule="auto"/>
        <w:ind w:left="2160"/>
        <w:contextualSpacing/>
        <w:rPr>
          <w:rFonts w:eastAsia="Times New Roman" w:cstheme="minorBidi"/>
          <w:noProof/>
          <w:szCs w:val="24"/>
        </w:rPr>
      </w:pPr>
    </w:p>
    <w:p w:rsidR="00E72D1C" w:rsidRDefault="00E664BF">
      <w:pPr>
        <w:pStyle w:val="ListParagraph"/>
        <w:rPr>
          <w:rFonts w:ascii="Times New Roman" w:hAnsi="Times New Roman" w:cs="Times New Roman"/>
          <w:i/>
          <w:noProof/>
          <w:sz w:val="24"/>
          <w:szCs w:val="24"/>
        </w:rPr>
      </w:pPr>
      <w:r>
        <w:rPr>
          <w:rFonts w:ascii="Times New Roman" w:hAnsi="Times New Roman"/>
          <w:noProof/>
        </w:rPr>
        <w:t>2.4. Numatomų veiksmų rūšys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[12000]</w:t>
            </w:r>
          </w:p>
        </w:tc>
      </w:tr>
    </w:tbl>
    <w:p w:rsidR="00E72D1C" w:rsidRDefault="00E72D1C">
      <w:pPr>
        <w:pStyle w:val="ListParagraph"/>
        <w:rPr>
          <w:rFonts w:ascii="Times New Roman" w:hAnsi="Times New Roman" w:cs="Times New Roman"/>
          <w:noProof/>
          <w:sz w:val="24"/>
          <w:szCs w:val="24"/>
        </w:rPr>
      </w:pPr>
    </w:p>
    <w:p w:rsidR="00E72D1C" w:rsidRDefault="00E664BF">
      <w:pPr>
        <w:pStyle w:val="ListParagraph"/>
        <w:rPr>
          <w:rFonts w:ascii="Times New Roman" w:hAnsi="Times New Roman" w:cs="Times New Roman"/>
          <w:noProof/>
          <w:sz w:val="24"/>
          <w:szCs w:val="24"/>
        </w:rPr>
      </w:pPr>
      <w:r>
        <w:rPr>
          <w:rFonts w:ascii="Times New Roman" w:hAnsi="Times New Roman"/>
          <w:i/>
          <w:noProof/>
        </w:rPr>
        <w:t>Nuoroda: 7 straipsnio 2 dalies g punktas</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i/>
                <w:noProof/>
                <w:szCs w:val="24"/>
              </w:rPr>
            </w:pPr>
            <w:r>
              <w:rPr>
                <w:i/>
                <w:noProof/>
              </w:rPr>
              <w:t xml:space="preserve">- numatomų veiksmų rūšys ir tikėtinas jų indėlis mažinant su klimatu susijusios pertvarkos poveikį </w:t>
            </w:r>
          </w:p>
        </w:tc>
      </w:tr>
    </w:tbl>
    <w:p w:rsidR="00E72D1C" w:rsidRDefault="00E72D1C">
      <w:pPr>
        <w:pStyle w:val="ListParagraph"/>
        <w:rPr>
          <w:rFonts w:eastAsia="Times New Roman"/>
          <w:i/>
          <w:noProof/>
          <w:szCs w:val="24"/>
          <w:highlight w:val="yellow"/>
        </w:rPr>
      </w:pPr>
    </w:p>
    <w:p w:rsidR="00E72D1C" w:rsidRDefault="00E664BF">
      <w:pPr>
        <w:pStyle w:val="ListParagraph"/>
        <w:rPr>
          <w:rFonts w:ascii="Times New Roman" w:hAnsi="Times New Roman" w:cs="Times New Roman"/>
          <w:i/>
          <w:noProof/>
          <w:sz w:val="24"/>
          <w:szCs w:val="24"/>
        </w:rPr>
      </w:pPr>
      <w:r>
        <w:rPr>
          <w:rFonts w:ascii="Times New Roman" w:hAnsi="Times New Roman"/>
          <w:i/>
          <w:noProof/>
        </w:rPr>
        <w:t>Nuoroda: 7 straipsnio 2 dalies h punktas</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rFonts w:eastAsia="Times New Roman"/>
                <w:i/>
                <w:noProof/>
                <w:szCs w:val="24"/>
              </w:rPr>
            </w:pPr>
            <w:r>
              <w:rPr>
                <w:i/>
                <w:noProof/>
              </w:rPr>
              <w:t xml:space="preserve">Pildyti tik tuo atveju, jei parama teikiama gamybinėms investicijoms kitoms nei MVĮ įmonėms: </w:t>
            </w:r>
          </w:p>
          <w:p w:rsidR="00E72D1C" w:rsidRDefault="00E664BF">
            <w:pPr>
              <w:rPr>
                <w:noProof/>
                <w:szCs w:val="24"/>
              </w:rPr>
            </w:pPr>
            <w:r>
              <w:rPr>
                <w:i/>
                <w:noProof/>
              </w:rPr>
              <w:t>- išsamus tokių vei</w:t>
            </w:r>
            <w:r>
              <w:rPr>
                <w:i/>
                <w:noProof/>
              </w:rPr>
              <w:t>ksmų ir įmonių sąrašas ir kiekvienai iš jų skiriamos paramos būtinumo pagrindimas pateikiant trūkumų analizę, iš kurios matyti, kad tikėtinas darbo vietų praradimas viršytų numatomą be šių investicijų sukurtų darbo vietų skaičių;</w:t>
            </w:r>
          </w:p>
        </w:tc>
      </w:tr>
    </w:tbl>
    <w:p w:rsidR="00E72D1C" w:rsidRDefault="00E72D1C">
      <w:pPr>
        <w:spacing w:before="0" w:after="200" w:line="276" w:lineRule="auto"/>
        <w:ind w:left="1800"/>
        <w:contextualSpacing/>
        <w:rPr>
          <w:i/>
          <w:noProof/>
          <w:highlight w:val="yellow"/>
        </w:rPr>
      </w:pPr>
    </w:p>
    <w:p w:rsidR="00E72D1C" w:rsidRDefault="00E664BF">
      <w:pPr>
        <w:spacing w:before="0" w:after="160" w:line="259" w:lineRule="auto"/>
        <w:ind w:firstLine="720"/>
        <w:jc w:val="left"/>
        <w:rPr>
          <w:noProof/>
        </w:rPr>
      </w:pPr>
      <w:r>
        <w:rPr>
          <w:noProof/>
        </w:rPr>
        <w:br w:type="page"/>
      </w:r>
      <w:r>
        <w:rPr>
          <w:i/>
          <w:noProof/>
        </w:rPr>
        <w:lastRenderedPageBreak/>
        <w:t>Nuoroda: 7 straipsnio 2</w:t>
      </w:r>
      <w:r>
        <w:rPr>
          <w:i/>
          <w:noProof/>
        </w:rPr>
        <w:t xml:space="preserve"> dalies i punktas</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i/>
                <w:noProof/>
                <w:szCs w:val="24"/>
              </w:rPr>
            </w:pPr>
            <w:r>
              <w:rPr>
                <w:i/>
                <w:noProof/>
              </w:rPr>
              <w:t xml:space="preserve">Pildyti tik tuo atveju, jei parama teikiama investicijoms, kuriomis siekiama sumažinti šiltnamio efektą sukeliančių dujų, išmetamų vykdant Direktyvos 2003/87/EB I priede išvardytą veiklą, kiekį: </w:t>
            </w:r>
          </w:p>
          <w:p w:rsidR="00E72D1C" w:rsidRDefault="00E664BF">
            <w:pPr>
              <w:rPr>
                <w:noProof/>
                <w:szCs w:val="24"/>
              </w:rPr>
            </w:pPr>
            <w:r>
              <w:rPr>
                <w:i/>
                <w:noProof/>
              </w:rPr>
              <w:t>- išsamus remtinų veiksmų sąrašas ir pagrindimas, kad jais prisidedama prie perėjimo prie neutralaus poveikio klimatui ekonomikos ir dėl jų išmetamas šiltnamio efektą sukeliančių dujų kiekis iš esmės sumažinamas tiek, kad bus mažesnis už atitinkamus santyk</w:t>
            </w:r>
            <w:r>
              <w:rPr>
                <w:i/>
                <w:noProof/>
              </w:rPr>
              <w:t xml:space="preserve">inius taršos rodiklius, nustatytus nemokamiems apyvartiniams taršos leidimams suteikti pagal Direktyvą 2003/87/EB, ir jei tie veiksmai reikalingi dideliam darbo vietų skaičiui apsaugoti </w:t>
            </w:r>
          </w:p>
        </w:tc>
      </w:tr>
    </w:tbl>
    <w:p w:rsidR="00E72D1C" w:rsidRDefault="00E72D1C">
      <w:pPr>
        <w:spacing w:before="0" w:after="200" w:line="276" w:lineRule="auto"/>
        <w:ind w:left="1800"/>
        <w:contextualSpacing/>
        <w:rPr>
          <w:noProof/>
          <w:highlight w:val="yellow"/>
        </w:rPr>
      </w:pPr>
    </w:p>
    <w:p w:rsidR="00E72D1C" w:rsidRDefault="00E72D1C">
      <w:pPr>
        <w:spacing w:before="0" w:after="200" w:line="276" w:lineRule="auto"/>
        <w:ind w:left="1800"/>
        <w:contextualSpacing/>
        <w:rPr>
          <w:noProof/>
          <w:highlight w:val="yellow"/>
        </w:rPr>
      </w:pPr>
    </w:p>
    <w:p w:rsidR="00E72D1C" w:rsidRDefault="00E664BF">
      <w:pPr>
        <w:spacing w:before="0" w:after="200" w:line="360" w:lineRule="auto"/>
        <w:ind w:firstLine="720"/>
        <w:contextualSpacing/>
        <w:rPr>
          <w:noProof/>
        </w:rPr>
      </w:pPr>
      <w:r>
        <w:rPr>
          <w:i/>
          <w:noProof/>
        </w:rPr>
        <w:t>Nuoroda: 7 straipsnio 2 dalies j punktas</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i/>
                <w:noProof/>
                <w:szCs w:val="24"/>
              </w:rPr>
            </w:pPr>
            <w:r>
              <w:rPr>
                <w:i/>
                <w:noProof/>
              </w:rPr>
              <w:t>- numatytų veiksmų sąveik</w:t>
            </w:r>
            <w:r>
              <w:rPr>
                <w:i/>
                <w:noProof/>
              </w:rPr>
              <w:t>a ir papildomumas su kitomis programomis pagal investicijų į darbo vietų kūrimą ir ekonomikos augimą tikslą (remiant pertvarkos procesą), kitomis finansavimo priemonėmis (Sąjungos prekybos apyvartiniais taršos leidimais modernizavimo fondu) ir kitais Teisi</w:t>
            </w:r>
            <w:r>
              <w:rPr>
                <w:i/>
                <w:noProof/>
              </w:rPr>
              <w:t>ngos pertvarkos mechanizmo ramsčiais (specialia sistema pagal programą „InvestEU“ ir kartu su Europos investicijų banku įgyvendinama viešojo sektoriaus paskolų priemone), siekiant patenkinti nustatytus investicijų poreikius.</w:t>
            </w:r>
          </w:p>
        </w:tc>
      </w:tr>
    </w:tbl>
    <w:p w:rsidR="00E72D1C" w:rsidRDefault="00E72D1C">
      <w:pPr>
        <w:spacing w:before="0" w:after="200" w:line="276" w:lineRule="auto"/>
        <w:ind w:left="1800"/>
        <w:contextualSpacing/>
        <w:rPr>
          <w:rFonts w:eastAsia="Times New Roman" w:cstheme="minorBidi"/>
          <w:noProof/>
          <w:szCs w:val="24"/>
          <w:highlight w:val="yellow"/>
        </w:rPr>
      </w:pPr>
    </w:p>
    <w:p w:rsidR="00E72D1C" w:rsidRDefault="00E664BF">
      <w:pPr>
        <w:pStyle w:val="ListParagraph"/>
        <w:rPr>
          <w:rFonts w:ascii="Times New Roman" w:hAnsi="Times New Roman" w:cs="Times New Roman"/>
          <w:noProof/>
          <w:sz w:val="24"/>
          <w:szCs w:val="24"/>
        </w:rPr>
      </w:pPr>
      <w:r>
        <w:rPr>
          <w:rFonts w:ascii="Times New Roman" w:hAnsi="Times New Roman"/>
          <w:noProof/>
        </w:rPr>
        <w:t>2.5. Konkrečios programos pro</w:t>
      </w:r>
      <w:r>
        <w:rPr>
          <w:rFonts w:ascii="Times New Roman" w:hAnsi="Times New Roman"/>
          <w:noProof/>
        </w:rPr>
        <w:t>dukto arba rezultato rodikliai</w:t>
      </w:r>
    </w:p>
    <w:p w:rsidR="00E72D1C" w:rsidRDefault="00E664BF">
      <w:pPr>
        <w:spacing w:before="0" w:after="200" w:line="276" w:lineRule="auto"/>
        <w:ind w:firstLine="720"/>
        <w:contextualSpacing/>
        <w:rPr>
          <w:rFonts w:eastAsia="Times New Roman" w:cstheme="minorBidi"/>
          <w:noProof/>
          <w:szCs w:val="24"/>
        </w:rPr>
      </w:pPr>
      <w:r>
        <w:rPr>
          <w:i/>
          <w:noProof/>
        </w:rPr>
        <w:t>Nuoroda: 8 straipsnio 1 dalis</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rFonts w:eastAsia="Times New Roman"/>
                <w:i/>
                <w:noProof/>
                <w:szCs w:val="24"/>
              </w:rPr>
            </w:pPr>
            <w:r>
              <w:rPr>
                <w:i/>
                <w:noProof/>
              </w:rPr>
              <w:t>Pildyti tik tuo atveju, jei numatyti konkrečios programos rodikliai:</w:t>
            </w:r>
          </w:p>
          <w:p w:rsidR="00E72D1C" w:rsidRDefault="00E664BF">
            <w:pPr>
              <w:rPr>
                <w:i/>
                <w:noProof/>
                <w:szCs w:val="24"/>
              </w:rPr>
            </w:pPr>
            <w:r>
              <w:rPr>
                <w:i/>
                <w:noProof/>
              </w:rPr>
              <w:t xml:space="preserve">- konkrečios programos produkto arba rezultato rodiklių, pagrįstų numatomų veiksmų rūšimis, būtinumo pagrindimas </w:t>
            </w:r>
          </w:p>
        </w:tc>
      </w:tr>
    </w:tbl>
    <w:p w:rsidR="00E72D1C" w:rsidRDefault="00E72D1C">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951"/>
        <w:gridCol w:w="709"/>
        <w:gridCol w:w="1984"/>
        <w:gridCol w:w="1548"/>
        <w:gridCol w:w="1548"/>
        <w:gridCol w:w="1548"/>
      </w:tblGrid>
      <w:tr w:rsidR="00E72D1C">
        <w:tc>
          <w:tcPr>
            <w:tcW w:w="9288" w:type="dxa"/>
            <w:gridSpan w:val="6"/>
          </w:tcPr>
          <w:p w:rsidR="00E72D1C" w:rsidRDefault="00E664BF">
            <w:pPr>
              <w:rPr>
                <w:b/>
                <w:noProof/>
                <w:sz w:val="18"/>
                <w:szCs w:val="18"/>
              </w:rPr>
            </w:pPr>
            <w:r>
              <w:rPr>
                <w:b/>
                <w:noProof/>
                <w:sz w:val="18"/>
                <w:szCs w:val="18"/>
              </w:rPr>
              <w:t>1 lentelė.</w:t>
            </w:r>
            <w:r>
              <w:rPr>
                <w:b/>
                <w:noProof/>
                <w:sz w:val="18"/>
                <w:szCs w:val="18"/>
              </w:rPr>
              <w:t xml:space="preserve"> Produkto rodikliai</w:t>
            </w:r>
          </w:p>
        </w:tc>
      </w:tr>
      <w:tr w:rsidR="00E72D1C">
        <w:trPr>
          <w:trHeight w:val="699"/>
        </w:trPr>
        <w:tc>
          <w:tcPr>
            <w:tcW w:w="1951" w:type="dxa"/>
          </w:tcPr>
          <w:p w:rsidR="00E72D1C" w:rsidRDefault="00E664BF">
            <w:pPr>
              <w:rPr>
                <w:b/>
                <w:noProof/>
                <w:sz w:val="18"/>
                <w:szCs w:val="18"/>
              </w:rPr>
            </w:pPr>
            <w:r>
              <w:rPr>
                <w:b/>
                <w:noProof/>
                <w:sz w:val="18"/>
                <w:szCs w:val="18"/>
              </w:rPr>
              <w:t>Konkretus tikslas</w:t>
            </w:r>
          </w:p>
        </w:tc>
        <w:tc>
          <w:tcPr>
            <w:tcW w:w="709" w:type="dxa"/>
          </w:tcPr>
          <w:p w:rsidR="00E72D1C" w:rsidRDefault="00E664BF">
            <w:pPr>
              <w:rPr>
                <w:b/>
                <w:noProof/>
                <w:sz w:val="18"/>
                <w:szCs w:val="18"/>
              </w:rPr>
            </w:pPr>
            <w:r>
              <w:rPr>
                <w:b/>
                <w:noProof/>
                <w:sz w:val="18"/>
                <w:szCs w:val="18"/>
              </w:rPr>
              <w:t>ID [5]</w:t>
            </w:r>
          </w:p>
        </w:tc>
        <w:tc>
          <w:tcPr>
            <w:tcW w:w="1984" w:type="dxa"/>
          </w:tcPr>
          <w:p w:rsidR="00E72D1C" w:rsidRDefault="00E664BF">
            <w:pPr>
              <w:rPr>
                <w:b/>
                <w:noProof/>
                <w:sz w:val="18"/>
                <w:szCs w:val="18"/>
              </w:rPr>
            </w:pPr>
            <w:r>
              <w:rPr>
                <w:b/>
                <w:noProof/>
                <w:sz w:val="18"/>
                <w:szCs w:val="18"/>
              </w:rPr>
              <w:t>Rodiklis [255]</w:t>
            </w:r>
          </w:p>
        </w:tc>
        <w:tc>
          <w:tcPr>
            <w:tcW w:w="1548" w:type="dxa"/>
          </w:tcPr>
          <w:p w:rsidR="00E72D1C" w:rsidRDefault="00E664BF">
            <w:pPr>
              <w:rPr>
                <w:b/>
                <w:noProof/>
                <w:sz w:val="18"/>
                <w:szCs w:val="18"/>
              </w:rPr>
            </w:pPr>
            <w:r>
              <w:rPr>
                <w:b/>
                <w:noProof/>
                <w:sz w:val="18"/>
                <w:szCs w:val="18"/>
              </w:rPr>
              <w:t>Matavimo vienetas</w:t>
            </w:r>
          </w:p>
        </w:tc>
        <w:tc>
          <w:tcPr>
            <w:tcW w:w="1548" w:type="dxa"/>
          </w:tcPr>
          <w:p w:rsidR="00E72D1C" w:rsidRDefault="00E664BF">
            <w:pPr>
              <w:rPr>
                <w:b/>
                <w:noProof/>
                <w:sz w:val="18"/>
                <w:szCs w:val="18"/>
              </w:rPr>
            </w:pPr>
            <w:r>
              <w:rPr>
                <w:b/>
                <w:noProof/>
                <w:sz w:val="18"/>
                <w:szCs w:val="18"/>
              </w:rPr>
              <w:t>Tarpinė reikšmė (2024 m.)</w:t>
            </w:r>
          </w:p>
        </w:tc>
        <w:tc>
          <w:tcPr>
            <w:tcW w:w="1548" w:type="dxa"/>
          </w:tcPr>
          <w:p w:rsidR="00E72D1C" w:rsidRDefault="00E664BF">
            <w:pPr>
              <w:rPr>
                <w:b/>
                <w:noProof/>
                <w:sz w:val="18"/>
                <w:szCs w:val="18"/>
              </w:rPr>
            </w:pPr>
            <w:r>
              <w:rPr>
                <w:b/>
                <w:noProof/>
                <w:sz w:val="18"/>
                <w:szCs w:val="18"/>
              </w:rPr>
              <w:t>Siektina reikšmė (2029 m.)</w:t>
            </w:r>
          </w:p>
        </w:tc>
      </w:tr>
      <w:tr w:rsidR="00E72D1C">
        <w:tc>
          <w:tcPr>
            <w:tcW w:w="1951" w:type="dxa"/>
          </w:tcPr>
          <w:p w:rsidR="00E72D1C" w:rsidRDefault="00E72D1C">
            <w:pPr>
              <w:rPr>
                <w:noProof/>
                <w:sz w:val="18"/>
                <w:szCs w:val="18"/>
              </w:rPr>
            </w:pPr>
          </w:p>
        </w:tc>
        <w:tc>
          <w:tcPr>
            <w:tcW w:w="709" w:type="dxa"/>
          </w:tcPr>
          <w:p w:rsidR="00E72D1C" w:rsidRDefault="00E72D1C">
            <w:pPr>
              <w:rPr>
                <w:noProof/>
                <w:sz w:val="18"/>
                <w:szCs w:val="18"/>
              </w:rPr>
            </w:pPr>
          </w:p>
        </w:tc>
        <w:tc>
          <w:tcPr>
            <w:tcW w:w="1984" w:type="dxa"/>
          </w:tcPr>
          <w:p w:rsidR="00E72D1C" w:rsidRDefault="00E72D1C">
            <w:pPr>
              <w:rPr>
                <w:noProof/>
                <w:sz w:val="18"/>
                <w:szCs w:val="18"/>
              </w:rPr>
            </w:pPr>
          </w:p>
        </w:tc>
        <w:tc>
          <w:tcPr>
            <w:tcW w:w="1548" w:type="dxa"/>
          </w:tcPr>
          <w:p w:rsidR="00E72D1C" w:rsidRDefault="00E72D1C">
            <w:pPr>
              <w:rPr>
                <w:noProof/>
                <w:sz w:val="18"/>
                <w:szCs w:val="18"/>
              </w:rPr>
            </w:pPr>
          </w:p>
        </w:tc>
        <w:tc>
          <w:tcPr>
            <w:tcW w:w="1548" w:type="dxa"/>
          </w:tcPr>
          <w:p w:rsidR="00E72D1C" w:rsidRDefault="00E72D1C">
            <w:pPr>
              <w:rPr>
                <w:noProof/>
                <w:sz w:val="18"/>
                <w:szCs w:val="18"/>
              </w:rPr>
            </w:pPr>
          </w:p>
        </w:tc>
        <w:tc>
          <w:tcPr>
            <w:tcW w:w="1548" w:type="dxa"/>
          </w:tcPr>
          <w:p w:rsidR="00E72D1C" w:rsidRDefault="00E72D1C">
            <w:pPr>
              <w:rPr>
                <w:noProof/>
                <w:sz w:val="18"/>
                <w:szCs w:val="18"/>
              </w:rPr>
            </w:pPr>
          </w:p>
        </w:tc>
      </w:tr>
    </w:tbl>
    <w:p w:rsidR="00E72D1C" w:rsidRDefault="00E72D1C">
      <w:pPr>
        <w:spacing w:before="0" w:after="200" w:line="276" w:lineRule="auto"/>
        <w:ind w:left="1800"/>
        <w:contextualSpacing/>
        <w:rPr>
          <w:rFonts w:eastAsia="Times New Roman" w:cstheme="minorBidi"/>
          <w:noProof/>
          <w:szCs w:val="24"/>
          <w:highlight w:val="yellow"/>
        </w:rPr>
      </w:pPr>
    </w:p>
    <w:tbl>
      <w:tblPr>
        <w:tblStyle w:val="TableGrid"/>
        <w:tblW w:w="0" w:type="auto"/>
        <w:tblLook w:val="04A0" w:firstRow="1" w:lastRow="0" w:firstColumn="1" w:lastColumn="0" w:noHBand="0" w:noVBand="1"/>
      </w:tblPr>
      <w:tblGrid>
        <w:gridCol w:w="1178"/>
        <w:gridCol w:w="493"/>
        <w:gridCol w:w="1168"/>
        <w:gridCol w:w="1287"/>
        <w:gridCol w:w="1005"/>
        <w:gridCol w:w="1207"/>
        <w:gridCol w:w="967"/>
        <w:gridCol w:w="967"/>
        <w:gridCol w:w="1017"/>
      </w:tblGrid>
      <w:tr w:rsidR="00E72D1C">
        <w:tc>
          <w:tcPr>
            <w:tcW w:w="9288" w:type="dxa"/>
            <w:gridSpan w:val="9"/>
          </w:tcPr>
          <w:p w:rsidR="00E72D1C" w:rsidRDefault="00E664BF">
            <w:pPr>
              <w:rPr>
                <w:b/>
                <w:noProof/>
                <w:sz w:val="18"/>
                <w:szCs w:val="18"/>
              </w:rPr>
            </w:pPr>
            <w:r>
              <w:rPr>
                <w:b/>
                <w:noProof/>
                <w:sz w:val="18"/>
                <w:szCs w:val="18"/>
              </w:rPr>
              <w:t>2 lentelė. Rezultato rodikliai</w:t>
            </w:r>
          </w:p>
        </w:tc>
      </w:tr>
      <w:tr w:rsidR="00E72D1C">
        <w:trPr>
          <w:trHeight w:val="699"/>
        </w:trPr>
        <w:tc>
          <w:tcPr>
            <w:tcW w:w="1212" w:type="dxa"/>
          </w:tcPr>
          <w:p w:rsidR="00E72D1C" w:rsidRDefault="00E664BF">
            <w:pPr>
              <w:rPr>
                <w:b/>
                <w:noProof/>
                <w:sz w:val="18"/>
                <w:szCs w:val="18"/>
              </w:rPr>
            </w:pPr>
            <w:r>
              <w:rPr>
                <w:b/>
                <w:noProof/>
                <w:sz w:val="18"/>
                <w:szCs w:val="18"/>
              </w:rPr>
              <w:t>Konkretus tikslas</w:t>
            </w:r>
          </w:p>
        </w:tc>
        <w:tc>
          <w:tcPr>
            <w:tcW w:w="509" w:type="dxa"/>
          </w:tcPr>
          <w:p w:rsidR="00E72D1C" w:rsidRDefault="00E664BF">
            <w:pPr>
              <w:rPr>
                <w:b/>
                <w:noProof/>
                <w:sz w:val="18"/>
                <w:szCs w:val="18"/>
              </w:rPr>
            </w:pPr>
            <w:r>
              <w:rPr>
                <w:b/>
                <w:noProof/>
                <w:sz w:val="18"/>
                <w:szCs w:val="18"/>
              </w:rPr>
              <w:t>ID [5]</w:t>
            </w:r>
          </w:p>
        </w:tc>
        <w:tc>
          <w:tcPr>
            <w:tcW w:w="1244" w:type="dxa"/>
          </w:tcPr>
          <w:p w:rsidR="00E72D1C" w:rsidRDefault="00E664BF">
            <w:pPr>
              <w:rPr>
                <w:b/>
                <w:noProof/>
                <w:sz w:val="18"/>
                <w:szCs w:val="18"/>
              </w:rPr>
            </w:pPr>
            <w:r>
              <w:rPr>
                <w:b/>
                <w:noProof/>
                <w:sz w:val="18"/>
                <w:szCs w:val="18"/>
              </w:rPr>
              <w:t>Rodiklis [255]</w:t>
            </w:r>
          </w:p>
        </w:tc>
        <w:tc>
          <w:tcPr>
            <w:tcW w:w="1356" w:type="dxa"/>
          </w:tcPr>
          <w:p w:rsidR="00E72D1C" w:rsidRDefault="00E664BF">
            <w:pPr>
              <w:rPr>
                <w:b/>
                <w:noProof/>
                <w:sz w:val="18"/>
                <w:szCs w:val="18"/>
              </w:rPr>
            </w:pPr>
            <w:r>
              <w:rPr>
                <w:b/>
                <w:noProof/>
                <w:sz w:val="18"/>
                <w:szCs w:val="18"/>
              </w:rPr>
              <w:t>Matavimo vienetas</w:t>
            </w:r>
          </w:p>
        </w:tc>
        <w:tc>
          <w:tcPr>
            <w:tcW w:w="1032" w:type="dxa"/>
          </w:tcPr>
          <w:p w:rsidR="00E72D1C" w:rsidRDefault="00E664BF">
            <w:pPr>
              <w:rPr>
                <w:b/>
                <w:noProof/>
                <w:sz w:val="18"/>
                <w:szCs w:val="18"/>
              </w:rPr>
            </w:pPr>
            <w:r>
              <w:rPr>
                <w:b/>
                <w:noProof/>
                <w:sz w:val="18"/>
                <w:szCs w:val="18"/>
              </w:rPr>
              <w:t xml:space="preserve">Pradinė ar atskaitos </w:t>
            </w:r>
            <w:r>
              <w:rPr>
                <w:b/>
                <w:noProof/>
                <w:sz w:val="18"/>
                <w:szCs w:val="18"/>
              </w:rPr>
              <w:t>reikšmė</w:t>
            </w:r>
          </w:p>
        </w:tc>
        <w:tc>
          <w:tcPr>
            <w:tcW w:w="1148" w:type="dxa"/>
          </w:tcPr>
          <w:p w:rsidR="00E72D1C" w:rsidRDefault="00E664BF">
            <w:pPr>
              <w:rPr>
                <w:b/>
                <w:noProof/>
                <w:sz w:val="18"/>
                <w:szCs w:val="18"/>
              </w:rPr>
            </w:pPr>
            <w:r>
              <w:rPr>
                <w:b/>
                <w:noProof/>
                <w:sz w:val="18"/>
                <w:szCs w:val="18"/>
              </w:rPr>
              <w:t>Ataskaitiniai metai</w:t>
            </w:r>
          </w:p>
        </w:tc>
        <w:tc>
          <w:tcPr>
            <w:tcW w:w="975" w:type="dxa"/>
          </w:tcPr>
          <w:p w:rsidR="00E72D1C" w:rsidRDefault="00E664BF">
            <w:pPr>
              <w:rPr>
                <w:b/>
                <w:noProof/>
                <w:sz w:val="18"/>
                <w:szCs w:val="18"/>
              </w:rPr>
            </w:pPr>
            <w:r>
              <w:rPr>
                <w:b/>
                <w:noProof/>
                <w:sz w:val="18"/>
                <w:szCs w:val="18"/>
              </w:rPr>
              <w:t>Siektina reikšmė (2029 m.)</w:t>
            </w:r>
          </w:p>
        </w:tc>
        <w:tc>
          <w:tcPr>
            <w:tcW w:w="766" w:type="dxa"/>
          </w:tcPr>
          <w:p w:rsidR="00E72D1C" w:rsidRDefault="00E664BF">
            <w:pPr>
              <w:rPr>
                <w:b/>
                <w:noProof/>
                <w:sz w:val="18"/>
                <w:szCs w:val="18"/>
              </w:rPr>
            </w:pPr>
            <w:r>
              <w:rPr>
                <w:b/>
                <w:noProof/>
                <w:sz w:val="18"/>
                <w:szCs w:val="18"/>
              </w:rPr>
              <w:t>Duomenų šaltinis [200]</w:t>
            </w:r>
          </w:p>
        </w:tc>
        <w:tc>
          <w:tcPr>
            <w:tcW w:w="1046" w:type="dxa"/>
          </w:tcPr>
          <w:p w:rsidR="00E72D1C" w:rsidRDefault="00E664BF">
            <w:pPr>
              <w:rPr>
                <w:b/>
                <w:noProof/>
                <w:sz w:val="18"/>
                <w:szCs w:val="18"/>
              </w:rPr>
            </w:pPr>
            <w:r>
              <w:rPr>
                <w:b/>
                <w:noProof/>
                <w:sz w:val="18"/>
                <w:szCs w:val="18"/>
              </w:rPr>
              <w:t>Pastabos [200]</w:t>
            </w:r>
          </w:p>
        </w:tc>
      </w:tr>
      <w:tr w:rsidR="00E72D1C">
        <w:tc>
          <w:tcPr>
            <w:tcW w:w="1212" w:type="dxa"/>
          </w:tcPr>
          <w:p w:rsidR="00E72D1C" w:rsidRDefault="00E72D1C">
            <w:pPr>
              <w:rPr>
                <w:noProof/>
                <w:sz w:val="18"/>
                <w:szCs w:val="18"/>
              </w:rPr>
            </w:pPr>
          </w:p>
        </w:tc>
        <w:tc>
          <w:tcPr>
            <w:tcW w:w="509" w:type="dxa"/>
          </w:tcPr>
          <w:p w:rsidR="00E72D1C" w:rsidRDefault="00E72D1C">
            <w:pPr>
              <w:rPr>
                <w:noProof/>
                <w:sz w:val="18"/>
                <w:szCs w:val="18"/>
              </w:rPr>
            </w:pPr>
          </w:p>
        </w:tc>
        <w:tc>
          <w:tcPr>
            <w:tcW w:w="1244" w:type="dxa"/>
          </w:tcPr>
          <w:p w:rsidR="00E72D1C" w:rsidRDefault="00E72D1C">
            <w:pPr>
              <w:rPr>
                <w:noProof/>
                <w:sz w:val="18"/>
                <w:szCs w:val="18"/>
              </w:rPr>
            </w:pPr>
          </w:p>
        </w:tc>
        <w:tc>
          <w:tcPr>
            <w:tcW w:w="1356" w:type="dxa"/>
          </w:tcPr>
          <w:p w:rsidR="00E72D1C" w:rsidRDefault="00E72D1C">
            <w:pPr>
              <w:rPr>
                <w:noProof/>
                <w:sz w:val="18"/>
                <w:szCs w:val="18"/>
              </w:rPr>
            </w:pPr>
          </w:p>
        </w:tc>
        <w:tc>
          <w:tcPr>
            <w:tcW w:w="1032" w:type="dxa"/>
          </w:tcPr>
          <w:p w:rsidR="00E72D1C" w:rsidRDefault="00E72D1C">
            <w:pPr>
              <w:rPr>
                <w:noProof/>
                <w:sz w:val="18"/>
                <w:szCs w:val="18"/>
              </w:rPr>
            </w:pPr>
          </w:p>
        </w:tc>
        <w:tc>
          <w:tcPr>
            <w:tcW w:w="1148" w:type="dxa"/>
          </w:tcPr>
          <w:p w:rsidR="00E72D1C" w:rsidRDefault="00E72D1C">
            <w:pPr>
              <w:rPr>
                <w:noProof/>
                <w:sz w:val="18"/>
                <w:szCs w:val="18"/>
              </w:rPr>
            </w:pPr>
          </w:p>
        </w:tc>
        <w:tc>
          <w:tcPr>
            <w:tcW w:w="975" w:type="dxa"/>
          </w:tcPr>
          <w:p w:rsidR="00E72D1C" w:rsidRDefault="00E72D1C">
            <w:pPr>
              <w:rPr>
                <w:noProof/>
                <w:sz w:val="18"/>
                <w:szCs w:val="18"/>
              </w:rPr>
            </w:pPr>
          </w:p>
        </w:tc>
        <w:tc>
          <w:tcPr>
            <w:tcW w:w="766" w:type="dxa"/>
          </w:tcPr>
          <w:p w:rsidR="00E72D1C" w:rsidRDefault="00E72D1C">
            <w:pPr>
              <w:rPr>
                <w:noProof/>
                <w:sz w:val="18"/>
                <w:szCs w:val="18"/>
              </w:rPr>
            </w:pPr>
          </w:p>
        </w:tc>
        <w:tc>
          <w:tcPr>
            <w:tcW w:w="1046" w:type="dxa"/>
          </w:tcPr>
          <w:p w:rsidR="00E72D1C" w:rsidRDefault="00E72D1C">
            <w:pPr>
              <w:rPr>
                <w:noProof/>
                <w:sz w:val="18"/>
                <w:szCs w:val="18"/>
              </w:rPr>
            </w:pPr>
          </w:p>
        </w:tc>
      </w:tr>
    </w:tbl>
    <w:p w:rsidR="00E72D1C" w:rsidRDefault="00E72D1C">
      <w:pPr>
        <w:spacing w:before="0" w:after="200" w:line="276" w:lineRule="auto"/>
        <w:ind w:left="1800"/>
        <w:contextualSpacing/>
        <w:rPr>
          <w:rFonts w:eastAsia="Times New Roman" w:cstheme="minorBidi"/>
          <w:noProof/>
          <w:szCs w:val="24"/>
          <w:highlight w:val="yellow"/>
        </w:rPr>
      </w:pPr>
    </w:p>
    <w:p w:rsidR="00E664BF" w:rsidRDefault="00E664BF">
      <w:pPr>
        <w:spacing w:before="0" w:after="160" w:line="259" w:lineRule="auto"/>
        <w:jc w:val="left"/>
        <w:rPr>
          <w:rFonts w:eastAsia="Times New Roman" w:cstheme="minorBidi"/>
          <w:i/>
          <w:noProof/>
          <w:szCs w:val="24"/>
          <w:highlight w:val="yellow"/>
        </w:rPr>
      </w:pPr>
      <w:r>
        <w:rPr>
          <w:rFonts w:eastAsia="Times New Roman" w:cstheme="minorBidi"/>
          <w:i/>
          <w:noProof/>
          <w:szCs w:val="24"/>
          <w:highlight w:val="yellow"/>
        </w:rPr>
        <w:br w:type="page"/>
      </w:r>
    </w:p>
    <w:p w:rsidR="00E72D1C" w:rsidRDefault="00E72D1C">
      <w:pPr>
        <w:spacing w:before="0" w:after="200" w:line="276" w:lineRule="auto"/>
        <w:ind w:left="1800"/>
        <w:contextualSpacing/>
        <w:rPr>
          <w:rFonts w:eastAsia="Times New Roman" w:cstheme="minorBidi"/>
          <w:i/>
          <w:noProof/>
          <w:szCs w:val="24"/>
          <w:highlight w:val="yellow"/>
        </w:rPr>
      </w:pPr>
    </w:p>
    <w:p w:rsidR="00E72D1C" w:rsidRDefault="00E664BF">
      <w:pPr>
        <w:numPr>
          <w:ilvl w:val="0"/>
          <w:numId w:val="1"/>
        </w:numPr>
        <w:spacing w:before="0" w:after="200" w:line="276" w:lineRule="auto"/>
        <w:jc w:val="left"/>
        <w:rPr>
          <w:rFonts w:eastAsia="Times New Roman"/>
          <w:b/>
          <w:i/>
          <w:noProof/>
          <w:szCs w:val="24"/>
        </w:rPr>
      </w:pPr>
      <w:r>
        <w:rPr>
          <w:b/>
          <w:noProof/>
        </w:rPr>
        <w:t xml:space="preserve">Valdymo mechanizmai </w:t>
      </w:r>
    </w:p>
    <w:p w:rsidR="00E72D1C" w:rsidRDefault="00E664BF">
      <w:pPr>
        <w:spacing w:before="0" w:after="200" w:line="276" w:lineRule="auto"/>
        <w:ind w:left="502"/>
        <w:jc w:val="left"/>
        <w:rPr>
          <w:rFonts w:eastAsia="Times New Roman"/>
          <w:i/>
          <w:noProof/>
          <w:szCs w:val="24"/>
        </w:rPr>
      </w:pPr>
      <w:r>
        <w:rPr>
          <w:i/>
          <w:noProof/>
        </w:rPr>
        <w:lastRenderedPageBreak/>
        <w:t>Nuoroda: 7 straipsnio 2 dalies f punktas</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Teksto laukelis [5000]</w:t>
            </w:r>
          </w:p>
        </w:tc>
      </w:tr>
    </w:tbl>
    <w:p w:rsidR="00E72D1C" w:rsidRDefault="00E72D1C">
      <w:pPr>
        <w:spacing w:before="0" w:after="200" w:line="276" w:lineRule="auto"/>
        <w:ind w:left="502"/>
        <w:jc w:val="left"/>
        <w:rPr>
          <w:rFonts w:eastAsia="Times New Roman"/>
          <w:b/>
          <w:i/>
          <w:noProof/>
          <w:szCs w:val="24"/>
        </w:rPr>
      </w:pPr>
    </w:p>
    <w:p w:rsidR="00E72D1C" w:rsidRDefault="00E72D1C">
      <w:pPr>
        <w:spacing w:before="0" w:after="200" w:line="276" w:lineRule="auto"/>
        <w:ind w:left="502"/>
        <w:jc w:val="left"/>
        <w:rPr>
          <w:rFonts w:eastAsia="Times New Roman"/>
          <w:b/>
          <w:i/>
          <w:noProof/>
          <w:szCs w:val="24"/>
        </w:rPr>
      </w:pPr>
    </w:p>
    <w:p w:rsidR="00E72D1C" w:rsidRDefault="00E664BF">
      <w:pPr>
        <w:pStyle w:val="ListParagraph"/>
        <w:rPr>
          <w:rFonts w:ascii="Times New Roman" w:hAnsi="Times New Roman" w:cs="Times New Roman"/>
          <w:i/>
          <w:noProof/>
          <w:sz w:val="24"/>
          <w:szCs w:val="24"/>
        </w:rPr>
      </w:pPr>
      <w:r>
        <w:rPr>
          <w:rFonts w:ascii="Times New Roman" w:hAnsi="Times New Roman"/>
          <w:i/>
          <w:noProof/>
        </w:rPr>
        <w:t>3.1. Partnerystė</w:t>
      </w:r>
    </w:p>
    <w:tbl>
      <w:tblPr>
        <w:tblStyle w:val="TableGrid"/>
        <w:tblW w:w="0" w:type="auto"/>
        <w:tblLook w:val="04A0" w:firstRow="1" w:lastRow="0" w:firstColumn="1" w:lastColumn="0" w:noHBand="0" w:noVBand="1"/>
      </w:tblPr>
      <w:tblGrid>
        <w:gridCol w:w="9288"/>
      </w:tblGrid>
      <w:tr w:rsidR="00E72D1C">
        <w:tc>
          <w:tcPr>
            <w:tcW w:w="9288" w:type="dxa"/>
          </w:tcPr>
          <w:p w:rsidR="00E72D1C" w:rsidRDefault="00E664BF">
            <w:pPr>
              <w:rPr>
                <w:rFonts w:eastAsia="Times New Roman"/>
                <w:i/>
                <w:noProof/>
                <w:szCs w:val="24"/>
              </w:rPr>
            </w:pPr>
            <w:r>
              <w:rPr>
                <w:i/>
                <w:noProof/>
              </w:rPr>
              <w:t xml:space="preserve">- Partnerių dalyvavimo rengiant, </w:t>
            </w:r>
            <w:r>
              <w:rPr>
                <w:i/>
                <w:noProof/>
              </w:rPr>
              <w:t>įgyvendinant, stebint ir vertinant teritorinį teisingos pertvarkos planą tvarka;</w:t>
            </w:r>
          </w:p>
          <w:p w:rsidR="00E72D1C" w:rsidRDefault="00E664BF">
            <w:pPr>
              <w:rPr>
                <w:rFonts w:eastAsia="Times New Roman"/>
                <w:i/>
                <w:noProof/>
                <w:szCs w:val="24"/>
              </w:rPr>
            </w:pPr>
            <w:r>
              <w:rPr>
                <w:i/>
                <w:noProof/>
              </w:rPr>
              <w:t xml:space="preserve">- Viešų konsultacijų rezultatai. </w:t>
            </w:r>
          </w:p>
        </w:tc>
      </w:tr>
    </w:tbl>
    <w:p w:rsidR="00E72D1C" w:rsidRDefault="00E72D1C">
      <w:pPr>
        <w:pStyle w:val="ListParagraph"/>
        <w:rPr>
          <w:rFonts w:ascii="Times New Roman" w:hAnsi="Times New Roman" w:cs="Times New Roman"/>
          <w:noProof/>
          <w:sz w:val="24"/>
          <w:szCs w:val="24"/>
        </w:rPr>
      </w:pPr>
    </w:p>
    <w:p w:rsidR="00E72D1C" w:rsidRDefault="00E664BF">
      <w:pPr>
        <w:pStyle w:val="ListParagraph"/>
        <w:rPr>
          <w:rFonts w:ascii="Times New Roman" w:hAnsi="Times New Roman" w:cs="Times New Roman"/>
          <w:noProof/>
          <w:sz w:val="24"/>
          <w:szCs w:val="24"/>
        </w:rPr>
      </w:pPr>
      <w:r>
        <w:rPr>
          <w:rFonts w:ascii="Times New Roman" w:hAnsi="Times New Roman"/>
          <w:i/>
          <w:noProof/>
        </w:rPr>
        <w:t>3.2. Stebėsena ir vertinimas</w:t>
      </w:r>
      <w:r>
        <w:rPr>
          <w:rFonts w:ascii="Times New Roman" w:hAnsi="Times New Roman"/>
          <w:noProof/>
        </w:rPr>
        <w:t xml:space="preserve"> </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i/>
                <w:noProof/>
              </w:rPr>
            </w:pPr>
            <w:r>
              <w:rPr>
                <w:i/>
                <w:noProof/>
              </w:rPr>
              <w:t>- Planuojamos stebėsenos ir vertinimo priemonės, įskaitant rodiklius, skirtus įvertinti plano tinkamumą pasie</w:t>
            </w:r>
            <w:r>
              <w:rPr>
                <w:i/>
                <w:noProof/>
              </w:rPr>
              <w:t>kti jo tikslų</w:t>
            </w:r>
          </w:p>
        </w:tc>
      </w:tr>
    </w:tbl>
    <w:p w:rsidR="00E72D1C" w:rsidRDefault="00E72D1C">
      <w:pPr>
        <w:pStyle w:val="ListParagraph"/>
        <w:rPr>
          <w:rFonts w:eastAsia="Times New Roman"/>
          <w:noProof/>
          <w:szCs w:val="24"/>
        </w:rPr>
      </w:pPr>
    </w:p>
    <w:p w:rsidR="00E72D1C" w:rsidRDefault="00E664BF">
      <w:pPr>
        <w:pStyle w:val="ListParagraph"/>
        <w:rPr>
          <w:rFonts w:ascii="Times New Roman" w:eastAsia="Times New Roman" w:hAnsi="Times New Roman" w:cs="Times New Roman"/>
          <w:i/>
          <w:noProof/>
          <w:sz w:val="24"/>
          <w:szCs w:val="24"/>
        </w:rPr>
      </w:pPr>
      <w:r>
        <w:rPr>
          <w:rFonts w:ascii="Times New Roman" w:hAnsi="Times New Roman"/>
          <w:i/>
          <w:noProof/>
        </w:rPr>
        <w:t xml:space="preserve">3.3. Koordinavimo ir stebėsenos įstaiga (-os) </w:t>
      </w:r>
    </w:p>
    <w:tbl>
      <w:tblPr>
        <w:tblStyle w:val="TableGrid"/>
        <w:tblW w:w="0" w:type="auto"/>
        <w:tblLook w:val="04A0" w:firstRow="1" w:lastRow="0" w:firstColumn="1" w:lastColumn="0" w:noHBand="0" w:noVBand="1"/>
      </w:tblPr>
      <w:tblGrid>
        <w:gridCol w:w="9288"/>
      </w:tblGrid>
      <w:tr w:rsidR="00E72D1C">
        <w:trPr>
          <w:trHeight w:val="306"/>
        </w:trPr>
        <w:tc>
          <w:tcPr>
            <w:tcW w:w="9288" w:type="dxa"/>
          </w:tcPr>
          <w:p w:rsidR="00E72D1C" w:rsidRDefault="00E664BF">
            <w:pPr>
              <w:rPr>
                <w:rFonts w:eastAsia="Times New Roman"/>
                <w:i/>
                <w:noProof/>
                <w:szCs w:val="24"/>
              </w:rPr>
            </w:pPr>
            <w:r>
              <w:rPr>
                <w:i/>
                <w:noProof/>
              </w:rPr>
              <w:t>Už plano įgyvendinimo koordinavimą ir stebėseną atsakinga (-os) įstaiga (-os) ir jų vaidmuo</w:t>
            </w:r>
          </w:p>
        </w:tc>
      </w:tr>
    </w:tbl>
    <w:p w:rsidR="00E72D1C" w:rsidRDefault="00E664BF">
      <w:pPr>
        <w:jc w:val="left"/>
        <w:rPr>
          <w:rFonts w:eastAsia="Times New Roman"/>
          <w:i/>
          <w:noProof/>
          <w:szCs w:val="24"/>
        </w:rPr>
        <w:sectPr w:rsidR="00E72D1C">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20"/>
          <w:docGrid w:linePitch="360"/>
        </w:sectPr>
      </w:pPr>
      <w:r>
        <w:rPr>
          <w:i/>
          <w:noProof/>
        </w:rPr>
        <w:t xml:space="preserve">     </w:t>
      </w:r>
    </w:p>
    <w:p w:rsidR="00E72D1C" w:rsidRDefault="00E72D1C">
      <w:pPr>
        <w:ind w:left="2160"/>
        <w:rPr>
          <w:rFonts w:eastAsia="Times New Roman"/>
          <w:b/>
          <w:i/>
          <w:noProof/>
          <w:szCs w:val="24"/>
        </w:rPr>
      </w:pPr>
    </w:p>
    <w:p w:rsidR="00E72D1C" w:rsidRDefault="00E72D1C">
      <w:pPr>
        <w:spacing w:after="0"/>
        <w:ind w:right="-309"/>
        <w:jc w:val="center"/>
        <w:rPr>
          <w:b/>
          <w:bCs/>
          <w:noProof/>
          <w:szCs w:val="24"/>
          <w:u w:val="single"/>
        </w:rPr>
      </w:pPr>
    </w:p>
    <w:p w:rsidR="00E72D1C" w:rsidRDefault="00E664BF">
      <w:pPr>
        <w:spacing w:after="0"/>
        <w:ind w:right="-309"/>
        <w:jc w:val="center"/>
        <w:rPr>
          <w:b/>
          <w:bCs/>
          <w:noProof/>
          <w:szCs w:val="24"/>
          <w:vertAlign w:val="superscript"/>
        </w:rPr>
      </w:pPr>
      <w:r>
        <w:rPr>
          <w:b/>
          <w:bCs/>
          <w:noProof/>
          <w:u w:val="single"/>
        </w:rPr>
        <w:t>III PRIEDAS</w:t>
      </w:r>
      <w:r>
        <w:rPr>
          <w:b/>
          <w:bCs/>
          <w:noProof/>
        </w:rPr>
        <w:br/>
      </w:r>
      <w:r>
        <w:rPr>
          <w:b/>
          <w:bCs/>
          <w:noProof/>
        </w:rPr>
        <w:br/>
      </w:r>
      <w:r>
        <w:rPr>
          <w:rFonts w:ascii="Times New Roman Bold" w:hAnsi="Times New Roman Bold"/>
          <w:b/>
          <w:caps/>
          <w:noProof/>
        </w:rPr>
        <w:t xml:space="preserve">REGIONINĖS POLITIKOS </w:t>
      </w:r>
      <w:r>
        <w:rPr>
          <w:rFonts w:ascii="Times New Roman Bold" w:hAnsi="Times New Roman Bold"/>
          <w:b/>
          <w:caps/>
          <w:noProof/>
        </w:rPr>
        <w:t>Bendrieji produkto rodikliai (RCO) ir REGIONINĖS POLITIKOS Bendrieji rezultato rodikliai (RCR), taikomi Teisingos pertvarkos fondui</w:t>
      </w:r>
      <w:r>
        <w:rPr>
          <w:rStyle w:val="FootnoteReference"/>
          <w:rFonts w:ascii="Times New Roman Bold" w:eastAsia="Calibri" w:hAnsi="Times New Roman Bold"/>
          <w:b/>
          <w:caps/>
          <w:noProof/>
        </w:rPr>
        <w:footnoteReference w:id="2"/>
      </w:r>
    </w:p>
    <w:p w:rsidR="00E72D1C" w:rsidRDefault="00E72D1C">
      <w:pPr>
        <w:spacing w:after="0"/>
        <w:rPr>
          <w:b/>
          <w:noProof/>
          <w:szCs w:val="24"/>
        </w:rPr>
      </w:pPr>
    </w:p>
    <w:tbl>
      <w:tblPr>
        <w:tblW w:w="13907" w:type="dxa"/>
        <w:tblInd w:w="93" w:type="dxa"/>
        <w:tblLook w:val="04A0" w:firstRow="1" w:lastRow="0" w:firstColumn="1" w:lastColumn="0" w:noHBand="0" w:noVBand="1"/>
      </w:tblPr>
      <w:tblGrid>
        <w:gridCol w:w="6961"/>
        <w:gridCol w:w="6946"/>
      </w:tblGrid>
      <w:tr w:rsidR="00E72D1C">
        <w:trPr>
          <w:trHeight w:val="300"/>
        </w:trPr>
        <w:tc>
          <w:tcPr>
            <w:tcW w:w="6961" w:type="dxa"/>
            <w:tcBorders>
              <w:top w:val="single" w:sz="4" w:space="0" w:color="auto"/>
              <w:left w:val="nil"/>
              <w:bottom w:val="single" w:sz="4" w:space="0" w:color="auto"/>
              <w:right w:val="single" w:sz="4" w:space="0" w:color="auto"/>
            </w:tcBorders>
            <w:shd w:val="clear" w:color="auto" w:fill="auto"/>
            <w:vAlign w:val="center"/>
            <w:hideMark/>
          </w:tcPr>
          <w:p w:rsidR="00E72D1C" w:rsidRDefault="00E664BF">
            <w:pPr>
              <w:spacing w:after="0"/>
              <w:jc w:val="center"/>
              <w:rPr>
                <w:rFonts w:eastAsia="Times New Roman"/>
                <w:b/>
                <w:bCs/>
                <w:noProof/>
                <w:color w:val="000000"/>
                <w:szCs w:val="24"/>
              </w:rPr>
            </w:pPr>
            <w:r>
              <w:rPr>
                <w:b/>
                <w:bCs/>
                <w:noProof/>
              </w:rPr>
              <w:t>Produktai</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72D1C" w:rsidRDefault="00E664BF">
            <w:pPr>
              <w:spacing w:after="0"/>
              <w:jc w:val="center"/>
              <w:rPr>
                <w:rFonts w:eastAsia="Times New Roman"/>
                <w:b/>
                <w:bCs/>
                <w:noProof/>
                <w:color w:val="000000"/>
                <w:szCs w:val="24"/>
              </w:rPr>
            </w:pPr>
            <w:r>
              <w:rPr>
                <w:b/>
                <w:bCs/>
                <w:noProof/>
              </w:rPr>
              <w:t>Rezultatai</w:t>
            </w:r>
          </w:p>
        </w:tc>
      </w:tr>
      <w:tr w:rsidR="00E72D1C">
        <w:trPr>
          <w:trHeight w:val="3001"/>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RCO01 – paramą gavusios įmonės (iš kurių: labai mažos, mažosios, vidutinės ir didelės)</w:t>
            </w:r>
            <w:r>
              <w:rPr>
                <w:noProof/>
              </w:rPr>
              <w:br/>
              <w:t>RCO 02 – para</w:t>
            </w:r>
            <w:r>
              <w:rPr>
                <w:noProof/>
              </w:rPr>
              <w:t>mą dotacijomis gavusios įmonės</w:t>
            </w:r>
            <w:r>
              <w:rPr>
                <w:noProof/>
              </w:rPr>
              <w:br/>
              <w:t>RCO 03 – paramą finansinėmis priemonėmis (FP) gavusios įmonės</w:t>
            </w:r>
            <w:r>
              <w:rPr>
                <w:noProof/>
              </w:rPr>
              <w:br/>
              <w:t>RCO 04 – nefinansinę paramą gavusios įmonės</w:t>
            </w:r>
            <w:r>
              <w:rPr>
                <w:noProof/>
              </w:rPr>
              <w:br/>
              <w:t>RCO 05 – paramą gavusios veiklą pradedančios įmonės</w:t>
            </w:r>
            <w:r>
              <w:rPr>
                <w:noProof/>
              </w:rPr>
              <w:br/>
            </w:r>
            <w:r>
              <w:rPr>
                <w:noProof/>
              </w:rPr>
              <w:br/>
              <w:t>RCO 10 – su mokslinių tyrimų institucijomis bendradarbiaujančios į</w:t>
            </w:r>
            <w:r>
              <w:rPr>
                <w:noProof/>
              </w:rPr>
              <w:t>monės</w:t>
            </w:r>
          </w:p>
          <w:p w:rsidR="00E72D1C" w:rsidRDefault="00E664BF">
            <w:pPr>
              <w:spacing w:before="0" w:after="0"/>
              <w:jc w:val="left"/>
              <w:rPr>
                <w:rFonts w:eastAsia="Times New Roman"/>
                <w:noProof/>
                <w:color w:val="000000"/>
                <w:szCs w:val="24"/>
              </w:rPr>
            </w:pPr>
            <w:r>
              <w:rPr>
                <w:noProof/>
              </w:rPr>
              <w:t>RCO 120 – įmonės, gavusios paramą siekiant sumažinti šiltnamio efektą sukeliančių dujų, išmetamų vykdant Direktyvos 2003/87/EB I priede išvardytą veiklą, kiekį</w:t>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t>RCR01 – paramą gavusiuose subjektuose sukurtos darbo vietos</w:t>
            </w:r>
            <w:r>
              <w:rPr>
                <w:noProof/>
              </w:rPr>
              <w:br/>
              <w:t xml:space="preserve">RCR 02 – privačios </w:t>
            </w:r>
            <w:r>
              <w:rPr>
                <w:noProof/>
              </w:rPr>
              <w:t>investicijos, atitinkančios viešąją paramą (iš kurių: dotacijos, finansinės priemonės)</w:t>
            </w:r>
            <w:r>
              <w:rPr>
                <w:noProof/>
              </w:rPr>
              <w:br/>
              <w:t>RCR 03 – produktų ar procesų inovacijas diegiančios MVĮ</w:t>
            </w:r>
            <w:r>
              <w:rPr>
                <w:noProof/>
              </w:rPr>
              <w:br/>
              <w:t>RCR 04 – rinkodaros ar organizacines inovacijas diegiančios MVĮ</w:t>
            </w:r>
            <w:r>
              <w:rPr>
                <w:noProof/>
              </w:rPr>
              <w:br/>
              <w:t>RCR 05 – inovacijas vietoje diegiančios MVĮ</w:t>
            </w:r>
            <w:r>
              <w:rPr>
                <w:noProof/>
              </w:rPr>
              <w:br/>
              <w:t>RCR 0</w:t>
            </w:r>
            <w:r>
              <w:rPr>
                <w:noProof/>
              </w:rPr>
              <w:t>6 – Europos patentų tarnybai pateiktos patentų paraiškos</w:t>
            </w:r>
            <w:r>
              <w:rPr>
                <w:noProof/>
              </w:rPr>
              <w:br/>
              <w:t>RCO 29 – numatomas šiltnamio efektą sukeliančių dujų, išmetamų vykdant Direktyvos 2003/87/EB I priede išvardytą veiklą, kiekis paramą gavusiose įmonėse</w:t>
            </w:r>
          </w:p>
        </w:tc>
      </w:tr>
      <w:tr w:rsidR="00E72D1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br/>
              <w:t>RCO 13 – įmonėms sukurtos skaitmeninės paslau</w:t>
            </w:r>
            <w:r>
              <w:rPr>
                <w:noProof/>
              </w:rPr>
              <w:t>gos ir produktai</w:t>
            </w:r>
            <w:r>
              <w:rPr>
                <w:noProof/>
              </w:rPr>
              <w:br/>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t>RCR 11 – naujų viešųjų skaitmeninių paslaugų ir taikomųjų programų naudotojai</w:t>
            </w:r>
            <w:r>
              <w:rPr>
                <w:noProof/>
              </w:rPr>
              <w:br/>
              <w:t>RCR 12 – įmonių sukurtų naujų skaitmeninių produktų, paslaugų ir taikomųjų programų naudotojai</w:t>
            </w:r>
            <w:r>
              <w:rPr>
                <w:noProof/>
              </w:rPr>
              <w:br/>
            </w:r>
          </w:p>
        </w:tc>
      </w:tr>
      <w:tr w:rsidR="00E72D1C">
        <w:trPr>
          <w:trHeight w:val="416"/>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t>RCO 15 – sukurti inkubavimo pajėgumai</w:t>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br/>
              <w:t>RCR 17 – 3-jų metų įmonė</w:t>
            </w:r>
            <w:r>
              <w:rPr>
                <w:noProof/>
              </w:rPr>
              <w:t>s, sugebėjusios išlikti rinkoje</w:t>
            </w:r>
            <w:r>
              <w:rPr>
                <w:noProof/>
              </w:rPr>
              <w:br/>
              <w:t>RCR 18 – inkubatoriaus paslaugomis besinaudojančios MVĮ praėjus vieniems metams po inkubatoriaus sukūrimo</w:t>
            </w:r>
            <w:r>
              <w:rPr>
                <w:noProof/>
              </w:rPr>
              <w:br/>
            </w:r>
          </w:p>
          <w:p w:rsidR="00E72D1C" w:rsidRDefault="00E72D1C">
            <w:pPr>
              <w:spacing w:after="0"/>
              <w:jc w:val="left"/>
              <w:rPr>
                <w:rFonts w:eastAsia="Times New Roman"/>
                <w:noProof/>
                <w:color w:val="000000"/>
                <w:szCs w:val="24"/>
              </w:rPr>
            </w:pPr>
          </w:p>
        </w:tc>
      </w:tr>
      <w:tr w:rsidR="00E72D1C">
        <w:trPr>
          <w:trHeight w:val="1020"/>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RCO 101 – į įgūdžių ugdymą investuojančios MVĮ</w:t>
            </w:r>
          </w:p>
          <w:p w:rsidR="00E72D1C" w:rsidRDefault="00E72D1C">
            <w:pPr>
              <w:spacing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RCR 97 – remiama pameistrystė labai mažose, mažosiose ir vidutinėse</w:t>
            </w:r>
            <w:r>
              <w:rPr>
                <w:noProof/>
              </w:rPr>
              <w:t xml:space="preserve"> įmonėse (MVĮ)</w:t>
            </w:r>
          </w:p>
          <w:p w:rsidR="00E72D1C" w:rsidRDefault="00E664BF">
            <w:pPr>
              <w:spacing w:before="0" w:after="0"/>
              <w:jc w:val="left"/>
              <w:rPr>
                <w:rFonts w:eastAsia="Times New Roman"/>
                <w:noProof/>
                <w:color w:val="000000"/>
                <w:szCs w:val="24"/>
              </w:rPr>
            </w:pPr>
            <w:r>
              <w:rPr>
                <w:noProof/>
              </w:rPr>
              <w:t>RCR 98 – MVĮ darbuotojai, išėję tęstinį profesinį rengimą ir mokymą, (pagal įgūdžio rūšį: techninis, valdymo, verslumo, ekologijos, kitas)</w:t>
            </w:r>
          </w:p>
        </w:tc>
      </w:tr>
      <w:tr w:rsidR="00E72D1C">
        <w:trPr>
          <w:trHeight w:val="1020"/>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RCO 22 – papildomi atsinaujinančiosios energijos gamybos pajėgumai (iš kurių: elektros, šiluminės ene</w:t>
            </w:r>
            <w:r>
              <w:rPr>
                <w:noProof/>
              </w:rPr>
              <w:t>rgijos kiekis)</w:t>
            </w:r>
          </w:p>
          <w:p w:rsidR="00E72D1C" w:rsidRDefault="00E72D1C">
            <w:pPr>
              <w:spacing w:before="0" w:after="0"/>
              <w:jc w:val="left"/>
              <w:rPr>
                <w:rFonts w:eastAsia="Times New Roman"/>
                <w:noProof/>
                <w:color w:val="000000"/>
                <w:szCs w:val="24"/>
              </w:rPr>
            </w:pP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RCR 31 – visas pagamintas atsinaujinančios energijos kiekis (iš kurio: elektros, šiluminės energijos kiekis)</w:t>
            </w:r>
            <w:r>
              <w:rPr>
                <w:noProof/>
              </w:rPr>
              <w:br/>
              <w:t>RCR 32 – atsinaujinančioji energija: su tinklu susiję pajėgumai (veiklos)</w:t>
            </w:r>
          </w:p>
        </w:tc>
      </w:tr>
      <w:tr w:rsidR="00E72D1C">
        <w:trPr>
          <w:trHeight w:val="1464"/>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t xml:space="preserve">RCO 34 – papildomi pajėgumai siekiant perdirbti atliekas </w:t>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after="0"/>
              <w:jc w:val="left"/>
              <w:rPr>
                <w:rFonts w:eastAsia="Times New Roman"/>
                <w:noProof/>
                <w:color w:val="000000"/>
                <w:szCs w:val="24"/>
              </w:rPr>
            </w:pPr>
            <w:r>
              <w:rPr>
                <w:noProof/>
              </w:rPr>
              <w:t xml:space="preserve">RCR 46 – gyventojai, besinaudojantys atliekų perdirbimo įrenginiais ir mažomis atliekų tvarkymo sistemomis </w:t>
            </w:r>
            <w:r>
              <w:rPr>
                <w:noProof/>
              </w:rPr>
              <w:br/>
              <w:t>RCR 47 – perdirbtos atliekos</w:t>
            </w:r>
            <w:r>
              <w:rPr>
                <w:noProof/>
              </w:rPr>
              <w:br/>
              <w:t xml:space="preserve">RCR 48 – perdirbtos atliekos, naudojamos kaip žaliavos </w:t>
            </w:r>
            <w:r>
              <w:rPr>
                <w:noProof/>
              </w:rPr>
              <w:br/>
              <w:t>RCR 4</w:t>
            </w:r>
            <w:r>
              <w:rPr>
                <w:noProof/>
              </w:rPr>
              <w:t>9 – panaudotos atliekos</w:t>
            </w:r>
          </w:p>
        </w:tc>
      </w:tr>
      <w:tr w:rsidR="00E72D1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RCO 38 – rekultivuotos žemės, kuriai suteikta parama, plotas</w:t>
            </w:r>
            <w:r>
              <w:rPr>
                <w:noProof/>
              </w:rPr>
              <w:br/>
              <w:t>RCO 39 – įrengtos oro taršos stebėsenos sistemos</w:t>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0"/>
              <w:jc w:val="left"/>
              <w:rPr>
                <w:rFonts w:eastAsia="Times New Roman"/>
                <w:noProof/>
                <w:color w:val="000000"/>
                <w:szCs w:val="24"/>
              </w:rPr>
            </w:pPr>
            <w:r>
              <w:rPr>
                <w:noProof/>
              </w:rPr>
              <w:t>RCR 50 – gyventojai, galintys pasinaudoti oro kokybės gerinimo priemonėmis</w:t>
            </w:r>
          </w:p>
          <w:p w:rsidR="00E72D1C" w:rsidRDefault="00E664BF">
            <w:pPr>
              <w:spacing w:before="0" w:after="0"/>
              <w:jc w:val="left"/>
              <w:rPr>
                <w:rFonts w:eastAsia="Times New Roman"/>
                <w:noProof/>
                <w:color w:val="000000"/>
                <w:szCs w:val="24"/>
              </w:rPr>
            </w:pPr>
            <w:r>
              <w:rPr>
                <w:noProof/>
              </w:rPr>
              <w:t>RCR 52 – rekultivuota žemė, naudojama žaliesie</w:t>
            </w:r>
            <w:r>
              <w:rPr>
                <w:noProof/>
              </w:rPr>
              <w:t>ms plotams, socialiniams būstams, ekonominei ar bendruomeninei veiklai</w:t>
            </w:r>
          </w:p>
        </w:tc>
      </w:tr>
      <w:tr w:rsidR="00E72D1C">
        <w:trPr>
          <w:trHeight w:val="1530"/>
        </w:trPr>
        <w:tc>
          <w:tcPr>
            <w:tcW w:w="6961"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110" w:line="249" w:lineRule="auto"/>
              <w:rPr>
                <w:rFonts w:eastAsia="Times New Roman"/>
                <w:noProof/>
                <w:color w:val="000000"/>
              </w:rPr>
            </w:pPr>
            <w:r>
              <w:rPr>
                <w:noProof/>
              </w:rPr>
              <w:t>Dalyviams</w:t>
            </w:r>
            <w:r>
              <w:rPr>
                <w:rStyle w:val="FootnoteReference"/>
                <w:noProof/>
              </w:rPr>
              <w:footnoteReference w:id="3"/>
            </w:r>
            <w:r>
              <w:rPr>
                <w:noProof/>
                <w:vertAlign w:val="superscript"/>
              </w:rPr>
              <w:t>,</w:t>
            </w:r>
            <w:r>
              <w:rPr>
                <w:bCs/>
                <w:noProof/>
                <w:vertAlign w:val="superscript"/>
              </w:rPr>
              <w:footnoteReference w:id="4"/>
            </w:r>
            <w:r>
              <w:rPr>
                <w:noProof/>
              </w:rPr>
              <w:t>:</w:t>
            </w:r>
          </w:p>
          <w:p w:rsidR="00E72D1C" w:rsidRDefault="00E664BF">
            <w:pPr>
              <w:spacing w:after="110" w:line="249" w:lineRule="auto"/>
              <w:rPr>
                <w:rFonts w:eastAsia="Times New Roman"/>
                <w:noProof/>
                <w:color w:val="000000"/>
              </w:rPr>
            </w:pPr>
            <w:r>
              <w:rPr>
                <w:noProof/>
              </w:rPr>
              <w:t xml:space="preserve">RCO 200 – bedarbiai, įskaitant ilgalaikius bedarbius,  </w:t>
            </w:r>
          </w:p>
          <w:p w:rsidR="00E72D1C" w:rsidRDefault="00E664BF">
            <w:pPr>
              <w:spacing w:after="110" w:line="249" w:lineRule="auto"/>
              <w:rPr>
                <w:rFonts w:eastAsia="Times New Roman"/>
                <w:noProof/>
                <w:color w:val="000000"/>
              </w:rPr>
            </w:pPr>
            <w:r>
              <w:rPr>
                <w:noProof/>
              </w:rPr>
              <w:t xml:space="preserve">RCO 201 – ilgalaikiai bedarbiai,  </w:t>
            </w:r>
          </w:p>
          <w:p w:rsidR="00E72D1C" w:rsidRDefault="00E664BF">
            <w:pPr>
              <w:spacing w:after="110" w:line="249" w:lineRule="auto"/>
              <w:rPr>
                <w:rFonts w:eastAsia="Times New Roman"/>
                <w:noProof/>
                <w:color w:val="000000"/>
              </w:rPr>
            </w:pPr>
            <w:r>
              <w:rPr>
                <w:noProof/>
              </w:rPr>
              <w:t xml:space="preserve">RCO 202 – neaktyvūs asmenys, </w:t>
            </w:r>
          </w:p>
          <w:p w:rsidR="00E72D1C" w:rsidRDefault="00E664BF">
            <w:pPr>
              <w:spacing w:after="110" w:line="249" w:lineRule="auto"/>
              <w:rPr>
                <w:rFonts w:eastAsia="Times New Roman"/>
                <w:noProof/>
                <w:color w:val="000000"/>
              </w:rPr>
            </w:pPr>
            <w:r>
              <w:rPr>
                <w:noProof/>
              </w:rPr>
              <w:t xml:space="preserve">RCO 203 – dirbantieji, įskaitant savarankiškai dirbančius asmenis,  </w:t>
            </w:r>
          </w:p>
          <w:p w:rsidR="00E72D1C" w:rsidRDefault="00E664BF">
            <w:pPr>
              <w:spacing w:after="110" w:line="249" w:lineRule="auto"/>
              <w:rPr>
                <w:rFonts w:eastAsia="Times New Roman"/>
                <w:noProof/>
                <w:color w:val="000000"/>
              </w:rPr>
            </w:pPr>
            <w:r>
              <w:rPr>
                <w:noProof/>
              </w:rPr>
              <w:t xml:space="preserve">RCO 204 – jaunesni negu 30 metų asmenys,  </w:t>
            </w:r>
          </w:p>
          <w:p w:rsidR="00E72D1C" w:rsidRDefault="00E664BF">
            <w:pPr>
              <w:spacing w:after="110" w:line="249" w:lineRule="auto"/>
              <w:rPr>
                <w:rFonts w:eastAsia="Times New Roman"/>
                <w:noProof/>
                <w:color w:val="000000"/>
              </w:rPr>
            </w:pPr>
            <w:r>
              <w:rPr>
                <w:noProof/>
              </w:rPr>
              <w:t xml:space="preserve">RCO 205 – vyresni negu 54 metų asmenys,  </w:t>
            </w:r>
          </w:p>
          <w:p w:rsidR="00E72D1C" w:rsidRDefault="00E664BF">
            <w:pPr>
              <w:spacing w:after="110" w:line="249" w:lineRule="auto"/>
              <w:rPr>
                <w:rFonts w:eastAsia="Times New Roman"/>
                <w:noProof/>
                <w:color w:val="000000"/>
              </w:rPr>
            </w:pPr>
            <w:r>
              <w:rPr>
                <w:noProof/>
              </w:rPr>
              <w:t xml:space="preserve">RCO 206 – asmenys, turintys pagrindinį arba žemesnį nei pagrindinis išsilavinimą (ISCED 0–2), </w:t>
            </w:r>
          </w:p>
          <w:p w:rsidR="00E72D1C" w:rsidRDefault="00E664BF">
            <w:pPr>
              <w:spacing w:after="110" w:line="249" w:lineRule="auto"/>
              <w:rPr>
                <w:rFonts w:eastAsia="Times New Roman"/>
                <w:noProof/>
                <w:color w:val="000000"/>
              </w:rPr>
            </w:pPr>
            <w:r>
              <w:rPr>
                <w:noProof/>
              </w:rPr>
              <w:t>RCO 207</w:t>
            </w:r>
            <w:r>
              <w:rPr>
                <w:noProof/>
              </w:rPr>
              <w:t xml:space="preserve"> – asmenys, turintys vidurinį (ISCED 3) arba profesinį (turint vidurinį) (ISCED 4) išsilavinimą, </w:t>
            </w:r>
          </w:p>
          <w:p w:rsidR="00E72D1C" w:rsidRDefault="00E664BF">
            <w:pPr>
              <w:spacing w:after="0"/>
              <w:rPr>
                <w:rFonts w:eastAsia="Times New Roman"/>
                <w:noProof/>
                <w:color w:val="000000"/>
              </w:rPr>
            </w:pPr>
            <w:r>
              <w:rPr>
                <w:noProof/>
              </w:rPr>
              <w:t>RCO 208 – asmenys, turintys tretinį išsilavinimą (ISCED 5–8),</w:t>
            </w:r>
          </w:p>
          <w:p w:rsidR="00E72D1C" w:rsidRDefault="00E664BF">
            <w:pPr>
              <w:spacing w:after="110" w:line="249" w:lineRule="auto"/>
              <w:rPr>
                <w:rFonts w:eastAsia="Times New Roman"/>
                <w:noProof/>
                <w:color w:val="000000"/>
                <w:sz w:val="20"/>
                <w:szCs w:val="20"/>
              </w:rPr>
            </w:pPr>
            <w:r>
              <w:rPr>
                <w:noProof/>
              </w:rPr>
              <w:t>RCO 209 – bendras dalyvių skaičius</w:t>
            </w:r>
            <w:r>
              <w:rPr>
                <w:bCs/>
                <w:noProof/>
                <w:vertAlign w:val="superscript"/>
              </w:rPr>
              <w:footnoteReference w:id="5"/>
            </w:r>
            <w:r>
              <w:rPr>
                <w:noProof/>
              </w:rPr>
              <w:t xml:space="preserve"> </w:t>
            </w:r>
          </w:p>
        </w:tc>
        <w:tc>
          <w:tcPr>
            <w:tcW w:w="6946" w:type="dxa"/>
            <w:tcBorders>
              <w:top w:val="nil"/>
              <w:left w:val="nil"/>
              <w:bottom w:val="single" w:sz="4" w:space="0" w:color="auto"/>
              <w:right w:val="single" w:sz="4" w:space="0" w:color="auto"/>
            </w:tcBorders>
            <w:shd w:val="clear" w:color="auto" w:fill="auto"/>
            <w:vAlign w:val="center"/>
            <w:hideMark/>
          </w:tcPr>
          <w:p w:rsidR="00E72D1C" w:rsidRDefault="00E664BF">
            <w:pPr>
              <w:spacing w:before="0" w:after="107" w:line="249" w:lineRule="auto"/>
              <w:ind w:left="-5" w:hanging="10"/>
              <w:rPr>
                <w:rFonts w:eastAsia="Times New Roman"/>
                <w:noProof/>
                <w:color w:val="000000"/>
              </w:rPr>
            </w:pPr>
            <w:r>
              <w:rPr>
                <w:noProof/>
              </w:rPr>
              <w:t>Dalyviams</w:t>
            </w:r>
            <w:r>
              <w:rPr>
                <w:noProof/>
                <w:vertAlign w:val="superscript"/>
              </w:rPr>
              <w:footnoteReference w:id="6"/>
            </w:r>
            <w:r>
              <w:rPr>
                <w:noProof/>
              </w:rPr>
              <w:t xml:space="preserve">: </w:t>
            </w:r>
          </w:p>
          <w:p w:rsidR="00E72D1C" w:rsidRDefault="00E664BF">
            <w:pPr>
              <w:spacing w:before="0" w:after="107" w:line="249" w:lineRule="auto"/>
              <w:ind w:left="-5" w:hanging="10"/>
              <w:rPr>
                <w:rFonts w:eastAsia="Times New Roman"/>
                <w:noProof/>
                <w:color w:val="000000"/>
              </w:rPr>
            </w:pPr>
            <w:r>
              <w:rPr>
                <w:noProof/>
              </w:rPr>
              <w:t xml:space="preserve">RCR 200 – dalyviai, pasibaigus dalyvavimui ieškantys darbo,  </w:t>
            </w:r>
          </w:p>
          <w:p w:rsidR="00E72D1C" w:rsidRDefault="00E664BF">
            <w:pPr>
              <w:spacing w:before="0" w:after="107" w:line="249" w:lineRule="auto"/>
              <w:ind w:left="-5" w:hanging="10"/>
              <w:rPr>
                <w:rFonts w:eastAsia="Times New Roman"/>
                <w:noProof/>
                <w:color w:val="000000"/>
              </w:rPr>
            </w:pPr>
            <w:r>
              <w:rPr>
                <w:noProof/>
              </w:rPr>
              <w:t xml:space="preserve">RCR 201 – dalyviai, pasibaigus dalyvavimui besimokantys pagal švietimo ar mokymo programą,  </w:t>
            </w:r>
          </w:p>
          <w:p w:rsidR="00E72D1C" w:rsidRDefault="00E664BF">
            <w:pPr>
              <w:spacing w:after="110" w:line="249" w:lineRule="auto"/>
              <w:rPr>
                <w:rFonts w:eastAsia="Times New Roman"/>
                <w:noProof/>
                <w:color w:val="000000"/>
              </w:rPr>
            </w:pPr>
            <w:r>
              <w:rPr>
                <w:noProof/>
              </w:rPr>
              <w:t xml:space="preserve">RCR 202 – dalyviai, pasibaigus dalyvavimui įgyjantys kvalifikaciją,  </w:t>
            </w:r>
          </w:p>
          <w:p w:rsidR="00E72D1C" w:rsidRDefault="00E664BF">
            <w:pPr>
              <w:spacing w:after="110" w:line="249" w:lineRule="auto"/>
              <w:rPr>
                <w:rFonts w:eastAsia="Times New Roman"/>
                <w:noProof/>
                <w:color w:val="000000"/>
              </w:rPr>
            </w:pPr>
            <w:r>
              <w:rPr>
                <w:noProof/>
              </w:rPr>
              <w:t xml:space="preserve">RCR 203 – dalyviai, pasibaigus </w:t>
            </w:r>
            <w:r>
              <w:rPr>
                <w:noProof/>
              </w:rPr>
              <w:t>dalyvavimui dirbantys, įskaitant savarankišką darbą.</w:t>
            </w:r>
          </w:p>
          <w:p w:rsidR="00E72D1C" w:rsidRDefault="00E72D1C">
            <w:pPr>
              <w:spacing w:before="0" w:after="0"/>
              <w:jc w:val="left"/>
              <w:rPr>
                <w:rFonts w:eastAsia="Times New Roman"/>
                <w:noProof/>
                <w:color w:val="000000"/>
                <w:sz w:val="20"/>
                <w:szCs w:val="20"/>
              </w:rPr>
            </w:pPr>
          </w:p>
        </w:tc>
      </w:tr>
    </w:tbl>
    <w:p w:rsidR="00E72D1C" w:rsidRDefault="00E72D1C">
      <w:pPr>
        <w:rPr>
          <w:noProof/>
        </w:rPr>
      </w:pPr>
    </w:p>
    <w:p w:rsidR="00E72D1C" w:rsidRDefault="00E72D1C">
      <w:pPr>
        <w:rPr>
          <w:noProof/>
        </w:rPr>
      </w:pPr>
    </w:p>
    <w:sectPr w:rsidR="00E72D1C">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1C" w:rsidRDefault="00E664BF">
      <w:pPr>
        <w:spacing w:before="0" w:after="0"/>
      </w:pPr>
      <w:r>
        <w:separator/>
      </w:r>
    </w:p>
  </w:endnote>
  <w:endnote w:type="continuationSeparator" w:id="0">
    <w:p w:rsidR="00E72D1C" w:rsidRDefault="00E664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664BF">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664BF">
    <w:pPr>
      <w:pStyle w:val="Footer"/>
      <w:rPr>
        <w:rFonts w:ascii="Arial" w:hAnsi="Arial" w:cs="Arial"/>
        <w:b/>
        <w:sz w:val="48"/>
      </w:rPr>
    </w:pPr>
    <w:r>
      <w:rPr>
        <w:rFonts w:ascii="Arial" w:hAnsi="Arial"/>
        <w:b/>
        <w:sz w:val="48"/>
      </w:rPr>
      <w:t>LT</w:t>
    </w:r>
    <w:r>
      <w:rPr>
        <w:rFonts w:ascii="Arial" w:hAnsi="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b/>
        <w:sz w:val="48"/>
      </w:rPr>
      <w:t>LT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664BF" w:rsidP="00E664BF">
    <w:pPr>
      <w:pStyle w:val="Footer"/>
      <w:tabs>
        <w:tab w:val="clear" w:pos="4535"/>
        <w:tab w:val="clear" w:pos="9921"/>
        <w:tab w:val="center" w:pos="6804"/>
        <w:tab w:val="right" w:pos="14601"/>
      </w:tabs>
      <w:rPr>
        <w:rFonts w:ascii="Arial" w:hAnsi="Arial" w:cs="Arial"/>
        <w:b/>
        <w:sz w:val="48"/>
      </w:rPr>
    </w:pPr>
    <w:bookmarkStart w:id="1" w:name="_GoBack"/>
    <w:bookmarkEnd w:id="1"/>
    <w:r>
      <w:rPr>
        <w:rFonts w:ascii="Arial" w:hAnsi="Arial"/>
        <w:b/>
        <w:sz w:val="48"/>
      </w:rPr>
      <w:t>LT</w:t>
    </w:r>
    <w:r>
      <w:rPr>
        <w:rFonts w:ascii="Arial" w:hAnsi="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b/>
        <w:sz w:val="48"/>
      </w:rPr>
      <w:t>LT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1C" w:rsidRDefault="00E664BF">
      <w:pPr>
        <w:spacing w:before="0" w:after="0"/>
      </w:pPr>
      <w:r>
        <w:separator/>
      </w:r>
    </w:p>
  </w:footnote>
  <w:footnote w:type="continuationSeparator" w:id="0">
    <w:p w:rsidR="00E72D1C" w:rsidRDefault="00E664BF">
      <w:pPr>
        <w:spacing w:before="0" w:after="0"/>
      </w:pPr>
      <w:r>
        <w:continuationSeparator/>
      </w:r>
    </w:p>
  </w:footnote>
  <w:footnote w:id="1">
    <w:p w:rsidR="00E72D1C" w:rsidRDefault="00E664BF">
      <w:pPr>
        <w:pStyle w:val="FootnoteText"/>
      </w:pPr>
      <w:r>
        <w:rPr>
          <w:rStyle w:val="FootnoteReference"/>
        </w:rPr>
        <w:footnoteRef/>
      </w:r>
      <w:r>
        <w:t xml:space="preserve"> </w:t>
      </w:r>
      <w:r>
        <w:tab/>
        <w:t xml:space="preserve">2006 m. sausio 18 d. Europos Parlamento ir Tarybos reglamentas (EB) Nr. 166/2006 dėl Europos išleidžiamų ir perduodamų teršalų registro sukūrimo ir iš </w:t>
      </w:r>
      <w:r>
        <w:t>dalies keičiantis Tarybos direktyvas 91/689/EEB ir 96/61/EB (OL L 33, 2006 2 4, p. 1).</w:t>
      </w:r>
    </w:p>
  </w:footnote>
  <w:footnote w:id="2">
    <w:p w:rsidR="00E72D1C" w:rsidRDefault="00E664BF">
      <w:pPr>
        <w:pStyle w:val="FootnoteText"/>
      </w:pPr>
      <w:r>
        <w:rPr>
          <w:rStyle w:val="FootnoteReference"/>
        </w:rPr>
        <w:footnoteRef/>
      </w:r>
      <w:r>
        <w:t xml:space="preserve"> Dėl pateikimo priežasčių rodikliai sugrupuoti taip, kad būtų lengviau juos suderinti su rodikliais, įtrauktais į kitus konkretiems sanglaudos politikos fondams skirtus</w:t>
      </w:r>
      <w:r>
        <w:t xml:space="preserve"> reglamentus.</w:t>
      </w:r>
    </w:p>
  </w:footnote>
  <w:footnote w:id="3">
    <w:p w:rsidR="00E72D1C" w:rsidRDefault="00E664BF">
      <w:pPr>
        <w:pStyle w:val="FootnoteText"/>
        <w:rPr>
          <w:sz w:val="18"/>
        </w:rPr>
      </w:pPr>
      <w:r>
        <w:rPr>
          <w:rStyle w:val="FootnoteReference"/>
          <w:sz w:val="18"/>
        </w:rPr>
        <w:footnoteRef/>
      </w:r>
      <w:r>
        <w:rPr>
          <w:sz w:val="18"/>
        </w:rPr>
        <w:t xml:space="preserve"> Turi būti pateikti visi su dalyviais susiję produkto ir rezultato rodikliai.</w:t>
      </w:r>
    </w:p>
  </w:footnote>
  <w:footnote w:id="4">
    <w:p w:rsidR="00E72D1C" w:rsidRDefault="00E664BF">
      <w:pPr>
        <w:spacing w:before="0" w:after="0"/>
        <w:ind w:left="113" w:hanging="113"/>
        <w:rPr>
          <w:sz w:val="18"/>
          <w:szCs w:val="20"/>
        </w:rPr>
      </w:pPr>
      <w:r>
        <w:rPr>
          <w:rStyle w:val="FootnoteReference"/>
          <w:bCs/>
          <w:sz w:val="18"/>
        </w:rPr>
        <w:footnoteRef/>
      </w:r>
      <w:r>
        <w:rPr>
          <w:rStyle w:val="FootnoteReference"/>
          <w:bCs/>
          <w:sz w:val="22"/>
        </w:rPr>
        <w:t xml:space="preserve"> </w:t>
      </w:r>
      <w:r>
        <w:rPr>
          <w:sz w:val="18"/>
          <w:szCs w:val="20"/>
        </w:rPr>
        <w:t xml:space="preserve">Visi asmens duomenys turi būti suskirstyti pagal lytis (vyras, moteris, nebinarinio lytiškumo asmuo). Jei tam tikrų rezultatų neįmanoma gauti, apie tuos </w:t>
      </w:r>
      <w:r>
        <w:rPr>
          <w:sz w:val="18"/>
          <w:szCs w:val="20"/>
        </w:rPr>
        <w:t>rezultatų rodiklius duomenų rinkti ir teikti nereikia. Kai duomenys renkami iš registrų, valstybės narės neprivalo laikytis bendrai sutartų apibrėžčių ir gali naudoti nacionalines apibrėžtis.</w:t>
      </w:r>
    </w:p>
  </w:footnote>
  <w:footnote w:id="5">
    <w:p w:rsidR="00E72D1C" w:rsidRDefault="00E664BF">
      <w:pPr>
        <w:pStyle w:val="FootnoteText"/>
        <w:ind w:left="113" w:hanging="113"/>
        <w:rPr>
          <w:sz w:val="18"/>
        </w:rPr>
      </w:pPr>
      <w:r>
        <w:rPr>
          <w:rStyle w:val="FootnoteReference"/>
          <w:bCs/>
          <w:sz w:val="18"/>
        </w:rPr>
        <w:footnoteRef/>
      </w:r>
      <w:r>
        <w:rPr>
          <w:sz w:val="18"/>
        </w:rPr>
        <w:t xml:space="preserve"> Turi būti apskaičiuojama automatiškai, remiantis bendraisiais </w:t>
      </w:r>
      <w:r>
        <w:rPr>
          <w:sz w:val="18"/>
        </w:rPr>
        <w:t>su užimtumo statusu susijusiais produkto rodikliais.</w:t>
      </w:r>
    </w:p>
  </w:footnote>
  <w:footnote w:id="6">
    <w:p w:rsidR="00E72D1C" w:rsidRDefault="00E664BF">
      <w:pPr>
        <w:pStyle w:val="FootnoteText"/>
        <w:ind w:left="113" w:hanging="113"/>
        <w:rPr>
          <w:sz w:val="18"/>
        </w:rPr>
      </w:pPr>
      <w:r>
        <w:rPr>
          <w:rStyle w:val="FootnoteReference"/>
          <w:bCs/>
          <w:sz w:val="18"/>
        </w:rPr>
        <w:footnoteRef/>
      </w:r>
      <w:r>
        <w:rPr>
          <w:sz w:val="18"/>
        </w:rPr>
        <w:t xml:space="preserve"> Visi asmens duomenys turi būti suskirstyti pagal lytis. Jei tam tikrų rezultatų neįmanoma gauti, apie tuos rezultatų rodiklius duomenų rinkti ir teikti nereikia. Kai duomenys renkami iš registrų, valst</w:t>
      </w:r>
      <w:r>
        <w:rPr>
          <w:sz w:val="18"/>
        </w:rPr>
        <w:t>ybės narės neprivalo laikytis bendrai sutartų apibrėžčių ir gali naudoti nacionalines apibrėžtis.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1C" w:rsidRDefault="00E7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615"/>
    <w:multiLevelType w:val="hybridMultilevel"/>
    <w:tmpl w:val="37F636A6"/>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DEECC106">
      <w:start w:val="239"/>
      <w:numFmt w:val="bullet"/>
      <w:lvlText w:val="-"/>
      <w:lvlJc w:val="left"/>
      <w:pPr>
        <w:ind w:left="2160" w:hanging="180"/>
      </w:pPr>
      <w:rPr>
        <w:rFonts w:ascii="Calibri" w:eastAsia="Calibr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
    <w:docVar w:name="LW_ANNEX_NBR_FIRST" w:val="1"/>
    <w:docVar w:name="LW_ANNEX_NBR_LAST" w:val="3"/>
    <w:docVar w:name="LW_ANNEX_UNIQUE" w:val="0"/>
    <w:docVar w:name="LW_CORRIGENDUM" w:val="&lt;UNUSED&gt;"/>
    <w:docVar w:name="LW_COVERPAGE_EXISTS" w:val="True"/>
    <w:docVar w:name="LW_COVERPAGE_GUID" w:val="7D0F53C0-BE0F-448C-B6E2-6D44DCC38704"/>
    <w:docVar w:name="LW_COVERPAGE_TYPE" w:val="1"/>
    <w:docVar w:name="LW_CROSSREFERENCE" w:val="&lt;UNUSED&gt;"/>
    <w:docVar w:name="LW_DocType" w:val="NORMAL"/>
    <w:docVar w:name="LW_EMISSION" w:val="2020 01 14"/>
    <w:docVar w:name="LW_EMISSION_ISODATE" w:val="2020-01-14"/>
    <w:docVar w:name="LW_EMISSION_LOCATION" w:val="BRX"/>
    <w:docVar w:name="LW_EMISSION_PREFIX" w:val="Briuselis, "/>
    <w:docVar w:name="LW_EMISSION_SUFFIX" w:val=" "/>
    <w:docVar w:name="LW_ID_DOCTYPE_NONLW" w:val="CP-036"/>
    <w:docVar w:name="LW_LANGUE" w:val="LT"/>
    <w:docVar w:name="LW_LEVEL_OF_SENSITIVITY" w:val="Standard treatment"/>
    <w:docVar w:name="LW_NOM.INST" w:val="EUROPOS KOMISIJA"/>
    <w:docVar w:name="LW_NOM.INST_JOINTDOC" w:val="&lt;EMPTY&gt;"/>
    <w:docVar w:name="LW_OBJETACTEPRINCIPAL.CP" w:val="kuriuo \u303?steigiamas Teisingos pertvarkos fondas"/>
    <w:docVar w:name="LW_PART_NBR" w:val="&lt;UNUSED&gt;"/>
    <w:docVar w:name="LW_PART_NBR_TOTAL" w:val="&lt;UNUSED&gt;"/>
    <w:docVar w:name="LW_REF.INST.NEW" w:val="COM"/>
    <w:docVar w:name="LW_REF.INST.NEW_ADOPTED" w:val="final"/>
    <w:docVar w:name="LW_REF.INST.NEW_TEXT" w:val="(2020)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EDAI_x000b_"/>
    <w:docVar w:name="LW_TYPEACTEPRINCIPAL.CP" w:val="Pasi\u363?lymo d\u279?l_x000b_EUROPOS PARLAMENTO IR TARYBOS REGLAMENTO"/>
  </w:docVars>
  <w:rsids>
    <w:rsidRoot w:val="00E72D1C"/>
    <w:rsid w:val="00E664BF"/>
    <w:rsid w:val="00E72D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F6A07AC-298B-4C0E-8B6D-381C60DD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aliases w:val="Footnote Text Char1,Footnote Text Char1 Char Char,Footnote Text Char Char Char Char,Footnote Text Char Char Char Char Char Char Char Char,Footnote Text Char Char1,Schriftart: 9 pt,f"/>
    <w:basedOn w:val="Normal"/>
    <w:link w:val="FootnoteTextChar"/>
    <w:uiPriority w:val="99"/>
    <w:unhideWhenUsed/>
    <w:pPr>
      <w:spacing w:before="0" w:after="0"/>
      <w:ind w:left="720" w:hanging="720"/>
    </w:pPr>
    <w:rPr>
      <w:sz w:val="20"/>
      <w:szCs w:val="20"/>
    </w:rPr>
  </w:style>
  <w:style w:type="character" w:customStyle="1" w:styleId="FootnoteTextChar">
    <w:name w:val="Footnote Text Char"/>
    <w:aliases w:val="Footnote Text Char1 Char,Footnote Text Char1 Char Char Char,Footnote Text Char Char Char Char Char,Footnote Text Char Char Char Char Char Char Char Char Char,Footnote Text Char Char1 Char,Schriftart: 9 pt Char,f Char"/>
    <w:basedOn w:val="DefaultParagraphFont"/>
    <w:link w:val="FootnoteText"/>
    <w:uiPriority w:val="99"/>
    <w:rPr>
      <w:rFonts w:ascii="Times New Roman" w:hAnsi="Times New Roman" w:cs="Times New Roman"/>
      <w:sz w:val="20"/>
      <w:szCs w:val="20"/>
      <w:lang w:val="lt-LT"/>
    </w:rPr>
  </w:style>
  <w:style w:type="character" w:styleId="FootnoteReference">
    <w:name w:val="footnote reference"/>
    <w:aliases w:val="Footnote call,BVI fnr,SUPERS,Footnote symbol, BVI fnr,(Footnote Reference),Footnote,Voetnootverwijzing,Times 10 Point,Exposant 3 Point,Footnote reference number,note TESI,stylish,Ref,de nota al pie,Footnote Reference1,16 Point"/>
    <w:basedOn w:val="DefaultParagraphFont"/>
    <w:uiPriority w:val="99"/>
    <w:unhideWhenUsed/>
    <w:rPr>
      <w:shd w:val="clear" w:color="auto" w:fill="auto"/>
      <w:vertAlign w:val="superscript"/>
    </w:rPr>
  </w:style>
  <w:style w:type="character" w:customStyle="1" w:styleId="Marker">
    <w:name w:val="Marker"/>
    <w:basedOn w:val="DefaultParagraphFont"/>
    <w:rPr>
      <w:color w:val="0000FF"/>
      <w:shd w:val="clear" w:color="auto" w:fill="auto"/>
    </w:rPr>
  </w:style>
  <w:style w:type="paragraph" w:customStyle="1" w:styleId="Annexetitre">
    <w:name w:val="Annexe titre"/>
    <w:basedOn w:val="Normal"/>
    <w:next w:val="Normal"/>
    <w:link w:val="AnnexetitreChar"/>
    <w:pPr>
      <w:jc w:val="center"/>
    </w:pPr>
    <w:rPr>
      <w:b/>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lang w:val="lt-LT"/>
    </w:rPr>
  </w:style>
  <w:style w:type="table" w:styleId="TableGrid">
    <w:name w:val="Table Grid"/>
    <w:basedOn w:val="TableNormal"/>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13"/>
        <w:tab w:val="right" w:pos="9026"/>
      </w:tabs>
      <w:spacing w:before="0" w:after="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Pr>
      <w:rFonts w:ascii="Times New Roman" w:hAnsi="Times New Roman" w:cs="Times New Roman"/>
      <w:b/>
      <w:sz w:val="24"/>
      <w:u w:val="single"/>
      <w:lang w:val="lt-LT"/>
    </w:rPr>
  </w:style>
  <w:style w:type="character" w:customStyle="1" w:styleId="FooterCoverPageChar">
    <w:name w:val="Footer Cover Page Char"/>
    <w:basedOn w:val="AnnexetitreChar"/>
    <w:link w:val="FooterCoverPage"/>
    <w:rPr>
      <w:rFonts w:ascii="Times New Roman" w:hAnsi="Times New Roman" w:cs="Times New Roman"/>
      <w:b w:val="0"/>
      <w:sz w:val="24"/>
      <w:u w:val="single"/>
      <w:lang w:val="lt-L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Pr>
      <w:rFonts w:ascii="Times New Roman" w:hAnsi="Times New Roman" w:cs="Times New Roman"/>
      <w:b/>
      <w:sz w:val="32"/>
      <w:u w:val="single"/>
      <w:lang w:val="lt-LT"/>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AnnexetitreChar"/>
    <w:link w:val="HeaderCoverPage"/>
    <w:rPr>
      <w:rFonts w:ascii="Times New Roman" w:hAnsi="Times New Roman" w:cs="Times New Roman"/>
      <w:b w:val="0"/>
      <w:sz w:val="24"/>
      <w:u w:val="single"/>
      <w:lang w:val="lt-L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Pr>
      <w:rFonts w:ascii="Times New Roman" w:hAnsi="Times New Roman" w:cs="Times New Roman"/>
      <w:b/>
      <w:sz w:val="32"/>
      <w:u w:val="single"/>
      <w:lang w:val="lt-LT"/>
    </w:rPr>
  </w:style>
  <w:style w:type="paragraph" w:customStyle="1" w:styleId="HeaderSensitivityRight">
    <w:name w:val="Header Sensitivity Right"/>
    <w:basedOn w:val="Normal"/>
    <w:link w:val="HeaderSensitivityRightChar"/>
    <w:pPr>
      <w:spacing w:before="0"/>
      <w:jc w:val="right"/>
    </w:pPr>
    <w:rPr>
      <w:sz w:val="28"/>
    </w:rPr>
  </w:style>
  <w:style w:type="character" w:customStyle="1" w:styleId="HeaderSensitivityRightChar">
    <w:name w:val="Header Sensitivity Right Char"/>
    <w:basedOn w:val="AnnexetitreChar"/>
    <w:link w:val="HeaderSensitivityRight"/>
    <w:rPr>
      <w:rFonts w:ascii="Times New Roman" w:hAnsi="Times New Roman" w:cs="Times New Roman"/>
      <w:b w:val="0"/>
      <w:sz w:val="28"/>
      <w:u w:val="single"/>
      <w:lang w:val="lt-LT"/>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customStyle="1" w:styleId="Text1">
    <w:name w:val="Text 1"/>
    <w:basedOn w:val="Normal"/>
    <w:pPr>
      <w:ind w:left="850"/>
    </w:pPr>
  </w:style>
  <w:style w:type="paragraph" w:customStyle="1" w:styleId="ManualNumPar1">
    <w:name w:val="Manual NumPar 1"/>
    <w:basedOn w:val="Normal"/>
    <w:next w:val="Text1"/>
    <w:pPr>
      <w:ind w:left="850" w:hanging="850"/>
    </w:p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A8F1D7-37C4-4D5D-A41C-93AB74F3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1660</Words>
  <Characters>10195</Characters>
  <Application>Microsoft Office Word</Application>
  <DocSecurity>0</DocSecurity>
  <Lines>308</Lines>
  <Paragraphs>133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Martine (REGIO)</dc:creator>
  <cp:keywords/>
  <dc:description/>
  <cp:lastModifiedBy>HEILEMANN Stefanie (SG)</cp:lastModifiedBy>
  <cp:revision>22</cp:revision>
  <dcterms:created xsi:type="dcterms:W3CDTF">2020-01-11T08:35:00Z</dcterms:created>
  <dcterms:modified xsi:type="dcterms:W3CDTF">2020-01-16T15:22:00Z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3</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LW 7.0, Build 20190717</vt:lpwstr>
  </property>
  <property fmtid="{D5CDD505-2E9C-101B-9397-08002B2CF9AE}" pid="11" name="Created using">
    <vt:lpwstr>LW 7.0, Build 20190717</vt:lpwstr>
  </property>
</Properties>
</file>