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29" w:rsidRDefault="0082696E">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5898E7-ABF5-4422-9864-8A1C6DBFB473" style="width:450.6pt;height:348.85pt">
            <v:imagedata r:id="rId8" o:title=""/>
          </v:shape>
        </w:pict>
      </w:r>
    </w:p>
    <w:bookmarkEnd w:id="0"/>
    <w:p w:rsidR="00680C29" w:rsidRDefault="00680C29">
      <w:pPr>
        <w:pStyle w:val="Pagedecouverture"/>
        <w:rPr>
          <w:noProof/>
        </w:rPr>
        <w:sectPr w:rsidR="00680C2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680C29" w:rsidRDefault="0082696E">
      <w:pPr>
        <w:pStyle w:val="Heading1"/>
        <w:spacing w:before="240" w:after="240"/>
        <w:rPr>
          <w:noProof/>
        </w:rPr>
      </w:pPr>
      <w:r>
        <w:rPr>
          <w:noProof/>
        </w:rPr>
        <w:lastRenderedPageBreak/>
        <w:t xml:space="preserve">Wprowadzenie </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 xml:space="preserve">Europejski Zielony Ład jest odpowiedzią Unii Europejskiej na wyzwania związane ze zmianą klimatu i środowiskiem naturalnym. Sprostanie tym wyzwaniom to najważniejsze zadanie, jakie stoi przed obecnym pokoleniem </w:t>
      </w:r>
      <w:r>
        <w:rPr>
          <w:rFonts w:ascii="Times New Roman" w:hAnsi="Times New Roman"/>
          <w:noProof/>
          <w:sz w:val="24"/>
          <w:szCs w:val="24"/>
        </w:rPr>
        <w:t>Jest to nowa strategia na rzecz wzrostu, a je</w:t>
      </w:r>
      <w:r>
        <w:rPr>
          <w:rFonts w:ascii="Times New Roman" w:hAnsi="Times New Roman"/>
          <w:noProof/>
          <w:sz w:val="24"/>
          <w:szCs w:val="24"/>
        </w:rPr>
        <w:t>j celem jest przekształcenie UE w sprawiedliwe i prosperujące społeczeństwo żyjące w nowoczesnej, zasobooszczędnej i konkurencyjnej gospodarce, która w 2050 r. osiągnie zerowy poziom emisji gazów cieplarnianych netto, która chroni środowisko naturalne i zd</w:t>
      </w:r>
      <w:r>
        <w:rPr>
          <w:rFonts w:ascii="Times New Roman" w:hAnsi="Times New Roman"/>
          <w:noProof/>
          <w:sz w:val="24"/>
          <w:szCs w:val="24"/>
        </w:rPr>
        <w:t>rowie swoich obywateli, i w której wzrost gospodarczy nie łączy się z wykorzystaniem zasobów naturalnych.</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Plan inwestycyjny na rzecz zrównoważonej Europy jest filarem Europejskiego Zielonego Ładu dotyczący inwestycji.</w:t>
      </w:r>
      <w:r>
        <w:rPr>
          <w:rFonts w:ascii="Times New Roman" w:hAnsi="Times New Roman"/>
          <w:noProof/>
          <w:sz w:val="24"/>
          <w:szCs w:val="24"/>
        </w:rPr>
        <w:t xml:space="preserve"> Zrównoważona Europa wymaga znacznych n</w:t>
      </w:r>
      <w:r>
        <w:rPr>
          <w:rFonts w:ascii="Times New Roman" w:hAnsi="Times New Roman"/>
          <w:noProof/>
          <w:sz w:val="24"/>
          <w:szCs w:val="24"/>
        </w:rPr>
        <w:t>akładów inwestycyjnych we wszystkich sektorach gospodarki. Osiągnięcie do 2030 r. celów w zakresie klimatu i energii</w:t>
      </w:r>
      <w:r>
        <w:rPr>
          <w:rStyle w:val="FootnoteReference"/>
          <w:rFonts w:ascii="Times New Roman" w:hAnsi="Times New Roman"/>
          <w:noProof/>
          <w:sz w:val="24"/>
          <w:szCs w:val="24"/>
        </w:rPr>
        <w:footnoteReference w:id="1"/>
      </w:r>
      <w:r>
        <w:rPr>
          <w:rFonts w:ascii="Times New Roman" w:hAnsi="Times New Roman"/>
          <w:noProof/>
          <w:sz w:val="24"/>
          <w:szCs w:val="24"/>
        </w:rPr>
        <w:t xml:space="preserve"> będzie wymagało zrealizowania do 2030 r. dodatkowych inwestycji w wysokości 260 mld EUR rocznie</w:t>
      </w:r>
      <w:r>
        <w:rPr>
          <w:rStyle w:val="FootnoteReference"/>
          <w:rFonts w:ascii="Times New Roman" w:hAnsi="Times New Roman"/>
          <w:noProof/>
          <w:sz w:val="24"/>
          <w:szCs w:val="24"/>
        </w:rPr>
        <w:footnoteReference w:id="2"/>
      </w:r>
      <w:r>
        <w:rPr>
          <w:rFonts w:ascii="Times New Roman" w:hAnsi="Times New Roman"/>
          <w:noProof/>
          <w:sz w:val="24"/>
          <w:szCs w:val="24"/>
        </w:rPr>
        <w:t>. Komisja zapowiedziała, że zamierza przed</w:t>
      </w:r>
      <w:r>
        <w:rPr>
          <w:rFonts w:ascii="Times New Roman" w:hAnsi="Times New Roman"/>
          <w:noProof/>
          <w:sz w:val="24"/>
          <w:szCs w:val="24"/>
        </w:rPr>
        <w:t>stawić plan zawierający ocenę skutków, który przewiduje dalsze zwiększenie ambicji UE pod względem założeń klimatycznych na 2030 r. Aby Unia mogła osiągnąć wyznaczone przez siebie szerzej zakrojone cele środowiskowe i społeczne</w:t>
      </w:r>
      <w:r>
        <w:rPr>
          <w:rStyle w:val="FootnoteReference"/>
          <w:rFonts w:ascii="Times New Roman" w:hAnsi="Times New Roman"/>
          <w:noProof/>
          <w:sz w:val="24"/>
          <w:szCs w:val="24"/>
        </w:rPr>
        <w:footnoteReference w:id="3"/>
      </w:r>
      <w:r>
        <w:rPr>
          <w:rFonts w:ascii="Times New Roman" w:hAnsi="Times New Roman"/>
          <w:noProof/>
          <w:sz w:val="24"/>
          <w:szCs w:val="24"/>
        </w:rPr>
        <w:t>, konieczne będą dodatkowe i</w:t>
      </w:r>
      <w:r>
        <w:rPr>
          <w:rFonts w:ascii="Times New Roman" w:hAnsi="Times New Roman"/>
          <w:noProof/>
          <w:sz w:val="24"/>
          <w:szCs w:val="24"/>
        </w:rPr>
        <w:t xml:space="preserve">nwestycje. </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Rośnie zainteresowanie inwestorów szansami o zrównoważonym charakterze i wymiernych skutkach.</w:t>
      </w:r>
      <w:r>
        <w:rPr>
          <w:rFonts w:ascii="Times New Roman" w:hAnsi="Times New Roman"/>
          <w:noProof/>
          <w:sz w:val="24"/>
          <w:szCs w:val="24"/>
        </w:rPr>
        <w:t xml:space="preserve"> Zgodnie z najnowszymi szacunkami roczna emisja zielonych obligacji w ujęciu globalnym wzrosła od 2016 r. trzykrotnie, osiągając w 2019 r. wartość okoł</w:t>
      </w:r>
      <w:r>
        <w:rPr>
          <w:rFonts w:ascii="Times New Roman" w:hAnsi="Times New Roman"/>
          <w:noProof/>
          <w:sz w:val="24"/>
          <w:szCs w:val="24"/>
        </w:rPr>
        <w:t xml:space="preserve">o 225 mld EUR. Konieczne są ramy pozwalające na zmniejszenie przepaści między celami polityki a dostępnymi znacznymi prywatnymi środkami finansowymi. </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Plan inwestycyjny na rzecz zrównoważonej Europy spowoduje uruchomienie w nadchodzącym dziesięcioleciu zró</w:t>
      </w:r>
      <w:r>
        <w:rPr>
          <w:rFonts w:ascii="Times New Roman" w:hAnsi="Times New Roman"/>
          <w:b/>
          <w:noProof/>
          <w:sz w:val="24"/>
          <w:szCs w:val="24"/>
        </w:rPr>
        <w:t>wnoważonych inwestycji publicznych i prywatnych o wartości co najmniej 1 bln EUR. Będzie to możliwe dzięki budżetowi UE i powiązanym instrumentom.</w:t>
      </w:r>
      <w:r>
        <w:rPr>
          <w:rFonts w:ascii="Times New Roman" w:hAnsi="Times New Roman"/>
          <w:noProof/>
          <w:sz w:val="24"/>
          <w:szCs w:val="24"/>
        </w:rPr>
        <w:t xml:space="preserve"> W</w:t>
      </w:r>
      <w:r>
        <w:rPr>
          <w:rFonts w:ascii="Times New Roman" w:hAnsi="Times New Roman"/>
          <w:b/>
          <w:noProof/>
          <w:sz w:val="24"/>
          <w:szCs w:val="24"/>
        </w:rPr>
        <w:t> </w:t>
      </w:r>
      <w:r>
        <w:rPr>
          <w:rFonts w:ascii="Times New Roman" w:hAnsi="Times New Roman"/>
          <w:noProof/>
          <w:sz w:val="24"/>
          <w:szCs w:val="24"/>
        </w:rPr>
        <w:t>planie zawarto kompleksowe ramy określające przejście na zrównoważony rozwój we wszystkich zakątkach UE. Ra</w:t>
      </w:r>
      <w:r>
        <w:rPr>
          <w:rFonts w:ascii="Times New Roman" w:hAnsi="Times New Roman"/>
          <w:noProof/>
          <w:sz w:val="24"/>
          <w:szCs w:val="24"/>
        </w:rPr>
        <w:t xml:space="preserve">my te będą ukierunkowane na inwestycje w dziedzinie klimatu i środowiska oraz inwestycje społeczne, przy czym te ostatnie w zakresie, w jakim są powiązane ze zrównoważoną transformacją. </w:t>
      </w:r>
    </w:p>
    <w:p w:rsidR="00680C29" w:rsidRDefault="0082696E">
      <w:pPr>
        <w:spacing w:after="240"/>
        <w:jc w:val="both"/>
        <w:rPr>
          <w:rFonts w:ascii="Times New Roman" w:hAnsi="Times New Roman"/>
          <w:noProof/>
          <w:sz w:val="24"/>
          <w:szCs w:val="24"/>
        </w:rPr>
      </w:pPr>
      <w:r>
        <w:rPr>
          <w:rFonts w:ascii="Times New Roman" w:hAnsi="Times New Roman"/>
          <w:noProof/>
          <w:sz w:val="24"/>
          <w:szCs w:val="24"/>
        </w:rPr>
        <w:t>Konieczne są jednak dalsze działania, aby podołać przyszłym wyzwaniom</w:t>
      </w:r>
      <w:r>
        <w:rPr>
          <w:rFonts w:ascii="Times New Roman" w:hAnsi="Times New Roman"/>
          <w:noProof/>
          <w:sz w:val="24"/>
          <w:szCs w:val="24"/>
        </w:rPr>
        <w:t xml:space="preserve">. Podmioty prywatne będą musiały zapewnić odpowiedni poziom tych działań. Łącząc szereg nowych inicjatyw politycznych ze wzmocnionymi zobowiązaniami dotyczącymi bieżących </w:t>
      </w:r>
      <w:r>
        <w:rPr>
          <w:rFonts w:ascii="Times New Roman" w:hAnsi="Times New Roman"/>
          <w:noProof/>
          <w:sz w:val="24"/>
          <w:szCs w:val="24"/>
        </w:rPr>
        <w:lastRenderedPageBreak/>
        <w:t>instrumentów w ramach jednolitych ram polityki, Komisja nadaje nowy impuls działaniom</w:t>
      </w:r>
      <w:r>
        <w:rPr>
          <w:rFonts w:ascii="Times New Roman" w:hAnsi="Times New Roman"/>
          <w:noProof/>
          <w:sz w:val="24"/>
          <w:szCs w:val="24"/>
        </w:rPr>
        <w:t xml:space="preserve"> w tej dziedzinie i zwiększa oddziaływanie oraz spójność unijnych ram na rzecz zrównoważonych inwestycji.</w:t>
      </w:r>
      <w:r>
        <w:rPr>
          <w:rFonts w:ascii="Times New Roman" w:hAnsi="Times New Roman"/>
          <w:i/>
          <w:noProof/>
          <w:sz w:val="24"/>
          <w:szCs w:val="24"/>
        </w:rPr>
        <w:t xml:space="preserve"> </w:t>
      </w:r>
      <w:r>
        <w:rPr>
          <w:rFonts w:ascii="Times New Roman" w:hAnsi="Times New Roman"/>
          <w:noProof/>
          <w:sz w:val="24"/>
          <w:szCs w:val="24"/>
        </w:rPr>
        <w:t>Komisja będzie nadal pracować nad uruchamianiem zasobów pozwalających na osiągnięcie celów Europejskiego Zielonego Ładu.</w:t>
      </w:r>
    </w:p>
    <w:p w:rsidR="00680C29" w:rsidRDefault="00680C29">
      <w:pPr>
        <w:spacing w:after="240"/>
        <w:jc w:val="both"/>
        <w:rPr>
          <w:rFonts w:ascii="Times New Roman" w:hAnsi="Times New Roman"/>
          <w:noProof/>
          <w:sz w:val="24"/>
          <w:szCs w:val="24"/>
        </w:rPr>
      </w:pPr>
    </w:p>
    <w:p w:rsidR="00680C29" w:rsidRDefault="0082696E">
      <w:pPr>
        <w:spacing w:after="240"/>
        <w:jc w:val="center"/>
        <w:rPr>
          <w:rFonts w:ascii="Times New Roman" w:hAnsi="Times New Roman"/>
          <w:b/>
          <w:noProof/>
          <w:sz w:val="24"/>
          <w:szCs w:val="24"/>
        </w:rPr>
      </w:pPr>
      <w:r>
        <w:rPr>
          <w:rFonts w:ascii="Times New Roman" w:hAnsi="Times New Roman"/>
          <w:b/>
          <w:noProof/>
          <w:sz w:val="24"/>
          <w:szCs w:val="24"/>
        </w:rPr>
        <w:t>Rysunek 1. Plan inwestycyjny</w:t>
      </w:r>
      <w:r>
        <w:rPr>
          <w:rFonts w:ascii="Times New Roman" w:hAnsi="Times New Roman"/>
          <w:b/>
          <w:noProof/>
          <w:sz w:val="24"/>
          <w:szCs w:val="24"/>
        </w:rPr>
        <w:t xml:space="preserve"> w ramach Europejskiego Zielonego Ładu.</w:t>
      </w:r>
    </w:p>
    <w:p w:rsidR="00680C29" w:rsidRDefault="0082696E">
      <w:pPr>
        <w:spacing w:after="240"/>
        <w:jc w:val="center"/>
        <w:rPr>
          <w:rFonts w:ascii="Times New Roman" w:hAnsi="Times New Roman"/>
          <w:noProof/>
          <w:sz w:val="24"/>
          <w:szCs w:val="24"/>
        </w:rPr>
      </w:pPr>
      <w:r>
        <w:rPr>
          <w:noProof/>
          <w:lang w:val="fr-BE" w:eastAsia="fr-BE"/>
        </w:rPr>
        <w:drawing>
          <wp:inline distT="0" distB="0" distL="0" distR="0">
            <wp:extent cx="555307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3075" cy="3581400"/>
                    </a:xfrm>
                    <a:prstGeom prst="rect">
                      <a:avLst/>
                    </a:prstGeom>
                  </pic:spPr>
                </pic:pic>
              </a:graphicData>
            </a:graphic>
          </wp:inline>
        </w:drawing>
      </w:r>
    </w:p>
    <w:p w:rsidR="00680C29" w:rsidRDefault="0082696E">
      <w:pPr>
        <w:spacing w:after="240"/>
        <w:jc w:val="both"/>
        <w:rPr>
          <w:rFonts w:ascii="Times New Roman" w:hAnsi="Times New Roman"/>
          <w:noProof/>
          <w:sz w:val="28"/>
          <w:szCs w:val="24"/>
        </w:rPr>
      </w:pPr>
      <w:r>
        <w:rPr>
          <w:rFonts w:ascii="Times New Roman" w:hAnsi="Times New Roman"/>
          <w:noProof/>
          <w:sz w:val="24"/>
        </w:rPr>
        <w:t>Plan inwestycyjny na rzecz zrównoważonej Europy umożliwi przejście na neutralną dla klimatu i ekologiczną gospodarkę w trzech następujących wymiarach:</w:t>
      </w:r>
    </w:p>
    <w:p w:rsidR="00680C29" w:rsidRDefault="0082696E">
      <w:pPr>
        <w:pStyle w:val="ListParagraph"/>
        <w:numPr>
          <w:ilvl w:val="0"/>
          <w:numId w:val="6"/>
        </w:numPr>
        <w:spacing w:after="240"/>
        <w:contextualSpacing/>
        <w:rPr>
          <w:rFonts w:ascii="Times New Roman" w:hAnsi="Times New Roman"/>
          <w:noProof/>
          <w:sz w:val="28"/>
          <w:szCs w:val="24"/>
        </w:rPr>
      </w:pPr>
      <w:r>
        <w:rPr>
          <w:rFonts w:ascii="Times New Roman" w:hAnsi="Times New Roman"/>
          <w:b/>
          <w:noProof/>
          <w:sz w:val="24"/>
        </w:rPr>
        <w:t xml:space="preserve">Po pierwsze, w ramach planu w ciągu nadchodzących dziesięciu lat uruchomione zostaną za pośrednictwem budżetu UE zrównoważone inwestycje o wartości co najmniej 1 bln EUR. </w:t>
      </w:r>
      <w:r>
        <w:rPr>
          <w:rFonts w:ascii="Times New Roman" w:hAnsi="Times New Roman"/>
          <w:noProof/>
          <w:sz w:val="24"/>
        </w:rPr>
        <w:t xml:space="preserve">Przeznaczona z budżetu UE kwota wydatków publicznych w sektorze klimatu i środowiska </w:t>
      </w:r>
      <w:r>
        <w:rPr>
          <w:rFonts w:ascii="Times New Roman" w:hAnsi="Times New Roman"/>
          <w:noProof/>
          <w:sz w:val="24"/>
        </w:rPr>
        <w:t>będzie wyższa niż kiedykolwiek. Spowoduje ona przyciągnięcie za pośrednictwem gwarancji prywatnych funduszy, zaś dzięki mechanizmowi sprawiedliwej transformacji przyczyni się do zapewnienia sprawiedliwego wymiaru transformacji, ułatwiając realizację inwest</w:t>
      </w:r>
      <w:r>
        <w:rPr>
          <w:rFonts w:ascii="Times New Roman" w:hAnsi="Times New Roman"/>
          <w:noProof/>
          <w:sz w:val="24"/>
        </w:rPr>
        <w:t xml:space="preserve">ycji w sektorze publicznym w regionach, na które transformacja będzie miała największy wpływ. </w:t>
      </w:r>
    </w:p>
    <w:p w:rsidR="00680C29" w:rsidRDefault="0082696E">
      <w:pPr>
        <w:pStyle w:val="ListParagraph"/>
        <w:numPr>
          <w:ilvl w:val="0"/>
          <w:numId w:val="6"/>
        </w:numPr>
        <w:spacing w:after="240"/>
        <w:contextualSpacing/>
        <w:rPr>
          <w:rFonts w:ascii="Times New Roman" w:hAnsi="Times New Roman"/>
          <w:noProof/>
          <w:sz w:val="28"/>
          <w:szCs w:val="24"/>
        </w:rPr>
      </w:pPr>
      <w:r>
        <w:rPr>
          <w:rFonts w:ascii="Times New Roman" w:hAnsi="Times New Roman"/>
          <w:b/>
          <w:noProof/>
          <w:sz w:val="24"/>
        </w:rPr>
        <w:t xml:space="preserve">Po drugie, plan zapewni ramy ułatwiające działalność inwestorom prywatnym i sektorowi publicznemu. </w:t>
      </w:r>
      <w:r>
        <w:rPr>
          <w:rFonts w:ascii="Times New Roman" w:hAnsi="Times New Roman"/>
          <w:noProof/>
          <w:sz w:val="24"/>
        </w:rPr>
        <w:t>Jego celem będzie zapewnienie racjonalnej pod względem kosztów</w:t>
      </w:r>
      <w:r>
        <w:rPr>
          <w:rFonts w:ascii="Times New Roman" w:hAnsi="Times New Roman"/>
          <w:noProof/>
          <w:sz w:val="24"/>
        </w:rPr>
        <w:t>, sprawiedliwej a także zrównoważonej społecznie i uczciwej transformacji. Instytucje finansowe i inwestorzy prywatni muszą mieć w ręku narzędzia, które pozwolą im na odpowiednie identyfikowanie zrównoważonych inwestycji. Dla uruchomienia ich potencjału de</w:t>
      </w:r>
      <w:r>
        <w:rPr>
          <w:rFonts w:ascii="Times New Roman" w:hAnsi="Times New Roman"/>
          <w:noProof/>
          <w:sz w:val="24"/>
        </w:rPr>
        <w:t>cydujące znaczenie będzie miała zwłaszcza unijna systematyka zrównoważonego rozwoju, zasada „efektywność energetyczna przede wszystkim” oraz kontrola zrównoważonego charakteru projektów. Jeżeli chodzi o sektor publiczny, w prawidłowym określeniu potrzeb in</w:t>
      </w:r>
      <w:r>
        <w:rPr>
          <w:rFonts w:ascii="Times New Roman" w:hAnsi="Times New Roman"/>
          <w:noProof/>
          <w:sz w:val="24"/>
        </w:rPr>
        <w:t xml:space="preserve">westycyjnych pomocne będą </w:t>
      </w:r>
      <w:r>
        <w:rPr>
          <w:rFonts w:ascii="Times New Roman" w:hAnsi="Times New Roman"/>
          <w:noProof/>
          <w:sz w:val="24"/>
        </w:rPr>
        <w:lastRenderedPageBreak/>
        <w:t>semestr europejski, krajowe plany w dziedzinie energii i klimatu w ramach zarządzania unią energetyczną,</w:t>
      </w:r>
      <w:r>
        <w:rPr>
          <w:noProof/>
          <w:sz w:val="24"/>
        </w:rPr>
        <w:t xml:space="preserve"> </w:t>
      </w:r>
      <w:r>
        <w:rPr>
          <w:rFonts w:ascii="Times New Roman" w:hAnsi="Times New Roman"/>
          <w:noProof/>
          <w:sz w:val="24"/>
        </w:rPr>
        <w:t>a</w:t>
      </w:r>
      <w:r>
        <w:rPr>
          <w:noProof/>
          <w:sz w:val="24"/>
        </w:rPr>
        <w:t> </w:t>
      </w:r>
      <w:r>
        <w:rPr>
          <w:rFonts w:ascii="Times New Roman" w:hAnsi="Times New Roman"/>
          <w:noProof/>
          <w:sz w:val="24"/>
        </w:rPr>
        <w:t>także plany wymagane na podstawie sektorowych przepisów w obszarze środowiska (regulujących m.in. kwestie odpadów, wody, bi</w:t>
      </w:r>
      <w:r>
        <w:rPr>
          <w:rFonts w:ascii="Times New Roman" w:hAnsi="Times New Roman"/>
          <w:noProof/>
          <w:sz w:val="24"/>
        </w:rPr>
        <w:t>oróżnorodności oraz powietrza).</w:t>
      </w:r>
      <w:r>
        <w:rPr>
          <w:noProof/>
          <w:sz w:val="24"/>
        </w:rPr>
        <w:t xml:space="preserve"> </w:t>
      </w:r>
    </w:p>
    <w:p w:rsidR="00680C29" w:rsidRDefault="0082696E">
      <w:pPr>
        <w:pStyle w:val="ListParagraph"/>
        <w:numPr>
          <w:ilvl w:val="0"/>
          <w:numId w:val="6"/>
        </w:numPr>
        <w:spacing w:after="240"/>
        <w:contextualSpacing/>
        <w:rPr>
          <w:rFonts w:ascii="Times New Roman" w:hAnsi="Times New Roman"/>
          <w:noProof/>
          <w:sz w:val="28"/>
          <w:szCs w:val="24"/>
        </w:rPr>
      </w:pPr>
      <w:r>
        <w:rPr>
          <w:rFonts w:ascii="Times New Roman" w:hAnsi="Times New Roman"/>
          <w:b/>
          <w:noProof/>
          <w:sz w:val="24"/>
        </w:rPr>
        <w:t xml:space="preserve">Po trzecie, w planie przewidziano dostosowane do potrzeb administracji publicznej oraz promotorów projektów wsparcie w zakresie identyfikowania, strukturyzowania oraz realizacji zrównoważonych projektów. </w:t>
      </w:r>
      <w:r>
        <w:rPr>
          <w:rFonts w:ascii="Times New Roman" w:hAnsi="Times New Roman"/>
          <w:noProof/>
          <w:sz w:val="24"/>
        </w:rPr>
        <w:t>Wzmocnione zostanie</w:t>
      </w:r>
      <w:r>
        <w:rPr>
          <w:rFonts w:ascii="Times New Roman" w:hAnsi="Times New Roman"/>
          <w:noProof/>
          <w:sz w:val="24"/>
        </w:rPr>
        <w:t xml:space="preserve"> wsparcie dla organów publicznych dotyczące oceny potrzeb finansowych oraz planowania kolejnych inwestycji, a także bezpośrednie wsparcie dla publicznych i prywatnych promotorów projektów. </w:t>
      </w:r>
    </w:p>
    <w:p w:rsidR="00680C29" w:rsidRDefault="00680C29">
      <w:pPr>
        <w:pStyle w:val="ListParagraph"/>
        <w:spacing w:after="240"/>
        <w:contextualSpacing/>
        <w:jc w:val="both"/>
        <w:rPr>
          <w:rFonts w:ascii="Times New Roman" w:hAnsi="Times New Roman"/>
          <w:b/>
          <w:noProof/>
          <w:sz w:val="28"/>
          <w:szCs w:val="24"/>
        </w:rPr>
      </w:pPr>
    </w:p>
    <w:p w:rsidR="00680C29" w:rsidRDefault="0082696E">
      <w:pPr>
        <w:spacing w:after="240"/>
        <w:contextualSpacing/>
        <w:jc w:val="center"/>
        <w:rPr>
          <w:rFonts w:ascii="Times New Roman" w:hAnsi="Times New Roman"/>
          <w:b/>
          <w:noProof/>
          <w:sz w:val="28"/>
          <w:szCs w:val="24"/>
        </w:rPr>
      </w:pPr>
      <w:r>
        <w:rPr>
          <w:rFonts w:ascii="Times New Roman" w:hAnsi="Times New Roman"/>
          <w:b/>
          <w:noProof/>
          <w:sz w:val="24"/>
        </w:rPr>
        <w:t>Rysunek 2. Plan inwestycyjny na rzecz zrównoważonej Europy</w:t>
      </w:r>
    </w:p>
    <w:p w:rsidR="00680C29" w:rsidRDefault="00680C29">
      <w:pPr>
        <w:spacing w:after="240"/>
        <w:contextualSpacing/>
        <w:jc w:val="center"/>
        <w:rPr>
          <w:rFonts w:ascii="Times New Roman" w:hAnsi="Times New Roman"/>
          <w:noProof/>
          <w:sz w:val="24"/>
          <w:szCs w:val="24"/>
        </w:rPr>
      </w:pPr>
    </w:p>
    <w:p w:rsidR="00680C29" w:rsidRDefault="0082696E">
      <w:pPr>
        <w:spacing w:after="240"/>
        <w:jc w:val="center"/>
        <w:rPr>
          <w:rFonts w:ascii="Times New Roman" w:hAnsi="Times New Roman"/>
          <w:noProof/>
          <w:sz w:val="24"/>
          <w:szCs w:val="24"/>
        </w:rPr>
      </w:pPr>
      <w:r>
        <w:rPr>
          <w:noProof/>
          <w:lang w:val="fr-BE" w:eastAsia="fr-BE"/>
        </w:rPr>
        <w:drawing>
          <wp:inline distT="0" distB="0" distL="0" distR="0">
            <wp:extent cx="510540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5400" cy="3600450"/>
                    </a:xfrm>
                    <a:prstGeom prst="rect">
                      <a:avLst/>
                    </a:prstGeom>
                  </pic:spPr>
                </pic:pic>
              </a:graphicData>
            </a:graphic>
          </wp:inline>
        </w:drawing>
      </w:r>
    </w:p>
    <w:p w:rsidR="00680C29" w:rsidRDefault="0082696E">
      <w:pPr>
        <w:spacing w:after="240"/>
        <w:jc w:val="both"/>
        <w:rPr>
          <w:rFonts w:ascii="Times New Roman" w:hAnsi="Times New Roman"/>
          <w:noProof/>
          <w:sz w:val="28"/>
          <w:szCs w:val="24"/>
        </w:rPr>
      </w:pPr>
      <w:r>
        <w:rPr>
          <w:rFonts w:ascii="Times New Roman" w:hAnsi="Times New Roman"/>
          <w:b/>
          <w:noProof/>
          <w:sz w:val="24"/>
        </w:rPr>
        <w:t>Pla</w:t>
      </w:r>
      <w:r>
        <w:rPr>
          <w:rFonts w:ascii="Times New Roman" w:hAnsi="Times New Roman"/>
          <w:b/>
          <w:noProof/>
          <w:sz w:val="24"/>
        </w:rPr>
        <w:t>n inwestycyjny na rzecz zrównoważonej Europy to wkład w osiągnięcie celów zrównoważonego rozwoju</w:t>
      </w:r>
      <w:r>
        <w:rPr>
          <w:rFonts w:ascii="Times New Roman" w:hAnsi="Times New Roman"/>
          <w:noProof/>
          <w:sz w:val="24"/>
        </w:rPr>
        <w:t>. Jest to spójne z wyrażonym w komunikacie w sprawie Europejskiego Zielonego Ładu zobowiązaniem, aby cele zrównoważonego rozwoju znalazły się w sercu unijnej po</w:t>
      </w:r>
      <w:r>
        <w:rPr>
          <w:rFonts w:ascii="Times New Roman" w:hAnsi="Times New Roman"/>
          <w:noProof/>
          <w:sz w:val="24"/>
        </w:rPr>
        <w:t>lityki i unijnych działań.</w:t>
      </w:r>
    </w:p>
    <w:p w:rsidR="00680C29" w:rsidRDefault="0082696E">
      <w:pPr>
        <w:pStyle w:val="Heading1"/>
        <w:spacing w:before="240" w:after="240"/>
        <w:rPr>
          <w:noProof/>
        </w:rPr>
      </w:pPr>
      <w:r>
        <w:rPr>
          <w:noProof/>
        </w:rPr>
        <w:t xml:space="preserve">Wyzwania inwestycyjne </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Przejście na neutralną dla klimatu, odporną na zmianę klimatu oraz zrównoważoną pod względem środowiskowym gospodarkę będzie wymagało znaczących inwestycji</w:t>
      </w:r>
      <w:r>
        <w:rPr>
          <w:rFonts w:ascii="Times New Roman" w:hAnsi="Times New Roman"/>
          <w:noProof/>
          <w:sz w:val="24"/>
          <w:szCs w:val="24"/>
        </w:rPr>
        <w:t xml:space="preserve">. Osiągnięcie do 2030 r. obecnych celów w zakresie </w:t>
      </w:r>
      <w:r>
        <w:rPr>
          <w:rFonts w:ascii="Times New Roman" w:hAnsi="Times New Roman"/>
          <w:noProof/>
          <w:sz w:val="24"/>
          <w:szCs w:val="24"/>
        </w:rPr>
        <w:t>klimatu i energii wymaga dodatkowych inwestycji w wysokości 260 mld EUR rocznie</w:t>
      </w:r>
      <w:r>
        <w:rPr>
          <w:rStyle w:val="FootnoteReference"/>
          <w:rFonts w:ascii="Times New Roman" w:hAnsi="Times New Roman"/>
          <w:noProof/>
          <w:sz w:val="24"/>
          <w:szCs w:val="24"/>
        </w:rPr>
        <w:footnoteReference w:id="4"/>
      </w:r>
      <w:r>
        <w:rPr>
          <w:rFonts w:ascii="Times New Roman" w:hAnsi="Times New Roman"/>
          <w:noProof/>
          <w:sz w:val="24"/>
          <w:szCs w:val="24"/>
        </w:rPr>
        <w:t>. Kwota ta obejmuje głównie inwestycje związane z energią, budynkami i częścią sektora transportu (pojazdy)</w:t>
      </w:r>
      <w:r>
        <w:rPr>
          <w:rStyle w:val="FootnoteReference"/>
          <w:rFonts w:ascii="Times New Roman" w:hAnsi="Times New Roman"/>
          <w:noProof/>
          <w:sz w:val="24"/>
          <w:szCs w:val="24"/>
        </w:rPr>
        <w:footnoteReference w:id="5"/>
      </w:r>
      <w:r>
        <w:rPr>
          <w:rFonts w:ascii="Times New Roman" w:hAnsi="Times New Roman"/>
          <w:noProof/>
          <w:sz w:val="24"/>
          <w:szCs w:val="24"/>
        </w:rPr>
        <w:t>. Średnie potrzeby inwestycyjne przypadające na sektor</w:t>
      </w:r>
      <w:r>
        <w:rPr>
          <w:rStyle w:val="FootnoteReference"/>
          <w:rFonts w:ascii="Times New Roman" w:hAnsi="Times New Roman"/>
          <w:noProof/>
          <w:sz w:val="24"/>
          <w:szCs w:val="24"/>
        </w:rPr>
        <w:footnoteReference w:id="6"/>
      </w:r>
      <w:r>
        <w:rPr>
          <w:rFonts w:ascii="Times New Roman" w:hAnsi="Times New Roman"/>
          <w:noProof/>
          <w:sz w:val="24"/>
          <w:szCs w:val="24"/>
        </w:rPr>
        <w:t xml:space="preserve"> są najbardzi</w:t>
      </w:r>
      <w:r>
        <w:rPr>
          <w:rFonts w:ascii="Times New Roman" w:hAnsi="Times New Roman"/>
          <w:noProof/>
          <w:sz w:val="24"/>
          <w:szCs w:val="24"/>
        </w:rPr>
        <w:t xml:space="preserve">ej znaczące w przypadku renowacji budynków. Te przepływy inwestycyjne musiałyby być nadal utrzymane. </w:t>
      </w:r>
    </w:p>
    <w:p w:rsidR="00680C29" w:rsidRDefault="0082696E">
      <w:pPr>
        <w:spacing w:after="240"/>
        <w:jc w:val="both"/>
        <w:rPr>
          <w:rFonts w:ascii="Times New Roman" w:hAnsi="Times New Roman"/>
          <w:noProof/>
          <w:sz w:val="24"/>
          <w:szCs w:val="24"/>
        </w:rPr>
      </w:pPr>
      <w:r>
        <w:rPr>
          <w:rFonts w:ascii="Times New Roman" w:hAnsi="Times New Roman"/>
          <w:noProof/>
          <w:sz w:val="24"/>
          <w:szCs w:val="24"/>
        </w:rPr>
        <w:t xml:space="preserve">Konieczne będą znaczące inwestycje w innych sektorach, zwłaszcza w sektorze rolnictwa, aby sprostać wyzwaniom środowiskowym w szerszym ujęciu, do których </w:t>
      </w:r>
      <w:r>
        <w:rPr>
          <w:rFonts w:ascii="Times New Roman" w:hAnsi="Times New Roman"/>
          <w:noProof/>
          <w:sz w:val="24"/>
          <w:szCs w:val="24"/>
        </w:rPr>
        <w:t>należą utrata różnorodności biologicznej i zanieczyszczenie środowiska, ochrona kapitału naturalnego, wsparcie gospodarki o obiegu zamkniętym i niebieskiej gospodarki; będą one również konieczne do wsparcia kapitału ludzkiego i inwestycji społecznych powią</w:t>
      </w:r>
      <w:r>
        <w:rPr>
          <w:rFonts w:ascii="Times New Roman" w:hAnsi="Times New Roman"/>
          <w:noProof/>
          <w:sz w:val="24"/>
          <w:szCs w:val="24"/>
        </w:rPr>
        <w:t xml:space="preserve">zanych z transformacją. </w:t>
      </w:r>
    </w:p>
    <w:p w:rsidR="00680C29" w:rsidRDefault="0082696E">
      <w:pPr>
        <w:spacing w:after="240"/>
        <w:jc w:val="both"/>
        <w:rPr>
          <w:rFonts w:ascii="Times New Roman" w:hAnsi="Times New Roman"/>
          <w:noProof/>
          <w:sz w:val="24"/>
          <w:szCs w:val="24"/>
        </w:rPr>
      </w:pPr>
      <w:r>
        <w:rPr>
          <w:rFonts w:ascii="Times New Roman" w:hAnsi="Times New Roman"/>
          <w:noProof/>
          <w:sz w:val="24"/>
          <w:szCs w:val="24"/>
        </w:rPr>
        <w:t>Kluczowym narzędziem pozwalającym na wprowadzenie Zielonego Ładu jest cyfryzacja. Dzięki znaczącym inwestycjom w strategiczne zdolności cyfrowe Europy, a także w rozwój i szerokie zastosowanie najlepszych technologii cyfrowych, moż</w:t>
      </w:r>
      <w:r>
        <w:rPr>
          <w:rFonts w:ascii="Times New Roman" w:hAnsi="Times New Roman"/>
          <w:noProof/>
          <w:sz w:val="24"/>
          <w:szCs w:val="24"/>
        </w:rPr>
        <w:t>liwe będą inteligentne, innowacyjne i odpowiednio dostosowane rozwiązania, które pomogą w rozwiązywaniu problemów dotyczących zmiany klimatu.</w:t>
      </w:r>
    </w:p>
    <w:p w:rsidR="00680C29" w:rsidRDefault="0082696E">
      <w:pPr>
        <w:spacing w:after="240"/>
        <w:jc w:val="both"/>
        <w:rPr>
          <w:rFonts w:ascii="Times New Roman" w:hAnsi="Times New Roman"/>
          <w:b/>
          <w:noProof/>
          <w:sz w:val="24"/>
          <w:szCs w:val="24"/>
        </w:rPr>
      </w:pPr>
      <w:r>
        <w:rPr>
          <w:rFonts w:ascii="Times New Roman" w:hAnsi="Times New Roman"/>
          <w:b/>
          <w:noProof/>
          <w:sz w:val="24"/>
          <w:szCs w:val="24"/>
        </w:rPr>
        <w:t xml:space="preserve">Zapowiedziany w ramach Europejskiego Zielonego Ładu plan zwiększenia docelowego poziomu redukcji emisji gazów </w:t>
      </w:r>
      <w:r>
        <w:rPr>
          <w:rFonts w:ascii="Times New Roman" w:hAnsi="Times New Roman"/>
          <w:b/>
          <w:noProof/>
          <w:sz w:val="24"/>
          <w:szCs w:val="24"/>
        </w:rPr>
        <w:t>cieplarnianych w UE do 2030 r. przełoży się na jeszcze większe potrzeby inwestycyjne.</w:t>
      </w:r>
      <w:r>
        <w:rPr>
          <w:rFonts w:ascii="Times New Roman" w:hAnsi="Times New Roman"/>
          <w:noProof/>
          <w:sz w:val="24"/>
          <w:szCs w:val="24"/>
        </w:rPr>
        <w:t xml:space="preserve"> Dogłębna analiza stanowiąca podstawę długoterminowej strategicznej wizji unijnej gospodarki neutralnej dla klimatu wykazała, że przejście na gospodarkę niskoemisyjną może</w:t>
      </w:r>
      <w:r>
        <w:rPr>
          <w:rFonts w:ascii="Times New Roman" w:hAnsi="Times New Roman"/>
          <w:noProof/>
          <w:sz w:val="24"/>
          <w:szCs w:val="24"/>
        </w:rPr>
        <w:t xml:space="preserve"> wymagać dodatkowych inwestycji w wysokości nawet 2 % PKB do 2040 r. Jeżeli przyjęte zostałyby bardziej ambitne cele, z horyzontem czasowym 2030 r., być może zaistnieje konieczność zwiększenia tej liczby.</w:t>
      </w:r>
    </w:p>
    <w:p w:rsidR="00680C29" w:rsidRDefault="00680C29">
      <w:pPr>
        <w:spacing w:after="240"/>
        <w:jc w:val="center"/>
        <w:rPr>
          <w:rFonts w:ascii="Times New Roman" w:hAnsi="Times New Roman"/>
          <w:noProof/>
          <w:sz w:val="24"/>
          <w:szCs w:val="24"/>
        </w:rPr>
      </w:pPr>
    </w:p>
    <w:p w:rsidR="00680C29" w:rsidRDefault="0082696E">
      <w:pPr>
        <w:pStyle w:val="Heading1"/>
        <w:spacing w:after="240"/>
        <w:rPr>
          <w:noProof/>
        </w:rPr>
      </w:pPr>
      <w:r>
        <w:rPr>
          <w:noProof/>
        </w:rPr>
        <w:t>Fundusz: uruchomienie zrównoważonych inwestycji ze</w:t>
      </w:r>
      <w:r>
        <w:rPr>
          <w:noProof/>
        </w:rPr>
        <w:t xml:space="preserve"> wszystkich źródeł</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 xml:space="preserve">Plan inwestycyjny na rzecz zrównoważonej Europy, będący filarem inwestycyjnym Europejskiego Zielonego Ładu, uruchomi w ciągu najbliższych dziesięciu lat zrównoważone inwestycje o wartości co najmniej 1 bln EUR. </w:t>
      </w:r>
      <w:r>
        <w:rPr>
          <w:rFonts w:ascii="Times New Roman" w:hAnsi="Times New Roman"/>
          <w:noProof/>
          <w:sz w:val="24"/>
          <w:szCs w:val="24"/>
        </w:rPr>
        <w:t>Ta kwota finansowania ziel</w:t>
      </w:r>
      <w:r>
        <w:rPr>
          <w:rFonts w:ascii="Times New Roman" w:hAnsi="Times New Roman"/>
          <w:noProof/>
          <w:sz w:val="24"/>
          <w:szCs w:val="24"/>
        </w:rPr>
        <w:t>onej transformacji zostanie osiągnięta dzięki wydatkowaniu z długoterminowego budżetu UE, z którego jedna czwarta środków zostanie przeznaczona na cele powiązane z klimatem, a także dzięki uwzględnieniu szacowanej kwoty 39 mld EUR na wydatki związane ze śr</w:t>
      </w:r>
      <w:r>
        <w:rPr>
          <w:rFonts w:ascii="Times New Roman" w:hAnsi="Times New Roman"/>
          <w:noProof/>
          <w:sz w:val="24"/>
          <w:szCs w:val="24"/>
        </w:rPr>
        <w:t xml:space="preserve">odowiskiem. Co więcej, plan spowoduje przyciągnięcie dodatkowych prywatnych funduszy przez wykorzystanie efektu dźwigni, jaki spowoduje gwarancja budżetu UE w ramach programu InvestEU. </w:t>
      </w:r>
    </w:p>
    <w:p w:rsidR="00680C29" w:rsidRDefault="0082696E">
      <w:pPr>
        <w:spacing w:after="240"/>
        <w:jc w:val="both"/>
        <w:rPr>
          <w:rFonts w:ascii="Times New Roman" w:hAnsi="Times New Roman"/>
          <w:noProof/>
          <w:sz w:val="24"/>
          <w:szCs w:val="24"/>
        </w:rPr>
      </w:pPr>
      <w:r>
        <w:rPr>
          <w:rFonts w:ascii="Times New Roman" w:hAnsi="Times New Roman"/>
          <w:noProof/>
          <w:sz w:val="24"/>
          <w:szCs w:val="24"/>
        </w:rPr>
        <w:t>Jako uzupełnienie wydatków UE przeznaczonych na działania w dziedzinie</w:t>
      </w:r>
      <w:r>
        <w:rPr>
          <w:rFonts w:ascii="Times New Roman" w:hAnsi="Times New Roman"/>
          <w:noProof/>
          <w:sz w:val="24"/>
          <w:szCs w:val="24"/>
        </w:rPr>
        <w:t xml:space="preserve"> klimatu i polityki ochrony środowiska plan inwestycyjny na rzecz zrównoważonej Europy obejmuje również kwoty wykorzystywane w ramach mechanizmu sprawiedliwej transformacji. Dzięki temu pomoc w procesie transformacji otrzymają najbardziej dotknięte regiony</w:t>
      </w:r>
      <w:r>
        <w:rPr>
          <w:rFonts w:ascii="Times New Roman" w:hAnsi="Times New Roman"/>
          <w:noProof/>
          <w:sz w:val="24"/>
          <w:szCs w:val="24"/>
        </w:rPr>
        <w:t xml:space="preserve">. </w:t>
      </w:r>
    </w:p>
    <w:p w:rsidR="00680C29" w:rsidRDefault="0082696E">
      <w:pPr>
        <w:spacing w:after="240"/>
        <w:jc w:val="both"/>
        <w:rPr>
          <w:rFonts w:ascii="Times New Roman" w:hAnsi="Times New Roman"/>
          <w:noProof/>
          <w:sz w:val="24"/>
          <w:szCs w:val="24"/>
        </w:rPr>
      </w:pPr>
      <w:r>
        <w:rPr>
          <w:rFonts w:ascii="Times New Roman" w:hAnsi="Times New Roman"/>
          <w:noProof/>
          <w:sz w:val="24"/>
          <w:szCs w:val="24"/>
        </w:rPr>
        <w:t>Bankiem „klimatycznym” Unii będzie Europejski Bank Inwestycyjny. Bank ten zapowiedział, że będzie stopniowo zwiększać swój udział w finansowaniu przeznaczonym na działania w dziedzinie klimatu oraz zrównoważenia środowiskowego, aż do poziomu 50 % operac</w:t>
      </w:r>
      <w:r>
        <w:rPr>
          <w:rFonts w:ascii="Times New Roman" w:hAnsi="Times New Roman"/>
          <w:noProof/>
          <w:sz w:val="24"/>
          <w:szCs w:val="24"/>
        </w:rPr>
        <w:t xml:space="preserve">ji w 2025 r. Decydujące znaczenie będzie miała również współpraca z innymi instytucjami finansowymi. </w:t>
      </w:r>
    </w:p>
    <w:p w:rsidR="00680C29" w:rsidRDefault="0082696E">
      <w:pPr>
        <w:spacing w:after="240"/>
        <w:jc w:val="both"/>
        <w:rPr>
          <w:rFonts w:ascii="Times New Roman" w:hAnsi="Times New Roman"/>
          <w:noProof/>
          <w:sz w:val="24"/>
          <w:szCs w:val="24"/>
        </w:rPr>
      </w:pPr>
      <w:r>
        <w:rPr>
          <w:rFonts w:ascii="Times New Roman" w:hAnsi="Times New Roman"/>
          <w:noProof/>
          <w:sz w:val="24"/>
          <w:szCs w:val="24"/>
        </w:rPr>
        <w:t>Powyższe założenia dowodzą zaangażowania UE na rzecz sfinansowania Zielonego Nowego Ładu. Jednak samodzielnie nie będzie ona w stanie w wystarczającym sto</w:t>
      </w:r>
      <w:r>
        <w:rPr>
          <w:rFonts w:ascii="Times New Roman" w:hAnsi="Times New Roman"/>
          <w:noProof/>
          <w:sz w:val="24"/>
          <w:szCs w:val="24"/>
        </w:rPr>
        <w:t>pniu uruchomić potrzebnych inwestycji. Konieczne będą znaczące wkłady z budżetów krajowych i z sektora prywatnego.</w:t>
      </w:r>
    </w:p>
    <w:p w:rsidR="00680C29" w:rsidRDefault="0082696E">
      <w:pPr>
        <w:tabs>
          <w:tab w:val="left" w:pos="2127"/>
        </w:tabs>
        <w:spacing w:after="240"/>
        <w:jc w:val="center"/>
        <w:rPr>
          <w:rFonts w:ascii="Times New Roman" w:hAnsi="Times New Roman"/>
          <w:b/>
          <w:noProof/>
          <w:sz w:val="24"/>
          <w:szCs w:val="24"/>
        </w:rPr>
      </w:pPr>
      <w:r>
        <w:rPr>
          <w:rFonts w:ascii="Times New Roman" w:hAnsi="Times New Roman"/>
          <w:b/>
          <w:noProof/>
          <w:sz w:val="24"/>
          <w:szCs w:val="24"/>
        </w:rPr>
        <w:t>Rysunek 3. Finansowanie elementów składających się na kwotę co najmniej 1 bln EUR w ciągu najbliższych dziesięciu lat</w:t>
      </w:r>
      <w:r>
        <w:rPr>
          <w:rStyle w:val="FootnoteReference"/>
          <w:rFonts w:ascii="Times New Roman" w:hAnsi="Times New Roman"/>
          <w:b/>
          <w:noProof/>
          <w:sz w:val="24"/>
          <w:szCs w:val="24"/>
        </w:rPr>
        <w:footnoteReference w:id="7"/>
      </w:r>
      <w:r>
        <w:rPr>
          <w:rFonts w:ascii="Times New Roman" w:hAnsi="Times New Roman"/>
          <w:b/>
          <w:noProof/>
          <w:sz w:val="24"/>
          <w:szCs w:val="24"/>
        </w:rPr>
        <w:t xml:space="preserve"> w ramach planu inwesty</w:t>
      </w:r>
      <w:r>
        <w:rPr>
          <w:rFonts w:ascii="Times New Roman" w:hAnsi="Times New Roman"/>
          <w:b/>
          <w:noProof/>
          <w:sz w:val="24"/>
          <w:szCs w:val="24"/>
        </w:rPr>
        <w:t>cyjnego na rzecz zrównoważonej Europy</w:t>
      </w:r>
    </w:p>
    <w:p w:rsidR="00680C29" w:rsidRDefault="0082696E">
      <w:pPr>
        <w:tabs>
          <w:tab w:val="left" w:pos="2127"/>
        </w:tabs>
        <w:spacing w:after="240"/>
        <w:jc w:val="right"/>
        <w:rPr>
          <w:rFonts w:ascii="Times New Roman" w:hAnsi="Times New Roman"/>
          <w:b/>
          <w:noProof/>
          <w:sz w:val="24"/>
          <w:szCs w:val="24"/>
        </w:rPr>
      </w:pPr>
      <w:r>
        <w:rPr>
          <w:noProof/>
          <w:lang w:val="fr-BE" w:eastAsia="fr-BE"/>
        </w:rPr>
        <w:drawing>
          <wp:inline distT="0" distB="0" distL="0" distR="0">
            <wp:extent cx="5760720" cy="44907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490719"/>
                    </a:xfrm>
                    <a:prstGeom prst="rect">
                      <a:avLst/>
                    </a:prstGeom>
                    <a:noFill/>
                    <a:ln>
                      <a:noFill/>
                    </a:ln>
                  </pic:spPr>
                </pic:pic>
              </a:graphicData>
            </a:graphic>
          </wp:inline>
        </w:drawing>
      </w:r>
    </w:p>
    <w:p w:rsidR="00680C29" w:rsidRDefault="0082696E">
      <w:pPr>
        <w:rPr>
          <w:rFonts w:ascii="Times New Roman" w:hAnsi="Times New Roman"/>
          <w:b/>
          <w:noProof/>
          <w:sz w:val="24"/>
          <w:szCs w:val="24"/>
        </w:rPr>
      </w:pPr>
      <w:r>
        <w:rPr>
          <w:noProof/>
        </w:rPr>
        <w:br w:type="page"/>
      </w:r>
    </w:p>
    <w:p w:rsidR="00680C29" w:rsidRDefault="00680C29">
      <w:pPr>
        <w:spacing w:after="240"/>
        <w:rPr>
          <w:rFonts w:ascii="Times New Roman" w:hAnsi="Times New Roman"/>
          <w:b/>
          <w:noProof/>
          <w:sz w:val="24"/>
          <w:szCs w:val="24"/>
        </w:rPr>
      </w:pPr>
    </w:p>
    <w:p w:rsidR="00680C29" w:rsidRDefault="0082696E">
      <w:pPr>
        <w:pBdr>
          <w:top w:val="single" w:sz="4" w:space="1" w:color="auto"/>
          <w:left w:val="single" w:sz="4" w:space="4" w:color="auto"/>
          <w:bottom w:val="single" w:sz="4" w:space="1" w:color="auto"/>
          <w:right w:val="single" w:sz="4" w:space="4" w:color="auto"/>
        </w:pBdr>
        <w:spacing w:after="240"/>
        <w:rPr>
          <w:rFonts w:ascii="Times New Roman" w:hAnsi="Times New Roman"/>
          <w:b/>
          <w:i/>
          <w:noProof/>
          <w:sz w:val="24"/>
          <w:szCs w:val="24"/>
        </w:rPr>
      </w:pPr>
      <w:r>
        <w:rPr>
          <w:rFonts w:ascii="Times New Roman" w:hAnsi="Times New Roman"/>
          <w:b/>
          <w:i/>
          <w:noProof/>
          <w:sz w:val="24"/>
          <w:szCs w:val="24"/>
        </w:rPr>
        <w:t>W jaki sposób w ciągu najbliższych dziesięciu lat z budżetu UE uruchomiona zostanie kwota co najmniej 1 bln EUR?</w:t>
      </w:r>
    </w:p>
    <w:p w:rsidR="00680C29" w:rsidRDefault="0082696E">
      <w:pPr>
        <w:pBdr>
          <w:top w:val="single" w:sz="4" w:space="1" w:color="auto"/>
          <w:left w:val="single" w:sz="4" w:space="4" w:color="auto"/>
          <w:bottom w:val="single" w:sz="4" w:space="1" w:color="auto"/>
          <w:right w:val="single" w:sz="4" w:space="4" w:color="auto"/>
        </w:pBdr>
        <w:spacing w:after="240"/>
        <w:jc w:val="both"/>
        <w:rPr>
          <w:rFonts w:ascii="Times New Roman" w:hAnsi="Times New Roman"/>
          <w:noProof/>
          <w:sz w:val="24"/>
          <w:szCs w:val="24"/>
        </w:rPr>
      </w:pPr>
      <w:r>
        <w:rPr>
          <w:rFonts w:ascii="Times New Roman" w:hAnsi="Times New Roman"/>
          <w:noProof/>
          <w:sz w:val="24"/>
          <w:szCs w:val="24"/>
        </w:rPr>
        <w:t>Uruchomienie kwoty co najmniej 1 bln EUR w ciągu najbliższych dziesięciu lat wymaga połączenia funduszy udostępnianych w ramach budżetu UE zgodnie z propozycją Komisji, a także dalszych inwestycji publicznych i prywatnych, które są przez te fundusze urucha</w:t>
      </w:r>
      <w:r>
        <w:rPr>
          <w:rFonts w:ascii="Times New Roman" w:hAnsi="Times New Roman"/>
          <w:noProof/>
          <w:sz w:val="24"/>
          <w:szCs w:val="24"/>
        </w:rPr>
        <w:t xml:space="preserve">miane. </w:t>
      </w:r>
    </w:p>
    <w:p w:rsidR="00680C29" w:rsidRDefault="0082696E">
      <w:pPr>
        <w:pBdr>
          <w:top w:val="single" w:sz="4" w:space="1" w:color="auto"/>
          <w:left w:val="single" w:sz="4" w:space="4" w:color="auto"/>
          <w:bottom w:val="single" w:sz="4" w:space="1" w:color="auto"/>
          <w:right w:val="single" w:sz="4" w:space="4" w:color="auto"/>
        </w:pBdr>
        <w:spacing w:after="240"/>
        <w:jc w:val="both"/>
        <w:rPr>
          <w:rFonts w:ascii="Times New Roman" w:hAnsi="Times New Roman"/>
          <w:noProof/>
          <w:sz w:val="24"/>
          <w:szCs w:val="24"/>
        </w:rPr>
      </w:pPr>
      <w:r>
        <w:rPr>
          <w:rFonts w:ascii="Times New Roman" w:hAnsi="Times New Roman"/>
          <w:b/>
          <w:noProof/>
          <w:sz w:val="24"/>
          <w:szCs w:val="24"/>
        </w:rPr>
        <w:t>Z budżetu UE na wydatki związane z klimatem i środowiskiem przeznaczona zostanie kwota 503 mld EUR</w:t>
      </w:r>
      <w:r>
        <w:rPr>
          <w:rFonts w:ascii="Times New Roman" w:hAnsi="Times New Roman"/>
          <w:noProof/>
          <w:sz w:val="24"/>
          <w:szCs w:val="24"/>
        </w:rPr>
        <w:t xml:space="preserve"> w latach 2021–2030, zgodnie z ambitnymi wartościami docelowymi w zakresie uwzględniania kwestii klimatu, wynoszącymi 25 % dla wieloletnich ram finans</w:t>
      </w:r>
      <w:r>
        <w:rPr>
          <w:rFonts w:ascii="Times New Roman" w:hAnsi="Times New Roman"/>
          <w:noProof/>
          <w:sz w:val="24"/>
          <w:szCs w:val="24"/>
        </w:rPr>
        <w:t>owych na lata 2021–2027, oraz z uwzględnieniem wydatkowania na środowisko w ramach wszystkich programów</w:t>
      </w:r>
      <w:r>
        <w:rPr>
          <w:rStyle w:val="FootnoteReference"/>
          <w:rFonts w:ascii="Times New Roman" w:hAnsi="Times New Roman"/>
          <w:noProof/>
          <w:sz w:val="24"/>
          <w:szCs w:val="24"/>
        </w:rPr>
        <w:footnoteReference w:id="8"/>
      </w:r>
      <w:r>
        <w:rPr>
          <w:rFonts w:ascii="Times New Roman" w:hAnsi="Times New Roman"/>
          <w:i/>
          <w:noProof/>
          <w:sz w:val="24"/>
          <w:szCs w:val="24"/>
        </w:rPr>
        <w:t>.</w:t>
      </w:r>
      <w:r>
        <w:rPr>
          <w:rFonts w:ascii="Times New Roman" w:hAnsi="Times New Roman"/>
          <w:noProof/>
          <w:sz w:val="24"/>
          <w:szCs w:val="24"/>
        </w:rPr>
        <w:t xml:space="preserve"> Dzięki temu w omawianym okresie </w:t>
      </w:r>
      <w:r>
        <w:rPr>
          <w:rFonts w:ascii="Times New Roman" w:hAnsi="Times New Roman"/>
          <w:b/>
          <w:noProof/>
          <w:sz w:val="24"/>
          <w:szCs w:val="24"/>
        </w:rPr>
        <w:t>uruchomione zostanie dodatkowe krajowe współfinansowanie na poziomie 114 mld EUR</w:t>
      </w:r>
      <w:r>
        <w:rPr>
          <w:rFonts w:ascii="Times New Roman" w:hAnsi="Times New Roman"/>
          <w:noProof/>
          <w:sz w:val="24"/>
          <w:szCs w:val="24"/>
        </w:rPr>
        <w:t xml:space="preserve"> z przeznaczeniem na klimat i środowis</w:t>
      </w:r>
      <w:r>
        <w:rPr>
          <w:rFonts w:ascii="Times New Roman" w:hAnsi="Times New Roman"/>
          <w:noProof/>
          <w:sz w:val="24"/>
          <w:szCs w:val="24"/>
        </w:rPr>
        <w:t xml:space="preserve">ko. </w:t>
      </w:r>
    </w:p>
    <w:p w:rsidR="00680C29" w:rsidRDefault="0082696E">
      <w:pPr>
        <w:pBdr>
          <w:top w:val="single" w:sz="4" w:space="1" w:color="auto"/>
          <w:left w:val="single" w:sz="4" w:space="4" w:color="auto"/>
          <w:bottom w:val="single" w:sz="4" w:space="1" w:color="auto"/>
          <w:right w:val="single" w:sz="4" w:space="4" w:color="auto"/>
        </w:pBdr>
        <w:spacing w:after="240"/>
        <w:jc w:val="both"/>
        <w:rPr>
          <w:rFonts w:ascii="Times New Roman" w:hAnsi="Times New Roman"/>
          <w:noProof/>
          <w:sz w:val="24"/>
          <w:szCs w:val="24"/>
        </w:rPr>
      </w:pPr>
      <w:r>
        <w:rPr>
          <w:rFonts w:ascii="Times New Roman" w:hAnsi="Times New Roman"/>
          <w:b/>
          <w:noProof/>
          <w:sz w:val="24"/>
          <w:szCs w:val="24"/>
        </w:rPr>
        <w:t>Fundusz InvestEU wykorzysta efekt dźwigni, aby uruchomić w latach 2021–2030 około 279 mld EUR</w:t>
      </w:r>
      <w:r>
        <w:rPr>
          <w:rFonts w:ascii="Times New Roman" w:hAnsi="Times New Roman"/>
          <w:noProof/>
          <w:sz w:val="24"/>
          <w:szCs w:val="24"/>
        </w:rPr>
        <w:t xml:space="preserve"> w postaci prywatnych i publicznych inwestycji związanych z klimatem i środowiskiem naturalnym; będzie to możliwe dzięki zapewnieniu gwarancji z budżetu UE, a</w:t>
      </w:r>
      <w:r>
        <w:rPr>
          <w:rFonts w:ascii="Times New Roman" w:hAnsi="Times New Roman"/>
          <w:noProof/>
          <w:sz w:val="24"/>
          <w:szCs w:val="24"/>
        </w:rPr>
        <w:t> tym samym ograniczeniu ryzyka operacji finansowych i inwestycyjnych.</w:t>
      </w:r>
    </w:p>
    <w:p w:rsidR="00680C29" w:rsidRDefault="0082696E">
      <w:pPr>
        <w:pBdr>
          <w:top w:val="single" w:sz="4" w:space="1" w:color="auto"/>
          <w:left w:val="single" w:sz="4" w:space="4" w:color="auto"/>
          <w:bottom w:val="single" w:sz="4" w:space="1" w:color="auto"/>
          <w:right w:val="single" w:sz="4" w:space="4" w:color="auto"/>
        </w:pBdr>
        <w:spacing w:after="240"/>
        <w:jc w:val="both"/>
        <w:rPr>
          <w:rFonts w:ascii="Times New Roman" w:hAnsi="Times New Roman"/>
          <w:noProof/>
          <w:sz w:val="24"/>
          <w:szCs w:val="24"/>
        </w:rPr>
      </w:pPr>
      <w:r>
        <w:rPr>
          <w:rFonts w:ascii="Times New Roman" w:hAnsi="Times New Roman"/>
          <w:noProof/>
          <w:sz w:val="24"/>
          <w:szCs w:val="24"/>
        </w:rPr>
        <w:t xml:space="preserve">Aby nikt nie został pominięty, </w:t>
      </w:r>
      <w:r>
        <w:rPr>
          <w:rFonts w:ascii="Times New Roman" w:hAnsi="Times New Roman"/>
          <w:b/>
          <w:noProof/>
          <w:sz w:val="24"/>
          <w:szCs w:val="24"/>
        </w:rPr>
        <w:t>mechanizm sprawiedliwej transformacji</w:t>
      </w:r>
      <w:r>
        <w:rPr>
          <w:rFonts w:ascii="Times New Roman" w:hAnsi="Times New Roman"/>
          <w:noProof/>
          <w:sz w:val="24"/>
          <w:szCs w:val="24"/>
        </w:rPr>
        <w:t xml:space="preserve"> obejmie finansowanie z budżetu UE, współfinansowanie z państw członkowskich oraz wkład z InvestEU i EBI, celem </w:t>
      </w:r>
      <w:r>
        <w:rPr>
          <w:rFonts w:ascii="Times New Roman" w:hAnsi="Times New Roman"/>
          <w:b/>
          <w:noProof/>
          <w:sz w:val="24"/>
          <w:szCs w:val="24"/>
        </w:rPr>
        <w:t>uruchomienia w latach 2021–2027 inwestycji o wartości 100 bln EUR</w:t>
      </w:r>
      <w:r>
        <w:rPr>
          <w:rFonts w:ascii="Times New Roman" w:hAnsi="Times New Roman"/>
          <w:noProof/>
          <w:sz w:val="24"/>
          <w:szCs w:val="24"/>
        </w:rPr>
        <w:t xml:space="preserve">. Kwota ta, ekstrapolowana na okres 10 lat, wyniesie 143 mld EUR, zapewniając tym samym sprawiedliwą transformację. </w:t>
      </w:r>
    </w:p>
    <w:p w:rsidR="00680C29" w:rsidRDefault="0082696E">
      <w:pPr>
        <w:pBdr>
          <w:top w:val="single" w:sz="4" w:space="1" w:color="auto"/>
          <w:left w:val="single" w:sz="4" w:space="4" w:color="auto"/>
          <w:bottom w:val="single" w:sz="4" w:space="1" w:color="auto"/>
          <w:right w:val="single" w:sz="4" w:space="4" w:color="auto"/>
        </w:pBdr>
        <w:spacing w:after="240"/>
        <w:jc w:val="both"/>
        <w:rPr>
          <w:rFonts w:ascii="Times New Roman" w:hAnsi="Times New Roman"/>
          <w:b/>
          <w:noProof/>
          <w:sz w:val="24"/>
          <w:szCs w:val="24"/>
        </w:rPr>
      </w:pPr>
      <w:r>
        <w:rPr>
          <w:rFonts w:ascii="Times New Roman" w:hAnsi="Times New Roman"/>
          <w:b/>
          <w:noProof/>
          <w:sz w:val="24"/>
          <w:szCs w:val="24"/>
        </w:rPr>
        <w:t>Fundusz innowacyjny oraz fundusz modernizacyjny</w:t>
      </w:r>
      <w:r>
        <w:rPr>
          <w:rFonts w:ascii="Times New Roman" w:hAnsi="Times New Roman"/>
          <w:noProof/>
          <w:sz w:val="24"/>
          <w:szCs w:val="24"/>
        </w:rPr>
        <w:t>, które nie są elementem bu</w:t>
      </w:r>
      <w:r>
        <w:rPr>
          <w:rFonts w:ascii="Times New Roman" w:hAnsi="Times New Roman"/>
          <w:noProof/>
          <w:sz w:val="24"/>
          <w:szCs w:val="24"/>
        </w:rPr>
        <w:t xml:space="preserve">dżetu UE, są jednak finansowane za pośrednictwem części dochodów pochodzących z licytacji uprawnień do emisji dwutlenku węgla w ramach systemu handlu emisjami, </w:t>
      </w:r>
      <w:r>
        <w:rPr>
          <w:rFonts w:ascii="Times New Roman" w:hAnsi="Times New Roman"/>
          <w:b/>
          <w:noProof/>
          <w:sz w:val="24"/>
          <w:szCs w:val="24"/>
        </w:rPr>
        <w:t>zapewnią co najmniej 25</w:t>
      </w:r>
      <w:r>
        <w:rPr>
          <w:rFonts w:ascii="Times New Roman" w:hAnsi="Times New Roman"/>
          <w:noProof/>
          <w:sz w:val="24"/>
          <w:szCs w:val="24"/>
        </w:rPr>
        <w:t xml:space="preserve"> </w:t>
      </w:r>
      <w:r>
        <w:rPr>
          <w:rFonts w:ascii="Times New Roman" w:hAnsi="Times New Roman"/>
          <w:b/>
          <w:noProof/>
          <w:sz w:val="24"/>
          <w:szCs w:val="24"/>
        </w:rPr>
        <w:t>mld EUR</w:t>
      </w:r>
      <w:r>
        <w:rPr>
          <w:rFonts w:ascii="Times New Roman" w:hAnsi="Times New Roman"/>
          <w:noProof/>
          <w:sz w:val="24"/>
          <w:szCs w:val="24"/>
        </w:rPr>
        <w:t xml:space="preserve"> na transformację UE w kierunku neutralności klimatycznej.</w:t>
      </w:r>
    </w:p>
    <w:p w:rsidR="00680C29" w:rsidRDefault="0082696E">
      <w:pPr>
        <w:pStyle w:val="Heading2"/>
        <w:spacing w:after="240"/>
        <w:rPr>
          <w:noProof/>
        </w:rPr>
      </w:pPr>
      <w:r>
        <w:rPr>
          <w:noProof/>
        </w:rPr>
        <w:t>Zwięks</w:t>
      </w:r>
      <w:r>
        <w:rPr>
          <w:noProof/>
        </w:rPr>
        <w:t>zone ambicje budżetu UE i powiązanych programów</w:t>
      </w:r>
    </w:p>
    <w:p w:rsidR="00680C29" w:rsidRDefault="0082696E">
      <w:pPr>
        <w:spacing w:after="240"/>
        <w:jc w:val="both"/>
        <w:rPr>
          <w:rFonts w:ascii="Times New Roman" w:hAnsi="Times New Roman"/>
          <w:noProof/>
          <w:sz w:val="28"/>
          <w:szCs w:val="24"/>
        </w:rPr>
      </w:pPr>
      <w:r>
        <w:rPr>
          <w:rFonts w:ascii="Times New Roman" w:hAnsi="Times New Roman"/>
          <w:b/>
          <w:noProof/>
          <w:sz w:val="24"/>
        </w:rPr>
        <w:t>W swoim wniosku dotyczącym kolejnych wieloletnich ram finansowych Komisja zaproponowała zwiększenie ambitnego celu klimatycznego do 25 %</w:t>
      </w:r>
      <w:r>
        <w:rPr>
          <w:rFonts w:ascii="Times New Roman" w:hAnsi="Times New Roman"/>
          <w:noProof/>
          <w:sz w:val="24"/>
        </w:rPr>
        <w:t xml:space="preserve">. Komisja wzywa Parlament Europejski i Radę do podtrzymania co najmniej </w:t>
      </w:r>
      <w:r>
        <w:rPr>
          <w:rFonts w:ascii="Times New Roman" w:hAnsi="Times New Roman"/>
          <w:noProof/>
          <w:sz w:val="24"/>
        </w:rPr>
        <w:t>tego poziomu ambicji w toczących się negocjacjach.</w:t>
      </w:r>
    </w:p>
    <w:p w:rsidR="00680C29" w:rsidRDefault="0082696E">
      <w:pPr>
        <w:spacing w:after="240"/>
        <w:jc w:val="both"/>
        <w:rPr>
          <w:rFonts w:ascii="Times New Roman" w:hAnsi="Times New Roman"/>
          <w:noProof/>
          <w:sz w:val="28"/>
          <w:szCs w:val="24"/>
        </w:rPr>
      </w:pPr>
      <w:r>
        <w:rPr>
          <w:rFonts w:ascii="Times New Roman" w:hAnsi="Times New Roman"/>
          <w:b/>
          <w:noProof/>
          <w:sz w:val="24"/>
        </w:rPr>
        <w:t>Zgodnie z propozycją Komisji dotyczącą kolejnych wieloletnich ram finansowych, w poszczególnych programach uwzględnione zostaną konkretne działania mające wzmocnić powiązanie między wykonaniem budżetu UE a</w:t>
      </w:r>
      <w:r>
        <w:rPr>
          <w:rFonts w:ascii="Times New Roman" w:hAnsi="Times New Roman"/>
          <w:b/>
          <w:noProof/>
          <w:sz w:val="24"/>
        </w:rPr>
        <w:t xml:space="preserve"> celem, jakim jest bardziej przyjazna dla środowiska, bezemisyjna Europa. Na przykład: </w:t>
      </w:r>
    </w:p>
    <w:p w:rsidR="00680C29" w:rsidRDefault="0082696E">
      <w:pPr>
        <w:pStyle w:val="ListParagraph"/>
        <w:numPr>
          <w:ilvl w:val="0"/>
          <w:numId w:val="29"/>
        </w:numPr>
        <w:spacing w:after="240"/>
        <w:rPr>
          <w:rFonts w:ascii="Times New Roman" w:hAnsi="Times New Roman"/>
          <w:noProof/>
          <w:sz w:val="28"/>
          <w:szCs w:val="24"/>
        </w:rPr>
      </w:pPr>
      <w:r>
        <w:rPr>
          <w:rFonts w:ascii="Times New Roman" w:hAnsi="Times New Roman"/>
          <w:noProof/>
          <w:sz w:val="24"/>
        </w:rPr>
        <w:t>Oczekuje się, że w ciągu najbliższych 7 lat (2021–2027) Fundusz Spójności i Europejski Fundusz Rozwoju Regionalnego zainwestują co najmniej 108 mld EUR w projekty związ</w:t>
      </w:r>
      <w:r>
        <w:rPr>
          <w:rFonts w:ascii="Times New Roman" w:hAnsi="Times New Roman"/>
          <w:noProof/>
          <w:sz w:val="24"/>
        </w:rPr>
        <w:t xml:space="preserve">ane z klimatem i środowiskiem – stanowi to ponad 30 % całkowitej puli środków finansowych. </w:t>
      </w:r>
    </w:p>
    <w:p w:rsidR="00680C29" w:rsidRDefault="0082696E">
      <w:pPr>
        <w:pStyle w:val="ListParagraph"/>
        <w:numPr>
          <w:ilvl w:val="0"/>
          <w:numId w:val="29"/>
        </w:numPr>
        <w:spacing w:after="240"/>
        <w:rPr>
          <w:rFonts w:ascii="Times New Roman" w:hAnsi="Times New Roman"/>
          <w:noProof/>
          <w:sz w:val="28"/>
          <w:szCs w:val="24"/>
        </w:rPr>
      </w:pPr>
      <w:r>
        <w:rPr>
          <w:rFonts w:ascii="Times New Roman" w:hAnsi="Times New Roman"/>
          <w:noProof/>
          <w:sz w:val="24"/>
        </w:rPr>
        <w:t>Przyszła wspólna polityka rolna przeznaczy na wsparcie celów związanych z klimatem 40 % swojej całkowitej puli środków. Wszystkie płatności bezpośrednie będą uwarun</w:t>
      </w:r>
      <w:r>
        <w:rPr>
          <w:rFonts w:ascii="Times New Roman" w:hAnsi="Times New Roman"/>
          <w:noProof/>
          <w:sz w:val="24"/>
        </w:rPr>
        <w:t xml:space="preserve">kowane spełnieniem surowszych wymogów w zakresie środowiska i klimatu. </w:t>
      </w:r>
    </w:p>
    <w:p w:rsidR="00680C29" w:rsidRDefault="0082696E">
      <w:pPr>
        <w:pStyle w:val="ListParagraph"/>
        <w:numPr>
          <w:ilvl w:val="0"/>
          <w:numId w:val="29"/>
        </w:numPr>
        <w:spacing w:after="240"/>
        <w:rPr>
          <w:rFonts w:ascii="Times New Roman" w:hAnsi="Times New Roman"/>
          <w:noProof/>
          <w:sz w:val="28"/>
          <w:szCs w:val="24"/>
        </w:rPr>
      </w:pPr>
      <w:r>
        <w:rPr>
          <w:rFonts w:ascii="Times New Roman" w:hAnsi="Times New Roman"/>
          <w:noProof/>
          <w:sz w:val="24"/>
        </w:rPr>
        <w:t>Co najmniej 35 % budżetu programu „Horyzont Europa” (zgodnie z oczekiwaniami 35 mld EUR) przeznaczonych zostanie na wsparcie celów związanych z klimatem. Ponadto, w ostatnim roku progr</w:t>
      </w:r>
      <w:r>
        <w:rPr>
          <w:rFonts w:ascii="Times New Roman" w:hAnsi="Times New Roman"/>
          <w:noProof/>
          <w:sz w:val="24"/>
        </w:rPr>
        <w:t>amu „Horyzont 2020” Komisja przygotowuje dodatkowe zaproszenie do składania wniosków na kwotę około 1 bln EUR alokowaną na priorytety Zielonego Ładu. Jest to uzupełnieniem kwoty 1,35 mld EUR, już alokowanej na 2020 r.</w:t>
      </w:r>
    </w:p>
    <w:p w:rsidR="00680C29" w:rsidRDefault="0082696E">
      <w:pPr>
        <w:pStyle w:val="ListParagraph"/>
        <w:numPr>
          <w:ilvl w:val="0"/>
          <w:numId w:val="29"/>
        </w:numPr>
        <w:spacing w:after="240"/>
        <w:rPr>
          <w:rFonts w:ascii="Times New Roman" w:hAnsi="Times New Roman"/>
          <w:noProof/>
          <w:sz w:val="28"/>
          <w:szCs w:val="24"/>
        </w:rPr>
      </w:pPr>
      <w:r>
        <w:rPr>
          <w:rFonts w:ascii="Times New Roman" w:hAnsi="Times New Roman"/>
          <w:noProof/>
          <w:sz w:val="24"/>
        </w:rPr>
        <w:t>Pula środków, jakimi dysponuje program</w:t>
      </w:r>
      <w:r>
        <w:rPr>
          <w:rFonts w:ascii="Times New Roman" w:hAnsi="Times New Roman"/>
          <w:noProof/>
          <w:sz w:val="24"/>
        </w:rPr>
        <w:t xml:space="preserve"> LIFE, zostanie zwiększona o 72 % w porównaniu z latami 2014–2020 i osiągnie poziom 5,4 mld EUR. Ponad 60 % tej puli zostanie przeznaczone na realizację celów związanych z klimatem, w tym 0,95 mld EUR na działania w dziedzinie klimatu i 1 mld EUR na przejś</w:t>
      </w:r>
      <w:r>
        <w:rPr>
          <w:rFonts w:ascii="Times New Roman" w:hAnsi="Times New Roman"/>
          <w:noProof/>
          <w:sz w:val="24"/>
        </w:rPr>
        <w:t>cie na czystą energię oraz 2,15 mld EUR na ochronę przyrody i różnorodności biologicznej.</w:t>
      </w:r>
    </w:p>
    <w:p w:rsidR="00680C29" w:rsidRDefault="0082696E">
      <w:pPr>
        <w:pStyle w:val="ListParagraph"/>
        <w:numPr>
          <w:ilvl w:val="0"/>
          <w:numId w:val="29"/>
        </w:numPr>
        <w:spacing w:after="240"/>
        <w:rPr>
          <w:rFonts w:ascii="Times New Roman" w:hAnsi="Times New Roman"/>
          <w:noProof/>
          <w:sz w:val="28"/>
          <w:szCs w:val="24"/>
        </w:rPr>
      </w:pPr>
      <w:r>
        <w:rPr>
          <w:rFonts w:ascii="Times New Roman" w:hAnsi="Times New Roman"/>
          <w:noProof/>
          <w:sz w:val="24"/>
        </w:rPr>
        <w:t>Co najmniej 60 % budżetu instrumentu „Łącząc Europę” (wspierającego infrastrukturę transportową, energetyczną i cyfrową) zostanie przeznaczone na wspieranie celów w z</w:t>
      </w:r>
      <w:r>
        <w:rPr>
          <w:rFonts w:ascii="Times New Roman" w:hAnsi="Times New Roman"/>
          <w:noProof/>
          <w:sz w:val="24"/>
        </w:rPr>
        <w:t>akresie klimatu.</w:t>
      </w:r>
    </w:p>
    <w:p w:rsidR="00680C29" w:rsidRDefault="0082696E">
      <w:pPr>
        <w:pStyle w:val="ListParagraph"/>
        <w:numPr>
          <w:ilvl w:val="0"/>
          <w:numId w:val="29"/>
        </w:numPr>
        <w:spacing w:after="240"/>
        <w:rPr>
          <w:rFonts w:ascii="Times New Roman" w:hAnsi="Times New Roman"/>
          <w:noProof/>
          <w:sz w:val="28"/>
          <w:szCs w:val="24"/>
        </w:rPr>
      </w:pPr>
      <w:r>
        <w:rPr>
          <w:rFonts w:ascii="Times New Roman" w:hAnsi="Times New Roman"/>
          <w:noProof/>
          <w:sz w:val="24"/>
        </w:rPr>
        <w:t>Europejski Fundusz Społeczny+ będzie służył wsparciem w procesie podnoszenia kwalifikacji oraz przekwalifikowywania około 5 mln osób na potrzeby zielonych miejsc pracy i zielonej gospodarki.</w:t>
      </w:r>
    </w:p>
    <w:p w:rsidR="00680C29" w:rsidRDefault="0082696E">
      <w:pPr>
        <w:spacing w:after="240"/>
        <w:jc w:val="both"/>
        <w:rPr>
          <w:rFonts w:ascii="Times New Roman" w:hAnsi="Times New Roman"/>
          <w:noProof/>
          <w:sz w:val="28"/>
          <w:szCs w:val="24"/>
        </w:rPr>
      </w:pPr>
      <w:r>
        <w:rPr>
          <w:rFonts w:ascii="Times New Roman" w:hAnsi="Times New Roman"/>
          <w:b/>
          <w:noProof/>
          <w:sz w:val="24"/>
        </w:rPr>
        <w:t xml:space="preserve">Unijny budżet będzie się przyczyniać do </w:t>
      </w:r>
      <w:r>
        <w:rPr>
          <w:rFonts w:ascii="Times New Roman" w:hAnsi="Times New Roman"/>
          <w:b/>
          <w:noProof/>
          <w:sz w:val="24"/>
        </w:rPr>
        <w:t>realizacji celów klimatycznych również dzięki wprowadzeniu nowych rozwiązań po stronie dochodów</w:t>
      </w:r>
      <w:r>
        <w:rPr>
          <w:rFonts w:ascii="Times New Roman" w:hAnsi="Times New Roman"/>
          <w:noProof/>
          <w:sz w:val="24"/>
        </w:rPr>
        <w:t>. W maju 2018 r. Komisja przedstawiła wniosek dotyczący decyzji w sprawie zasobów własnych, w którym ujęto koszyk dotyczący nowych zasobów własnych. Jednym z jeg</w:t>
      </w:r>
      <w:r>
        <w:rPr>
          <w:rFonts w:ascii="Times New Roman" w:hAnsi="Times New Roman"/>
          <w:noProof/>
          <w:sz w:val="24"/>
        </w:rPr>
        <w:t>o kluczowych elementów są zasoby własne oparte na odpadach opakowaniowych z tworzyw sztucznych niepoddanych recyklingowi, które przyczynią się do realizacji ogólnounijnych celów określonych w strategii dotyczącej odpadów. Ponadto, zgodnie z wnioskiem Komis</w:t>
      </w:r>
      <w:r>
        <w:rPr>
          <w:rFonts w:ascii="Times New Roman" w:hAnsi="Times New Roman"/>
          <w:noProof/>
          <w:sz w:val="24"/>
        </w:rPr>
        <w:t>ji, 20 % dochodów z licytacji w ramach unijnego systemu handlu uprawnieniami do emisji zostanie alokowanych do budżetu UE w formie zasobów własnych.</w:t>
      </w:r>
    </w:p>
    <w:p w:rsidR="00680C29" w:rsidRDefault="0082696E">
      <w:pPr>
        <w:spacing w:after="240"/>
        <w:jc w:val="both"/>
        <w:rPr>
          <w:rFonts w:ascii="Times New Roman" w:hAnsi="Times New Roman"/>
          <w:noProof/>
          <w:sz w:val="28"/>
          <w:szCs w:val="24"/>
        </w:rPr>
      </w:pPr>
      <w:r>
        <w:rPr>
          <w:rFonts w:ascii="Times New Roman" w:hAnsi="Times New Roman"/>
          <w:b/>
          <w:noProof/>
          <w:sz w:val="24"/>
        </w:rPr>
        <w:t>Dodatkowe środki na zieloną transformację zostaną ponadto przekierowane w ramach funduszu modernizacji unij</w:t>
      </w:r>
      <w:r>
        <w:rPr>
          <w:rFonts w:ascii="Times New Roman" w:hAnsi="Times New Roman"/>
          <w:b/>
          <w:noProof/>
          <w:sz w:val="24"/>
        </w:rPr>
        <w:t>nego systemu handlu uprawnieniami do emisji oraz funduszu innowacyjnego – oba fundusze funkcjonują poza długoterminowym budżetem UE</w:t>
      </w:r>
      <w:r>
        <w:rPr>
          <w:rFonts w:ascii="Times New Roman" w:hAnsi="Times New Roman"/>
          <w:noProof/>
          <w:sz w:val="24"/>
        </w:rPr>
        <w:t>. Fundusz innowacyjny będzie wspierał inwestycje w rozwój przełomowych i niskoemisyjnych technologii i procesów w sektorach e</w:t>
      </w:r>
      <w:r>
        <w:rPr>
          <w:rFonts w:ascii="Times New Roman" w:hAnsi="Times New Roman"/>
          <w:noProof/>
          <w:sz w:val="24"/>
        </w:rPr>
        <w:t>nergii odnawialnej oraz sektorach energochłonnych, w tym wychwytywanie, wykorzystywanie i składowanie dwutlenku węgla oraz magazynowanie energii. Celem jest podzielenie się ryzykiem związanym z innowacjami z promotorami projektów; pozwoli to udzielić wspar</w:t>
      </w:r>
      <w:r>
        <w:rPr>
          <w:rFonts w:ascii="Times New Roman" w:hAnsi="Times New Roman"/>
          <w:noProof/>
          <w:sz w:val="24"/>
        </w:rPr>
        <w:t>cia wysoce innowacyjnym projektom, pierwszym w swoim rodzaju, oraz sprawić, by przemysł europejski stał się światowym liderem na rynku czystych technologii. Komisja przygotowuje obecnie pierwsze zaproszenie do składania wniosków w ramach funduszu innowacyj</w:t>
      </w:r>
      <w:r>
        <w:rPr>
          <w:rFonts w:ascii="Times New Roman" w:hAnsi="Times New Roman"/>
          <w:noProof/>
          <w:sz w:val="24"/>
        </w:rPr>
        <w:t>nego, który powinien zostać uruchomiony w połowie 2020 r. i dysponować kwotą 1 mld EUR. W ciągu najbliższych miesięcy odbędzie się szereg warsztatów, których celem będzie nawiązanie kontaktu z promotorami projektów oraz innymi inwestorami prywatnymi i publ</w:t>
      </w:r>
      <w:r>
        <w:rPr>
          <w:rFonts w:ascii="Times New Roman" w:hAnsi="Times New Roman"/>
          <w:noProof/>
          <w:sz w:val="24"/>
        </w:rPr>
        <w:t>icznymi oraz opracowanie zestawu skutecznych kryteriów wyboru. W ramach funduszu modernizacyjnego wsparcie zyskają inwestycje związane z modernizacją sektora energetycznego i szerszych systemów energii, aby zwiększyć efektywność energetyczną w 10 państwach</w:t>
      </w:r>
      <w:r>
        <w:rPr>
          <w:rFonts w:ascii="Times New Roman" w:hAnsi="Times New Roman"/>
          <w:noProof/>
          <w:sz w:val="24"/>
        </w:rPr>
        <w:t xml:space="preserve"> członkowskich o niższych dochodach. Środki z funduszu mogą być również przeznaczane na przekwalifikowywanie i podnoszenie kwalifikacji osób, których dotyczy powyższa transformacja.</w:t>
      </w:r>
      <w:r>
        <w:rPr>
          <w:rFonts w:ascii="Times New Roman" w:hAnsi="Times New Roman"/>
          <w:b/>
          <w:noProof/>
          <w:sz w:val="24"/>
        </w:rPr>
        <w:t xml:space="preserve"> </w:t>
      </w:r>
      <w:r>
        <w:rPr>
          <w:rFonts w:ascii="Times New Roman" w:hAnsi="Times New Roman"/>
          <w:noProof/>
          <w:sz w:val="24"/>
        </w:rPr>
        <w:t xml:space="preserve">Komisja przeprowadzi wkrótce konsultacje dotyczące przepisów wykonawczych </w:t>
      </w:r>
      <w:r>
        <w:rPr>
          <w:rFonts w:ascii="Times New Roman" w:hAnsi="Times New Roman"/>
          <w:noProof/>
          <w:sz w:val="24"/>
        </w:rPr>
        <w:t>funduszu modernizacyjnego. W ramach przeglądu unijnego systemu handlu uprawnieniami do emisji Komisja dokona przeglądu obu instrumentów i rozważy alokację dodatkowych dochodów do budżetu UE w celu wzmocnienia procesu finansowania sprawiedliwej transformacj</w:t>
      </w:r>
      <w:r>
        <w:rPr>
          <w:rFonts w:ascii="Times New Roman" w:hAnsi="Times New Roman"/>
          <w:noProof/>
          <w:sz w:val="24"/>
        </w:rPr>
        <w:t>i.</w:t>
      </w:r>
    </w:p>
    <w:p w:rsidR="00680C29" w:rsidRDefault="0082696E">
      <w:pPr>
        <w:spacing w:after="240"/>
        <w:jc w:val="both"/>
        <w:rPr>
          <w:rFonts w:ascii="Times New Roman" w:hAnsi="Times New Roman"/>
          <w:noProof/>
          <w:sz w:val="28"/>
          <w:szCs w:val="24"/>
        </w:rPr>
      </w:pPr>
      <w:r>
        <w:rPr>
          <w:rFonts w:ascii="Times New Roman" w:hAnsi="Times New Roman"/>
          <w:b/>
          <w:noProof/>
          <w:sz w:val="24"/>
        </w:rPr>
        <w:t xml:space="preserve">Zgodnie z komunikatem w sprawie Europejskiego Zielonego Ładu Komisja przedstawi w pierwszej połowie 2020 r. zawierający ocenę skutków plan zwiększenia docelowych poziomów redukcji emisji gazów cieplarnianych w UE do 2030 r., </w:t>
      </w:r>
      <w:r>
        <w:rPr>
          <w:rFonts w:ascii="Times New Roman" w:hAnsi="Times New Roman"/>
          <w:noProof/>
          <w:sz w:val="24"/>
        </w:rPr>
        <w:t>w</w:t>
      </w:r>
      <w:r>
        <w:rPr>
          <w:rFonts w:ascii="Times New Roman" w:hAnsi="Times New Roman"/>
          <w:b/>
          <w:noProof/>
          <w:sz w:val="24"/>
        </w:rPr>
        <w:t> </w:t>
      </w:r>
      <w:r>
        <w:rPr>
          <w:rFonts w:ascii="Times New Roman" w:hAnsi="Times New Roman"/>
          <w:noProof/>
          <w:sz w:val="24"/>
        </w:rPr>
        <w:t>tym analizę potrzeb inwest</w:t>
      </w:r>
      <w:r>
        <w:rPr>
          <w:rFonts w:ascii="Times New Roman" w:hAnsi="Times New Roman"/>
          <w:noProof/>
          <w:sz w:val="24"/>
        </w:rPr>
        <w:t>ycyjnych. W zależności od rezultatów stosowne może okazać się rozważenie ewentualnych zmian celów związanych z klimatem w ramach kolejnych wieloletnich ram finansowych.</w:t>
      </w:r>
    </w:p>
    <w:tbl>
      <w:tblPr>
        <w:tblStyle w:val="TableGrid"/>
        <w:tblW w:w="0" w:type="auto"/>
        <w:tblLook w:val="04A0" w:firstRow="1" w:lastRow="0" w:firstColumn="1" w:lastColumn="0" w:noHBand="0" w:noVBand="1"/>
      </w:tblPr>
      <w:tblGrid>
        <w:gridCol w:w="9062"/>
      </w:tblGrid>
      <w:tr w:rsidR="00680C29">
        <w:tc>
          <w:tcPr>
            <w:tcW w:w="9062" w:type="dxa"/>
          </w:tcPr>
          <w:p w:rsidR="00680C29" w:rsidRDefault="0082696E">
            <w:pPr>
              <w:spacing w:after="240"/>
              <w:jc w:val="both"/>
              <w:rPr>
                <w:rFonts w:ascii="Times New Roman" w:hAnsi="Times New Roman"/>
                <w:b/>
                <w:noProof/>
                <w:sz w:val="28"/>
                <w:szCs w:val="24"/>
              </w:rPr>
            </w:pPr>
            <w:r>
              <w:rPr>
                <w:rFonts w:ascii="Times New Roman" w:hAnsi="Times New Roman"/>
                <w:b/>
                <w:noProof/>
                <w:sz w:val="24"/>
              </w:rPr>
              <w:t>Komisja:</w:t>
            </w:r>
          </w:p>
          <w:p w:rsidR="00680C29" w:rsidRDefault="0082696E">
            <w:pPr>
              <w:pStyle w:val="ListParagraph"/>
              <w:numPr>
                <w:ilvl w:val="0"/>
                <w:numId w:val="30"/>
              </w:numPr>
              <w:spacing w:after="240"/>
              <w:rPr>
                <w:rFonts w:ascii="Times New Roman" w:hAnsi="Times New Roman"/>
                <w:b/>
                <w:noProof/>
                <w:sz w:val="28"/>
                <w:szCs w:val="24"/>
              </w:rPr>
            </w:pPr>
            <w:r>
              <w:rPr>
                <w:rFonts w:ascii="Times New Roman" w:hAnsi="Times New Roman"/>
                <w:b/>
                <w:noProof/>
                <w:sz w:val="24"/>
              </w:rPr>
              <w:t>Będzie dążyć w ramach negocjacji międzyinstytucjonalnych do zachowania ambitn</w:t>
            </w:r>
            <w:r>
              <w:rPr>
                <w:rFonts w:ascii="Times New Roman" w:hAnsi="Times New Roman"/>
                <w:b/>
                <w:noProof/>
                <w:sz w:val="24"/>
              </w:rPr>
              <w:t xml:space="preserve">ego celu związanego z klimatem na poziomie co najmniej 25 % wieloletnich ram finansowych. </w:t>
            </w:r>
          </w:p>
          <w:p w:rsidR="00680C29" w:rsidRDefault="0082696E">
            <w:pPr>
              <w:pStyle w:val="ListParagraph"/>
              <w:numPr>
                <w:ilvl w:val="0"/>
                <w:numId w:val="30"/>
              </w:numPr>
              <w:spacing w:after="240"/>
              <w:rPr>
                <w:rFonts w:ascii="Times New Roman" w:hAnsi="Times New Roman"/>
                <w:noProof/>
                <w:sz w:val="28"/>
                <w:szCs w:val="24"/>
              </w:rPr>
            </w:pPr>
            <w:r>
              <w:rPr>
                <w:rFonts w:ascii="Times New Roman" w:hAnsi="Times New Roman"/>
                <w:b/>
                <w:noProof/>
                <w:sz w:val="24"/>
              </w:rPr>
              <w:t>Będzie działać na rzecz udoskonalenia systemu monitorowania postępów w realizacji tego celu.</w:t>
            </w:r>
          </w:p>
        </w:tc>
      </w:tr>
    </w:tbl>
    <w:p w:rsidR="00680C29" w:rsidRDefault="00680C29">
      <w:pPr>
        <w:pStyle w:val="Heading2"/>
        <w:numPr>
          <w:ilvl w:val="0"/>
          <w:numId w:val="0"/>
        </w:numPr>
        <w:spacing w:after="240"/>
        <w:ind w:left="1077"/>
        <w:rPr>
          <w:noProof/>
          <w:sz w:val="28"/>
        </w:rPr>
      </w:pPr>
    </w:p>
    <w:p w:rsidR="00680C29" w:rsidRDefault="0082696E">
      <w:pPr>
        <w:pStyle w:val="Heading2"/>
        <w:spacing w:after="240"/>
        <w:rPr>
          <w:noProof/>
        </w:rPr>
      </w:pPr>
      <w:r>
        <w:rPr>
          <w:noProof/>
        </w:rPr>
        <w:t>Przyciąganie inwestycji prywatnych za pośrednictwem InvestEU</w:t>
      </w:r>
    </w:p>
    <w:p w:rsidR="00680C29" w:rsidRDefault="0082696E">
      <w:pPr>
        <w:spacing w:after="240"/>
        <w:jc w:val="both"/>
        <w:rPr>
          <w:rFonts w:ascii="Times New Roman" w:hAnsi="Times New Roman"/>
          <w:noProof/>
          <w:sz w:val="28"/>
          <w:szCs w:val="24"/>
        </w:rPr>
      </w:pPr>
      <w:r>
        <w:rPr>
          <w:rFonts w:ascii="Times New Roman" w:hAnsi="Times New Roman"/>
          <w:b/>
          <w:noProof/>
          <w:sz w:val="24"/>
        </w:rPr>
        <w:t>Niektóre inwestycje niezbędne do dokonania transformacji wiążą się z większym ryzykiem, którego sektor prywatny nie może ponieść samodzielnie. W takich przypadkach można w ukierunkowany sposób wykorzystać środki publiczne i ograniczyć ryzyko związane z pro</w:t>
      </w:r>
      <w:r>
        <w:rPr>
          <w:rFonts w:ascii="Times New Roman" w:hAnsi="Times New Roman"/>
          <w:b/>
          <w:noProof/>
          <w:sz w:val="24"/>
        </w:rPr>
        <w:t xml:space="preserve">jektami oraz wywołać efekt dźwigni w celu przyciągnięcia finansowania prywatnego. </w:t>
      </w:r>
      <w:r>
        <w:rPr>
          <w:rFonts w:ascii="Times New Roman" w:hAnsi="Times New Roman"/>
          <w:noProof/>
          <w:sz w:val="24"/>
        </w:rPr>
        <w:t>Zapewniając gwarancję z budżetu UE w celu częściowego pokrycia ryzyka operacji związanych z finansowaniem i inwestowaniem, program InvestEU, będący następcą Europejskiego Fun</w:t>
      </w:r>
      <w:r>
        <w:rPr>
          <w:rFonts w:ascii="Times New Roman" w:hAnsi="Times New Roman"/>
          <w:noProof/>
          <w:sz w:val="24"/>
        </w:rPr>
        <w:t>duszu na rzecz Inwestycji Strategicznych (EFIS) i 13 innych instrumentów finansowych UE, doprowadzi do uruchomienia kwoty 650 mld EUR w ciągu 7 lat. Program InvestEU musi wykorzystać swój całkowity potencjał do realizacji celów Europejskiego Zielonego Ładu</w:t>
      </w:r>
      <w:r>
        <w:rPr>
          <w:rFonts w:ascii="Times New Roman" w:hAnsi="Times New Roman"/>
          <w:noProof/>
          <w:sz w:val="24"/>
        </w:rPr>
        <w:t>. Zasadnicze znaczenie ma zatem – w kontekście trwających negocjacji międzyinstytucjonalnych – osiągnięcie w ramach InvestEU ambitnego celu w zakresie klimatu. Komisja zaproponowała cel wynoszący co najmniej 30 %, który doprowadziłby do uruchomienia w lata</w:t>
      </w:r>
      <w:r>
        <w:rPr>
          <w:rFonts w:ascii="Times New Roman" w:hAnsi="Times New Roman"/>
          <w:noProof/>
          <w:sz w:val="24"/>
        </w:rPr>
        <w:t xml:space="preserve">ch 2021–2027 inwestycji w dziedzinie klimatu na poziomie około 195 mld EUR, czyli blisko 28 mld rocznie i 280 mld EUR w ciągu dziesięciu lat. </w:t>
      </w:r>
    </w:p>
    <w:p w:rsidR="00680C29" w:rsidRDefault="0082696E">
      <w:pPr>
        <w:spacing w:after="240"/>
        <w:jc w:val="both"/>
        <w:rPr>
          <w:rFonts w:ascii="Times New Roman" w:hAnsi="Times New Roman"/>
          <w:noProof/>
          <w:sz w:val="28"/>
          <w:szCs w:val="24"/>
        </w:rPr>
      </w:pPr>
      <w:r>
        <w:rPr>
          <w:rFonts w:ascii="Times New Roman" w:hAnsi="Times New Roman"/>
          <w:b/>
          <w:noProof/>
          <w:sz w:val="24"/>
        </w:rPr>
        <w:t>InvestEU będzie wspierał zrównoważone inwestycje we wszystkich sektorach gospodarki. Będzie on również upowszechn</w:t>
      </w:r>
      <w:r>
        <w:rPr>
          <w:rFonts w:ascii="Times New Roman" w:hAnsi="Times New Roman"/>
          <w:b/>
          <w:noProof/>
          <w:sz w:val="24"/>
        </w:rPr>
        <w:t>iał praktyki w zakresie zrównoważonego rozwoju wśród inwestorów prywatnych i publicznych.</w:t>
      </w:r>
      <w:r>
        <w:rPr>
          <w:rFonts w:ascii="Times New Roman" w:hAnsi="Times New Roman"/>
          <w:noProof/>
          <w:sz w:val="24"/>
        </w:rPr>
        <w:t xml:space="preserve"> Komisja przedstawi metodykę monitorowania wydatków na cele związane z klimatem, aby dokonać pomiaru wkładu określonych operacji finansowych i inwestycyjnych w realiza</w:t>
      </w:r>
      <w:r>
        <w:rPr>
          <w:rFonts w:ascii="Times New Roman" w:hAnsi="Times New Roman"/>
          <w:noProof/>
          <w:sz w:val="24"/>
        </w:rPr>
        <w:t>cję celów klimatycznych i środowiskowych programu. Ponadto Komisja wprowadzi metodę oceny zrównoważonego charakteru projektów, zgodnie z którą promotorzy projektów o określonej wielkości będą zobowiązani do oceny wpływu tych projektów na środowisko, klimat</w:t>
      </w:r>
      <w:r>
        <w:rPr>
          <w:rFonts w:ascii="Times New Roman" w:hAnsi="Times New Roman"/>
          <w:noProof/>
          <w:sz w:val="24"/>
        </w:rPr>
        <w:t xml:space="preserve"> i społeczeństwo. Ponieważ metody te będą stosowane przez wszystkich partnerów wykonawczych InvestEU (Grupa Europejskiego Banku Inwestycyjnego, krajowe banki prorozwojowe, międzynarodowe instytucje finansowe) i będą również punktem odniesienia dla inwestor</w:t>
      </w:r>
      <w:r>
        <w:rPr>
          <w:rFonts w:ascii="Times New Roman" w:hAnsi="Times New Roman"/>
          <w:noProof/>
          <w:sz w:val="24"/>
        </w:rPr>
        <w:t>ów prywatnych i pośredników finansowych uczestniczących w programie, zakłada się, że przyniosą one również efekty zewnętrzne, poza zasięgiem programu InvestEU. Metody te pozwolą na stosowne wykorzystanie ogólnounijnego systemu klasyfikacji działalności gos</w:t>
      </w:r>
      <w:r>
        <w:rPr>
          <w:rFonts w:ascii="Times New Roman" w:hAnsi="Times New Roman"/>
          <w:noProof/>
          <w:sz w:val="24"/>
        </w:rPr>
        <w:t xml:space="preserve">podarczej zrównoważonej środowiskowo (unijna systematyka zrównoważonego rozwoju). </w:t>
      </w:r>
    </w:p>
    <w:tbl>
      <w:tblPr>
        <w:tblStyle w:val="TableGrid"/>
        <w:tblW w:w="0" w:type="auto"/>
        <w:tblLook w:val="04A0" w:firstRow="1" w:lastRow="0" w:firstColumn="1" w:lastColumn="0" w:noHBand="0" w:noVBand="1"/>
      </w:tblPr>
      <w:tblGrid>
        <w:gridCol w:w="9062"/>
      </w:tblGrid>
      <w:tr w:rsidR="00680C29">
        <w:trPr>
          <w:trHeight w:val="2383"/>
        </w:trPr>
        <w:tc>
          <w:tcPr>
            <w:tcW w:w="9062" w:type="dxa"/>
          </w:tcPr>
          <w:p w:rsidR="00680C29" w:rsidRDefault="0082696E">
            <w:pPr>
              <w:spacing w:after="240"/>
              <w:jc w:val="both"/>
              <w:rPr>
                <w:rFonts w:ascii="Times New Roman" w:hAnsi="Times New Roman"/>
                <w:b/>
                <w:noProof/>
                <w:sz w:val="28"/>
                <w:szCs w:val="24"/>
              </w:rPr>
            </w:pPr>
            <w:r>
              <w:rPr>
                <w:rFonts w:ascii="Times New Roman" w:hAnsi="Times New Roman"/>
                <w:b/>
                <w:noProof/>
                <w:sz w:val="24"/>
              </w:rPr>
              <w:t>Komisja:</w:t>
            </w:r>
          </w:p>
          <w:p w:rsidR="00680C29" w:rsidRDefault="0082696E">
            <w:pPr>
              <w:pStyle w:val="ListParagraph"/>
              <w:numPr>
                <w:ilvl w:val="0"/>
                <w:numId w:val="30"/>
              </w:numPr>
              <w:spacing w:after="240"/>
              <w:rPr>
                <w:rFonts w:ascii="Times New Roman" w:hAnsi="Times New Roman"/>
                <w:b/>
                <w:noProof/>
                <w:sz w:val="28"/>
                <w:szCs w:val="24"/>
              </w:rPr>
            </w:pPr>
            <w:r>
              <w:rPr>
                <w:rFonts w:ascii="Times New Roman" w:hAnsi="Times New Roman"/>
                <w:b/>
                <w:noProof/>
                <w:sz w:val="24"/>
              </w:rPr>
              <w:t>W drugiej połowie 2020 r. wzmocni monitorowanie wydatków w dziedzinie klimatu i środowiska oraz przygotuje wytyczne dotyczące oceny zrównoważonego charakteru projek</w:t>
            </w:r>
            <w:r>
              <w:rPr>
                <w:rFonts w:ascii="Times New Roman" w:hAnsi="Times New Roman"/>
                <w:b/>
                <w:noProof/>
                <w:sz w:val="24"/>
              </w:rPr>
              <w:t>tów. W wytycznych tych wykorzystane zostaną w odpowiedni sposób kryteria ustalone w ramach unijnej systematyki zrównoważonego rozwoju (po ich wejściu w życie).</w:t>
            </w:r>
          </w:p>
          <w:p w:rsidR="00680C29" w:rsidRDefault="0082696E">
            <w:pPr>
              <w:pStyle w:val="ListParagraph"/>
              <w:numPr>
                <w:ilvl w:val="0"/>
                <w:numId w:val="30"/>
              </w:numPr>
              <w:spacing w:after="240"/>
              <w:rPr>
                <w:rFonts w:ascii="Times New Roman" w:hAnsi="Times New Roman"/>
                <w:b/>
                <w:noProof/>
                <w:sz w:val="28"/>
                <w:szCs w:val="24"/>
              </w:rPr>
            </w:pPr>
            <w:r>
              <w:rPr>
                <w:rFonts w:ascii="Times New Roman" w:hAnsi="Times New Roman"/>
                <w:b/>
                <w:noProof/>
                <w:sz w:val="24"/>
              </w:rPr>
              <w:t>Opracuje, we współpracy z partnerami wykonawczymi InvestEU, produkty finansowe, które będą wykor</w:t>
            </w:r>
            <w:r>
              <w:rPr>
                <w:rFonts w:ascii="Times New Roman" w:hAnsi="Times New Roman"/>
                <w:b/>
                <w:noProof/>
                <w:sz w:val="24"/>
              </w:rPr>
              <w:t>zystywane w ramach InvestEU i ukierunkowane na cele związane ze środowiskiem, klimatem i zrównoważonymi celami społecznymi.</w:t>
            </w:r>
          </w:p>
        </w:tc>
      </w:tr>
    </w:tbl>
    <w:p w:rsidR="00680C29" w:rsidRDefault="00680C29">
      <w:pPr>
        <w:spacing w:after="240"/>
        <w:jc w:val="both"/>
        <w:rPr>
          <w:rFonts w:ascii="Times New Roman" w:hAnsi="Times New Roman"/>
          <w:b/>
          <w:noProof/>
          <w:sz w:val="24"/>
          <w:szCs w:val="24"/>
        </w:rPr>
      </w:pPr>
    </w:p>
    <w:p w:rsidR="00680C29" w:rsidRDefault="0082696E">
      <w:pPr>
        <w:pStyle w:val="Heading2"/>
        <w:spacing w:after="240"/>
        <w:rPr>
          <w:noProof/>
        </w:rPr>
      </w:pPr>
      <w:r>
        <w:rPr>
          <w:noProof/>
        </w:rPr>
        <w:t xml:space="preserve">Wkład Europejskiego Banku Inwestycyjnego i mobilizowanie innych instytucji finansowych </w:t>
      </w:r>
    </w:p>
    <w:p w:rsidR="00680C29" w:rsidRDefault="0082696E">
      <w:pPr>
        <w:spacing w:after="240"/>
        <w:jc w:val="both"/>
        <w:rPr>
          <w:rFonts w:ascii="Times New Roman" w:hAnsi="Times New Roman"/>
          <w:noProof/>
          <w:sz w:val="28"/>
          <w:szCs w:val="24"/>
        </w:rPr>
      </w:pPr>
      <w:r>
        <w:rPr>
          <w:rFonts w:ascii="Times New Roman" w:hAnsi="Times New Roman"/>
          <w:b/>
          <w:noProof/>
          <w:sz w:val="24"/>
        </w:rPr>
        <w:t xml:space="preserve">Europejski Bank Inwestycyjny (EBI) również odgrywa kluczową rolę w finansowaniu przejścia do zrównoważonej gospodarki, neutralnej pod względem emisji dwutlenku węgla. </w:t>
      </w:r>
      <w:r>
        <w:rPr>
          <w:rFonts w:ascii="Times New Roman" w:hAnsi="Times New Roman"/>
          <w:noProof/>
          <w:sz w:val="24"/>
        </w:rPr>
        <w:t>Wykorzystuje on zasoby własne i wsparcie budżetowe UE w ramach różnych programów i instru</w:t>
      </w:r>
      <w:r>
        <w:rPr>
          <w:rFonts w:ascii="Times New Roman" w:hAnsi="Times New Roman"/>
          <w:noProof/>
          <w:sz w:val="24"/>
        </w:rPr>
        <w:t>mentów w celu finansowania działań w dziedzinie klimatu i inwestycji w ochronę środowiska, zarówno w UE, jak i poza jej granicami. W 2018 r. prawie 30 % operacji zatwierdzonych przez EBI przyczyniło się do działań na rzecz klimatu, wspierając inwestycje w </w:t>
      </w:r>
      <w:r>
        <w:rPr>
          <w:rFonts w:ascii="Times New Roman" w:hAnsi="Times New Roman"/>
          <w:noProof/>
          <w:sz w:val="24"/>
        </w:rPr>
        <w:t>łagodzenie zmiany klimatu i przystosowanie się do niej, a także niskoemisyjny i odporny na zmianę klimatu wzrost gospodarczy. EBI przyjmuje, że w 2019 r. wkład ten mieścił się w przedziale 28–31 %. Oczekuje się, że w ciągu dziesięciu lat, kiedy realizowany</w:t>
      </w:r>
      <w:r>
        <w:rPr>
          <w:rFonts w:ascii="Times New Roman" w:hAnsi="Times New Roman"/>
          <w:noProof/>
          <w:sz w:val="24"/>
        </w:rPr>
        <w:t xml:space="preserve"> będzie plan inwestycyjny na rzecz zrównoważonej Europy, EBI sfinansuje we własnym zakresie, niezależnie od upoważnień udzielonych mu przez UE, inwestycje w dziedzinie klimatu o wartości ok. 600 mld EUR we wszystkich państwach członkowskich. </w:t>
      </w:r>
    </w:p>
    <w:p w:rsidR="00680C29" w:rsidRDefault="0082696E">
      <w:pPr>
        <w:spacing w:after="240"/>
        <w:jc w:val="both"/>
        <w:rPr>
          <w:rFonts w:ascii="Times New Roman" w:hAnsi="Times New Roman"/>
          <w:b/>
          <w:noProof/>
          <w:sz w:val="28"/>
          <w:szCs w:val="24"/>
        </w:rPr>
      </w:pPr>
      <w:r>
        <w:rPr>
          <w:rFonts w:ascii="Times New Roman" w:hAnsi="Times New Roman"/>
          <w:b/>
          <w:noProof/>
          <w:sz w:val="24"/>
        </w:rPr>
        <w:t>Rola EBI w fi</w:t>
      </w:r>
      <w:r>
        <w:rPr>
          <w:rFonts w:ascii="Times New Roman" w:hAnsi="Times New Roman"/>
          <w:b/>
          <w:noProof/>
          <w:sz w:val="24"/>
        </w:rPr>
        <w:t>nansowaniu zrównoważonej transformacji wzrośnie, ponieważ staje się on bankiem klimatycznym UE</w:t>
      </w:r>
      <w:r>
        <w:rPr>
          <w:rFonts w:ascii="Times New Roman" w:hAnsi="Times New Roman"/>
          <w:noProof/>
          <w:sz w:val="24"/>
        </w:rPr>
        <w:t>. EBI będzie stopniowo zwiększać udział swojego finansowania przeznaczonego na działania w dziedzinie klimatu i zrównoważenie środowiskowe, aby do 2025 r. osiągną</w:t>
      </w:r>
      <w:r>
        <w:rPr>
          <w:rFonts w:ascii="Times New Roman" w:hAnsi="Times New Roman"/>
          <w:noProof/>
          <w:sz w:val="24"/>
        </w:rPr>
        <w:t>ć poziom 50 % i utrzymać go w kolejnych latach. Znaczna część tych działań zostanie przeprowadzona w ramach Programu InvestEU, który umożliwi EBI zaangażowanie w bardziej innowacyjne projekty o wyższej politycznej wartości dodanej poprzez pokrycie części r</w:t>
      </w:r>
      <w:r>
        <w:rPr>
          <w:rFonts w:ascii="Times New Roman" w:hAnsi="Times New Roman"/>
          <w:noProof/>
          <w:sz w:val="24"/>
        </w:rPr>
        <w:t>yzyka operacji finansowych i inwestycyjnych. Ponadto do końca 2020 r. grupa EBI dostosuje wszystkie swoje działania w zakresie finansowania do zasad i celów porozumienia paryskiego. Pierwszym krokiem w tym kierunku było przyjęcie 14 listopada 2019 r. nowej</w:t>
      </w:r>
      <w:r>
        <w:rPr>
          <w:rFonts w:ascii="Times New Roman" w:hAnsi="Times New Roman"/>
          <w:noProof/>
          <w:sz w:val="24"/>
        </w:rPr>
        <w:t xml:space="preserve"> polityki w zakresie udzielania pożyczek na inwestycje energetyczne, w której priorytetowo potraktowano udzielanie pożyczek na rzecz efektywności energetycznej, energii ze źródeł odnawialnych, nowych technologii ekologicznych oraz nowych rodzajów infrastru</w:t>
      </w:r>
      <w:r>
        <w:rPr>
          <w:rFonts w:ascii="Times New Roman" w:hAnsi="Times New Roman"/>
          <w:noProof/>
          <w:sz w:val="24"/>
        </w:rPr>
        <w:t>ktury energetycznej niezbędnej w przyszłym niskoemisyjnym systemie energetycznym. Zmieniona polityka w zakresie udzielania pożyczek na inwestycje energetyczne przewiduje również stopniowe wycofywanie wsparcia dla projektów energetycznych opierających się n</w:t>
      </w:r>
      <w:r>
        <w:rPr>
          <w:rFonts w:ascii="Times New Roman" w:hAnsi="Times New Roman"/>
          <w:noProof/>
          <w:sz w:val="24"/>
        </w:rPr>
        <w:t>a paliwach kopalnych po 2021 r., w tym w szczególności dla wszystkich projektów dotyczących infrastruktury gazu ziemnego.</w:t>
      </w:r>
    </w:p>
    <w:p w:rsidR="00680C29" w:rsidRDefault="0082696E">
      <w:pPr>
        <w:spacing w:after="240"/>
        <w:jc w:val="both"/>
        <w:rPr>
          <w:rFonts w:ascii="Times New Roman" w:hAnsi="Times New Roman"/>
          <w:b/>
          <w:noProof/>
          <w:sz w:val="28"/>
          <w:szCs w:val="24"/>
        </w:rPr>
      </w:pPr>
      <w:r>
        <w:rPr>
          <w:rFonts w:ascii="Times New Roman" w:hAnsi="Times New Roman"/>
          <w:b/>
          <w:noProof/>
          <w:sz w:val="24"/>
        </w:rPr>
        <w:t>Inne międzynarodowe i krajowe instytucje finansowe będą odgrywać coraz większą rolę w finansowaniu zrównoważonego rozwoju zgodnie z ce</w:t>
      </w:r>
      <w:r>
        <w:rPr>
          <w:rFonts w:ascii="Times New Roman" w:hAnsi="Times New Roman"/>
          <w:b/>
          <w:noProof/>
          <w:sz w:val="24"/>
        </w:rPr>
        <w:t xml:space="preserve">lami polityki UE. </w:t>
      </w:r>
      <w:r>
        <w:rPr>
          <w:rFonts w:ascii="Times New Roman" w:hAnsi="Times New Roman"/>
          <w:noProof/>
          <w:sz w:val="24"/>
        </w:rPr>
        <w:t>Komisja będzie zatem ściśle z nimi współpracować, analizując, w jaki sposób ich działania mogłyby zostać w większym stopniu dostosowane do celów Europejskiego Zielonego Ładu.</w:t>
      </w:r>
    </w:p>
    <w:tbl>
      <w:tblPr>
        <w:tblStyle w:val="TableGrid"/>
        <w:tblW w:w="0" w:type="auto"/>
        <w:tblLook w:val="04A0" w:firstRow="1" w:lastRow="0" w:firstColumn="1" w:lastColumn="0" w:noHBand="0" w:noVBand="1"/>
      </w:tblPr>
      <w:tblGrid>
        <w:gridCol w:w="9062"/>
      </w:tblGrid>
      <w:tr w:rsidR="00680C29">
        <w:tc>
          <w:tcPr>
            <w:tcW w:w="9062" w:type="dxa"/>
          </w:tcPr>
          <w:p w:rsidR="00680C29" w:rsidRDefault="0082696E">
            <w:pPr>
              <w:spacing w:after="240"/>
              <w:jc w:val="both"/>
              <w:rPr>
                <w:rFonts w:ascii="Times New Roman" w:hAnsi="Times New Roman"/>
                <w:b/>
                <w:noProof/>
                <w:sz w:val="28"/>
                <w:szCs w:val="24"/>
              </w:rPr>
            </w:pPr>
            <w:r>
              <w:rPr>
                <w:rFonts w:ascii="Times New Roman" w:hAnsi="Times New Roman"/>
                <w:b/>
                <w:noProof/>
                <w:sz w:val="24"/>
              </w:rPr>
              <w:t>Komisja:</w:t>
            </w:r>
          </w:p>
          <w:p w:rsidR="00680C29" w:rsidRDefault="0082696E">
            <w:pPr>
              <w:pStyle w:val="ListParagraph"/>
              <w:numPr>
                <w:ilvl w:val="0"/>
                <w:numId w:val="30"/>
              </w:numPr>
              <w:spacing w:after="240"/>
              <w:rPr>
                <w:rFonts w:ascii="Times New Roman" w:hAnsi="Times New Roman"/>
                <w:b/>
                <w:noProof/>
                <w:sz w:val="28"/>
                <w:szCs w:val="24"/>
              </w:rPr>
            </w:pPr>
            <w:r>
              <w:rPr>
                <w:rFonts w:ascii="Times New Roman" w:hAnsi="Times New Roman"/>
                <w:b/>
                <w:noProof/>
                <w:sz w:val="24"/>
              </w:rPr>
              <w:t>Zapewni, aby działania EBI finansowane w ramach upoważ</w:t>
            </w:r>
            <w:r>
              <w:rPr>
                <w:rFonts w:ascii="Times New Roman" w:hAnsi="Times New Roman"/>
                <w:b/>
                <w:noProof/>
                <w:sz w:val="24"/>
              </w:rPr>
              <w:t>nień UE zapewniały wysoką dodatkowość, zarówno w odniesieniu do sektorów objętych finansowaniem, jak i profilu ryzyka finansowanych projektów. Zostanie to osiągnięte w szczególności dzięki wzmocnieniu systemu sprawozdawczości i monitorowania, w tym w zakre</w:t>
            </w:r>
            <w:r>
              <w:rPr>
                <w:rFonts w:ascii="Times New Roman" w:hAnsi="Times New Roman"/>
                <w:b/>
                <w:noProof/>
                <w:sz w:val="24"/>
              </w:rPr>
              <w:t>sie metodologii monitorowania wydatków na cele związane z klimatem.</w:t>
            </w:r>
          </w:p>
          <w:p w:rsidR="00680C29" w:rsidRDefault="0082696E">
            <w:pPr>
              <w:pStyle w:val="ListParagraph"/>
              <w:numPr>
                <w:ilvl w:val="0"/>
                <w:numId w:val="30"/>
              </w:numPr>
              <w:spacing w:after="240"/>
              <w:rPr>
                <w:rFonts w:ascii="Times New Roman" w:hAnsi="Times New Roman"/>
                <w:b/>
                <w:noProof/>
                <w:sz w:val="28"/>
                <w:szCs w:val="24"/>
              </w:rPr>
            </w:pPr>
            <w:r>
              <w:rPr>
                <w:rFonts w:ascii="Times New Roman" w:hAnsi="Times New Roman"/>
                <w:b/>
                <w:noProof/>
                <w:sz w:val="24"/>
              </w:rPr>
              <w:t>Nawiąże współpracę z innymi międzynarodowymi i krajowymi instytucjami finansowymi w celu lepszego dostosowania ich działań do celów Europejskiego Zielonego Ładu.</w:t>
            </w:r>
          </w:p>
        </w:tc>
      </w:tr>
    </w:tbl>
    <w:p w:rsidR="00680C29" w:rsidRDefault="0082696E">
      <w:pPr>
        <w:pStyle w:val="Heading1"/>
        <w:spacing w:before="240" w:after="240"/>
        <w:rPr>
          <w:noProof/>
        </w:rPr>
      </w:pPr>
      <w:r>
        <w:rPr>
          <w:noProof/>
        </w:rPr>
        <w:t xml:space="preserve">Umożliwianie: stworzenie </w:t>
      </w:r>
      <w:r>
        <w:rPr>
          <w:noProof/>
        </w:rPr>
        <w:t>ram dla nowych inwestycji publicznych i prywatnych.</w:t>
      </w:r>
    </w:p>
    <w:p w:rsidR="00680C29" w:rsidRDefault="0082696E">
      <w:pPr>
        <w:spacing w:after="240"/>
        <w:jc w:val="both"/>
        <w:rPr>
          <w:rFonts w:ascii="Times New Roman" w:hAnsi="Times New Roman"/>
          <w:noProof/>
          <w:sz w:val="28"/>
          <w:szCs w:val="24"/>
        </w:rPr>
      </w:pPr>
      <w:r>
        <w:rPr>
          <w:rFonts w:ascii="Times New Roman" w:hAnsi="Times New Roman"/>
          <w:b/>
          <w:noProof/>
          <w:sz w:val="24"/>
        </w:rPr>
        <w:t>Europejski Zielony Ład wyznacza wyraźny kierunek dla kompleksowych ram polityki w zakresie transformacji gospodarki UE.</w:t>
      </w:r>
      <w:r>
        <w:rPr>
          <w:rFonts w:ascii="Times New Roman" w:hAnsi="Times New Roman"/>
          <w:noProof/>
          <w:sz w:val="24"/>
        </w:rPr>
        <w:t xml:space="preserve"> Cel neutralności klimatycznej w 2050 r. zostanie zapisany w prawodawstwie, a poziom </w:t>
      </w:r>
      <w:r>
        <w:rPr>
          <w:rFonts w:ascii="Times New Roman" w:hAnsi="Times New Roman"/>
          <w:noProof/>
          <w:sz w:val="24"/>
        </w:rPr>
        <w:t xml:space="preserve">redukcji emisji gazów cieplarnianych, który ma zostać osiągnięty w 2030 r., zostanie podniesiony. W ramach polityki Europejskiego Zielonego Ładu stosowane będzie połączenie regulacji i zachęt mających na celu uwzględnienie efektów zewnętrznych i wdrożenie </w:t>
      </w:r>
      <w:r>
        <w:rPr>
          <w:rFonts w:ascii="Times New Roman" w:hAnsi="Times New Roman"/>
          <w:noProof/>
          <w:sz w:val="24"/>
        </w:rPr>
        <w:t>zasady „zanieczyszczający płaci”, tak aby koszty ponoszone przez społeczeństwo znalazły odzwierciedlenie w decyzjach inwestycyjnych. Unijny system handlu uprawnieniami do emisji zostanie poddany przeglądowi i dodatkowo przyczyni się do zapewnienia skuteczn</w:t>
      </w:r>
      <w:r>
        <w:rPr>
          <w:rFonts w:ascii="Times New Roman" w:hAnsi="Times New Roman"/>
          <w:noProof/>
          <w:sz w:val="24"/>
        </w:rPr>
        <w:t>ego ustalania opłat za emisję gazów cieplarnianych. Poszczególne inicjatywy będą dotyczyć sektorowych barier regulacyjnych, takich jak przeszkody dla finansowania i realizacji inwestycji w efektywność energetyczną w sektorze budowlanym. Konkurencyjne i zin</w:t>
      </w:r>
      <w:r>
        <w:rPr>
          <w:rFonts w:ascii="Times New Roman" w:hAnsi="Times New Roman"/>
          <w:noProof/>
          <w:sz w:val="24"/>
        </w:rPr>
        <w:t>tegrowane rynki są również niezbędne do utrzymania kosztów na niskim poziomie i do pobudzenia innowacji. Podobnie Europejska Rada ds. Innowacji w ramach programu „Horyzont Europa” wniesie wkład w publiczno-prywatne inwestycje w przełomowe innowacje wspiera</w:t>
      </w:r>
      <w:r>
        <w:rPr>
          <w:rFonts w:ascii="Times New Roman" w:hAnsi="Times New Roman"/>
          <w:noProof/>
          <w:sz w:val="24"/>
        </w:rPr>
        <w:t xml:space="preserve">jące Europejski Zielony Ład. </w:t>
      </w:r>
    </w:p>
    <w:p w:rsidR="00680C29" w:rsidRDefault="0082696E">
      <w:pPr>
        <w:spacing w:after="240"/>
        <w:jc w:val="both"/>
        <w:rPr>
          <w:rFonts w:ascii="Times New Roman" w:hAnsi="Times New Roman"/>
          <w:b/>
          <w:noProof/>
          <w:sz w:val="28"/>
          <w:szCs w:val="24"/>
        </w:rPr>
      </w:pPr>
      <w:r>
        <w:rPr>
          <w:rFonts w:ascii="Times New Roman" w:hAnsi="Times New Roman"/>
          <w:b/>
          <w:noProof/>
          <w:sz w:val="24"/>
        </w:rPr>
        <w:t>W tym szerszym kontekście plan inwestycyjny na rzecz zrównoważonej Europy umożliwi transformację przez ukierunkowane działania w obszarach, które bezpośrednio dotyczą decyzji inwestycyjnych prywatnych inwestorów i podmiotów pu</w:t>
      </w:r>
      <w:r>
        <w:rPr>
          <w:rFonts w:ascii="Times New Roman" w:hAnsi="Times New Roman"/>
          <w:b/>
          <w:noProof/>
          <w:sz w:val="24"/>
        </w:rPr>
        <w:t xml:space="preserve">blicznych. </w:t>
      </w:r>
    </w:p>
    <w:p w:rsidR="00680C29" w:rsidRDefault="0082696E">
      <w:pPr>
        <w:pStyle w:val="Heading2"/>
        <w:spacing w:after="240"/>
        <w:rPr>
          <w:noProof/>
        </w:rPr>
      </w:pPr>
      <w:r>
        <w:rPr>
          <w:noProof/>
        </w:rPr>
        <w:t>Nadanie zrównoważonemu finansowaniu podstawowego znaczenia w systemie finansowym</w:t>
      </w:r>
    </w:p>
    <w:p w:rsidR="00680C29" w:rsidRDefault="0082696E">
      <w:pPr>
        <w:spacing w:after="240"/>
        <w:jc w:val="both"/>
        <w:rPr>
          <w:rFonts w:ascii="Times New Roman" w:hAnsi="Times New Roman"/>
          <w:noProof/>
          <w:sz w:val="24"/>
          <w:szCs w:val="24"/>
        </w:rPr>
      </w:pPr>
      <w:r>
        <w:rPr>
          <w:rFonts w:ascii="Times New Roman" w:hAnsi="Times New Roman"/>
          <w:noProof/>
          <w:sz w:val="24"/>
          <w:szCs w:val="24"/>
        </w:rPr>
        <w:t>Ponieważ prywatne przedsiębiorstwa i gospodarstwa domowe będą musiały zrealizować większość zrównoważonych inwestycji w następnym dziesięcioleciu, zasadnicze znacz</w:t>
      </w:r>
      <w:r>
        <w:rPr>
          <w:rFonts w:ascii="Times New Roman" w:hAnsi="Times New Roman"/>
          <w:noProof/>
          <w:sz w:val="24"/>
          <w:szCs w:val="24"/>
        </w:rPr>
        <w:t xml:space="preserve">enie ma stworzenie wyraźnych, długoterminowych sygnałów, które skierują inwestorów ku zrównoważonym inwestycjom. </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 xml:space="preserve">W celu uwzględnienia znacznej liczby inwestycji niezbędnych do osiągnięcia celów UE w dziedzinie klimatu i – ogólnie – zrównoważonego rozwoju </w:t>
      </w:r>
      <w:r>
        <w:rPr>
          <w:rFonts w:ascii="Times New Roman" w:hAnsi="Times New Roman"/>
          <w:b/>
          <w:noProof/>
          <w:sz w:val="24"/>
          <w:szCs w:val="24"/>
        </w:rPr>
        <w:t>Komisja zaproponowała w marcu 2018 r. Plan działania w zakresie finansowania zrównoważonego wzrostu gospodarczego</w:t>
      </w:r>
      <w:r>
        <w:rPr>
          <w:rStyle w:val="FootnoteReference"/>
          <w:rFonts w:ascii="Times New Roman" w:hAnsi="Times New Roman"/>
          <w:noProof/>
          <w:sz w:val="24"/>
          <w:szCs w:val="24"/>
        </w:rPr>
        <w:footnoteReference w:id="9"/>
      </w:r>
      <w:r>
        <w:rPr>
          <w:noProof/>
          <w:sz w:val="24"/>
          <w:szCs w:val="24"/>
        </w:rPr>
        <w:t>.</w:t>
      </w:r>
      <w:r>
        <w:rPr>
          <w:rFonts w:ascii="Times New Roman" w:hAnsi="Times New Roman"/>
          <w:noProof/>
          <w:sz w:val="24"/>
          <w:szCs w:val="24"/>
        </w:rPr>
        <w:t xml:space="preserve"> W</w:t>
      </w:r>
      <w:r>
        <w:rPr>
          <w:noProof/>
          <w:sz w:val="24"/>
          <w:szCs w:val="24"/>
        </w:rPr>
        <w:t> </w:t>
      </w:r>
      <w:r>
        <w:rPr>
          <w:rFonts w:ascii="Times New Roman" w:hAnsi="Times New Roman"/>
          <w:noProof/>
          <w:sz w:val="24"/>
          <w:szCs w:val="24"/>
        </w:rPr>
        <w:t xml:space="preserve">oparciu o ten plan działania, przyczyniający się do stworzenia unii rynków kapitałowych, ustanowiono istotne podstawy regulacji </w:t>
      </w:r>
      <w:r>
        <w:rPr>
          <w:rFonts w:ascii="Times New Roman" w:hAnsi="Times New Roman"/>
          <w:noProof/>
          <w:sz w:val="24"/>
          <w:szCs w:val="24"/>
        </w:rPr>
        <w:t>sprzyjających pozyskiwaniu środków finansowych na zrównoważone inwestycje. Dotyczy to zwłaszcza systematyki UE, ujawniania informacji na temat stabilności sektora finansowego, a także klimatycznych wskaźników referencyjnych. Dzięki współpracy międzynarodow</w:t>
      </w:r>
      <w:r>
        <w:rPr>
          <w:rFonts w:ascii="Times New Roman" w:hAnsi="Times New Roman"/>
          <w:noProof/>
          <w:sz w:val="24"/>
          <w:szCs w:val="24"/>
        </w:rPr>
        <w:t>ej, np. za pośrednictwem międzynarodowej platformy ds. zrównoważonego finansowania, UE promuje spójne podejścia i zwiększony wpływ zrównoważonego finansowania na całym świecie.</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 xml:space="preserve">Komisja z zadowoleniem przyjmuje w szczególności niedawne porozumienie </w:t>
      </w:r>
      <w:r>
        <w:rPr>
          <w:rFonts w:ascii="Times New Roman" w:hAnsi="Times New Roman"/>
          <w:b/>
          <w:noProof/>
          <w:sz w:val="24"/>
          <w:szCs w:val="24"/>
        </w:rPr>
        <w:t>polityczne współprawodawców dotyczące rozporządzenia w sprawie ustanowienia ram ułatwiających zrównoważone inwestycje (systematyka UE), które zostanie doprecyzowane w drodze aktów delegowanych przyjętych przez Komisję</w:t>
      </w:r>
      <w:r>
        <w:rPr>
          <w:rFonts w:ascii="Times New Roman" w:hAnsi="Times New Roman"/>
          <w:noProof/>
          <w:sz w:val="24"/>
          <w:szCs w:val="24"/>
        </w:rPr>
        <w:t>. Systematyka UE określi, czy dana dzia</w:t>
      </w:r>
      <w:r>
        <w:rPr>
          <w:rFonts w:ascii="Times New Roman" w:hAnsi="Times New Roman"/>
          <w:noProof/>
          <w:sz w:val="24"/>
          <w:szCs w:val="24"/>
        </w:rPr>
        <w:t xml:space="preserve">łalność gospodarcza jest zrównoważona środowiskowo, w oparciu o kryteria efektywności dotyczące jej wkładu w osiągnięcie co najmniej jednego z sześciu celów środowiskowych. </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 xml:space="preserve">Komisja zbada również, w jaki sposób systematyka UE może być wykorzystywana przez </w:t>
      </w:r>
      <w:r>
        <w:rPr>
          <w:rFonts w:ascii="Times New Roman" w:hAnsi="Times New Roman"/>
          <w:b/>
          <w:noProof/>
          <w:sz w:val="24"/>
          <w:szCs w:val="24"/>
        </w:rPr>
        <w:t>sektor publiczny w kontekście Europejskiego Zielonego Ładu, niezależnie od programu InvestEU</w:t>
      </w:r>
      <w:r>
        <w:rPr>
          <w:rFonts w:ascii="Times New Roman" w:hAnsi="Times New Roman"/>
          <w:noProof/>
          <w:sz w:val="24"/>
          <w:szCs w:val="24"/>
        </w:rPr>
        <w:t>. Systematykę opracowano pierwotnie dla inwestorów prywatnych, jednak gdy będzie wystarczająco rozwinięta, mogłaby być również stosowana przez podmioty sektora publ</w:t>
      </w:r>
      <w:r>
        <w:rPr>
          <w:rFonts w:ascii="Times New Roman" w:hAnsi="Times New Roman"/>
          <w:noProof/>
          <w:sz w:val="24"/>
          <w:szCs w:val="24"/>
        </w:rPr>
        <w:t xml:space="preserve">icznego. Istotne jest, by sektor prywatny i banki/podmioty publiczne, na przykład Europejski Bank Inwestycyjny, stosowały zbieżne normy. </w:t>
      </w:r>
    </w:p>
    <w:p w:rsidR="00680C29" w:rsidRDefault="0082696E">
      <w:pPr>
        <w:spacing w:after="240"/>
        <w:jc w:val="both"/>
        <w:rPr>
          <w:rFonts w:ascii="Times New Roman" w:hAnsi="Times New Roman"/>
          <w:b/>
          <w:noProof/>
          <w:sz w:val="24"/>
          <w:szCs w:val="24"/>
        </w:rPr>
      </w:pPr>
      <w:r>
        <w:rPr>
          <w:rFonts w:ascii="Times New Roman" w:hAnsi="Times New Roman"/>
          <w:b/>
          <w:noProof/>
          <w:sz w:val="24"/>
          <w:szCs w:val="24"/>
        </w:rPr>
        <w:t>W oparciu o plan działania z 2018 r. i w kontekście Europejskiego Zielonego Ładu Komisja przedstawi odnowioną strategi</w:t>
      </w:r>
      <w:r>
        <w:rPr>
          <w:rFonts w:ascii="Times New Roman" w:hAnsi="Times New Roman"/>
          <w:b/>
          <w:noProof/>
          <w:sz w:val="24"/>
          <w:szCs w:val="24"/>
        </w:rPr>
        <w:t>ę na rzecz zrównoważonego finansowania w trzecim kwartale 2020 r., aby dodatkowo zwiększyć zrównoważone finansowanie</w:t>
      </w:r>
      <w:r>
        <w:rPr>
          <w:rFonts w:ascii="Times New Roman" w:hAnsi="Times New Roman"/>
          <w:noProof/>
          <w:sz w:val="24"/>
          <w:szCs w:val="24"/>
        </w:rPr>
        <w:t>. Przedsiębiorstwa będą musiały w większym stopniu ujawniać dane dotyczące klimatu i środowiska, tak aby inwestorzy byli w pełni poinformowa</w:t>
      </w:r>
      <w:r>
        <w:rPr>
          <w:rFonts w:ascii="Times New Roman" w:hAnsi="Times New Roman"/>
          <w:noProof/>
          <w:sz w:val="24"/>
          <w:szCs w:val="24"/>
        </w:rPr>
        <w:t>ni o możliwościach inwestowania w zrównoważony sposób i mogli lepiej ukierunkować swoje inwestycje na wspieranie Zielonego Ładu. W tym celu Komisja dokona przeglądu dyrektywy w sprawie sprawozdawczości niefinansowej. Ponadto odnowiona strategia przyczyni s</w:t>
      </w:r>
      <w:r>
        <w:rPr>
          <w:rFonts w:ascii="Times New Roman" w:hAnsi="Times New Roman"/>
          <w:noProof/>
          <w:sz w:val="24"/>
          <w:szCs w:val="24"/>
        </w:rPr>
        <w:t>ię do dalszego zwiększenia możliwości inwestycyjnych poprzez ułatwienie identyfikacji zrównoważonych inwestycji za pomocą przejrzystego oznakowania różnych zrównoważonych produktów inwestycyjnych oraz poprzez opracowanie i wdrożenie unijnej normy dotyczące</w:t>
      </w:r>
      <w:r>
        <w:rPr>
          <w:rFonts w:ascii="Times New Roman" w:hAnsi="Times New Roman"/>
          <w:noProof/>
          <w:sz w:val="24"/>
          <w:szCs w:val="24"/>
        </w:rPr>
        <w:t>j obligacji ekologicznych.</w:t>
      </w:r>
      <w:r>
        <w:rPr>
          <w:rFonts w:ascii="Times New Roman" w:hAnsi="Times New Roman"/>
          <w:b/>
          <w:noProof/>
          <w:sz w:val="24"/>
          <w:szCs w:val="24"/>
        </w:rPr>
        <w:t xml:space="preserve"> </w:t>
      </w:r>
    </w:p>
    <w:tbl>
      <w:tblPr>
        <w:tblStyle w:val="TableGrid"/>
        <w:tblW w:w="0" w:type="auto"/>
        <w:tblLook w:val="04A0" w:firstRow="1" w:lastRow="0" w:firstColumn="1" w:lastColumn="0" w:noHBand="0" w:noVBand="1"/>
      </w:tblPr>
      <w:tblGrid>
        <w:gridCol w:w="9062"/>
      </w:tblGrid>
      <w:tr w:rsidR="00680C29">
        <w:tc>
          <w:tcPr>
            <w:tcW w:w="9062" w:type="dxa"/>
          </w:tcPr>
          <w:p w:rsidR="00680C29" w:rsidRDefault="0082696E">
            <w:pPr>
              <w:spacing w:after="240"/>
              <w:jc w:val="both"/>
              <w:rPr>
                <w:rFonts w:ascii="Times New Roman" w:hAnsi="Times New Roman"/>
                <w:b/>
                <w:noProof/>
                <w:sz w:val="24"/>
                <w:szCs w:val="24"/>
              </w:rPr>
            </w:pPr>
            <w:r>
              <w:rPr>
                <w:rFonts w:ascii="Times New Roman" w:hAnsi="Times New Roman"/>
                <w:b/>
                <w:noProof/>
                <w:sz w:val="24"/>
                <w:szCs w:val="24"/>
              </w:rPr>
              <w:t xml:space="preserve">Komisja: </w:t>
            </w:r>
          </w:p>
          <w:p w:rsidR="00680C29" w:rsidRDefault="0082696E">
            <w:pPr>
              <w:numPr>
                <w:ilvl w:val="0"/>
                <w:numId w:val="30"/>
              </w:numPr>
              <w:spacing w:after="240"/>
              <w:rPr>
                <w:rFonts w:ascii="Times New Roman" w:hAnsi="Times New Roman"/>
                <w:b/>
                <w:noProof/>
                <w:sz w:val="24"/>
                <w:szCs w:val="24"/>
              </w:rPr>
            </w:pPr>
            <w:r>
              <w:rPr>
                <w:rFonts w:ascii="Times New Roman" w:hAnsi="Times New Roman"/>
                <w:b/>
                <w:noProof/>
                <w:sz w:val="24"/>
                <w:szCs w:val="24"/>
              </w:rPr>
              <w:t>Przygotuje w 2020 r. akty delegowane dotyczące celów systematyki UE w zakresie zmiany klimatu w 2020 r. oraz akty delegowane dotyczące innych celów środowiskowych systematyki UE do końca 2021 r.</w:t>
            </w:r>
          </w:p>
          <w:p w:rsidR="00680C29" w:rsidRDefault="0082696E">
            <w:pPr>
              <w:numPr>
                <w:ilvl w:val="0"/>
                <w:numId w:val="30"/>
              </w:numPr>
              <w:spacing w:after="240"/>
              <w:rPr>
                <w:rFonts w:ascii="Times New Roman" w:hAnsi="Times New Roman"/>
                <w:b/>
                <w:noProof/>
                <w:sz w:val="24"/>
                <w:szCs w:val="24"/>
              </w:rPr>
            </w:pPr>
            <w:r>
              <w:rPr>
                <w:rFonts w:ascii="Times New Roman" w:hAnsi="Times New Roman"/>
                <w:b/>
                <w:noProof/>
                <w:sz w:val="24"/>
                <w:szCs w:val="24"/>
              </w:rPr>
              <w:t>Zbada, w jaki sposób sy</w:t>
            </w:r>
            <w:r>
              <w:rPr>
                <w:rFonts w:ascii="Times New Roman" w:hAnsi="Times New Roman"/>
                <w:b/>
                <w:noProof/>
                <w:sz w:val="24"/>
                <w:szCs w:val="24"/>
              </w:rPr>
              <w:t>stematyka UE może być wykorzystywana przez sektor publiczny w kontekście Europejskiego Zielonego Ładu, niezależnie od programu InvestEU.</w:t>
            </w:r>
          </w:p>
          <w:p w:rsidR="00680C29" w:rsidRDefault="0082696E">
            <w:pPr>
              <w:numPr>
                <w:ilvl w:val="0"/>
                <w:numId w:val="30"/>
              </w:numPr>
              <w:spacing w:after="240"/>
              <w:rPr>
                <w:rFonts w:ascii="Times New Roman" w:hAnsi="Times New Roman"/>
                <w:b/>
                <w:noProof/>
                <w:sz w:val="24"/>
                <w:szCs w:val="24"/>
              </w:rPr>
            </w:pPr>
            <w:r>
              <w:rPr>
                <w:rFonts w:ascii="Times New Roman" w:hAnsi="Times New Roman"/>
                <w:b/>
                <w:noProof/>
                <w:sz w:val="24"/>
                <w:szCs w:val="24"/>
              </w:rPr>
              <w:t>Rozpocznie konsultacje społeczne w sprawie odnowionej strategii zrównoważonego finansowania w pierwszym kwartale 2020 r</w:t>
            </w:r>
            <w:r>
              <w:rPr>
                <w:rFonts w:ascii="Times New Roman" w:hAnsi="Times New Roman"/>
                <w:b/>
                <w:noProof/>
                <w:sz w:val="24"/>
                <w:szCs w:val="24"/>
              </w:rPr>
              <w:t xml:space="preserve">. z myślą o przedstawieniu odnowionej strategii w trzecim kwartale 2020 r. </w:t>
            </w:r>
          </w:p>
          <w:p w:rsidR="00680C29" w:rsidRDefault="0082696E">
            <w:pPr>
              <w:numPr>
                <w:ilvl w:val="0"/>
                <w:numId w:val="30"/>
              </w:numPr>
              <w:spacing w:after="240"/>
              <w:rPr>
                <w:rFonts w:ascii="Times New Roman" w:hAnsi="Times New Roman"/>
                <w:b/>
                <w:noProof/>
                <w:sz w:val="24"/>
                <w:szCs w:val="24"/>
              </w:rPr>
            </w:pPr>
            <w:r>
              <w:rPr>
                <w:rFonts w:ascii="Times New Roman" w:hAnsi="Times New Roman"/>
                <w:b/>
                <w:noProof/>
                <w:sz w:val="24"/>
                <w:szCs w:val="24"/>
              </w:rPr>
              <w:t>Ustanowi w 2020 r. unijną normę dotyczącą obligacji ekologicznych oraz zbada, w jaki sposób ta norma, a także inne sprzyjające ramy regulacyjne, mogą zwiększyć publiczne i prywatne</w:t>
            </w:r>
            <w:r>
              <w:rPr>
                <w:rFonts w:ascii="Times New Roman" w:hAnsi="Times New Roman"/>
                <w:b/>
                <w:noProof/>
                <w:sz w:val="24"/>
                <w:szCs w:val="24"/>
              </w:rPr>
              <w:t xml:space="preserve"> finansowanie zrównoważonych inwestycji.</w:t>
            </w:r>
          </w:p>
        </w:tc>
      </w:tr>
    </w:tbl>
    <w:p w:rsidR="00680C29" w:rsidRDefault="00680C29">
      <w:pPr>
        <w:spacing w:after="240"/>
        <w:jc w:val="both"/>
        <w:rPr>
          <w:rFonts w:ascii="Times New Roman" w:hAnsi="Times New Roman"/>
          <w:noProof/>
          <w:sz w:val="24"/>
          <w:szCs w:val="24"/>
        </w:rPr>
      </w:pPr>
    </w:p>
    <w:p w:rsidR="00680C29" w:rsidRDefault="0082696E">
      <w:pPr>
        <w:pStyle w:val="Heading2"/>
        <w:spacing w:after="240"/>
        <w:rPr>
          <w:noProof/>
        </w:rPr>
      </w:pPr>
      <w:r>
        <w:rPr>
          <w:noProof/>
        </w:rPr>
        <w:t xml:space="preserve">Zapewnienie sektorowi publicznemu wytycznych i odpowiednich środków umożliwiających realizację zrównoważonych inwestycji </w:t>
      </w:r>
    </w:p>
    <w:p w:rsidR="00680C29" w:rsidRDefault="0082696E">
      <w:pPr>
        <w:spacing w:after="240"/>
        <w:jc w:val="both"/>
        <w:rPr>
          <w:rFonts w:ascii="Times New Roman" w:hAnsi="Times New Roman"/>
          <w:b/>
          <w:noProof/>
          <w:sz w:val="28"/>
          <w:szCs w:val="24"/>
        </w:rPr>
      </w:pPr>
      <w:r>
        <w:rPr>
          <w:rFonts w:ascii="Times New Roman" w:hAnsi="Times New Roman"/>
          <w:b/>
          <w:noProof/>
          <w:sz w:val="24"/>
        </w:rPr>
        <w:t>Podmioty publiczne są głównymi inwestorami w niektórych sektorach, zwłaszcza w obszarze inf</w:t>
      </w:r>
      <w:r>
        <w:rPr>
          <w:rFonts w:ascii="Times New Roman" w:hAnsi="Times New Roman"/>
          <w:b/>
          <w:noProof/>
          <w:sz w:val="24"/>
        </w:rPr>
        <w:t>rastruktury i usług publicznych.</w:t>
      </w:r>
      <w:r>
        <w:rPr>
          <w:rFonts w:ascii="Times New Roman" w:hAnsi="Times New Roman"/>
          <w:noProof/>
          <w:sz w:val="24"/>
        </w:rPr>
        <w:t xml:space="preserve"> W</w:t>
      </w:r>
      <w:r>
        <w:rPr>
          <w:rFonts w:ascii="Times New Roman" w:hAnsi="Times New Roman"/>
          <w:b/>
          <w:noProof/>
          <w:sz w:val="24"/>
        </w:rPr>
        <w:t> </w:t>
      </w:r>
      <w:r>
        <w:rPr>
          <w:rFonts w:ascii="Times New Roman" w:hAnsi="Times New Roman"/>
          <w:noProof/>
          <w:sz w:val="24"/>
        </w:rPr>
        <w:t>przypadku zrównoważonych inwestycji organy publiczne muszą często odgrywać rolę przewodnika i koordynatora. Organy publiczne mogą być również zmuszone do inwestowania w przypadku, gdy podmioty rynkowe nie mogą interweniow</w:t>
      </w:r>
      <w:r>
        <w:rPr>
          <w:rFonts w:ascii="Times New Roman" w:hAnsi="Times New Roman"/>
          <w:noProof/>
          <w:sz w:val="24"/>
        </w:rPr>
        <w:t>ać, zwłaszcza jeżeli korzyści społeczne i środowiskowe nie znajdują odzwierciedlenia w zwrotach z inwestycji lub gdy projekty uznawane są za zbyt ryzykowne. W przypadku gdy inwestycje te często mają charakter transgraniczny i wywołują skutki uboczne na ryn</w:t>
      </w:r>
      <w:r>
        <w:rPr>
          <w:rFonts w:ascii="Times New Roman" w:hAnsi="Times New Roman"/>
          <w:noProof/>
          <w:sz w:val="24"/>
        </w:rPr>
        <w:t>kach innych państw członkowskich, Komisja musi odgrywać rolę koordynującą na szczeblu UE.</w:t>
      </w:r>
    </w:p>
    <w:p w:rsidR="00680C29" w:rsidRDefault="0082696E">
      <w:pPr>
        <w:spacing w:after="240"/>
        <w:jc w:val="both"/>
        <w:rPr>
          <w:rFonts w:ascii="Times New Roman" w:hAnsi="Times New Roman"/>
          <w:b/>
          <w:noProof/>
          <w:sz w:val="28"/>
          <w:szCs w:val="24"/>
        </w:rPr>
      </w:pPr>
      <w:r>
        <w:rPr>
          <w:rFonts w:ascii="Times New Roman" w:hAnsi="Times New Roman"/>
          <w:b/>
          <w:noProof/>
          <w:sz w:val="24"/>
        </w:rPr>
        <w:t>Europejski semestr zapewnia ugruntowane ramy koordynacji polityki gospodarczej i polityki zatrudnienia, które ułatwią inwestycje niezbędne do zielonej transformacji r</w:t>
      </w:r>
      <w:r>
        <w:rPr>
          <w:rFonts w:ascii="Times New Roman" w:hAnsi="Times New Roman"/>
          <w:b/>
          <w:noProof/>
          <w:sz w:val="24"/>
        </w:rPr>
        <w:t xml:space="preserve">ealizowane przez UE i jej państwa członkowskie. </w:t>
      </w:r>
      <w:r>
        <w:rPr>
          <w:rFonts w:ascii="Times New Roman" w:hAnsi="Times New Roman"/>
          <w:noProof/>
          <w:sz w:val="24"/>
        </w:rPr>
        <w:t>Europejski semestr przyczynia się do wskazania priorytetów inwestycyjnych i przeszkód dla inwestycji w każdym państwie członkowskim. Sprawozdania krajowe będą łączyć dostępne źródła finansowania z funduszy UE</w:t>
      </w:r>
      <w:r>
        <w:rPr>
          <w:rFonts w:ascii="Times New Roman" w:hAnsi="Times New Roman"/>
          <w:noProof/>
          <w:sz w:val="24"/>
        </w:rPr>
        <w:t xml:space="preserve"> ze specyficznymi dla poszczególnych państw wyzwaniami wskazanymi w sprawozdaniach, między innymi w kontekście celów w dziedzinie klimatu, środowiska i polityki społecznej. Wspólne wysiłki UE i jej państw członkowskich powinny zapewnić ukierunkowanie inwes</w:t>
      </w:r>
      <w:r>
        <w:rPr>
          <w:rFonts w:ascii="Times New Roman" w:hAnsi="Times New Roman"/>
          <w:noProof/>
          <w:sz w:val="24"/>
        </w:rPr>
        <w:t xml:space="preserve">tycji na najbardziej zrównoważone projekty. </w:t>
      </w:r>
    </w:p>
    <w:p w:rsidR="00680C29" w:rsidRDefault="0082696E">
      <w:pPr>
        <w:spacing w:after="240"/>
        <w:jc w:val="both"/>
        <w:rPr>
          <w:rFonts w:ascii="Times New Roman" w:hAnsi="Times New Roman"/>
          <w:noProof/>
          <w:sz w:val="28"/>
          <w:szCs w:val="24"/>
        </w:rPr>
      </w:pPr>
      <w:r>
        <w:rPr>
          <w:rFonts w:ascii="Times New Roman" w:hAnsi="Times New Roman"/>
          <w:b/>
          <w:noProof/>
          <w:sz w:val="24"/>
        </w:rPr>
        <w:t>Komisja będzie współpracować z państwami członkowskimi w celu monitorowania i modelowania praktyk w zakresie ekologicznego planowania budżetu</w:t>
      </w:r>
      <w:r>
        <w:rPr>
          <w:rFonts w:ascii="Times New Roman" w:hAnsi="Times New Roman"/>
          <w:noProof/>
          <w:sz w:val="24"/>
        </w:rPr>
        <w:t>. Dzięki temu łatwiej będzie ocenić, w jakim stopniu roczne budżety i </w:t>
      </w:r>
      <w:r>
        <w:rPr>
          <w:rFonts w:ascii="Times New Roman" w:hAnsi="Times New Roman"/>
          <w:noProof/>
          <w:sz w:val="24"/>
        </w:rPr>
        <w:t>średniookresowe plany budżetowe uwzględniają aspekty i ryzyka środowiskowe. Prościej też będzie korzystać z najlepszych praktyk. Przegląd europejskich ram zarządzania gospodarczego będzie obejmował odniesienie do zrównoważonych inwestycji publicznych w kon</w:t>
      </w:r>
      <w:r>
        <w:rPr>
          <w:rFonts w:ascii="Times New Roman" w:hAnsi="Times New Roman"/>
          <w:noProof/>
          <w:sz w:val="24"/>
        </w:rPr>
        <w:t xml:space="preserve">tekście jakości finansów publicznych. Zostanie to później wykorzystane w debacie dotyczącej sposobów poprawy zarządzania budżetowego w UE. Wyniki tej debaty będą podstawą wszelkich ewentualnych przyszłych działań, w tym decyzji, jak traktować zrównoważone </w:t>
      </w:r>
      <w:r>
        <w:rPr>
          <w:rFonts w:ascii="Times New Roman" w:hAnsi="Times New Roman"/>
          <w:noProof/>
          <w:sz w:val="24"/>
        </w:rPr>
        <w:t xml:space="preserve">inwestycje w unijnych regułach fiskalnych przy zachowaniu zabezpieczeń przed ryzykiem utraty zdolności obsługi zadłużenia. </w:t>
      </w:r>
    </w:p>
    <w:p w:rsidR="00680C29" w:rsidRDefault="0082696E">
      <w:pPr>
        <w:spacing w:after="240"/>
        <w:jc w:val="both"/>
        <w:rPr>
          <w:rFonts w:ascii="Times New Roman" w:hAnsi="Times New Roman"/>
          <w:noProof/>
          <w:sz w:val="28"/>
          <w:szCs w:val="24"/>
        </w:rPr>
      </w:pPr>
      <w:r>
        <w:rPr>
          <w:rFonts w:ascii="Times New Roman" w:hAnsi="Times New Roman"/>
          <w:b/>
          <w:noProof/>
          <w:sz w:val="24"/>
        </w:rPr>
        <w:t>Komisja zaproponuje minimalne obowiązkowe kryteria lub cele ekologiczne w zamówieniach publicznych w ramach inicjatyw sektorowych, f</w:t>
      </w:r>
      <w:r>
        <w:rPr>
          <w:rFonts w:ascii="Times New Roman" w:hAnsi="Times New Roman"/>
          <w:b/>
          <w:noProof/>
          <w:sz w:val="24"/>
        </w:rPr>
        <w:t xml:space="preserve">unduszy unijnych lub przepisów odnoszących się do poszczególnych produktów. </w:t>
      </w:r>
      <w:r>
        <w:rPr>
          <w:rFonts w:ascii="Times New Roman" w:hAnsi="Times New Roman"/>
          <w:noProof/>
          <w:sz w:val="24"/>
        </w:rPr>
        <w:t>Takie minimalne kryteria stanowiłyby faktycznie wspólną definicję „zielonych zakupów”, umożliwiając gromadzenie porównywalnych danych od nabywców publicznych, oraz określając podstawę oceny wpływu ekologicznych zamówień publicznych. Organy publiczne w całe</w:t>
      </w:r>
      <w:r>
        <w:rPr>
          <w:rFonts w:ascii="Times New Roman" w:hAnsi="Times New Roman"/>
          <w:noProof/>
          <w:sz w:val="24"/>
        </w:rPr>
        <w:t>j Europie będą zachęcane do uwzględniania kryteriów ekologicznych i stosowania oznakowania w swoich zamówieniach publicznych. Komisja będzie wspierać te starania swoimi wytycznymi, działaniami szkoleniowymi i rozpowszechnianiem dobrych praktyk. Jednocześni</w:t>
      </w:r>
      <w:r>
        <w:rPr>
          <w:rFonts w:ascii="Times New Roman" w:hAnsi="Times New Roman"/>
          <w:noProof/>
          <w:sz w:val="24"/>
        </w:rPr>
        <w:t xml:space="preserve">e w miarę możliwości nabywcy publiczni powinni stosować metody obliczania rachunków kosztów cyklu życia. Komisja wzywa wszystkie zainteresowane podmioty, w tym przemysł, do opracowania takich wiarygodnych metodologii. </w:t>
      </w:r>
    </w:p>
    <w:p w:rsidR="00680C29" w:rsidRDefault="0082696E">
      <w:pPr>
        <w:spacing w:after="240"/>
        <w:jc w:val="both"/>
        <w:rPr>
          <w:rFonts w:ascii="Times New Roman" w:hAnsi="Times New Roman"/>
          <w:noProof/>
          <w:sz w:val="28"/>
          <w:szCs w:val="24"/>
        </w:rPr>
      </w:pPr>
      <w:r>
        <w:rPr>
          <w:rFonts w:ascii="Times New Roman" w:hAnsi="Times New Roman"/>
          <w:b/>
          <w:noProof/>
          <w:sz w:val="24"/>
        </w:rPr>
        <w:t>Zasada „efektywność energetyczna prze</w:t>
      </w:r>
      <w:r>
        <w:rPr>
          <w:rFonts w:ascii="Times New Roman" w:hAnsi="Times New Roman"/>
          <w:b/>
          <w:noProof/>
          <w:sz w:val="24"/>
        </w:rPr>
        <w:t xml:space="preserve">de wszystkim” powinna być stosowana w celu zapewnienia, że w razie potrzeby uwzględnia się efektywność energetyczną. </w:t>
      </w:r>
      <w:r>
        <w:rPr>
          <w:rFonts w:ascii="Times New Roman" w:hAnsi="Times New Roman"/>
          <w:noProof/>
          <w:sz w:val="24"/>
        </w:rPr>
        <w:t>Pomogłoby to również uniknąć marnotrawienia zasobów związanych z wytwarzaniem, przesyłem, dystrybucją i wykorzystywaniem energii, która w r</w:t>
      </w:r>
      <w:r>
        <w:rPr>
          <w:rFonts w:ascii="Times New Roman" w:hAnsi="Times New Roman"/>
          <w:noProof/>
          <w:sz w:val="24"/>
        </w:rPr>
        <w:t>zeczywistości nie jest potrzebna. Komisja przedstawi wytyczne dotyczące stosowania tej zasady.</w:t>
      </w:r>
    </w:p>
    <w:tbl>
      <w:tblPr>
        <w:tblStyle w:val="TableGrid"/>
        <w:tblW w:w="0" w:type="auto"/>
        <w:tblLook w:val="04A0" w:firstRow="1" w:lastRow="0" w:firstColumn="1" w:lastColumn="0" w:noHBand="0" w:noVBand="1"/>
      </w:tblPr>
      <w:tblGrid>
        <w:gridCol w:w="9062"/>
      </w:tblGrid>
      <w:tr w:rsidR="00680C29">
        <w:tc>
          <w:tcPr>
            <w:tcW w:w="9062" w:type="dxa"/>
          </w:tcPr>
          <w:p w:rsidR="00680C29" w:rsidRDefault="0082696E">
            <w:pPr>
              <w:spacing w:after="240"/>
              <w:jc w:val="both"/>
              <w:rPr>
                <w:rFonts w:ascii="Times New Roman" w:hAnsi="Times New Roman"/>
                <w:b/>
                <w:noProof/>
                <w:sz w:val="28"/>
                <w:szCs w:val="24"/>
              </w:rPr>
            </w:pPr>
            <w:r>
              <w:rPr>
                <w:rFonts w:ascii="Times New Roman" w:hAnsi="Times New Roman"/>
                <w:b/>
                <w:noProof/>
                <w:sz w:val="24"/>
              </w:rPr>
              <w:t>Komisja:</w:t>
            </w:r>
          </w:p>
          <w:p w:rsidR="00680C29" w:rsidRDefault="0082696E">
            <w:pPr>
              <w:pStyle w:val="ListParagraph"/>
              <w:numPr>
                <w:ilvl w:val="0"/>
                <w:numId w:val="31"/>
              </w:numPr>
              <w:spacing w:after="240"/>
              <w:rPr>
                <w:rFonts w:ascii="Times New Roman" w:hAnsi="Times New Roman"/>
                <w:b/>
                <w:noProof/>
                <w:sz w:val="28"/>
                <w:szCs w:val="24"/>
              </w:rPr>
            </w:pPr>
            <w:r>
              <w:rPr>
                <w:rFonts w:ascii="Times New Roman" w:hAnsi="Times New Roman"/>
                <w:b/>
                <w:noProof/>
                <w:sz w:val="24"/>
              </w:rPr>
              <w:t>Począwszy od bieżącego roku będzie traktować zrównoważenie środowiskowe jako integralną część sprawozdań krajowych w ramach europejskiego semestru.</w:t>
            </w:r>
          </w:p>
          <w:p w:rsidR="00680C29" w:rsidRDefault="0082696E">
            <w:pPr>
              <w:pStyle w:val="ListParagraph"/>
              <w:numPr>
                <w:ilvl w:val="0"/>
                <w:numId w:val="31"/>
              </w:numPr>
              <w:spacing w:after="240"/>
              <w:rPr>
                <w:rFonts w:ascii="Times New Roman" w:hAnsi="Times New Roman"/>
                <w:b/>
                <w:noProof/>
                <w:sz w:val="28"/>
                <w:szCs w:val="24"/>
              </w:rPr>
            </w:pPr>
            <w:r>
              <w:rPr>
                <w:rFonts w:ascii="Times New Roman" w:hAnsi="Times New Roman"/>
                <w:b/>
                <w:noProof/>
                <w:sz w:val="24"/>
              </w:rPr>
              <w:t>Pomoże państwom członkowskim w identyfikacji ich potrzeb w zakresie zrównoważonych inwestycji i możliwości ich finansowania w kolejnych latach, począwszy od 2020 r.</w:t>
            </w:r>
          </w:p>
          <w:p w:rsidR="00680C29" w:rsidRDefault="0082696E">
            <w:pPr>
              <w:pStyle w:val="ListParagraph"/>
              <w:numPr>
                <w:ilvl w:val="0"/>
                <w:numId w:val="31"/>
              </w:numPr>
              <w:spacing w:after="240"/>
              <w:rPr>
                <w:rFonts w:ascii="Times New Roman" w:hAnsi="Times New Roman"/>
                <w:b/>
                <w:noProof/>
                <w:sz w:val="28"/>
                <w:szCs w:val="24"/>
              </w:rPr>
            </w:pPr>
            <w:r>
              <w:rPr>
                <w:rFonts w:ascii="Times New Roman" w:hAnsi="Times New Roman"/>
                <w:b/>
                <w:noProof/>
                <w:sz w:val="24"/>
              </w:rPr>
              <w:t xml:space="preserve">We współpracy z państwami członkowskimi będzie monitorować i modelować praktyki w zakresie </w:t>
            </w:r>
            <w:r>
              <w:rPr>
                <w:rFonts w:ascii="Times New Roman" w:hAnsi="Times New Roman"/>
                <w:b/>
                <w:noProof/>
                <w:sz w:val="24"/>
              </w:rPr>
              <w:t>ekologicznego planowania budżetu.</w:t>
            </w:r>
          </w:p>
          <w:p w:rsidR="00680C29" w:rsidRDefault="0082696E">
            <w:pPr>
              <w:pStyle w:val="ListParagraph"/>
              <w:numPr>
                <w:ilvl w:val="0"/>
                <w:numId w:val="31"/>
              </w:numPr>
              <w:spacing w:after="240"/>
              <w:rPr>
                <w:rFonts w:ascii="Times New Roman" w:hAnsi="Times New Roman"/>
                <w:b/>
                <w:noProof/>
                <w:sz w:val="28"/>
                <w:szCs w:val="24"/>
              </w:rPr>
            </w:pPr>
            <w:r>
              <w:rPr>
                <w:rFonts w:ascii="Times New Roman" w:hAnsi="Times New Roman"/>
                <w:b/>
                <w:noProof/>
                <w:sz w:val="24"/>
              </w:rPr>
              <w:t>Zaproponuje dalsze przepisy i wytyczne dotyczące ekologicznych zamówień publicznych.</w:t>
            </w:r>
          </w:p>
          <w:p w:rsidR="00680C29" w:rsidRDefault="0082696E">
            <w:pPr>
              <w:pStyle w:val="ListParagraph"/>
              <w:numPr>
                <w:ilvl w:val="0"/>
                <w:numId w:val="31"/>
              </w:numPr>
              <w:spacing w:after="240"/>
              <w:rPr>
                <w:rFonts w:ascii="Times New Roman" w:hAnsi="Times New Roman"/>
                <w:b/>
                <w:noProof/>
                <w:sz w:val="28"/>
                <w:szCs w:val="24"/>
              </w:rPr>
            </w:pPr>
            <w:r>
              <w:rPr>
                <w:rFonts w:ascii="Times New Roman" w:hAnsi="Times New Roman"/>
                <w:b/>
                <w:noProof/>
                <w:sz w:val="24"/>
              </w:rPr>
              <w:t xml:space="preserve">Zapewni wytyczne dotyczące stosowania zasady „efektywność energetyczna przede wszystkim” przy podejmowaniu decyzji inwestycyjnych. </w:t>
            </w:r>
          </w:p>
        </w:tc>
      </w:tr>
    </w:tbl>
    <w:p w:rsidR="00680C29" w:rsidRDefault="00680C29">
      <w:pPr>
        <w:spacing w:after="240"/>
        <w:jc w:val="both"/>
        <w:rPr>
          <w:rFonts w:ascii="Times New Roman" w:hAnsi="Times New Roman"/>
          <w:noProof/>
          <w:sz w:val="24"/>
          <w:szCs w:val="24"/>
        </w:rPr>
      </w:pPr>
    </w:p>
    <w:p w:rsidR="00680C29" w:rsidRDefault="0082696E">
      <w:pPr>
        <w:pStyle w:val="Heading2"/>
        <w:spacing w:after="240"/>
        <w:rPr>
          <w:noProof/>
        </w:rPr>
      </w:pPr>
      <w:r>
        <w:rPr>
          <w:noProof/>
        </w:rPr>
        <w:t>Uła</w:t>
      </w:r>
      <w:r>
        <w:rPr>
          <w:noProof/>
        </w:rPr>
        <w:t xml:space="preserve">twianie realizacji zrównoważonych inwestycji dzięki wspierającym ramom pomocy państwa. </w:t>
      </w:r>
    </w:p>
    <w:p w:rsidR="00680C29" w:rsidRDefault="0082696E">
      <w:pPr>
        <w:spacing w:after="240"/>
        <w:jc w:val="both"/>
        <w:rPr>
          <w:rFonts w:ascii="Times New Roman" w:hAnsi="Times New Roman"/>
          <w:noProof/>
          <w:sz w:val="28"/>
          <w:szCs w:val="24"/>
        </w:rPr>
      </w:pPr>
      <w:r>
        <w:rPr>
          <w:rFonts w:ascii="Times New Roman" w:hAnsi="Times New Roman"/>
          <w:b/>
          <w:noProof/>
          <w:sz w:val="24"/>
        </w:rPr>
        <w:t>Odpowiednie zasady pomocy państwa zostaną poddane nowelizacji do 2021 r. w kontekście celów politycznych Europejskiego Zielonego Ładu i wspierać będą racjonalną pod wzg</w:t>
      </w:r>
      <w:r>
        <w:rPr>
          <w:rFonts w:ascii="Times New Roman" w:hAnsi="Times New Roman"/>
          <w:b/>
          <w:noProof/>
          <w:sz w:val="24"/>
        </w:rPr>
        <w:t>lędem kosztów i sprzyjającą włączeniu społecznemu transformację w kierunku neutralności klimatycznej do 2050 r.</w:t>
      </w:r>
      <w:r>
        <w:rPr>
          <w:rFonts w:ascii="Times New Roman" w:hAnsi="Times New Roman"/>
          <w:noProof/>
          <w:sz w:val="24"/>
        </w:rPr>
        <w:t xml:space="preserve"> Zasady pomocy państwa zostaną poddane nowelizacji, aby zapewnić jasne, w pełni zaktualizowane i adekwatne do założonych celów ramy umożliwiające</w:t>
      </w:r>
      <w:r>
        <w:rPr>
          <w:rFonts w:ascii="Times New Roman" w:hAnsi="Times New Roman"/>
          <w:noProof/>
          <w:sz w:val="24"/>
        </w:rPr>
        <w:t xml:space="preserve"> organom publicznym osiągnięcie tych celów przy jak najbardziej efektywnym wykorzystaniu ograniczonych środków publicznych. Zasady pomocy państwa będą ułatwiać transformację poprzez wspieranie odpowiednich rodzajów inwestycji i zapewnianie odpowiedniej wys</w:t>
      </w:r>
      <w:r>
        <w:rPr>
          <w:rFonts w:ascii="Times New Roman" w:hAnsi="Times New Roman"/>
          <w:noProof/>
          <w:sz w:val="24"/>
        </w:rPr>
        <w:t>okości pomocy. Będą zachęcać do innowacji i wprowadzania nowych, przyjaznych dla klimatu technologii na skalę rynkową. W ramach tych działań Komisja rozważy również dalsze uproszczenia procedur zatwierdzania pomocy państwa dla regionów objętych sprawiedliw</w:t>
      </w:r>
      <w:r>
        <w:rPr>
          <w:rFonts w:ascii="Times New Roman" w:hAnsi="Times New Roman"/>
          <w:noProof/>
          <w:sz w:val="24"/>
        </w:rPr>
        <w:t>ą transformacją. Ułatwią one również wycofanie paliw kopalnych, w szczególności tych najbardziej zanieczyszczających środowisko, zapewniając jednocześnie równe warunki działania na rynku wewnętrznym. Będzie to obejmować w szczególności wytyczne w sprawie p</w:t>
      </w:r>
      <w:r>
        <w:rPr>
          <w:rFonts w:ascii="Times New Roman" w:hAnsi="Times New Roman"/>
          <w:noProof/>
          <w:sz w:val="24"/>
        </w:rPr>
        <w:t xml:space="preserve">omocy państwa dotyczące ochrony środowiska i energii. </w:t>
      </w:r>
    </w:p>
    <w:p w:rsidR="00680C29" w:rsidRDefault="0082696E">
      <w:pPr>
        <w:spacing w:after="240"/>
        <w:jc w:val="both"/>
        <w:rPr>
          <w:rFonts w:ascii="Times New Roman" w:hAnsi="Times New Roman"/>
          <w:noProof/>
          <w:sz w:val="28"/>
          <w:szCs w:val="24"/>
        </w:rPr>
      </w:pPr>
      <w:r>
        <w:rPr>
          <w:rFonts w:ascii="Times New Roman" w:hAnsi="Times New Roman"/>
          <w:b/>
          <w:noProof/>
          <w:sz w:val="24"/>
        </w:rPr>
        <w:t>W oczekiwaniu na nowelizację państwa członkowskie mogą nadal korzystać z elastyczności przewidzianej w obowiązujących przepisach w celu osiągnięcia swoich celów na 2030 r. oraz dalszej dekarbonizacji s</w:t>
      </w:r>
      <w:r>
        <w:rPr>
          <w:rFonts w:ascii="Times New Roman" w:hAnsi="Times New Roman"/>
          <w:b/>
          <w:noProof/>
          <w:sz w:val="24"/>
        </w:rPr>
        <w:t xml:space="preserve">ektora energii elektrycznej i gospodarki do 2050 r. </w:t>
      </w:r>
      <w:r>
        <w:rPr>
          <w:rFonts w:ascii="Times New Roman" w:hAnsi="Times New Roman"/>
          <w:noProof/>
          <w:sz w:val="24"/>
        </w:rPr>
        <w:t>Mogą na przykład zdecydować się na zwiększenie inwestycji publicznych w programy energii elektrycznej ze źródeł odnawialnych na rzecz tańszej i bardziej zintegrowanej ekologicznej energii, wprowadzenia ta</w:t>
      </w:r>
      <w:r>
        <w:rPr>
          <w:rFonts w:ascii="Times New Roman" w:hAnsi="Times New Roman"/>
          <w:noProof/>
          <w:sz w:val="24"/>
        </w:rPr>
        <w:t>ńszej i publicznie dostępnej infrastruktury ładowania pojazdów lub systemów gospodarki o obiegu zamkniętym, takich jak ponowne wykorzystanie ciepła odpadowego lub recykling odpadów.</w:t>
      </w:r>
    </w:p>
    <w:p w:rsidR="00680C29" w:rsidRDefault="0082696E">
      <w:pPr>
        <w:spacing w:after="240"/>
        <w:jc w:val="both"/>
        <w:rPr>
          <w:rFonts w:ascii="Times New Roman" w:hAnsi="Times New Roman"/>
          <w:noProof/>
          <w:sz w:val="28"/>
          <w:szCs w:val="24"/>
        </w:rPr>
      </w:pPr>
      <w:r>
        <w:rPr>
          <w:rFonts w:ascii="Times New Roman" w:hAnsi="Times New Roman"/>
          <w:b/>
          <w:noProof/>
          <w:sz w:val="24"/>
        </w:rPr>
        <w:t>Państwa członkowskie mogą też nadal opierać się na istniejących przepisach</w:t>
      </w:r>
      <w:r>
        <w:rPr>
          <w:rFonts w:ascii="Times New Roman" w:hAnsi="Times New Roman"/>
          <w:b/>
          <w:noProof/>
          <w:sz w:val="24"/>
        </w:rPr>
        <w:t xml:space="preserve"> dotyczących pomocy państwa, aby łagodzić skutki społeczne i regionalne wynikające z wprowadzenia środków na rzecz obniżenia emisyjności. </w:t>
      </w:r>
      <w:r>
        <w:rPr>
          <w:rFonts w:ascii="Times New Roman" w:hAnsi="Times New Roman"/>
          <w:noProof/>
          <w:sz w:val="24"/>
        </w:rPr>
        <w:t>Mogą przykładowo wspierać pracowników dotkniętych likwidacją kopalni węgla, inwestować w małe i średnie przedsiębiorst</w:t>
      </w:r>
      <w:r>
        <w:rPr>
          <w:rFonts w:ascii="Times New Roman" w:hAnsi="Times New Roman"/>
          <w:noProof/>
          <w:sz w:val="24"/>
        </w:rPr>
        <w:t>wa oraz przedsiębiorstwa typu start-up, a także inwestować w podnoszenie kwalifikacji i przekwalifikowywanie pracowników. W odniesieniu do kluczowych technologii wspomagających i innowacji przełomowych państwa członkowskie mogą połączyć swoje środki finans</w:t>
      </w:r>
      <w:r>
        <w:rPr>
          <w:rFonts w:ascii="Times New Roman" w:hAnsi="Times New Roman"/>
          <w:noProof/>
          <w:sz w:val="24"/>
        </w:rPr>
        <w:t>owe w celu uruchomienia znaczących inwestycji prywatnych, by urzeczywistnić realizację ważnych projektów stanowiących przedmiot wspólnego europejskiego zainteresowania, w tym w regionach najbardziej dotkniętych zieloną transformacją.</w:t>
      </w:r>
    </w:p>
    <w:p w:rsidR="00680C29" w:rsidRDefault="0082696E">
      <w:pPr>
        <w:spacing w:after="240"/>
        <w:jc w:val="both"/>
        <w:rPr>
          <w:rFonts w:ascii="Times New Roman" w:hAnsi="Times New Roman"/>
          <w:noProof/>
          <w:sz w:val="28"/>
          <w:szCs w:val="24"/>
        </w:rPr>
      </w:pPr>
      <w:r>
        <w:rPr>
          <w:rFonts w:ascii="Times New Roman" w:hAnsi="Times New Roman"/>
          <w:b/>
          <w:noProof/>
          <w:sz w:val="24"/>
        </w:rPr>
        <w:t>Jednocześnie zasady te</w:t>
      </w:r>
      <w:r>
        <w:rPr>
          <w:rFonts w:ascii="Times New Roman" w:hAnsi="Times New Roman"/>
          <w:b/>
          <w:noProof/>
          <w:sz w:val="24"/>
        </w:rPr>
        <w:t xml:space="preserve"> będą w dalszym ciągu przyczyniać się do zachowania integralności rynku wewnętrznego, umożliwiając przy tym poszanowanie celów spójności zapisanych w Traktacie UE, które są podstawą integracji europejskiej.</w:t>
      </w:r>
      <w:r>
        <w:rPr>
          <w:rFonts w:ascii="Times New Roman" w:hAnsi="Times New Roman"/>
          <w:noProof/>
          <w:sz w:val="24"/>
        </w:rPr>
        <w:t xml:space="preserve"> Ich celem jest zmniejszenie dysproporcji w poziom</w:t>
      </w:r>
      <w:r>
        <w:rPr>
          <w:rFonts w:ascii="Times New Roman" w:hAnsi="Times New Roman"/>
          <w:noProof/>
          <w:sz w:val="24"/>
        </w:rPr>
        <w:t>ach rozwoju różnych regionów poprzez wspieranie regionów najmniej uprzywilejowanych w procesie zmniejszania dystansu rozwojowego. W szczególności oznacza to, że wsparcie publiczne dla inwestycji produkcyjnych skierowane do dużych przedsiębiorstw musi być n</w:t>
      </w:r>
      <w:r>
        <w:rPr>
          <w:rFonts w:ascii="Times New Roman" w:hAnsi="Times New Roman"/>
          <w:noProof/>
          <w:sz w:val="24"/>
        </w:rPr>
        <w:t>adal udzielane jedynie najuboższym regionom, które zostaną dotknięte zieloną transformacją (art. 107 ust. 3 lit. a) i c) TFUE).</w:t>
      </w:r>
    </w:p>
    <w:p w:rsidR="00680C29" w:rsidRDefault="0082696E">
      <w:pPr>
        <w:spacing w:after="240"/>
        <w:jc w:val="both"/>
        <w:rPr>
          <w:rFonts w:ascii="Times New Roman" w:hAnsi="Times New Roman"/>
          <w:b/>
          <w:noProof/>
          <w:sz w:val="28"/>
          <w:szCs w:val="24"/>
        </w:rPr>
      </w:pPr>
      <w:r>
        <w:rPr>
          <w:rFonts w:ascii="Times New Roman" w:hAnsi="Times New Roman"/>
          <w:b/>
          <w:noProof/>
          <w:sz w:val="24"/>
        </w:rPr>
        <w:t>W tym kontekście obowiązujące obecnie zasady pomocy państwa będą stosowane z zachowaniem elastyczności, ze szczególnym uwzględni</w:t>
      </w:r>
      <w:r>
        <w:rPr>
          <w:rFonts w:ascii="Times New Roman" w:hAnsi="Times New Roman"/>
          <w:b/>
          <w:noProof/>
          <w:sz w:val="24"/>
        </w:rPr>
        <w:t>eniem szeregu obszarów, które wydają się kluczowe dla skutecznej transformacji w kierunku gospodarki neutralnej dla klimatu.</w:t>
      </w:r>
    </w:p>
    <w:p w:rsidR="00680C29" w:rsidRDefault="0082696E">
      <w:pPr>
        <w:pStyle w:val="Heading3"/>
        <w:spacing w:after="240"/>
        <w:rPr>
          <w:noProof/>
        </w:rPr>
      </w:pPr>
      <w:r>
        <w:rPr>
          <w:noProof/>
        </w:rPr>
        <w:t>Większa elastyczność w zakresie pomocy państwa na rzecz transformacji w kierunku procesów produkcyjnych neutralnych dla klimatu</w:t>
      </w:r>
    </w:p>
    <w:p w:rsidR="00680C29" w:rsidRDefault="0082696E">
      <w:pPr>
        <w:spacing w:after="240"/>
        <w:jc w:val="both"/>
        <w:rPr>
          <w:rFonts w:ascii="Times New Roman" w:hAnsi="Times New Roman"/>
          <w:b/>
          <w:noProof/>
          <w:sz w:val="28"/>
          <w:szCs w:val="24"/>
        </w:rPr>
      </w:pPr>
      <w:r>
        <w:rPr>
          <w:rFonts w:ascii="Times New Roman" w:hAnsi="Times New Roman"/>
          <w:b/>
          <w:noProof/>
          <w:sz w:val="24"/>
        </w:rPr>
        <w:t>Kom</w:t>
      </w:r>
      <w:r>
        <w:rPr>
          <w:rFonts w:ascii="Times New Roman" w:hAnsi="Times New Roman"/>
          <w:b/>
          <w:noProof/>
          <w:sz w:val="24"/>
        </w:rPr>
        <w:t>isja zatwierdzi wsparcie państw członkowskich dla przedsiębiorstw z przeznaczeniem na dekarbonizację lub elektryfikację procesów produkcyjnych, pod warunkiem że przedmiotowa inwestycja nie jest już objęta zachętami gospodarczymi, a przedsiębiorstwa ogranic</w:t>
      </w:r>
      <w:r>
        <w:rPr>
          <w:rFonts w:ascii="Times New Roman" w:hAnsi="Times New Roman"/>
          <w:b/>
          <w:noProof/>
          <w:sz w:val="24"/>
        </w:rPr>
        <w:t>zą swój wpływ na środowisko w stopniu większym, niż jest to wymagane przez unijne normy lub poziomy odniesienia.</w:t>
      </w:r>
    </w:p>
    <w:p w:rsidR="00680C29" w:rsidRDefault="0082696E">
      <w:pPr>
        <w:spacing w:after="240"/>
        <w:jc w:val="both"/>
        <w:rPr>
          <w:rFonts w:ascii="Times New Roman" w:hAnsi="Times New Roman"/>
          <w:noProof/>
          <w:sz w:val="28"/>
          <w:szCs w:val="24"/>
        </w:rPr>
      </w:pPr>
      <w:r>
        <w:rPr>
          <w:rFonts w:ascii="Times New Roman" w:hAnsi="Times New Roman"/>
          <w:b/>
          <w:noProof/>
          <w:sz w:val="24"/>
        </w:rPr>
        <w:t xml:space="preserve">Aby zminimalizować koszty ponoszone przez państwo, wsparcie publiczne powinno być ograniczane to niezbędnego minimum. </w:t>
      </w:r>
      <w:r>
        <w:rPr>
          <w:rFonts w:ascii="Times New Roman" w:hAnsi="Times New Roman"/>
          <w:noProof/>
          <w:sz w:val="24"/>
        </w:rPr>
        <w:t>W</w:t>
      </w:r>
      <w:r>
        <w:rPr>
          <w:rFonts w:ascii="Times New Roman" w:hAnsi="Times New Roman"/>
          <w:b/>
          <w:noProof/>
          <w:sz w:val="24"/>
        </w:rPr>
        <w:t> </w:t>
      </w:r>
      <w:r>
        <w:rPr>
          <w:rFonts w:ascii="Times New Roman" w:hAnsi="Times New Roman"/>
          <w:noProof/>
          <w:sz w:val="24"/>
        </w:rPr>
        <w:t>obowiązujących wytyczny</w:t>
      </w:r>
      <w:r>
        <w:rPr>
          <w:rFonts w:ascii="Times New Roman" w:hAnsi="Times New Roman"/>
          <w:noProof/>
          <w:sz w:val="24"/>
        </w:rPr>
        <w:t>ch określa się zazwyczaj maksymalną kwotę pomocy w oparciu o dodatkowe koszty danej inwestycji w porównaniu z teoretyczną alternatywną inwestycją, która jest mniej przyjazna dla środowiska. Komisja oceni, czy w przyszłości, w przypadku inwestycji, które są</w:t>
      </w:r>
      <w:r>
        <w:rPr>
          <w:rFonts w:ascii="Times New Roman" w:hAnsi="Times New Roman"/>
          <w:noProof/>
          <w:sz w:val="24"/>
        </w:rPr>
        <w:t xml:space="preserve"> zgodne z procesem transformacji w kierunku neutralności klimatycznej, mogłaby zamiast tego ustalać koszty kwalifikowalne w odniesieniu do luki w finansowaniu, w szczególności w przypadkach, w których nie istnieje hipotetyczna alternatywna inwestycja. Mogł</w:t>
      </w:r>
      <w:r>
        <w:rPr>
          <w:rFonts w:ascii="Times New Roman" w:hAnsi="Times New Roman"/>
          <w:noProof/>
          <w:sz w:val="24"/>
        </w:rPr>
        <w:t>oby być to uzasadnione w świetle celów Zielonego Ładu oraz faktu, że takie inwestycje stanowią istotny sposób zmniejszania śladu węglowego przedmiotowych instalacji i przyczyniają się do osiągnięcia neutralności klimatycznej.</w:t>
      </w:r>
    </w:p>
    <w:p w:rsidR="00680C29" w:rsidRDefault="0082696E">
      <w:pPr>
        <w:pStyle w:val="Heading3"/>
        <w:spacing w:after="240"/>
        <w:rPr>
          <w:noProof/>
        </w:rPr>
      </w:pPr>
      <w:r>
        <w:rPr>
          <w:noProof/>
        </w:rPr>
        <w:t>Pomoc na rzecz poprawy efektyw</w:t>
      </w:r>
      <w:r>
        <w:rPr>
          <w:noProof/>
        </w:rPr>
        <w:t>ności energetycznej budynków</w:t>
      </w:r>
    </w:p>
    <w:p w:rsidR="00680C29" w:rsidRDefault="0082696E">
      <w:pPr>
        <w:spacing w:after="240"/>
        <w:jc w:val="both"/>
        <w:rPr>
          <w:rFonts w:ascii="Times New Roman" w:hAnsi="Times New Roman"/>
          <w:noProof/>
          <w:sz w:val="28"/>
          <w:szCs w:val="24"/>
        </w:rPr>
      </w:pPr>
      <w:r>
        <w:rPr>
          <w:rFonts w:ascii="Times New Roman" w:hAnsi="Times New Roman"/>
          <w:b/>
          <w:noProof/>
          <w:sz w:val="24"/>
        </w:rPr>
        <w:t>Państwa członkowskie otrzymają większą swobodę inwestowania w efektywność energetyczną budynków w ramach wytycznych dotyczących ochrony środowiska i energii.</w:t>
      </w:r>
      <w:r>
        <w:rPr>
          <w:rFonts w:ascii="Times New Roman" w:hAnsi="Times New Roman"/>
          <w:noProof/>
          <w:sz w:val="24"/>
        </w:rPr>
        <w:t xml:space="preserve"> W</w:t>
      </w:r>
      <w:r>
        <w:rPr>
          <w:rFonts w:ascii="Times New Roman" w:hAnsi="Times New Roman"/>
          <w:b/>
          <w:noProof/>
          <w:sz w:val="24"/>
        </w:rPr>
        <w:t> </w:t>
      </w:r>
      <w:r>
        <w:rPr>
          <w:rFonts w:ascii="Times New Roman" w:hAnsi="Times New Roman"/>
          <w:noProof/>
          <w:sz w:val="24"/>
        </w:rPr>
        <w:t xml:space="preserve">szczególności państwa członkowskie będą mogły bardziej elastycznie </w:t>
      </w:r>
      <w:r>
        <w:rPr>
          <w:rFonts w:ascii="Times New Roman" w:hAnsi="Times New Roman"/>
          <w:noProof/>
          <w:sz w:val="24"/>
        </w:rPr>
        <w:t xml:space="preserve">wspierać mechanizmy finansowania korzystne dla konsumentów energii elektrycznej, takie jak umowy o poprawę efektywności energetycznej. W ramach takiego porozumienia przedsiębiorstwa usług energetycznych inwestują w modernizację budynków, aby zwiększyć ich </w:t>
      </w:r>
      <w:r>
        <w:rPr>
          <w:rFonts w:ascii="Times New Roman" w:hAnsi="Times New Roman"/>
          <w:noProof/>
          <w:sz w:val="24"/>
        </w:rPr>
        <w:t>efektywność energetyczną, a poniesione przez nie koszty są pokrywane z oszczędności energii wygenerowanych po stronie beneficjenta.</w:t>
      </w:r>
    </w:p>
    <w:p w:rsidR="00680C29" w:rsidRDefault="0082696E">
      <w:pPr>
        <w:spacing w:after="240"/>
        <w:jc w:val="both"/>
        <w:rPr>
          <w:rFonts w:ascii="Times New Roman" w:hAnsi="Times New Roman"/>
          <w:b/>
          <w:noProof/>
          <w:sz w:val="28"/>
          <w:szCs w:val="24"/>
        </w:rPr>
      </w:pPr>
      <w:r>
        <w:rPr>
          <w:rFonts w:ascii="Times New Roman" w:hAnsi="Times New Roman"/>
          <w:b/>
          <w:noProof/>
          <w:sz w:val="24"/>
        </w:rPr>
        <w:t xml:space="preserve">Państwa członkowskie będą miały również większą swobodę w zakresie wspierania modernizacji obejmujących zarówno efektywność </w:t>
      </w:r>
      <w:r>
        <w:rPr>
          <w:rFonts w:ascii="Times New Roman" w:hAnsi="Times New Roman"/>
          <w:b/>
          <w:noProof/>
          <w:sz w:val="24"/>
        </w:rPr>
        <w:t xml:space="preserve">energetyczną budynków, jak i inwestycje w wytwarzanie energii ze źródeł odnawialnych na potrzeby własne. </w:t>
      </w:r>
    </w:p>
    <w:p w:rsidR="00680C29" w:rsidRDefault="0082696E">
      <w:pPr>
        <w:spacing w:after="240"/>
        <w:jc w:val="both"/>
        <w:rPr>
          <w:rFonts w:ascii="Times New Roman" w:hAnsi="Times New Roman"/>
          <w:b/>
          <w:noProof/>
          <w:sz w:val="28"/>
          <w:szCs w:val="24"/>
        </w:rPr>
      </w:pPr>
      <w:r>
        <w:rPr>
          <w:rFonts w:ascii="Times New Roman" w:hAnsi="Times New Roman"/>
          <w:b/>
          <w:noProof/>
          <w:sz w:val="24"/>
        </w:rPr>
        <w:t>Aby określić koszty kwalifikowalne takich projektów, Komisja może wziąć pod uwagę fakt, że w wielu przypadkach nie istnieją żadne alternatywne formy i</w:t>
      </w:r>
      <w:r>
        <w:rPr>
          <w:rFonts w:ascii="Times New Roman" w:hAnsi="Times New Roman"/>
          <w:b/>
          <w:noProof/>
          <w:sz w:val="24"/>
        </w:rPr>
        <w:t xml:space="preserve">nwestycji. </w:t>
      </w:r>
    </w:p>
    <w:p w:rsidR="00680C29" w:rsidRDefault="0082696E">
      <w:pPr>
        <w:pStyle w:val="Heading3"/>
        <w:spacing w:after="240"/>
        <w:rPr>
          <w:noProof/>
        </w:rPr>
      </w:pPr>
      <w:r>
        <w:rPr>
          <w:noProof/>
        </w:rPr>
        <w:t>Pomoc na systemy ciepłownicze</w:t>
      </w:r>
    </w:p>
    <w:p w:rsidR="00680C29" w:rsidRDefault="0082696E">
      <w:pPr>
        <w:spacing w:after="240"/>
        <w:jc w:val="both"/>
        <w:rPr>
          <w:rFonts w:ascii="Times New Roman" w:hAnsi="Times New Roman"/>
          <w:noProof/>
          <w:sz w:val="28"/>
          <w:szCs w:val="24"/>
        </w:rPr>
      </w:pPr>
      <w:r>
        <w:rPr>
          <w:rFonts w:ascii="Times New Roman" w:hAnsi="Times New Roman"/>
          <w:b/>
          <w:noProof/>
          <w:sz w:val="24"/>
        </w:rPr>
        <w:t xml:space="preserve">Wsparcie, które ogranicza się do sieci dystrybucji systemów ciepłowniczych, można w pewnych warunkach uznać za niewchodzące w zakres kontroli pomocy państwa jako środek z zakresu infrastruktury niemający wpływu na </w:t>
      </w:r>
      <w:r>
        <w:rPr>
          <w:rFonts w:ascii="Times New Roman" w:hAnsi="Times New Roman"/>
          <w:b/>
          <w:noProof/>
          <w:sz w:val="24"/>
        </w:rPr>
        <w:t>konkurencję i handel</w:t>
      </w:r>
      <w:r>
        <w:rPr>
          <w:rFonts w:ascii="Times New Roman" w:hAnsi="Times New Roman"/>
          <w:noProof/>
          <w:sz w:val="24"/>
        </w:rPr>
        <w:t xml:space="preserve">. Tak może być w szczególności w przypadku sieci systemów ciepłowniczych, które funkcjonują w taki sam sposób jak inne rodzaje infrastruktury energetycznej, a więc przez oddzielenie od wytwarzania ciepła, dostęp stron trzecich i taryfy </w:t>
      </w:r>
      <w:r>
        <w:rPr>
          <w:rFonts w:ascii="Times New Roman" w:hAnsi="Times New Roman"/>
          <w:noProof/>
          <w:sz w:val="24"/>
        </w:rPr>
        <w:t xml:space="preserve">regulowane. </w:t>
      </w:r>
    </w:p>
    <w:p w:rsidR="00680C29" w:rsidRDefault="0082696E">
      <w:pPr>
        <w:spacing w:after="240"/>
        <w:jc w:val="both"/>
        <w:rPr>
          <w:rFonts w:ascii="Times New Roman" w:hAnsi="Times New Roman"/>
          <w:noProof/>
          <w:sz w:val="28"/>
          <w:szCs w:val="24"/>
        </w:rPr>
      </w:pPr>
      <w:r>
        <w:rPr>
          <w:rFonts w:ascii="Times New Roman" w:hAnsi="Times New Roman"/>
          <w:b/>
          <w:noProof/>
          <w:sz w:val="24"/>
        </w:rPr>
        <w:t>We wszystkich pozostałych przypadkach, w których występuje pomoc państwa, wytyczne dotyczące energii i ochrony środowiska przewidują szereg warunków, na jakich wsparcie na projekty systemu ciepłowniczego może zostać zatwierdzone</w:t>
      </w:r>
      <w:r>
        <w:rPr>
          <w:rFonts w:ascii="Times New Roman" w:hAnsi="Times New Roman"/>
          <w:noProof/>
          <w:sz w:val="24"/>
        </w:rPr>
        <w:t>. W szczególnoś</w:t>
      </w:r>
      <w:r>
        <w:rPr>
          <w:rFonts w:ascii="Times New Roman" w:hAnsi="Times New Roman"/>
          <w:noProof/>
          <w:sz w:val="24"/>
        </w:rPr>
        <w:t>ci przepisy wymagają, aby inwestycja prowadziła do energooszczędnego systemu ciepłowniczego, zgodnie z definicją zawartą w dyrektywie w sprawie efektywności energetycznej. Jeżeli chodzi o kwoty, jakie mogą zostać przyznane, w wytycznych dokonuje się rozróż</w:t>
      </w:r>
      <w:r>
        <w:rPr>
          <w:rFonts w:ascii="Times New Roman" w:hAnsi="Times New Roman"/>
          <w:noProof/>
          <w:sz w:val="24"/>
        </w:rPr>
        <w:t xml:space="preserve">nienia między intensywnością pomocy przeznaczonej na koszty inwestycji w instalacje systemu ciepłowniczego, a tak zwaną metodą luki w finansowaniu w przypadku budowy lub modernizacji sieci dystrybucji. </w:t>
      </w:r>
    </w:p>
    <w:p w:rsidR="00680C29" w:rsidRDefault="0082696E">
      <w:pPr>
        <w:spacing w:after="240"/>
        <w:jc w:val="both"/>
        <w:rPr>
          <w:rFonts w:ascii="Times New Roman" w:hAnsi="Times New Roman"/>
          <w:b/>
          <w:noProof/>
          <w:sz w:val="28"/>
          <w:szCs w:val="24"/>
        </w:rPr>
      </w:pPr>
      <w:r>
        <w:rPr>
          <w:rFonts w:ascii="Times New Roman" w:hAnsi="Times New Roman"/>
          <w:b/>
          <w:noProof/>
          <w:sz w:val="24"/>
        </w:rPr>
        <w:t>Aby zmaksymalizować możliwy udział systemów ciepłowniczych w procesie transformacji w kierunku gospodarki neutralnej dla klimatu, państwa członkowskie mogą w przyszłości stosować podejście luki w finansowaniu również w odniesieniu do wytwarzania energii w </w:t>
      </w:r>
      <w:r>
        <w:rPr>
          <w:rFonts w:ascii="Times New Roman" w:hAnsi="Times New Roman"/>
          <w:b/>
          <w:noProof/>
          <w:sz w:val="24"/>
        </w:rPr>
        <w:t xml:space="preserve">ramach systemów ciepłowniczych, zamiast maksymalnej intensywności pomocy określonej w wytycznych dotyczących energii i ochrony środowiska. </w:t>
      </w:r>
    </w:p>
    <w:p w:rsidR="00680C29" w:rsidRDefault="0082696E">
      <w:pPr>
        <w:spacing w:after="240"/>
        <w:jc w:val="both"/>
        <w:rPr>
          <w:rFonts w:ascii="Times New Roman" w:hAnsi="Times New Roman"/>
          <w:noProof/>
          <w:sz w:val="28"/>
          <w:szCs w:val="24"/>
        </w:rPr>
      </w:pPr>
      <w:r>
        <w:rPr>
          <w:rFonts w:ascii="Times New Roman" w:hAnsi="Times New Roman"/>
          <w:b/>
          <w:noProof/>
          <w:sz w:val="24"/>
        </w:rPr>
        <w:t>Państwom członkowskim można by również umożliwić przyznawanie pomocy państwa na sieci systemów ciepłowniczych niebęd</w:t>
      </w:r>
      <w:r>
        <w:rPr>
          <w:rFonts w:ascii="Times New Roman" w:hAnsi="Times New Roman"/>
          <w:b/>
          <w:noProof/>
          <w:sz w:val="24"/>
        </w:rPr>
        <w:t>ące częścią energooszczędnych systemów ciepłowniczych</w:t>
      </w:r>
      <w:r>
        <w:rPr>
          <w:rFonts w:ascii="Times New Roman" w:hAnsi="Times New Roman"/>
          <w:noProof/>
          <w:sz w:val="24"/>
        </w:rPr>
        <w:t>, jeżeli w ciągu trzech lat od rozpoczęcia modernizacji sieci podjęte zostaną inwestycje, które sprawią, że wytwarzanie energii cieplnej stanie się energooszczędne.</w:t>
      </w:r>
    </w:p>
    <w:p w:rsidR="00680C29" w:rsidRDefault="0082696E">
      <w:pPr>
        <w:pStyle w:val="Heading3"/>
        <w:spacing w:after="240"/>
        <w:rPr>
          <w:noProof/>
        </w:rPr>
      </w:pPr>
      <w:r>
        <w:rPr>
          <w:noProof/>
        </w:rPr>
        <w:t xml:space="preserve">Pomoc na zamykanie elektrowni węglowych </w:t>
      </w:r>
    </w:p>
    <w:p w:rsidR="00680C29" w:rsidRDefault="0082696E">
      <w:pPr>
        <w:spacing w:after="240"/>
        <w:jc w:val="both"/>
        <w:rPr>
          <w:rFonts w:ascii="Times New Roman" w:hAnsi="Times New Roman"/>
          <w:noProof/>
          <w:sz w:val="28"/>
          <w:szCs w:val="24"/>
        </w:rPr>
      </w:pPr>
      <w:r>
        <w:rPr>
          <w:rFonts w:ascii="Times New Roman" w:hAnsi="Times New Roman"/>
          <w:b/>
          <w:noProof/>
          <w:sz w:val="24"/>
        </w:rPr>
        <w:t xml:space="preserve">Spalanie węgla brunatnego jest jednym z najbardziej zanieczyszczających środowisko i charakteryzujących się największą intensywnością emisji dwutlenku węgla sposobów wytwarzania energii elektrycznej. </w:t>
      </w:r>
      <w:r>
        <w:rPr>
          <w:rFonts w:ascii="Times New Roman" w:hAnsi="Times New Roman"/>
          <w:noProof/>
          <w:sz w:val="24"/>
        </w:rPr>
        <w:t>Podczas gdy uni</w:t>
      </w:r>
      <w:r>
        <w:rPr>
          <w:rFonts w:ascii="Times New Roman" w:hAnsi="Times New Roman"/>
          <w:noProof/>
          <w:sz w:val="24"/>
        </w:rPr>
        <w:t>jny system handlu uprawnieniami do emisji prowadzić będzie do ograniczenia produkcji energii o wysokiej intensywności emisji dwutlenku węgla, niektóre państwa członkowskie planują przyspieszyć zamykanie elektrowni napędzanych węglem kamiennym i brunatnym.</w:t>
      </w:r>
      <w:r>
        <w:rPr>
          <w:rFonts w:ascii="Times New Roman" w:hAnsi="Times New Roman"/>
          <w:b/>
          <w:noProof/>
          <w:sz w:val="24"/>
        </w:rPr>
        <w:t xml:space="preserve"> </w:t>
      </w:r>
      <w:r>
        <w:rPr>
          <w:rFonts w:ascii="Times New Roman" w:hAnsi="Times New Roman"/>
          <w:noProof/>
          <w:sz w:val="24"/>
        </w:rPr>
        <w:t>Państwa członkowskie, które w tym kontekście postanowią udzielić pomocy na zamykanie elektrowni węglowych, na przykład aby zrekompensować utracone zyski operatorom, którzy nie będą mogli dalej sprzedawać energii elektrycznej na rynku, powinny zgłosić takie</w:t>
      </w:r>
      <w:r>
        <w:rPr>
          <w:rFonts w:ascii="Times New Roman" w:hAnsi="Times New Roman"/>
          <w:noProof/>
          <w:sz w:val="24"/>
        </w:rPr>
        <w:t xml:space="preserve"> plany Komisji.</w:t>
      </w:r>
      <w:r>
        <w:rPr>
          <w:rFonts w:ascii="Times New Roman" w:hAnsi="Times New Roman"/>
          <w:b/>
          <w:noProof/>
          <w:sz w:val="24"/>
        </w:rPr>
        <w:t xml:space="preserve"> </w:t>
      </w:r>
      <w:r>
        <w:rPr>
          <w:rFonts w:ascii="Times New Roman" w:hAnsi="Times New Roman"/>
          <w:noProof/>
          <w:sz w:val="24"/>
        </w:rPr>
        <w:t xml:space="preserve">Komisja oceni pomoc państwa przeznaczoną na takie projekty bezpośrednio na mocy Traktatu. </w:t>
      </w:r>
    </w:p>
    <w:p w:rsidR="00680C29" w:rsidRDefault="0082696E">
      <w:pPr>
        <w:spacing w:after="240"/>
        <w:jc w:val="both"/>
        <w:rPr>
          <w:rFonts w:ascii="Times New Roman" w:hAnsi="Times New Roman"/>
          <w:noProof/>
          <w:sz w:val="28"/>
          <w:szCs w:val="24"/>
        </w:rPr>
      </w:pPr>
      <w:r>
        <w:rPr>
          <w:rFonts w:ascii="Times New Roman" w:hAnsi="Times New Roman"/>
          <w:b/>
          <w:noProof/>
          <w:sz w:val="24"/>
        </w:rPr>
        <w:t>W tym kontekście Komisja w szczególności oceni proporcjonalność takiego wsparcia, aby uniknąć nadmiernych rekompensat.</w:t>
      </w:r>
      <w:r>
        <w:rPr>
          <w:rFonts w:ascii="Times New Roman" w:hAnsi="Times New Roman"/>
          <w:noProof/>
          <w:sz w:val="24"/>
        </w:rPr>
        <w:t xml:space="preserve"> Oznacza to, że państwa członko</w:t>
      </w:r>
      <w:r>
        <w:rPr>
          <w:rFonts w:ascii="Times New Roman" w:hAnsi="Times New Roman"/>
          <w:noProof/>
          <w:sz w:val="24"/>
        </w:rPr>
        <w:t>wskie muszą udowodnić, że rekompensata nie wykracza poza utratę zysków z tytułu przewidywanego zamknięcia instalacji. Ważne jest też zapewnienie, aby środek był zaprojektowany w sposób, który do minimum ogranicza wszelkie zakłócenia konkurencji na rynku.</w:t>
      </w:r>
    </w:p>
    <w:p w:rsidR="00680C29" w:rsidRDefault="0082696E">
      <w:pPr>
        <w:spacing w:after="240"/>
        <w:jc w:val="both"/>
        <w:rPr>
          <w:rFonts w:ascii="Times New Roman" w:hAnsi="Times New Roman"/>
          <w:noProof/>
          <w:sz w:val="28"/>
          <w:szCs w:val="24"/>
        </w:rPr>
      </w:pPr>
      <w:r>
        <w:rPr>
          <w:rFonts w:ascii="Times New Roman" w:hAnsi="Times New Roman"/>
          <w:noProof/>
          <w:sz w:val="24"/>
        </w:rPr>
        <w:t>P</w:t>
      </w:r>
      <w:r>
        <w:rPr>
          <w:rFonts w:ascii="Times New Roman" w:hAnsi="Times New Roman"/>
          <w:noProof/>
          <w:sz w:val="24"/>
        </w:rPr>
        <w:t>rzypomnieć należy, że wszelkie wsparcie ze strony państwa niezwiązane z działalnością gospodarczą, w szczególności przeznaczone na korzyść osób indywidualnych (np. pomoc społeczna lub wsparcie na zmianę kwalifikacji) lub na finansowanie publicznie dostępne</w:t>
      </w:r>
      <w:r>
        <w:rPr>
          <w:rFonts w:ascii="Times New Roman" w:hAnsi="Times New Roman"/>
          <w:noProof/>
          <w:sz w:val="24"/>
        </w:rPr>
        <w:t>j infrastruktury, nie wchodzi w zakres zasad pomocy państwa, o ile nie przynosi pośredniej korzyści jakiemuś przedsiębiorstwu.</w:t>
      </w:r>
    </w:p>
    <w:p w:rsidR="00680C29" w:rsidRDefault="0082696E">
      <w:pPr>
        <w:pStyle w:val="Heading3"/>
        <w:spacing w:after="240"/>
        <w:rPr>
          <w:noProof/>
        </w:rPr>
      </w:pPr>
      <w:r>
        <w:rPr>
          <w:noProof/>
        </w:rPr>
        <w:t>Pomoc na gospodarkę o obiegu zamkniętym</w:t>
      </w:r>
    </w:p>
    <w:p w:rsidR="00680C29" w:rsidRDefault="0082696E">
      <w:pPr>
        <w:spacing w:after="240"/>
        <w:jc w:val="both"/>
        <w:rPr>
          <w:rFonts w:ascii="Times New Roman" w:hAnsi="Times New Roman"/>
          <w:noProof/>
          <w:sz w:val="28"/>
          <w:szCs w:val="24"/>
        </w:rPr>
      </w:pPr>
      <w:r>
        <w:rPr>
          <w:rFonts w:ascii="Times New Roman" w:hAnsi="Times New Roman"/>
          <w:b/>
          <w:noProof/>
          <w:sz w:val="24"/>
        </w:rPr>
        <w:t>Państwa członkowskie otrzymają więcej możliwości wspierania działań koniecznych w procesi</w:t>
      </w:r>
      <w:r>
        <w:rPr>
          <w:rFonts w:ascii="Times New Roman" w:hAnsi="Times New Roman"/>
          <w:b/>
          <w:noProof/>
          <w:sz w:val="24"/>
        </w:rPr>
        <w:t>e przejścia z gospodarki linearnej na gospodarkę o obiegu zamkniętym, takich jak: recykling odpadów, ponowne wykorzystanie ciepła odpadowego, ponowne wykorzystanie dwutlenku węgla lub selektywne zbieranie strumieni odpadów.</w:t>
      </w:r>
      <w:r>
        <w:rPr>
          <w:rFonts w:ascii="Times New Roman" w:hAnsi="Times New Roman"/>
          <w:noProof/>
          <w:sz w:val="24"/>
        </w:rPr>
        <w:t xml:space="preserve"> Ta elastyczność będzie miała zas</w:t>
      </w:r>
      <w:r>
        <w:rPr>
          <w:rFonts w:ascii="Times New Roman" w:hAnsi="Times New Roman"/>
          <w:noProof/>
          <w:sz w:val="24"/>
        </w:rPr>
        <w:t>tosowanie pod warunkiem, że kwota pomocy będzie ustalana przy uwzględnieniu wszelkich dodatkowych dochodów, jakie mogą pochodzić z inwestycji gospodarki o obiegu zamkniętym.</w:t>
      </w:r>
    </w:p>
    <w:tbl>
      <w:tblPr>
        <w:tblStyle w:val="TableGrid"/>
        <w:tblW w:w="0" w:type="auto"/>
        <w:tblLook w:val="04A0" w:firstRow="1" w:lastRow="0" w:firstColumn="1" w:lastColumn="0" w:noHBand="0" w:noVBand="1"/>
      </w:tblPr>
      <w:tblGrid>
        <w:gridCol w:w="9062"/>
      </w:tblGrid>
      <w:tr w:rsidR="00680C29">
        <w:tc>
          <w:tcPr>
            <w:tcW w:w="9062" w:type="dxa"/>
          </w:tcPr>
          <w:p w:rsidR="00680C29" w:rsidRDefault="0082696E">
            <w:pPr>
              <w:spacing w:after="240"/>
              <w:contextualSpacing/>
              <w:jc w:val="both"/>
              <w:rPr>
                <w:rFonts w:ascii="Times New Roman" w:hAnsi="Times New Roman"/>
                <w:b/>
                <w:noProof/>
                <w:sz w:val="28"/>
                <w:szCs w:val="24"/>
              </w:rPr>
            </w:pPr>
            <w:r>
              <w:rPr>
                <w:rFonts w:ascii="Times New Roman" w:hAnsi="Times New Roman"/>
                <w:b/>
                <w:noProof/>
                <w:sz w:val="24"/>
              </w:rPr>
              <w:t>Komisja:</w:t>
            </w:r>
          </w:p>
          <w:p w:rsidR="00680C29" w:rsidRDefault="0082696E">
            <w:pPr>
              <w:pStyle w:val="ListParagraph"/>
              <w:numPr>
                <w:ilvl w:val="0"/>
                <w:numId w:val="46"/>
              </w:numPr>
              <w:spacing w:after="240"/>
              <w:contextualSpacing/>
              <w:jc w:val="both"/>
              <w:rPr>
                <w:rFonts w:ascii="Times New Roman" w:hAnsi="Times New Roman"/>
                <w:b/>
                <w:noProof/>
                <w:sz w:val="28"/>
                <w:szCs w:val="24"/>
              </w:rPr>
            </w:pPr>
            <w:r>
              <w:rPr>
                <w:rFonts w:ascii="Times New Roman" w:hAnsi="Times New Roman"/>
                <w:b/>
                <w:noProof/>
                <w:sz w:val="24"/>
              </w:rPr>
              <w:t>Będzie kontynuować skuteczne wprowadzenie w życie zasad pomocy państwa, k</w:t>
            </w:r>
            <w:r>
              <w:rPr>
                <w:rFonts w:ascii="Times New Roman" w:hAnsi="Times New Roman"/>
                <w:b/>
                <w:noProof/>
                <w:sz w:val="24"/>
              </w:rPr>
              <w:t>tóre mają zasadnicze znaczenie dla transformacji, oraz stosować obowiązujące przepisy w sposób elastyczny w obszarach istotnych dla transformacji w kierunku gospodarki neutralnej dla klimatu.</w:t>
            </w:r>
          </w:p>
          <w:p w:rsidR="00680C29" w:rsidRDefault="00680C29">
            <w:pPr>
              <w:pStyle w:val="ListParagraph"/>
              <w:spacing w:after="240"/>
              <w:contextualSpacing/>
              <w:jc w:val="both"/>
              <w:rPr>
                <w:rFonts w:ascii="Times New Roman" w:hAnsi="Times New Roman"/>
                <w:b/>
                <w:noProof/>
                <w:sz w:val="28"/>
                <w:szCs w:val="24"/>
              </w:rPr>
            </w:pPr>
          </w:p>
          <w:p w:rsidR="00680C29" w:rsidRDefault="0082696E">
            <w:pPr>
              <w:pStyle w:val="ListParagraph"/>
              <w:numPr>
                <w:ilvl w:val="0"/>
                <w:numId w:val="46"/>
              </w:numPr>
              <w:spacing w:after="240"/>
              <w:contextualSpacing/>
              <w:jc w:val="both"/>
              <w:rPr>
                <w:rFonts w:ascii="Times New Roman" w:hAnsi="Times New Roman"/>
                <w:b/>
                <w:noProof/>
                <w:sz w:val="28"/>
                <w:szCs w:val="24"/>
              </w:rPr>
            </w:pPr>
            <w:r>
              <w:rPr>
                <w:rFonts w:ascii="Times New Roman" w:hAnsi="Times New Roman"/>
                <w:b/>
                <w:noProof/>
                <w:sz w:val="24"/>
              </w:rPr>
              <w:t>Do 2021 r. dokona nowelizacji zasad pomocy państwa, aby uwzględ</w:t>
            </w:r>
            <w:r>
              <w:rPr>
                <w:rFonts w:ascii="Times New Roman" w:hAnsi="Times New Roman"/>
                <w:b/>
                <w:noProof/>
                <w:sz w:val="24"/>
              </w:rPr>
              <w:t>nić cele polityczne Europejskiego Zielonego Ładu, wspierając racjonalną pod względem kosztów transformację w kierunku neutralności klimatycznej do 2050 r.</w:t>
            </w:r>
          </w:p>
        </w:tc>
      </w:tr>
    </w:tbl>
    <w:p w:rsidR="00680C29" w:rsidRDefault="00680C29">
      <w:pPr>
        <w:spacing w:after="240"/>
        <w:contextualSpacing/>
        <w:jc w:val="both"/>
        <w:rPr>
          <w:rFonts w:ascii="Times New Roman" w:hAnsi="Times New Roman"/>
          <w:b/>
          <w:noProof/>
          <w:sz w:val="28"/>
          <w:szCs w:val="24"/>
        </w:rPr>
      </w:pPr>
    </w:p>
    <w:p w:rsidR="00680C29" w:rsidRDefault="00680C29">
      <w:pPr>
        <w:spacing w:after="240"/>
        <w:contextualSpacing/>
        <w:jc w:val="both"/>
        <w:rPr>
          <w:rFonts w:ascii="Times New Roman" w:hAnsi="Times New Roman"/>
          <w:b/>
          <w:noProof/>
          <w:sz w:val="28"/>
          <w:szCs w:val="24"/>
        </w:rPr>
      </w:pPr>
    </w:p>
    <w:p w:rsidR="00680C29" w:rsidRDefault="0082696E">
      <w:pPr>
        <w:pStyle w:val="Heading1"/>
        <w:spacing w:before="240" w:after="240"/>
        <w:rPr>
          <w:noProof/>
        </w:rPr>
      </w:pPr>
      <w:r>
        <w:rPr>
          <w:noProof/>
        </w:rPr>
        <w:t xml:space="preserve">Wykonanie: stworzenie wykazu zrównoważonych projektów </w:t>
      </w:r>
    </w:p>
    <w:p w:rsidR="00680C29" w:rsidRDefault="0082696E">
      <w:pPr>
        <w:pStyle w:val="ListParagraph"/>
        <w:spacing w:after="240"/>
        <w:ind w:left="0"/>
        <w:contextualSpacing/>
        <w:jc w:val="both"/>
        <w:rPr>
          <w:rFonts w:ascii="Times New Roman" w:hAnsi="Times New Roman"/>
          <w:noProof/>
          <w:sz w:val="28"/>
          <w:szCs w:val="24"/>
        </w:rPr>
      </w:pPr>
      <w:r>
        <w:rPr>
          <w:rFonts w:ascii="Times New Roman" w:hAnsi="Times New Roman"/>
          <w:b/>
          <w:noProof/>
          <w:sz w:val="24"/>
        </w:rPr>
        <w:t xml:space="preserve">W obecnych warunkach wysokiej płynności </w:t>
      </w:r>
      <w:r>
        <w:rPr>
          <w:rFonts w:ascii="Times New Roman" w:hAnsi="Times New Roman"/>
          <w:b/>
          <w:noProof/>
          <w:sz w:val="24"/>
        </w:rPr>
        <w:t>rynkowej wyzwanie stanowi stworzenie solidnego wykazu projektów inwestycyjnych zgodnych z Europejskim Zielonym Ładem</w:t>
      </w:r>
      <w:r>
        <w:rPr>
          <w:rFonts w:ascii="Times New Roman" w:hAnsi="Times New Roman"/>
          <w:noProof/>
          <w:sz w:val="24"/>
        </w:rPr>
        <w:t>. Dostępność projektów inwestycyjnych spełniających oczekiwania i wymogi inwestorów wciąż nie dorównuje popytowi. Dostępne źródła finansowan</w:t>
      </w:r>
      <w:r>
        <w:rPr>
          <w:rFonts w:ascii="Times New Roman" w:hAnsi="Times New Roman"/>
          <w:noProof/>
          <w:sz w:val="24"/>
        </w:rPr>
        <w:t>ia nie są wyczerpane. Wsparcie w postaci doradztwa dla promotorów projektów okazuje się być bardzo skuteczne w wypełnianiu luki między koncepcją a racjonalnym z ekonomicznego punktu widzenia projektem.</w:t>
      </w:r>
    </w:p>
    <w:p w:rsidR="00680C29" w:rsidRDefault="0082696E">
      <w:pPr>
        <w:spacing w:after="240"/>
        <w:jc w:val="both"/>
        <w:rPr>
          <w:rFonts w:ascii="Times New Roman" w:hAnsi="Times New Roman"/>
          <w:noProof/>
          <w:sz w:val="24"/>
          <w:szCs w:val="24"/>
        </w:rPr>
      </w:pPr>
      <w:r>
        <w:rPr>
          <w:rFonts w:ascii="Times New Roman" w:hAnsi="Times New Roman"/>
          <w:b/>
          <w:noProof/>
          <w:sz w:val="24"/>
        </w:rPr>
        <w:t>W oparciu o ustalone priorytety pomoc techniczna i dor</w:t>
      </w:r>
      <w:r>
        <w:rPr>
          <w:rFonts w:ascii="Times New Roman" w:hAnsi="Times New Roman"/>
          <w:b/>
          <w:noProof/>
          <w:sz w:val="24"/>
        </w:rPr>
        <w:t>adztwo będą pomocne w identyfikowaniu i przygotowywaniu zrównoważonych projektów oraz będą zapewniać budowanie potencjału promotorom projektów, aby ułatwić im dostęp do finansowania.</w:t>
      </w:r>
      <w:r>
        <w:rPr>
          <w:rFonts w:ascii="Times New Roman" w:hAnsi="Times New Roman"/>
          <w:noProof/>
          <w:sz w:val="24"/>
        </w:rPr>
        <w:t xml:space="preserve"> Wsparcie to zostanie zorganizowane na różnych poziomach – od pomagania ad</w:t>
      </w:r>
      <w:r>
        <w:rPr>
          <w:rFonts w:ascii="Times New Roman" w:hAnsi="Times New Roman"/>
          <w:noProof/>
          <w:sz w:val="24"/>
        </w:rPr>
        <w:t xml:space="preserve">ministracjom publicznym w określaniu planów inwestycyjnych po wsparcie dla indywidualnych, publicznych i prywatnych promotorów projektów w rozwijaniu i realizacji konkretnych projektów. </w:t>
      </w:r>
    </w:p>
    <w:p w:rsidR="00680C29" w:rsidRDefault="0082696E">
      <w:pPr>
        <w:pStyle w:val="Heading3"/>
        <w:spacing w:after="240"/>
        <w:rPr>
          <w:noProof/>
        </w:rPr>
      </w:pPr>
      <w:r>
        <w:rPr>
          <w:noProof/>
        </w:rPr>
        <w:t>Wsparcie dla administracji</w:t>
      </w:r>
    </w:p>
    <w:p w:rsidR="00680C29" w:rsidRDefault="0082696E">
      <w:pPr>
        <w:spacing w:after="240"/>
        <w:jc w:val="both"/>
        <w:rPr>
          <w:rFonts w:ascii="Times New Roman" w:hAnsi="Times New Roman"/>
          <w:noProof/>
          <w:sz w:val="28"/>
          <w:szCs w:val="24"/>
        </w:rPr>
      </w:pPr>
      <w:r>
        <w:rPr>
          <w:rFonts w:ascii="Times New Roman" w:hAnsi="Times New Roman"/>
          <w:b/>
          <w:noProof/>
          <w:sz w:val="24"/>
        </w:rPr>
        <w:t>Program wspierania reform strukturalnych (</w:t>
      </w:r>
      <w:r>
        <w:rPr>
          <w:rFonts w:ascii="Times New Roman" w:hAnsi="Times New Roman"/>
          <w:b/>
          <w:noProof/>
          <w:sz w:val="24"/>
        </w:rPr>
        <w:t xml:space="preserve">i jego następca – Program wspierania reform) zapewniać będzie państwom członkowskim wsparcie techniczne w planowaniu i wdrażaniu reform mających na celu urzeczywistnienie podwójnej transformacji – klimatycznej i cyfrowej. </w:t>
      </w:r>
      <w:r>
        <w:rPr>
          <w:rFonts w:ascii="Times New Roman" w:hAnsi="Times New Roman"/>
          <w:noProof/>
          <w:sz w:val="24"/>
        </w:rPr>
        <w:t>Ograniczone zdolności administracj</w:t>
      </w:r>
      <w:r>
        <w:rPr>
          <w:rFonts w:ascii="Times New Roman" w:hAnsi="Times New Roman"/>
          <w:noProof/>
          <w:sz w:val="24"/>
        </w:rPr>
        <w:t>i publicznych szczebla krajowego, regionalnego i lokalnego w państwach członkowskich oraz ich niska świadomość i wiedza fachowa na temat zrównoważonego rozwoju to jedne z głównych przeszkód hamujących inwestycje w zrównoważoną infrastrukturę i ochronę środ</w:t>
      </w:r>
      <w:r>
        <w:rPr>
          <w:rFonts w:ascii="Times New Roman" w:hAnsi="Times New Roman"/>
          <w:noProof/>
          <w:sz w:val="24"/>
        </w:rPr>
        <w:t>owiska.</w:t>
      </w:r>
      <w:r>
        <w:rPr>
          <w:rFonts w:ascii="Times New Roman" w:hAnsi="Times New Roman"/>
          <w:b/>
          <w:noProof/>
          <w:sz w:val="24"/>
        </w:rPr>
        <w:t xml:space="preserve"> </w:t>
      </w:r>
      <w:r>
        <w:rPr>
          <w:rFonts w:ascii="Times New Roman" w:hAnsi="Times New Roman"/>
          <w:noProof/>
          <w:sz w:val="24"/>
        </w:rPr>
        <w:t>Program pomoże zidentyfikować możliwości potencjalnych inwestycji w czystą energię lub działania mające na celu przyspieszenie tempa inwestycji w efektywność energetyczną budynków. Za pośrednictwem Programu wspierania reform Komisja wspiera też pań</w:t>
      </w:r>
      <w:r>
        <w:rPr>
          <w:rFonts w:ascii="Times New Roman" w:hAnsi="Times New Roman"/>
          <w:noProof/>
          <w:sz w:val="24"/>
        </w:rPr>
        <w:t xml:space="preserve">stwa członkowskie w opracowywaniu planów działania dotyczących gospodarki o obiegu zamkniętym, ekologicznego planowania budżetu lub zrównoważonego finansowania i inwestowania. </w:t>
      </w:r>
    </w:p>
    <w:p w:rsidR="00680C29" w:rsidRDefault="0082696E">
      <w:pPr>
        <w:pStyle w:val="Heading3"/>
        <w:spacing w:after="240"/>
        <w:rPr>
          <w:noProof/>
        </w:rPr>
      </w:pPr>
      <w:r>
        <w:rPr>
          <w:noProof/>
        </w:rPr>
        <w:t xml:space="preserve">Wspieranie promotorów projektów </w:t>
      </w:r>
    </w:p>
    <w:p w:rsidR="00680C29" w:rsidRDefault="0082696E">
      <w:pPr>
        <w:spacing w:after="240"/>
        <w:contextualSpacing/>
        <w:jc w:val="both"/>
        <w:rPr>
          <w:rFonts w:ascii="Times New Roman" w:hAnsi="Times New Roman"/>
          <w:noProof/>
          <w:sz w:val="28"/>
          <w:szCs w:val="24"/>
        </w:rPr>
      </w:pPr>
      <w:r>
        <w:rPr>
          <w:rFonts w:ascii="Times New Roman" w:hAnsi="Times New Roman"/>
          <w:b/>
          <w:noProof/>
          <w:sz w:val="24"/>
        </w:rPr>
        <w:t>Na poziomie promotorów projektów Centrum Dorad</w:t>
      </w:r>
      <w:r>
        <w:rPr>
          <w:rFonts w:ascii="Times New Roman" w:hAnsi="Times New Roman"/>
          <w:b/>
          <w:noProof/>
          <w:sz w:val="24"/>
        </w:rPr>
        <w:t>ztwa InvestEU oraz inicjatywy doradcze opracowane w ramach Programu InvestEU, które zgodnie z wnioskiem Komisji dysponować będą łącznym budżetem w wysokości 500 mln EUR, wspierać będą identyfikację, przygotowanie, rozwój, organizację, przetargi i realizacj</w:t>
      </w:r>
      <w:r>
        <w:rPr>
          <w:rFonts w:ascii="Times New Roman" w:hAnsi="Times New Roman"/>
          <w:b/>
          <w:noProof/>
          <w:sz w:val="24"/>
        </w:rPr>
        <w:t>ę projektów inwestycyjnych</w:t>
      </w:r>
      <w:r>
        <w:rPr>
          <w:rFonts w:ascii="Times New Roman" w:hAnsi="Times New Roman"/>
          <w:noProof/>
          <w:sz w:val="24"/>
        </w:rPr>
        <w:t>. W razie potrzeby możliwe będzie również zwiększenie zdolności promotorów i pośredników finansowych w zakresie operacji finansowych i inwestycyjnych. Ta kompleksowa oferta usług uwzględniać będzie również aspekty związane ze zrów</w:t>
      </w:r>
      <w:r>
        <w:rPr>
          <w:rFonts w:ascii="Times New Roman" w:hAnsi="Times New Roman"/>
          <w:noProof/>
          <w:sz w:val="24"/>
        </w:rPr>
        <w:t xml:space="preserve">noważonym rozwojem. </w:t>
      </w:r>
    </w:p>
    <w:p w:rsidR="00680C29" w:rsidRDefault="00680C29">
      <w:pPr>
        <w:spacing w:after="240"/>
        <w:contextualSpacing/>
        <w:jc w:val="both"/>
        <w:rPr>
          <w:rFonts w:ascii="Times New Roman" w:hAnsi="Times New Roman"/>
          <w:noProof/>
          <w:sz w:val="28"/>
          <w:szCs w:val="24"/>
        </w:rPr>
      </w:pPr>
    </w:p>
    <w:p w:rsidR="00680C29" w:rsidRDefault="0082696E">
      <w:pPr>
        <w:spacing w:after="240"/>
        <w:contextualSpacing/>
        <w:jc w:val="both"/>
        <w:rPr>
          <w:rFonts w:ascii="Times New Roman" w:hAnsi="Times New Roman"/>
          <w:noProof/>
          <w:sz w:val="28"/>
          <w:szCs w:val="24"/>
        </w:rPr>
      </w:pPr>
      <w:r>
        <w:rPr>
          <w:rFonts w:ascii="Times New Roman" w:hAnsi="Times New Roman"/>
          <w:b/>
          <w:noProof/>
          <w:sz w:val="24"/>
        </w:rPr>
        <w:t>Centrum Doradztwa InvestEU stanowić będzie pojedynczy punkt kontaktowy dla publicznych i prywatnych promotorów projektów oraz pośredników finansowych w zakresie realizowania operacji finansowych i inwestycyjnych na rzecz podmiotów maj</w:t>
      </w:r>
      <w:r>
        <w:rPr>
          <w:rFonts w:ascii="Times New Roman" w:hAnsi="Times New Roman"/>
          <w:b/>
          <w:noProof/>
          <w:sz w:val="24"/>
        </w:rPr>
        <w:t>ących trudności z uzyskaniem dostępu do finansowania</w:t>
      </w:r>
      <w:r>
        <w:rPr>
          <w:rFonts w:ascii="Times New Roman" w:hAnsi="Times New Roman"/>
          <w:noProof/>
          <w:sz w:val="24"/>
        </w:rPr>
        <w:t xml:space="preserve">. Częścią tego Centrum będzie też JASPERS – wspólna inicjatywa Komisji i Europejskiego Banku Inwestycyjnego na rzecz rozwoju projektów objętych funduszami strukturalnymi. Do inicjatyw doradczych w ramach </w:t>
      </w:r>
      <w:r>
        <w:rPr>
          <w:rFonts w:ascii="Times New Roman" w:hAnsi="Times New Roman"/>
          <w:noProof/>
          <w:sz w:val="24"/>
        </w:rPr>
        <w:t>Centrum Doradztwa InvestEU mogłaby należeć także kontynuacja programu europejskiego wsparcia energetyki na poziomie lokalnym mająca na celu wsparcie lokalnych projektów w dziedzinie zrównoważonej energii i ekologicznego transportu. Mogłyby to być również i</w:t>
      </w:r>
      <w:r>
        <w:rPr>
          <w:rFonts w:ascii="Times New Roman" w:hAnsi="Times New Roman"/>
          <w:noProof/>
          <w:sz w:val="24"/>
        </w:rPr>
        <w:t>nne inicjatywy doradcze w ramach segmentu na rzecz zrównoważonej infrastruktury, zapewniające wsparcie w zakresie projektowania operacji finansowych i inwestycyjnych zrównoważonych projektów w kluczowych obszarach infrastruktury (transport, energia, środow</w:t>
      </w:r>
      <w:r>
        <w:rPr>
          <w:rFonts w:ascii="Times New Roman" w:hAnsi="Times New Roman"/>
          <w:noProof/>
          <w:sz w:val="24"/>
        </w:rPr>
        <w:t>isko, sieci szerokopasmowe i łączność cyfrowa). Szczególna uwaga zostanie poświęcona także pomocy technicznej dla projektów promujących kapitał naturalny i rozwiązania oparte na zasobach przyrody.</w:t>
      </w:r>
    </w:p>
    <w:p w:rsidR="00680C29" w:rsidRDefault="0082696E">
      <w:pPr>
        <w:pStyle w:val="ListParagraph"/>
        <w:spacing w:after="240"/>
        <w:ind w:left="0"/>
        <w:contextualSpacing/>
        <w:jc w:val="both"/>
        <w:rPr>
          <w:rFonts w:ascii="Times New Roman" w:hAnsi="Times New Roman"/>
          <w:noProof/>
          <w:sz w:val="28"/>
          <w:szCs w:val="24"/>
        </w:rPr>
      </w:pPr>
      <w:r>
        <w:rPr>
          <w:rFonts w:ascii="Times New Roman" w:hAnsi="Times New Roman"/>
          <w:b/>
          <w:noProof/>
          <w:sz w:val="24"/>
        </w:rPr>
        <w:t>Inwestorzy publiczni skorzystają z dostosowanego do ich pot</w:t>
      </w:r>
      <w:r>
        <w:rPr>
          <w:rFonts w:ascii="Times New Roman" w:hAnsi="Times New Roman"/>
          <w:b/>
          <w:noProof/>
          <w:sz w:val="24"/>
        </w:rPr>
        <w:t>rzeb wsparcia w zakresie sposobów wdrażania projektów w praktyce</w:t>
      </w:r>
      <w:r>
        <w:rPr>
          <w:rFonts w:ascii="Times New Roman" w:hAnsi="Times New Roman"/>
          <w:noProof/>
          <w:sz w:val="24"/>
        </w:rPr>
        <w:t xml:space="preserve">. Nowo wprowadzony „instrument kontroli zrównoważonych zamówień publicznych” – oparty na obowiązującym dobrowolnym mechanizmie </w:t>
      </w:r>
      <w:r>
        <w:rPr>
          <w:rFonts w:ascii="Times New Roman" w:hAnsi="Times New Roman"/>
          <w:i/>
          <w:iCs/>
          <w:noProof/>
          <w:sz w:val="24"/>
        </w:rPr>
        <w:t>ex ante</w:t>
      </w:r>
      <w:r>
        <w:rPr>
          <w:rFonts w:ascii="Times New Roman" w:hAnsi="Times New Roman"/>
          <w:noProof/>
          <w:sz w:val="24"/>
        </w:rPr>
        <w:t xml:space="preserve"> dla dużych projektów infrastruktury – pomoże wykorzystać </w:t>
      </w:r>
      <w:r>
        <w:rPr>
          <w:rFonts w:ascii="Times New Roman" w:hAnsi="Times New Roman"/>
          <w:noProof/>
          <w:sz w:val="24"/>
        </w:rPr>
        <w:t>wszystkie możliwości, by zamówienia stały się bardziej ekologiczne, oraz zagwarantować zrównoważony charakter projektów i poszanowanie najwyższych norm środowiskowych w całym łańcuchu dostaw.</w:t>
      </w:r>
    </w:p>
    <w:p w:rsidR="00680C29" w:rsidRDefault="0082696E">
      <w:pPr>
        <w:pStyle w:val="Heading3"/>
        <w:spacing w:after="240"/>
        <w:rPr>
          <w:noProof/>
        </w:rPr>
      </w:pPr>
      <w:r>
        <w:rPr>
          <w:noProof/>
        </w:rPr>
        <w:t>Zapewnianie spójności i widoczności</w:t>
      </w:r>
    </w:p>
    <w:p w:rsidR="00680C29" w:rsidRDefault="0082696E">
      <w:pPr>
        <w:spacing w:after="240"/>
        <w:contextualSpacing/>
        <w:jc w:val="both"/>
        <w:rPr>
          <w:rFonts w:ascii="Times New Roman" w:hAnsi="Times New Roman"/>
          <w:noProof/>
          <w:sz w:val="28"/>
          <w:szCs w:val="24"/>
        </w:rPr>
      </w:pPr>
      <w:r>
        <w:rPr>
          <w:rFonts w:ascii="Times New Roman" w:hAnsi="Times New Roman"/>
          <w:b/>
          <w:noProof/>
          <w:sz w:val="24"/>
        </w:rPr>
        <w:t>Komisja zapewni, by w stosow</w:t>
      </w:r>
      <w:r>
        <w:rPr>
          <w:rFonts w:ascii="Times New Roman" w:hAnsi="Times New Roman"/>
          <w:b/>
          <w:noProof/>
          <w:sz w:val="24"/>
        </w:rPr>
        <w:t>nych przypadkach wsparcie dla administracji publicznych i każdego projektu było udzielane w skoordynowany sposób</w:t>
      </w:r>
      <w:r>
        <w:rPr>
          <w:rFonts w:ascii="Times New Roman" w:hAnsi="Times New Roman"/>
          <w:noProof/>
          <w:sz w:val="24"/>
        </w:rPr>
        <w:t>. Działania Komisji w zakresie budowania zdolności i strategicznego planowania przynoszą pozytywne rezultaty, które można powtórzyć i rozszerzyć</w:t>
      </w:r>
      <w:r>
        <w:rPr>
          <w:rFonts w:ascii="Times New Roman" w:hAnsi="Times New Roman"/>
          <w:noProof/>
          <w:sz w:val="24"/>
        </w:rPr>
        <w:t xml:space="preserve"> do celów Zielonego Ładu. Obecna bliska współpraca służb Komisji i Europejskiego Centrum Doradztwa Inwestycyjnego w zakresie wsparcia dla krajowych banków prorozwojowych i projektów inwestycyjnych zostanie rozszerzona w ramach odpowiednich kolejnych progra</w:t>
      </w:r>
      <w:r>
        <w:rPr>
          <w:rFonts w:ascii="Times New Roman" w:hAnsi="Times New Roman"/>
          <w:noProof/>
          <w:sz w:val="24"/>
        </w:rPr>
        <w:t>mów następnych wieloletnich ram finansowych, aby wzmocnić tworzenie i realizowanie wykazów zrównoważonych projektów inwestycyjnych.</w:t>
      </w:r>
    </w:p>
    <w:p w:rsidR="00680C29" w:rsidRDefault="00680C29">
      <w:pPr>
        <w:spacing w:after="240"/>
        <w:contextualSpacing/>
        <w:jc w:val="both"/>
        <w:rPr>
          <w:rFonts w:ascii="Times New Roman" w:hAnsi="Times New Roman"/>
          <w:b/>
          <w:noProof/>
          <w:sz w:val="28"/>
          <w:szCs w:val="24"/>
        </w:rPr>
      </w:pPr>
    </w:p>
    <w:p w:rsidR="00680C29" w:rsidRDefault="0082696E">
      <w:pPr>
        <w:spacing w:after="240"/>
        <w:contextualSpacing/>
        <w:jc w:val="both"/>
        <w:rPr>
          <w:rFonts w:ascii="Times New Roman" w:hAnsi="Times New Roman"/>
          <w:noProof/>
          <w:sz w:val="28"/>
          <w:szCs w:val="24"/>
        </w:rPr>
      </w:pPr>
      <w:r>
        <w:rPr>
          <w:rFonts w:ascii="Times New Roman" w:hAnsi="Times New Roman"/>
          <w:b/>
          <w:noProof/>
          <w:sz w:val="24"/>
        </w:rPr>
        <w:t xml:space="preserve">Portal InvestEU bazujący na obecnym europejskim portalu projektów inwestycyjnych oferować będzie w dalszym ciągu bezpłatny </w:t>
      </w:r>
      <w:r>
        <w:rPr>
          <w:rFonts w:ascii="Times New Roman" w:hAnsi="Times New Roman"/>
          <w:b/>
          <w:noProof/>
          <w:sz w:val="24"/>
        </w:rPr>
        <w:t>i przyjazny dla użytkownika serwis internetowy zapewniający unijnym przedsiębiorstwom i promotorom projektów, którzy poszukują źródeł finansowania, możliwości zaprezentowania się i budowania sieci kontaktów w relacjach z inwestorami na całym świecie</w:t>
      </w:r>
      <w:r>
        <w:rPr>
          <w:rFonts w:ascii="Times New Roman" w:hAnsi="Times New Roman"/>
          <w:noProof/>
          <w:sz w:val="24"/>
        </w:rPr>
        <w:t>. Celem</w:t>
      </w:r>
      <w:r>
        <w:rPr>
          <w:rFonts w:ascii="Times New Roman" w:hAnsi="Times New Roman"/>
          <w:noProof/>
          <w:sz w:val="24"/>
        </w:rPr>
        <w:t xml:space="preserve"> portalu będzie też dostarczenie wykazu zlokalizowanych w UE projektów inwestycyjnych partnerom wykonawczym InvestEU, którzy analizować będą projekty wchodzące w zakres ich działalności i zasięgu geograficznego. </w:t>
      </w:r>
    </w:p>
    <w:p w:rsidR="00680C29" w:rsidRDefault="00680C29">
      <w:pPr>
        <w:spacing w:after="240"/>
        <w:contextualSpacing/>
        <w:jc w:val="both"/>
        <w:rPr>
          <w:rFonts w:ascii="Times New Roman" w:hAnsi="Times New Roman"/>
          <w:noProof/>
          <w:sz w:val="24"/>
          <w:szCs w:val="24"/>
        </w:rPr>
      </w:pPr>
    </w:p>
    <w:tbl>
      <w:tblPr>
        <w:tblStyle w:val="TableGrid1"/>
        <w:tblW w:w="0" w:type="auto"/>
        <w:tblLook w:val="04A0" w:firstRow="1" w:lastRow="0" w:firstColumn="1" w:lastColumn="0" w:noHBand="0" w:noVBand="1"/>
      </w:tblPr>
      <w:tblGrid>
        <w:gridCol w:w="9062"/>
      </w:tblGrid>
      <w:tr w:rsidR="00680C29">
        <w:tc>
          <w:tcPr>
            <w:tcW w:w="9062" w:type="dxa"/>
          </w:tcPr>
          <w:p w:rsidR="00680C29" w:rsidRDefault="0082696E">
            <w:pPr>
              <w:spacing w:after="240"/>
              <w:contextualSpacing/>
              <w:jc w:val="both"/>
              <w:rPr>
                <w:rFonts w:ascii="Times New Roman" w:hAnsi="Times New Roman"/>
                <w:b/>
                <w:noProof/>
                <w:sz w:val="28"/>
                <w:szCs w:val="24"/>
              </w:rPr>
            </w:pPr>
            <w:r>
              <w:rPr>
                <w:rFonts w:ascii="Times New Roman" w:hAnsi="Times New Roman"/>
                <w:b/>
                <w:noProof/>
                <w:sz w:val="24"/>
              </w:rPr>
              <w:t>Komisja:</w:t>
            </w:r>
          </w:p>
          <w:p w:rsidR="00680C29" w:rsidRDefault="00680C29">
            <w:pPr>
              <w:spacing w:after="240"/>
              <w:contextualSpacing/>
              <w:jc w:val="both"/>
              <w:rPr>
                <w:rFonts w:ascii="Times New Roman" w:hAnsi="Times New Roman"/>
                <w:b/>
                <w:noProof/>
                <w:sz w:val="28"/>
                <w:szCs w:val="24"/>
              </w:rPr>
            </w:pPr>
          </w:p>
          <w:p w:rsidR="00680C29" w:rsidRDefault="0082696E">
            <w:pPr>
              <w:numPr>
                <w:ilvl w:val="0"/>
                <w:numId w:val="47"/>
              </w:numPr>
              <w:spacing w:after="240"/>
              <w:ind w:left="714" w:hanging="357"/>
              <w:jc w:val="both"/>
              <w:rPr>
                <w:rFonts w:ascii="Times New Roman" w:hAnsi="Times New Roman"/>
                <w:b/>
                <w:noProof/>
                <w:sz w:val="28"/>
                <w:szCs w:val="24"/>
              </w:rPr>
            </w:pPr>
            <w:r>
              <w:rPr>
                <w:rFonts w:ascii="Times New Roman" w:hAnsi="Times New Roman"/>
                <w:b/>
                <w:noProof/>
                <w:sz w:val="24"/>
              </w:rPr>
              <w:t>Za pośrednictwem Programu wspi</w:t>
            </w:r>
            <w:r>
              <w:rPr>
                <w:rFonts w:ascii="Times New Roman" w:hAnsi="Times New Roman"/>
                <w:b/>
                <w:noProof/>
                <w:sz w:val="24"/>
              </w:rPr>
              <w:t xml:space="preserve">erania reform zapewniać będzie państwom członkowskim wsparcie techniczne w projektowaniu i realizacji reform sprzyjających wzrostowi, w tym w opracowywaniu strategii zrównoważonych inwestycji. </w:t>
            </w:r>
          </w:p>
          <w:p w:rsidR="00680C29" w:rsidRDefault="0082696E">
            <w:pPr>
              <w:numPr>
                <w:ilvl w:val="0"/>
                <w:numId w:val="47"/>
              </w:numPr>
              <w:spacing w:after="240"/>
              <w:ind w:left="714" w:hanging="357"/>
              <w:jc w:val="both"/>
              <w:rPr>
                <w:rFonts w:ascii="Times New Roman" w:hAnsi="Times New Roman"/>
                <w:b/>
                <w:noProof/>
                <w:sz w:val="28"/>
                <w:szCs w:val="24"/>
              </w:rPr>
            </w:pPr>
            <w:r>
              <w:rPr>
                <w:rFonts w:ascii="Times New Roman" w:hAnsi="Times New Roman"/>
                <w:b/>
                <w:noProof/>
                <w:sz w:val="24"/>
              </w:rPr>
              <w:t>Za pośrednictwem Centrum Doradztwa InvestEU zapewniać będzie d</w:t>
            </w:r>
            <w:r>
              <w:rPr>
                <w:rFonts w:ascii="Times New Roman" w:hAnsi="Times New Roman"/>
                <w:b/>
                <w:noProof/>
                <w:sz w:val="24"/>
              </w:rPr>
              <w:t>ostosowane do potrzeb usługi doradcze prywatnym i publicznym promotorom zrównoważonych projektów.</w:t>
            </w:r>
          </w:p>
          <w:p w:rsidR="00680C29" w:rsidRDefault="0082696E">
            <w:pPr>
              <w:numPr>
                <w:ilvl w:val="0"/>
                <w:numId w:val="47"/>
              </w:numPr>
              <w:spacing w:after="240"/>
              <w:ind w:left="714" w:hanging="357"/>
              <w:jc w:val="both"/>
              <w:rPr>
                <w:rFonts w:ascii="Times New Roman" w:hAnsi="Times New Roman"/>
                <w:noProof/>
                <w:sz w:val="24"/>
                <w:szCs w:val="24"/>
              </w:rPr>
            </w:pPr>
            <w:r>
              <w:rPr>
                <w:rFonts w:ascii="Times New Roman" w:hAnsi="Times New Roman"/>
                <w:b/>
                <w:noProof/>
                <w:sz w:val="24"/>
              </w:rPr>
              <w:t>Przedstawi wniosek w sprawie „instrumentu kontroli zrównoważonych zamówień publicznych” zapewniającego ekologizację publicznych projektów infrastruktury</w:t>
            </w:r>
            <w:r>
              <w:rPr>
                <w:rFonts w:ascii="Times New Roman" w:hAnsi="Times New Roman"/>
                <w:noProof/>
                <w:sz w:val="24"/>
              </w:rPr>
              <w:t>.</w:t>
            </w:r>
          </w:p>
        </w:tc>
      </w:tr>
    </w:tbl>
    <w:p w:rsidR="00680C29" w:rsidRDefault="0082696E">
      <w:pPr>
        <w:pStyle w:val="Heading1"/>
        <w:spacing w:before="240" w:after="240"/>
        <w:rPr>
          <w:noProof/>
        </w:rPr>
      </w:pPr>
      <w:r>
        <w:rPr>
          <w:noProof/>
        </w:rPr>
        <w:t>Mechanizm sprawiedliwej transformacji</w:t>
      </w:r>
    </w:p>
    <w:p w:rsidR="00680C29" w:rsidRDefault="0082696E">
      <w:pPr>
        <w:spacing w:after="240"/>
        <w:jc w:val="both"/>
        <w:rPr>
          <w:rFonts w:ascii="Times New Roman" w:hAnsi="Times New Roman"/>
          <w:noProof/>
          <w:sz w:val="28"/>
          <w:szCs w:val="24"/>
        </w:rPr>
      </w:pPr>
      <w:r>
        <w:rPr>
          <w:rFonts w:ascii="Times New Roman" w:hAnsi="Times New Roman"/>
          <w:b/>
          <w:noProof/>
          <w:sz w:val="24"/>
        </w:rPr>
        <w:t>Transformacja w kierunku zrównoważonej i neutralnej dla klimatu gospodarki wymagać będzie znacznych inwestycji w całej Europie oraz silnego odzewu politycznego na wszystkich szczeblach</w:t>
      </w:r>
      <w:r>
        <w:rPr>
          <w:rFonts w:ascii="Times New Roman" w:hAnsi="Times New Roman"/>
          <w:noProof/>
          <w:sz w:val="24"/>
        </w:rPr>
        <w:t>. Choć wszystkie regiony potrzebow</w:t>
      </w:r>
      <w:r>
        <w:rPr>
          <w:rFonts w:ascii="Times New Roman" w:hAnsi="Times New Roman"/>
          <w:noProof/>
          <w:sz w:val="24"/>
        </w:rPr>
        <w:t xml:space="preserve">ać będą finansowania zielonej transformacji, dla niektórych terytoriów będzie to istotne wyzwanie. Neutralność klimatyczna wymagać będzie zasadniczej restrukturyzacji gospodarki, strukturalnych zmian modeli biznesowych oraz nowych umiejętności. W procesie </w:t>
      </w:r>
      <w:r>
        <w:rPr>
          <w:rFonts w:ascii="Times New Roman" w:hAnsi="Times New Roman"/>
          <w:noProof/>
          <w:sz w:val="24"/>
        </w:rPr>
        <w:t xml:space="preserve">transformacji, który nie pomija nikogo, należy te kwestie uwzględnić i odpowiednio rozwiązać. </w:t>
      </w:r>
    </w:p>
    <w:p w:rsidR="00680C29" w:rsidRDefault="0082696E">
      <w:pPr>
        <w:spacing w:after="240"/>
        <w:jc w:val="both"/>
        <w:rPr>
          <w:rFonts w:ascii="Times New Roman" w:hAnsi="Times New Roman"/>
          <w:noProof/>
          <w:sz w:val="28"/>
          <w:szCs w:val="24"/>
        </w:rPr>
      </w:pPr>
      <w:r>
        <w:rPr>
          <w:rFonts w:ascii="Times New Roman" w:hAnsi="Times New Roman"/>
          <w:b/>
          <w:noProof/>
          <w:sz w:val="24"/>
        </w:rPr>
        <w:t>Wydobycie i poszukiwanie paliw kopalnych ulegnie znacznemu ograniczeniu, zaś rodzaje działalności charakteryzujące się wysoką intensywnością emisji gazów cieplar</w:t>
      </w:r>
      <w:r>
        <w:rPr>
          <w:rFonts w:ascii="Times New Roman" w:hAnsi="Times New Roman"/>
          <w:b/>
          <w:noProof/>
          <w:sz w:val="24"/>
        </w:rPr>
        <w:t>nianych zostaną poddane głębokiej transformacji</w:t>
      </w:r>
      <w:r>
        <w:rPr>
          <w:rFonts w:ascii="Times New Roman" w:hAnsi="Times New Roman"/>
          <w:noProof/>
          <w:sz w:val="24"/>
        </w:rPr>
        <w:t>. Regiony i terytoria, które są wysoce uzależnione od tych gałęzi działalności, będą musiały zrestrukturyzować swój przemysł, zapewnić, aby nowe działalności gospodarcze były w stanie utrzymać stabilność gospo</w:t>
      </w:r>
      <w:r>
        <w:rPr>
          <w:rFonts w:ascii="Times New Roman" w:hAnsi="Times New Roman"/>
          <w:noProof/>
          <w:sz w:val="24"/>
        </w:rPr>
        <w:t>darczą i społeczną, oraz zaoferować niezbędne szkolenia pracownikom umożliwiające im znalezienie nowej pracy. Bez odpowiednich środków wspomagających transformacja nie powiedzie się, ponieważ nie będzie ani sprawiedliwa, ani społecznie zrównoważona.</w:t>
      </w:r>
    </w:p>
    <w:p w:rsidR="00680C29" w:rsidRDefault="0082696E">
      <w:pPr>
        <w:spacing w:after="240"/>
        <w:jc w:val="both"/>
        <w:rPr>
          <w:rFonts w:ascii="Times New Roman" w:hAnsi="Times New Roman"/>
          <w:noProof/>
          <w:sz w:val="28"/>
          <w:szCs w:val="24"/>
        </w:rPr>
      </w:pPr>
      <w:r>
        <w:rPr>
          <w:rFonts w:ascii="Times New Roman" w:hAnsi="Times New Roman"/>
          <w:b/>
          <w:noProof/>
          <w:sz w:val="24"/>
        </w:rPr>
        <w:t>Aby za</w:t>
      </w:r>
      <w:r>
        <w:rPr>
          <w:rFonts w:ascii="Times New Roman" w:hAnsi="Times New Roman"/>
          <w:b/>
          <w:noProof/>
          <w:sz w:val="24"/>
        </w:rPr>
        <w:t xml:space="preserve">jąć się specyficznymi problemami niektórych regionów, Komisja proponuje ustanowienie mechanizmu sprawiedliwej transformacji, który zapewnia dostosowane do potrzeb wsparcie mające pobudzić niezbędne inwestycje na tych obszarach. </w:t>
      </w:r>
      <w:r>
        <w:rPr>
          <w:rFonts w:ascii="Times New Roman" w:hAnsi="Times New Roman"/>
          <w:noProof/>
          <w:sz w:val="24"/>
        </w:rPr>
        <w:t>Mechanizm sprawiedliwej tran</w:t>
      </w:r>
      <w:r>
        <w:rPr>
          <w:rFonts w:ascii="Times New Roman" w:hAnsi="Times New Roman"/>
          <w:noProof/>
          <w:sz w:val="24"/>
        </w:rPr>
        <w:t xml:space="preserve">sformacji będzie złożony z trzech filarów: </w:t>
      </w:r>
    </w:p>
    <w:p w:rsidR="00680C29" w:rsidRDefault="0082696E">
      <w:pPr>
        <w:pStyle w:val="ListParagraph"/>
        <w:numPr>
          <w:ilvl w:val="0"/>
          <w:numId w:val="48"/>
        </w:numPr>
        <w:ind w:left="714" w:hanging="357"/>
        <w:jc w:val="both"/>
        <w:rPr>
          <w:rFonts w:ascii="Times New Roman" w:hAnsi="Times New Roman"/>
          <w:noProof/>
          <w:sz w:val="28"/>
          <w:szCs w:val="24"/>
        </w:rPr>
      </w:pPr>
      <w:r>
        <w:rPr>
          <w:rFonts w:ascii="Times New Roman" w:hAnsi="Times New Roman"/>
          <w:noProof/>
          <w:sz w:val="24"/>
        </w:rPr>
        <w:t xml:space="preserve">Funduszu na rzecz Sprawiedliwej Transformacji, </w:t>
      </w:r>
    </w:p>
    <w:p w:rsidR="00680C29" w:rsidRDefault="0082696E">
      <w:pPr>
        <w:pStyle w:val="ListParagraph"/>
        <w:numPr>
          <w:ilvl w:val="0"/>
          <w:numId w:val="48"/>
        </w:numPr>
        <w:ind w:left="714" w:hanging="357"/>
        <w:jc w:val="both"/>
        <w:rPr>
          <w:rFonts w:ascii="Times New Roman" w:hAnsi="Times New Roman"/>
          <w:noProof/>
          <w:sz w:val="28"/>
          <w:szCs w:val="24"/>
        </w:rPr>
      </w:pPr>
      <w:r>
        <w:rPr>
          <w:rFonts w:ascii="Times New Roman" w:hAnsi="Times New Roman"/>
          <w:noProof/>
          <w:sz w:val="24"/>
        </w:rPr>
        <w:t xml:space="preserve">specjalnego systemu sprawiedliwej transformacji w ramach InvestEU oraz </w:t>
      </w:r>
    </w:p>
    <w:p w:rsidR="00680C29" w:rsidRDefault="0082696E">
      <w:pPr>
        <w:pStyle w:val="ListParagraph"/>
        <w:numPr>
          <w:ilvl w:val="0"/>
          <w:numId w:val="48"/>
        </w:numPr>
        <w:ind w:left="714" w:hanging="357"/>
        <w:jc w:val="both"/>
        <w:rPr>
          <w:rFonts w:ascii="Times New Roman" w:hAnsi="Times New Roman"/>
          <w:noProof/>
          <w:sz w:val="28"/>
          <w:szCs w:val="24"/>
        </w:rPr>
      </w:pPr>
      <w:r>
        <w:rPr>
          <w:rFonts w:ascii="Times New Roman" w:hAnsi="Times New Roman"/>
          <w:noProof/>
          <w:sz w:val="24"/>
        </w:rPr>
        <w:t>nowego instrumentu pożyczkowego na rzecz sektora publicznego w celu mobilizowania dodatkowyc</w:t>
      </w:r>
      <w:r>
        <w:rPr>
          <w:rFonts w:ascii="Times New Roman" w:hAnsi="Times New Roman"/>
          <w:noProof/>
          <w:sz w:val="24"/>
        </w:rPr>
        <w:t xml:space="preserve">h inwestycji lewarowanych przez Europejski Bank Inwestycyjny. </w:t>
      </w:r>
    </w:p>
    <w:p w:rsidR="00680C29" w:rsidRDefault="00680C29">
      <w:pPr>
        <w:rPr>
          <w:rFonts w:ascii="Times New Roman" w:hAnsi="Times New Roman"/>
          <w:noProof/>
          <w:sz w:val="24"/>
          <w:szCs w:val="24"/>
        </w:rPr>
      </w:pPr>
    </w:p>
    <w:p w:rsidR="00680C29" w:rsidRDefault="0082696E">
      <w:pPr>
        <w:spacing w:after="240"/>
        <w:jc w:val="center"/>
        <w:rPr>
          <w:rFonts w:ascii="Times New Roman" w:hAnsi="Times New Roman"/>
          <w:b/>
          <w:noProof/>
          <w:sz w:val="28"/>
          <w:szCs w:val="24"/>
        </w:rPr>
      </w:pPr>
      <w:r>
        <w:rPr>
          <w:rFonts w:ascii="Times New Roman" w:hAnsi="Times New Roman"/>
          <w:b/>
          <w:noProof/>
          <w:sz w:val="24"/>
        </w:rPr>
        <w:t>Rysunek 4. Finansowanie mechanizmu sprawiedliwej transformacji</w:t>
      </w:r>
    </w:p>
    <w:p w:rsidR="00680C29" w:rsidRDefault="0082696E">
      <w:pPr>
        <w:spacing w:after="240"/>
        <w:jc w:val="center"/>
        <w:rPr>
          <w:rFonts w:ascii="Times New Roman" w:hAnsi="Times New Roman"/>
          <w:b/>
          <w:noProof/>
          <w:sz w:val="24"/>
          <w:szCs w:val="24"/>
        </w:rPr>
      </w:pPr>
      <w:r>
        <w:rPr>
          <w:noProof/>
          <w:lang w:val="fr-BE" w:eastAsia="fr-BE"/>
        </w:rPr>
        <w:drawing>
          <wp:inline distT="0" distB="0" distL="0" distR="0">
            <wp:extent cx="5760720" cy="447638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476386"/>
                    </a:xfrm>
                    <a:prstGeom prst="rect">
                      <a:avLst/>
                    </a:prstGeom>
                    <a:noFill/>
                    <a:ln>
                      <a:noFill/>
                    </a:ln>
                  </pic:spPr>
                </pic:pic>
              </a:graphicData>
            </a:graphic>
          </wp:inline>
        </w:drawing>
      </w:r>
    </w:p>
    <w:p w:rsidR="00680C29" w:rsidRDefault="0082696E">
      <w:pPr>
        <w:spacing w:after="240"/>
        <w:jc w:val="both"/>
        <w:rPr>
          <w:rFonts w:ascii="Times New Roman" w:hAnsi="Times New Roman"/>
          <w:noProof/>
          <w:sz w:val="28"/>
          <w:szCs w:val="24"/>
        </w:rPr>
      </w:pPr>
      <w:r>
        <w:rPr>
          <w:rFonts w:ascii="Times New Roman" w:hAnsi="Times New Roman"/>
          <w:b/>
          <w:noProof/>
          <w:sz w:val="24"/>
        </w:rPr>
        <w:t>Każdy filar oferować będzie różne dotacje i instrumenty finansowe, aby zapewnić pełen zakres możliwości wsparcia zgodnie z pot</w:t>
      </w:r>
      <w:r>
        <w:rPr>
          <w:rFonts w:ascii="Times New Roman" w:hAnsi="Times New Roman"/>
          <w:b/>
          <w:noProof/>
          <w:sz w:val="24"/>
        </w:rPr>
        <w:t>rzebami mobilizacji inwestycji przynoszących korzyści regionom, które najmocniej odczują skutki transformacji.</w:t>
      </w:r>
      <w:r>
        <w:rPr>
          <w:rFonts w:ascii="Times New Roman" w:hAnsi="Times New Roman"/>
          <w:noProof/>
          <w:sz w:val="24"/>
        </w:rPr>
        <w:t xml:space="preserve"> Aby zapewnić spójność między trzema filarami, Fundusz na rzecz Sprawiedliwej Transformacji zostanie wykorzystany przede wszystkim do udzielania d</w:t>
      </w:r>
      <w:r>
        <w:rPr>
          <w:rFonts w:ascii="Times New Roman" w:hAnsi="Times New Roman"/>
          <w:noProof/>
          <w:sz w:val="24"/>
        </w:rPr>
        <w:t>otacji; specjalny system transformacji w ramach InvestEU będzie przyciągał inwestycje prywatne, a nowy instrument pożyczkowy na rzecz sektora publicznego będzie zapewniać efekt dźwigni finansowej w zakresie środków publicznych. Do działań tych dołączona zo</w:t>
      </w:r>
      <w:r>
        <w:rPr>
          <w:rFonts w:ascii="Times New Roman" w:hAnsi="Times New Roman"/>
          <w:noProof/>
          <w:sz w:val="24"/>
        </w:rPr>
        <w:t xml:space="preserve">stanie specjalna pomoc doradcza i techniczna dla objętych tym mechanizmem regionów i projektów. Mechanizm sprawiedliwej transformacji będzie zawierał solidne ramy zarządzania oparte na terytorialnych planach sprawiedliwej transformacji. </w:t>
      </w:r>
    </w:p>
    <w:p w:rsidR="00680C29" w:rsidRDefault="0082696E">
      <w:pPr>
        <w:spacing w:after="240"/>
        <w:jc w:val="both"/>
        <w:rPr>
          <w:rFonts w:ascii="Times New Roman" w:hAnsi="Times New Roman"/>
          <w:noProof/>
          <w:sz w:val="28"/>
          <w:szCs w:val="24"/>
        </w:rPr>
      </w:pPr>
      <w:r>
        <w:rPr>
          <w:rFonts w:ascii="Times New Roman" w:hAnsi="Times New Roman"/>
          <w:b/>
          <w:noProof/>
          <w:sz w:val="24"/>
        </w:rPr>
        <w:t>Łącznie komponenty</w:t>
      </w:r>
      <w:r>
        <w:rPr>
          <w:rFonts w:ascii="Times New Roman" w:hAnsi="Times New Roman"/>
          <w:b/>
          <w:noProof/>
          <w:sz w:val="24"/>
        </w:rPr>
        <w:t xml:space="preserve"> mechanizmu sprawiedliwej transformacji mogą się przyczynić do mobilizacji inwestycji na kwotę rzędu 100 mld EUR w latach 2021–2027 w regionach najbardziej narażonych na problemy związane z transformacją. </w:t>
      </w:r>
      <w:r>
        <w:rPr>
          <w:rFonts w:ascii="Times New Roman" w:hAnsi="Times New Roman"/>
          <w:noProof/>
          <w:sz w:val="24"/>
        </w:rPr>
        <w:t>Wszystkie finansowane inwestycje będą spójne z cela</w:t>
      </w:r>
      <w:r>
        <w:rPr>
          <w:rFonts w:ascii="Times New Roman" w:hAnsi="Times New Roman"/>
          <w:noProof/>
          <w:sz w:val="24"/>
        </w:rPr>
        <w:t>mi Zielonego Ładu.</w:t>
      </w:r>
    </w:p>
    <w:p w:rsidR="00680C29" w:rsidRDefault="0082696E">
      <w:pPr>
        <w:spacing w:after="240"/>
        <w:jc w:val="both"/>
        <w:rPr>
          <w:rFonts w:ascii="Times New Roman" w:hAnsi="Times New Roman"/>
          <w:noProof/>
          <w:sz w:val="28"/>
          <w:szCs w:val="24"/>
        </w:rPr>
      </w:pPr>
      <w:r>
        <w:rPr>
          <w:rFonts w:ascii="Times New Roman" w:hAnsi="Times New Roman"/>
          <w:b/>
          <w:noProof/>
          <w:sz w:val="24"/>
        </w:rPr>
        <w:t>Dodatkowo Komisja zaproponuje nowelizację rozporządzeń w sprawie Funduszu Badawczego Węgla i Stali, aby umożliwić wykorzystanie części likwidowanych aktywów Europejskiej Wspólnoty Węgla i Stali.</w:t>
      </w:r>
      <w:r>
        <w:rPr>
          <w:rFonts w:ascii="Times New Roman" w:hAnsi="Times New Roman"/>
          <w:noProof/>
          <w:sz w:val="24"/>
        </w:rPr>
        <w:t xml:space="preserve"> Pomoże to utrzymać środki programu badawcz</w:t>
      </w:r>
      <w:r>
        <w:rPr>
          <w:rFonts w:ascii="Times New Roman" w:hAnsi="Times New Roman"/>
          <w:noProof/>
          <w:sz w:val="24"/>
        </w:rPr>
        <w:t>ego na poziomie co najmniej 40 mln EUR rocznie oraz umożliwi finansowanie dużych przełomowych projektów badawczo-innowacyjnych dotyczących ekologicznego wyrobu stali. Działalność badawcza w sektorze węglowym będzie się koncentrować na regionach przechodząc</w:t>
      </w:r>
      <w:r>
        <w:rPr>
          <w:rFonts w:ascii="Times New Roman" w:hAnsi="Times New Roman"/>
          <w:noProof/>
          <w:sz w:val="24"/>
        </w:rPr>
        <w:t xml:space="preserve">ych transformację zgodnie z zasadami mechanizmu sprawiedliwej transformacji. </w:t>
      </w:r>
    </w:p>
    <w:p w:rsidR="00680C29" w:rsidRDefault="0082696E">
      <w:pPr>
        <w:spacing w:after="240"/>
        <w:jc w:val="both"/>
        <w:rPr>
          <w:rFonts w:ascii="Times New Roman" w:hAnsi="Times New Roman"/>
          <w:noProof/>
          <w:sz w:val="28"/>
          <w:szCs w:val="24"/>
        </w:rPr>
      </w:pPr>
      <w:r>
        <w:rPr>
          <w:rFonts w:ascii="Times New Roman" w:hAnsi="Times New Roman"/>
          <w:b/>
          <w:noProof/>
          <w:sz w:val="24"/>
        </w:rPr>
        <w:t>Ponadto, fundusz modernizacji UE ETS stanowić będzie uzupełnienie mechanizmu sprawiedliwej transformacji.</w:t>
      </w:r>
      <w:r>
        <w:rPr>
          <w:rFonts w:ascii="Times New Roman" w:hAnsi="Times New Roman"/>
          <w:noProof/>
          <w:sz w:val="24"/>
        </w:rPr>
        <w:t xml:space="preserve"> Dodatkowe 14 mld EUR (w zależności od ewentualnych poziomów emisji dwut</w:t>
      </w:r>
      <w:r>
        <w:rPr>
          <w:rFonts w:ascii="Times New Roman" w:hAnsi="Times New Roman"/>
          <w:noProof/>
          <w:sz w:val="24"/>
        </w:rPr>
        <w:t>lenku węgla) w latach 2021–2030 zostanie przeznaczone na inwestycje w technologie niskoemisyjne w dziesięciu państwach członkowskich będących beneficjentami (Rumunia, Bułgaria, Węgry, Łotwa, Litwa, Estonia, Republika Czeska, Polska, Słowacja, Chorwacja).</w:t>
      </w:r>
    </w:p>
    <w:p w:rsidR="00680C29" w:rsidRDefault="0082696E">
      <w:pPr>
        <w:pStyle w:val="Heading2"/>
        <w:spacing w:after="240"/>
        <w:rPr>
          <w:noProof/>
        </w:rPr>
      </w:pPr>
      <w:r>
        <w:rPr>
          <w:noProof/>
        </w:rPr>
        <w:t>F</w:t>
      </w:r>
      <w:r>
        <w:rPr>
          <w:noProof/>
        </w:rPr>
        <w:t>ilar 1: Fundusz na rzecz Sprawiedliwej Transformacji</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 xml:space="preserve">Fundusz na rzecz Sprawiedliwej Transformacji (FST) zostanie wyposażony w odrębną pulę środków w wysokości 7,5 mld EUR w budżecie UE, oprócz kwoty zaproponowanej we wniosku Komisji z maja 2018 r. </w:t>
      </w:r>
      <w:r>
        <w:rPr>
          <w:rFonts w:ascii="Times New Roman" w:hAnsi="Times New Roman"/>
          <w:b/>
          <w:noProof/>
          <w:sz w:val="24"/>
          <w:szCs w:val="24"/>
        </w:rPr>
        <w:t>dotyczącym następnych wieloletnich ram finansowych</w:t>
      </w:r>
      <w:r>
        <w:rPr>
          <w:rStyle w:val="FootnoteReference"/>
          <w:rFonts w:ascii="Times New Roman" w:hAnsi="Times New Roman"/>
          <w:b/>
          <w:noProof/>
          <w:sz w:val="24"/>
          <w:szCs w:val="24"/>
        </w:rPr>
        <w:footnoteReference w:id="10"/>
      </w:r>
      <w:r>
        <w:rPr>
          <w:rFonts w:ascii="Times New Roman" w:hAnsi="Times New Roman"/>
          <w:b/>
          <w:noProof/>
          <w:sz w:val="24"/>
          <w:szCs w:val="24"/>
        </w:rPr>
        <w:t>.</w:t>
      </w:r>
      <w:r>
        <w:rPr>
          <w:rFonts w:ascii="Times New Roman" w:hAnsi="Times New Roman"/>
          <w:noProof/>
          <w:sz w:val="24"/>
          <w:szCs w:val="24"/>
        </w:rPr>
        <w:t xml:space="preserve"> Celem Funduszu będzie ograniczenie społecznych i gospodarczych kosztów transformacji prowadzącej do neutralności klimatycznej. </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 xml:space="preserve">Komisja przyjmuje dzisiaj wniosek w sprawie rozporządzenia ustanawiającego </w:t>
      </w:r>
      <w:r>
        <w:rPr>
          <w:rFonts w:ascii="Times New Roman" w:hAnsi="Times New Roman"/>
          <w:b/>
          <w:noProof/>
          <w:sz w:val="24"/>
          <w:szCs w:val="24"/>
        </w:rPr>
        <w:t>Fundusz na rzecz Sprawiedliwej Transformacji, a także wniosek dotyczący ukierunkowanych zmian do rozporządzenia w sprawie wspólnych przepisów.</w:t>
      </w:r>
      <w:r>
        <w:rPr>
          <w:rFonts w:ascii="Times New Roman" w:hAnsi="Times New Roman"/>
          <w:noProof/>
          <w:sz w:val="24"/>
          <w:szCs w:val="24"/>
        </w:rPr>
        <w:t xml:space="preserve"> Aby uruchomić jedno euro z Funduszu na rzecz Sprawiedliwej Transformacji, każde państwo członkowskie będzie zobow</w:t>
      </w:r>
      <w:r>
        <w:rPr>
          <w:rFonts w:ascii="Times New Roman" w:hAnsi="Times New Roman"/>
          <w:noProof/>
          <w:sz w:val="24"/>
          <w:szCs w:val="24"/>
        </w:rPr>
        <w:t xml:space="preserve">iązane do alokowania od co najmniej 1,5 euro do maksymalnie 3 euro z Europejskiego Funduszu Rozwoju Regionalnego i Europejskiego Funduszu Społecznego Plus. Te wydatki z budżetu UE zostaną uzupełnione o współfinansowanie krajowe zgodnie z zasadami polityki </w:t>
      </w:r>
      <w:r>
        <w:rPr>
          <w:rFonts w:ascii="Times New Roman" w:hAnsi="Times New Roman"/>
          <w:noProof/>
          <w:sz w:val="24"/>
          <w:szCs w:val="24"/>
        </w:rPr>
        <w:t>spójności. W ten sposób łączna kwota funduszy publicznych zmobilizowanych za pośrednictwem Funduszu na rzecz Sprawiedliwej Transformacji może wynieść między 30 a 50 mld EUR.</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Fundusz na rzecz Sprawiedliwej Transformacji przyniesie korzyści obszarom o wysoki</w:t>
      </w:r>
      <w:r>
        <w:rPr>
          <w:rFonts w:ascii="Times New Roman" w:hAnsi="Times New Roman"/>
          <w:b/>
          <w:noProof/>
          <w:sz w:val="24"/>
          <w:szCs w:val="24"/>
        </w:rPr>
        <w:t>m poziomie zatrudnienia w sektorach produkcji węgla kamiennego, węgla brunatnego, łupków bitumicznych i torfu</w:t>
      </w:r>
      <w:r>
        <w:rPr>
          <w:rFonts w:ascii="Times New Roman" w:hAnsi="Times New Roman"/>
          <w:noProof/>
          <w:sz w:val="24"/>
          <w:szCs w:val="24"/>
        </w:rPr>
        <w:t xml:space="preserve">, a także obszarom, gdzie występują gałęzie przemysłu o wysokiej intensywności emisji gazów cieplarnianych, których działalność zostanie przerwana </w:t>
      </w:r>
      <w:r>
        <w:rPr>
          <w:rFonts w:ascii="Times New Roman" w:hAnsi="Times New Roman"/>
          <w:noProof/>
          <w:sz w:val="24"/>
          <w:szCs w:val="24"/>
        </w:rPr>
        <w:t>lub znacznie ograniczona na skutek transformacji. Poziom wsparcia odzwierciedlać będzie skalę wyzwań na tych obszarach, pod względem potrzeb w zakresie zarówno dywersyfikacji gospodarczej, jak i transformacji w kierunku bezemisyjnych i niskoemisyjnych rodz</w:t>
      </w:r>
      <w:r>
        <w:rPr>
          <w:rFonts w:ascii="Times New Roman" w:hAnsi="Times New Roman"/>
          <w:noProof/>
          <w:sz w:val="24"/>
          <w:szCs w:val="24"/>
        </w:rPr>
        <w:t xml:space="preserve">ajów działalności o wysokim potencjale wzrostu, a także potrzeby zmiany kwalifikacji pracowników w celu wyposażenia ich w umiejętności niezbędne do podjęcia nowej pracy. </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Fundusz na rzecz Sprawiedliwej Transformacji pomoże w transformacji tych regionów, co</w:t>
      </w:r>
      <w:r>
        <w:rPr>
          <w:rFonts w:ascii="Times New Roman" w:hAnsi="Times New Roman"/>
          <w:b/>
          <w:noProof/>
          <w:sz w:val="24"/>
          <w:szCs w:val="24"/>
        </w:rPr>
        <w:t xml:space="preserve"> będzie miało zasadnicze znaczenie dla urzeczywistnienia neutralności emisyjnej do 2050 r. Połączy on wydatki na działania w dziedzinie klimatu i wsparcie przeznaczone na zmniejszanie różnic między państwami członkowskimi i między regionami w obrębie poszc</w:t>
      </w:r>
      <w:r>
        <w:rPr>
          <w:rFonts w:ascii="Times New Roman" w:hAnsi="Times New Roman"/>
          <w:b/>
          <w:noProof/>
          <w:sz w:val="24"/>
          <w:szCs w:val="24"/>
        </w:rPr>
        <w:t xml:space="preserve">zególnych państw. </w:t>
      </w:r>
      <w:r>
        <w:rPr>
          <w:rFonts w:ascii="Times New Roman" w:hAnsi="Times New Roman"/>
          <w:noProof/>
          <w:sz w:val="24"/>
          <w:szCs w:val="24"/>
        </w:rPr>
        <w:t>Fundusz na rzecz Sprawiedliwej Transformacji będzie zatem wdrażany w ramach polityki spójności, która jest najważniejszą unijną polityką mającą na celu ograniczenie różnic regionalnych i wsparcie zmian strukturalnych w regionach Europy. F</w:t>
      </w:r>
      <w:r>
        <w:rPr>
          <w:rFonts w:ascii="Times New Roman" w:hAnsi="Times New Roman"/>
          <w:noProof/>
          <w:sz w:val="24"/>
          <w:szCs w:val="24"/>
        </w:rPr>
        <w:t>undusz będzie wdrażany w ramach zarządzania dzielonego w ścisłej współpracy z władzami krajowymi, regionalnymi i lokalnymi oraz zainteresowanymi stronami. Zapewni to poczucie odpowiedzialności oraz zapewni narzędzia i struktury umożliwiające skuteczne zarz</w:t>
      </w:r>
      <w:r>
        <w:rPr>
          <w:rFonts w:ascii="Times New Roman" w:hAnsi="Times New Roman"/>
          <w:noProof/>
          <w:sz w:val="24"/>
          <w:szCs w:val="24"/>
        </w:rPr>
        <w:t>ądzanie.</w:t>
      </w:r>
    </w:p>
    <w:p w:rsidR="00680C29" w:rsidRDefault="0082696E">
      <w:pPr>
        <w:spacing w:after="120" w:line="275" w:lineRule="auto"/>
        <w:jc w:val="both"/>
        <w:rPr>
          <w:rFonts w:ascii="Times New Roman" w:hAnsi="Times New Roman"/>
          <w:noProof/>
          <w:sz w:val="24"/>
          <w:szCs w:val="24"/>
        </w:rPr>
      </w:pPr>
      <w:r>
        <w:rPr>
          <w:rFonts w:ascii="Times New Roman" w:hAnsi="Times New Roman"/>
          <w:b/>
          <w:noProof/>
          <w:sz w:val="24"/>
          <w:szCs w:val="24"/>
        </w:rPr>
        <w:t>Fundusz na rzecz Sprawiedliwej Transformacji będzie udzielał wsparcia wszystkim państwom członkowskim ze szczególnym uwzględnieniem tych, które zmagać się będą z największymi wyzwaniami związanymi z transformacją</w:t>
      </w:r>
      <w:r>
        <w:rPr>
          <w:rFonts w:ascii="Times New Roman" w:hAnsi="Times New Roman"/>
          <w:noProof/>
          <w:sz w:val="24"/>
          <w:szCs w:val="24"/>
        </w:rPr>
        <w:t xml:space="preserve">. Środki zostaną alokowane między </w:t>
      </w:r>
      <w:r>
        <w:rPr>
          <w:rFonts w:ascii="Times New Roman" w:hAnsi="Times New Roman"/>
          <w:noProof/>
          <w:sz w:val="24"/>
          <w:szCs w:val="24"/>
        </w:rPr>
        <w:t>państwa członkowskie, biorąc pod uwagę skalę wyzwań związanych z obniżeniem emisyjności w regionach o najwyższej intensywności emisji gazów cieplarnianych (przez właściwe emisje przemysłowe), wyzwania społeczne związane z potencjalną utratą miejsc pracy w </w:t>
      </w:r>
      <w:r>
        <w:rPr>
          <w:rFonts w:ascii="Times New Roman" w:hAnsi="Times New Roman"/>
          <w:noProof/>
          <w:sz w:val="24"/>
          <w:szCs w:val="24"/>
        </w:rPr>
        <w:t>przemyśle, górnictwie węgla kamiennego i brunatnego oraz produkcji torfu i wydobyciu łupków bitumicznych, a także potrzebę późniejszego przekwalifikowania pracowników. W celu zapewnienia, aby transformacja była sprawiedliwa i akceptowalna dla wszystkich, a</w:t>
      </w:r>
      <w:r>
        <w:rPr>
          <w:rFonts w:ascii="Times New Roman" w:hAnsi="Times New Roman"/>
          <w:noProof/>
          <w:sz w:val="24"/>
          <w:szCs w:val="24"/>
        </w:rPr>
        <w:t>lokacja środków odzwierciedlać będzie zdolności państw członkowskich do sprostania tym wyzwaniom zgodnie z ich poziomem rozwoju gospodarczego.</w:t>
      </w:r>
    </w:p>
    <w:p w:rsidR="00680C29" w:rsidRDefault="0082696E">
      <w:pPr>
        <w:spacing w:after="240"/>
        <w:jc w:val="both"/>
        <w:rPr>
          <w:rFonts w:ascii="Times New Roman" w:hAnsi="Times New Roman"/>
          <w:noProof/>
          <w:sz w:val="24"/>
          <w:szCs w:val="24"/>
        </w:rPr>
      </w:pPr>
      <w:r>
        <w:rPr>
          <w:rFonts w:ascii="Times New Roman" w:hAnsi="Times New Roman"/>
          <w:b/>
          <w:noProof/>
          <w:sz w:val="24"/>
          <w:szCs w:val="24"/>
        </w:rPr>
        <w:t>Państwa członkowskie będą musiały wskazać kwalifikujące się do wsparcia obszary za pomocą specjalnych terytorial</w:t>
      </w:r>
      <w:r>
        <w:rPr>
          <w:rFonts w:ascii="Times New Roman" w:hAnsi="Times New Roman"/>
          <w:b/>
          <w:noProof/>
          <w:sz w:val="24"/>
          <w:szCs w:val="24"/>
        </w:rPr>
        <w:t>nych planów sprawiedliwej transformacji, w ramach dialogu z Komisją i spójnie ze swoimi krajowymi planami w dziedzinie energii i klimatu</w:t>
      </w:r>
      <w:r>
        <w:rPr>
          <w:rFonts w:ascii="Times New Roman" w:hAnsi="Times New Roman"/>
          <w:noProof/>
          <w:sz w:val="24"/>
          <w:szCs w:val="24"/>
        </w:rPr>
        <w:t>. Dialog ten będzie prowadzony na podstawie oceny obszarów najbardziej dotkniętych transformacją w kierunku neutralności</w:t>
      </w:r>
      <w:r>
        <w:rPr>
          <w:rFonts w:ascii="Times New Roman" w:hAnsi="Times New Roman"/>
          <w:noProof/>
          <w:sz w:val="24"/>
          <w:szCs w:val="24"/>
        </w:rPr>
        <w:t xml:space="preserve"> klimatycznej oraz stwierdzonych w ramach europejskiego semestru wyzwań gospodarczych i problemów w dziedzinie zatrudnienia, z którymi obszary te będą się zmagać. Państwa członkowskie wezmą te oceny pod uwagę podczas opracowywania terytorialnych planów spr</w:t>
      </w:r>
      <w:r>
        <w:rPr>
          <w:rFonts w:ascii="Times New Roman" w:hAnsi="Times New Roman"/>
          <w:noProof/>
          <w:sz w:val="24"/>
          <w:szCs w:val="24"/>
        </w:rPr>
        <w:t>awiedliwej transformacji, określając proces transformacji i rodzaje planowanych operacji. Plany te zostaną załączone do programów polityki spójności obejmujących wsparcie na rzecz sprawiedliwej transformacji i zostaną przyjęte przez Komisję wraz z tymi pro</w:t>
      </w:r>
      <w:r>
        <w:rPr>
          <w:rFonts w:ascii="Times New Roman" w:hAnsi="Times New Roman"/>
          <w:noProof/>
          <w:sz w:val="24"/>
          <w:szCs w:val="24"/>
        </w:rPr>
        <w:t>gramami.</w:t>
      </w:r>
    </w:p>
    <w:p w:rsidR="00680C29" w:rsidRDefault="0082696E">
      <w:pPr>
        <w:spacing w:after="240"/>
        <w:jc w:val="both"/>
        <w:rPr>
          <w:rFonts w:ascii="Times New Roman" w:hAnsi="Times New Roman"/>
          <w:noProof/>
          <w:sz w:val="24"/>
          <w:szCs w:val="24"/>
        </w:rPr>
      </w:pPr>
      <w:r>
        <w:rPr>
          <w:rFonts w:ascii="Times New Roman" w:hAnsi="Times New Roman"/>
          <w:noProof/>
          <w:sz w:val="24"/>
          <w:szCs w:val="24"/>
        </w:rPr>
        <w:t>Aby zapewnić jak najbardziej efektywne wykorzystanie zasobów, Fundusz na rzecz Sprawiedliwej Transformacji będzie mógł wspierać inwestycje dotyczące transformacji istniejących instalacji, także w sektorach objętych unijnym systemem handlu uprawnie</w:t>
      </w:r>
      <w:r>
        <w:rPr>
          <w:rFonts w:ascii="Times New Roman" w:hAnsi="Times New Roman"/>
          <w:noProof/>
          <w:sz w:val="24"/>
          <w:szCs w:val="24"/>
        </w:rPr>
        <w:t>niami do emisji, tylko wówczas gdy inwestycje te będą prowadzić do znacznej redukcji emisji gazów cieplarnianych oraz przynosić pozytywne długoterminowe skutki w zakresie zatrudnienia na wskazanych obszarach, zgodnie z terytorialnymi planami transformacji.</w:t>
      </w:r>
    </w:p>
    <w:tbl>
      <w:tblPr>
        <w:tblStyle w:val="TableGrid1"/>
        <w:tblW w:w="0" w:type="auto"/>
        <w:tblLook w:val="04A0" w:firstRow="1" w:lastRow="0" w:firstColumn="1" w:lastColumn="0" w:noHBand="0" w:noVBand="1"/>
      </w:tblPr>
      <w:tblGrid>
        <w:gridCol w:w="9062"/>
      </w:tblGrid>
      <w:tr w:rsidR="00680C29">
        <w:tc>
          <w:tcPr>
            <w:tcW w:w="9062" w:type="dxa"/>
          </w:tcPr>
          <w:p w:rsidR="00680C29" w:rsidRDefault="0082696E">
            <w:pPr>
              <w:spacing w:after="240"/>
              <w:jc w:val="both"/>
              <w:rPr>
                <w:b/>
                <w:i/>
                <w:noProof/>
                <w:sz w:val="24"/>
                <w:szCs w:val="24"/>
              </w:rPr>
            </w:pPr>
            <w:r>
              <w:rPr>
                <w:rFonts w:ascii="Times New Roman" w:hAnsi="Times New Roman"/>
                <w:b/>
                <w:i/>
                <w:noProof/>
                <w:sz w:val="24"/>
                <w:szCs w:val="24"/>
              </w:rPr>
              <w:t>Terytorialne plany sprawiedliwej transformacji – centralny element mechanizmu sprawiedliwej transformacji</w:t>
            </w:r>
          </w:p>
          <w:p w:rsidR="00680C29" w:rsidRDefault="0082696E">
            <w:pPr>
              <w:spacing w:after="240"/>
              <w:contextualSpacing/>
              <w:jc w:val="both"/>
              <w:rPr>
                <w:rFonts w:ascii="Times New Roman" w:hAnsi="Times New Roman"/>
                <w:noProof/>
                <w:sz w:val="24"/>
                <w:szCs w:val="24"/>
              </w:rPr>
            </w:pPr>
            <w:r>
              <w:rPr>
                <w:rFonts w:ascii="Times New Roman" w:hAnsi="Times New Roman"/>
                <w:noProof/>
                <w:sz w:val="24"/>
                <w:szCs w:val="24"/>
              </w:rPr>
              <w:t xml:space="preserve">Terytorialne plany sprawiedliwej transformacji będą centralnym elementem mechanizmu sprawiedliwej transformacji i punktem odniesienia dla wszystkich </w:t>
            </w:r>
            <w:r>
              <w:rPr>
                <w:rFonts w:ascii="Times New Roman" w:hAnsi="Times New Roman"/>
                <w:noProof/>
                <w:sz w:val="24"/>
                <w:szCs w:val="24"/>
              </w:rPr>
              <w:t>jego filarów. W planach tych określone zostaną wyzwania społeczne, gospodarcze i środowiskowe wynikające z wycofywania działalności związanych z paliwami kopalnymi lub dekarbonizacją produktów lub procesów o wysokiej intensywności emisji gazów cieplarniany</w:t>
            </w:r>
            <w:r>
              <w:rPr>
                <w:rFonts w:ascii="Times New Roman" w:hAnsi="Times New Roman"/>
                <w:noProof/>
                <w:sz w:val="24"/>
                <w:szCs w:val="24"/>
              </w:rPr>
              <w:t xml:space="preserve">ch. Plany zawierać będą także zarys procesu transformacji do 2030 r., w tym potrzeby w zakresie rozwoju, przekwalifikowania pracowników i rekultywacji środowiska oraz podejście do zaspokojenia tych potrzeb w zintegrowany sposób, harmonogram transformacji, </w:t>
            </w:r>
            <w:r>
              <w:rPr>
                <w:rFonts w:ascii="Times New Roman" w:hAnsi="Times New Roman"/>
                <w:noProof/>
                <w:sz w:val="24"/>
                <w:szCs w:val="24"/>
              </w:rPr>
              <w:t>rodzaje planowanych operacji i mechanizmy zarządzania. Oznacza to, że środki wspierane z Funduszu na rzecz Sprawiedliwej Transformacji w poszczególnych państwach członkowskich i terytoriach mogą się różnić pod względem wskazanych priorytetów i wyzwań. Proc</w:t>
            </w:r>
            <w:r>
              <w:rPr>
                <w:rFonts w:ascii="Times New Roman" w:hAnsi="Times New Roman"/>
                <w:noProof/>
                <w:sz w:val="24"/>
                <w:szCs w:val="24"/>
              </w:rPr>
              <w:t>es programowania będzie oparty na ocenie przeprowadzonej w kontekście europejskiego semestru. Biorąc pod uwagę tę ocenę, państwa członkowskie przygotują terytorialne plany sprawiedliwej transformacji, które będą częścią programów objętych Funduszem na rzec</w:t>
            </w:r>
            <w:r>
              <w:rPr>
                <w:rFonts w:ascii="Times New Roman" w:hAnsi="Times New Roman"/>
                <w:noProof/>
                <w:sz w:val="24"/>
                <w:szCs w:val="24"/>
              </w:rPr>
              <w:t>z Sprawiedliwej Transformacji. Zatwierdzenie tych planów przez Komisję umożliwi uruchomienie specjalnego finansowania nie tylko z Funduszu na rzecz Sprawiedliwej Transformacji (pierwszy filar mechanizmu sprawiedliwej transformacji), ale także ze specjalneg</w:t>
            </w:r>
            <w:r>
              <w:rPr>
                <w:rFonts w:ascii="Times New Roman" w:hAnsi="Times New Roman"/>
                <w:noProof/>
                <w:sz w:val="24"/>
                <w:szCs w:val="24"/>
              </w:rPr>
              <w:t>o systemu sprawiedliwej transformacji w ramach InvestEU (drugi filar) i instrumentu pożyczkowego EBI na rzecz sektora publicznego (trzeci filar).</w:t>
            </w:r>
          </w:p>
        </w:tc>
      </w:tr>
    </w:tbl>
    <w:p w:rsidR="00680C29" w:rsidRDefault="0082696E">
      <w:pPr>
        <w:spacing w:after="240"/>
        <w:jc w:val="both"/>
        <w:rPr>
          <w:rFonts w:ascii="Times New Roman" w:hAnsi="Times New Roman"/>
          <w:noProof/>
          <w:sz w:val="24"/>
          <w:szCs w:val="24"/>
        </w:rPr>
      </w:pPr>
      <w:r>
        <w:rPr>
          <w:rFonts w:ascii="Times New Roman" w:hAnsi="Times New Roman"/>
          <w:noProof/>
          <w:sz w:val="24"/>
          <w:szCs w:val="24"/>
        </w:rPr>
        <w:t xml:space="preserve"> </w:t>
      </w:r>
    </w:p>
    <w:p w:rsidR="00680C29" w:rsidRDefault="0082696E">
      <w:pPr>
        <w:pStyle w:val="Heading2"/>
        <w:spacing w:after="240"/>
        <w:rPr>
          <w:noProof/>
        </w:rPr>
      </w:pPr>
      <w:r>
        <w:rPr>
          <w:noProof/>
        </w:rPr>
        <w:t>Filar 2: Specjalny system sprawiedliwej transformacji regionów w ramach Funduszu InvestEU</w:t>
      </w:r>
    </w:p>
    <w:p w:rsidR="00680C29" w:rsidRDefault="0082696E">
      <w:pPr>
        <w:spacing w:after="240"/>
        <w:jc w:val="both"/>
        <w:rPr>
          <w:rFonts w:ascii="Times New Roman" w:hAnsi="Times New Roman"/>
          <w:noProof/>
          <w:sz w:val="28"/>
          <w:szCs w:val="24"/>
        </w:rPr>
      </w:pPr>
      <w:r>
        <w:rPr>
          <w:rFonts w:ascii="Times New Roman" w:hAnsi="Times New Roman"/>
          <w:b/>
          <w:noProof/>
          <w:sz w:val="24"/>
        </w:rPr>
        <w:t>Mechanizm sprawie</w:t>
      </w:r>
      <w:r>
        <w:rPr>
          <w:rFonts w:ascii="Times New Roman" w:hAnsi="Times New Roman"/>
          <w:b/>
          <w:noProof/>
          <w:sz w:val="24"/>
        </w:rPr>
        <w:t>dliwej transformacji będzie również obejmował specjalny system sprawiedliwej transformacji w ramach InvestEU w celu uruchomienia dodatkowych inwestycji na rzecz najbardziej dotkniętych regionów.</w:t>
      </w:r>
      <w:r>
        <w:rPr>
          <w:rFonts w:ascii="Times New Roman" w:hAnsi="Times New Roman"/>
          <w:noProof/>
          <w:sz w:val="24"/>
        </w:rPr>
        <w:t xml:space="preserve"> Umożliwi to wprowadzenie nowych rodzajów działalności gospoda</w:t>
      </w:r>
      <w:r>
        <w:rPr>
          <w:rFonts w:ascii="Times New Roman" w:hAnsi="Times New Roman"/>
          <w:noProof/>
          <w:sz w:val="24"/>
        </w:rPr>
        <w:t>rczej w miejsce tych, które muszą zostać wycofane ze względu na ich wpływ na klimat i środowisko. Dzięki szerszej definicji kwalifikowalności inwestycji w ramach InvestEU mechanizm umożliwi inwestycje w szerszy zakres projektów niż Fundusz na rzecz Sprawie</w:t>
      </w:r>
      <w:r>
        <w:rPr>
          <w:rFonts w:ascii="Times New Roman" w:hAnsi="Times New Roman"/>
          <w:noProof/>
          <w:sz w:val="24"/>
        </w:rPr>
        <w:t>dliwej Transformacji. InvestEU będzie finansować między innymi projekty związane z infrastrukturą energetyczną i transportową, w tym infrastrukturą gazową i systemami ciepłowniczymi, ale również projekty w zakresie dekarbonizacji, dywersyfikacji gospodarcz</w:t>
      </w:r>
      <w:r>
        <w:rPr>
          <w:rFonts w:ascii="Times New Roman" w:hAnsi="Times New Roman"/>
          <w:noProof/>
          <w:sz w:val="24"/>
        </w:rPr>
        <w:t>ej regionów, infrastruktury społecznej i umiejętności. Umożliwi on również szybsze dostosowanie dotkniętych sektorów do przyjaznych dla klimatu sposobów produkcji. Finansowanie z InvestEU może być przeznaczone na wsparcie rentownych inwestycji w tych obsza</w:t>
      </w:r>
      <w:r>
        <w:rPr>
          <w:rFonts w:ascii="Times New Roman" w:hAnsi="Times New Roman"/>
          <w:noProof/>
          <w:sz w:val="24"/>
        </w:rPr>
        <w:t>rach i będzie stanowić uzupełnienie Funduszu na rzecz Sprawiedliwej Transformacji oraz przynosić synergie z tym funduszem.</w:t>
      </w:r>
    </w:p>
    <w:p w:rsidR="00680C29" w:rsidRDefault="0082696E">
      <w:pPr>
        <w:spacing w:after="240"/>
        <w:jc w:val="both"/>
        <w:rPr>
          <w:rFonts w:ascii="Times New Roman" w:hAnsi="Times New Roman"/>
          <w:noProof/>
          <w:sz w:val="28"/>
          <w:szCs w:val="24"/>
        </w:rPr>
      </w:pPr>
      <w:r>
        <w:rPr>
          <w:rFonts w:ascii="Times New Roman" w:hAnsi="Times New Roman"/>
          <w:b/>
          <w:noProof/>
          <w:sz w:val="24"/>
        </w:rPr>
        <w:t>Oczekuje się, że Fundusz InvestEU w obecnej postaci uruchomi 650 mld EUR dodatkowych inwestycji prywatnych i publicznych wspierającyc</w:t>
      </w:r>
      <w:r>
        <w:rPr>
          <w:rFonts w:ascii="Times New Roman" w:hAnsi="Times New Roman"/>
          <w:b/>
          <w:noProof/>
          <w:sz w:val="24"/>
        </w:rPr>
        <w:t xml:space="preserve">h cele polityki unijnej w trakcie obowiązywania następnych WRF dzięki gwarancji UE o wartości 38 mld EUR. </w:t>
      </w:r>
      <w:r>
        <w:rPr>
          <w:rFonts w:ascii="Times New Roman" w:hAnsi="Times New Roman"/>
          <w:noProof/>
          <w:sz w:val="24"/>
        </w:rPr>
        <w:t>Gwarancję tę stanowią środki z budżetu UE w wysokości 15,2 mld EUR (tj. zgodnie z 40-procentowym wskaźnikiem zasilenia rezerw) i zobowiązania warunkow</w:t>
      </w:r>
      <w:r>
        <w:rPr>
          <w:rFonts w:ascii="Times New Roman" w:hAnsi="Times New Roman"/>
          <w:noProof/>
          <w:sz w:val="24"/>
        </w:rPr>
        <w:t>e na pozostałą kwotę.</w:t>
      </w:r>
    </w:p>
    <w:p w:rsidR="00680C29" w:rsidRDefault="0082696E">
      <w:pPr>
        <w:spacing w:after="240"/>
        <w:jc w:val="both"/>
        <w:rPr>
          <w:rFonts w:ascii="Times New Roman" w:hAnsi="Times New Roman"/>
          <w:noProof/>
          <w:sz w:val="28"/>
          <w:szCs w:val="24"/>
        </w:rPr>
      </w:pPr>
      <w:r>
        <w:rPr>
          <w:rFonts w:ascii="Times New Roman" w:hAnsi="Times New Roman"/>
          <w:b/>
          <w:bCs/>
          <w:noProof/>
          <w:sz w:val="24"/>
        </w:rPr>
        <w:t>Fundusz InvestEU może być skutecznym narzędziem generowania znacznych dodatkowych inwestycji w projekty związane ze sprawiedliwą transformacją w przedmiotowych regionach.</w:t>
      </w:r>
      <w:r>
        <w:rPr>
          <w:rFonts w:ascii="Times New Roman" w:hAnsi="Times New Roman"/>
          <w:noProof/>
          <w:sz w:val="24"/>
        </w:rPr>
        <w:t xml:space="preserve"> Aby to osiągnąć, część finansowania w ramach InvestEU zostanie ukierunkowana na realizację celów sprawiedliwej transformacji. Może to zaowocować inwestycjami o wartości nawet 45 mld EUR w latach 2021–2027 przeznaczonymi na wspieranie procesu transformacji</w:t>
      </w:r>
      <w:r>
        <w:rPr>
          <w:rFonts w:ascii="Times New Roman" w:hAnsi="Times New Roman"/>
          <w:noProof/>
          <w:sz w:val="24"/>
        </w:rPr>
        <w:t xml:space="preserve"> w przedmiotowych regionach, które to inwestycje mają z założenia odzwierciedlać krajowy klucz alokacji środków w ramach Funduszu na rzecz Sprawiedliwej Transformacji. Ostateczne wykorzystanie InvestEU będzie jednak zależało od zapotrzebowania i od wykazu </w:t>
      </w:r>
      <w:r>
        <w:rPr>
          <w:rFonts w:ascii="Times New Roman" w:hAnsi="Times New Roman"/>
          <w:noProof/>
          <w:sz w:val="24"/>
        </w:rPr>
        <w:t xml:space="preserve">przygotowywanych projektów. Zdolność absorpcyjna regionów będzie miała kluczowe znaczenie dla osiągnięcia celów. Ogólny cel, jakim jest uruchomienie inwestycji o wartości 45 mld EUR, oznacza utworzenie rezerwy w budżecie UE na program InvestEU w wysokości </w:t>
      </w:r>
      <w:r>
        <w:rPr>
          <w:rFonts w:ascii="Times New Roman" w:hAnsi="Times New Roman"/>
          <w:noProof/>
          <w:sz w:val="24"/>
        </w:rPr>
        <w:t>około 1,8 mld EUR. Państwa członkowskie będą również mogły przeznaczyć część swojej alokacji z Funduszu na rzecz Sprawiedliwej Transformacji na wsparcie inwestycji w drodze gwarantowanych pożyczek lub nabycia udziałów w kapitale własnym przedsiębiorstwa za</w:t>
      </w:r>
      <w:r>
        <w:rPr>
          <w:rFonts w:ascii="Times New Roman" w:hAnsi="Times New Roman"/>
          <w:noProof/>
          <w:sz w:val="24"/>
        </w:rPr>
        <w:t xml:space="preserve"> pośrednictwem swego modułu państw członkowskich. Aby opracować wykaz projektów inwestycyjnych, potrzebne będzie wsparcie doradcze dostosowane do potrzeb państw członkowskich. W tym celu konieczne jest zapewnienie odpowiedniej wysokości gwarancji na rzecz </w:t>
      </w:r>
      <w:r>
        <w:rPr>
          <w:rFonts w:ascii="Times New Roman" w:hAnsi="Times New Roman"/>
          <w:noProof/>
          <w:sz w:val="24"/>
        </w:rPr>
        <w:t>InvestEU podczas trwających obecnie negocjacji dotyczących WRF.</w:t>
      </w:r>
    </w:p>
    <w:p w:rsidR="00680C29" w:rsidRDefault="0082696E">
      <w:pPr>
        <w:spacing w:after="240"/>
        <w:jc w:val="both"/>
        <w:rPr>
          <w:rFonts w:ascii="Times New Roman" w:hAnsi="Times New Roman"/>
          <w:noProof/>
          <w:sz w:val="28"/>
          <w:szCs w:val="24"/>
        </w:rPr>
      </w:pPr>
      <w:r>
        <w:rPr>
          <w:rFonts w:ascii="Times New Roman" w:hAnsi="Times New Roman"/>
          <w:b/>
          <w:noProof/>
          <w:sz w:val="24"/>
        </w:rPr>
        <w:t>Z programu mogą korzystać projekty w regionach, dla których zatwierdzono plan transformacji zgodnie z rozporządzeniem w sprawie Funduszu na rzecz Sprawiedliwej Transformacji, lub projekty, któ</w:t>
      </w:r>
      <w:r>
        <w:rPr>
          <w:rFonts w:ascii="Times New Roman" w:hAnsi="Times New Roman"/>
          <w:b/>
          <w:noProof/>
          <w:sz w:val="24"/>
        </w:rPr>
        <w:t>re przynoszą korzyści tym regionom (nawet jeśli nie są one realizowane na ich terenie), ale tylko wówczas, gdy finansowanie inwestycji poza obszarami objętymi sprawiedliwą transformacją jest kluczowe dla pomyślnej transformacji na tych obszarach.</w:t>
      </w:r>
      <w:r>
        <w:rPr>
          <w:rFonts w:ascii="Times New Roman" w:hAnsi="Times New Roman"/>
          <w:noProof/>
          <w:sz w:val="24"/>
        </w:rPr>
        <w:t xml:space="preserve"> Dotyczy t</w:t>
      </w:r>
      <w:r>
        <w:rPr>
          <w:rFonts w:ascii="Times New Roman" w:hAnsi="Times New Roman"/>
          <w:noProof/>
          <w:sz w:val="24"/>
        </w:rPr>
        <w:t>o w szczególności projektów z zakresu infrastruktury transportowej lub energetycznej, która poprawia łączność na terytoriach objętych sprawiedliwą transformacją. Inwestycje mające na celu osiągnięcie celów sprawiedliwej transformacji można uznać za przyczy</w:t>
      </w:r>
      <w:r>
        <w:rPr>
          <w:rFonts w:ascii="Times New Roman" w:hAnsi="Times New Roman"/>
          <w:noProof/>
          <w:sz w:val="24"/>
        </w:rPr>
        <w:t>niające się do osiągnięcia celów w zakresie klimatu i zaliczyć je na poczet celu określonego dla programu InvestEU, zgodnie z którym inwestycje klimatyczne mają stanowić 30 % jego wszystkich inwestycji.</w:t>
      </w:r>
    </w:p>
    <w:p w:rsidR="00680C29" w:rsidRDefault="0082696E">
      <w:pPr>
        <w:spacing w:after="240"/>
        <w:jc w:val="both"/>
        <w:rPr>
          <w:rFonts w:ascii="Times New Roman" w:hAnsi="Times New Roman"/>
          <w:b/>
          <w:noProof/>
          <w:sz w:val="28"/>
          <w:szCs w:val="24"/>
        </w:rPr>
      </w:pPr>
      <w:r>
        <w:rPr>
          <w:rFonts w:ascii="Times New Roman" w:hAnsi="Times New Roman"/>
          <w:b/>
          <w:noProof/>
          <w:sz w:val="24"/>
        </w:rPr>
        <w:t>Takie ukierunkowanie gwarancji na rzecz InvestEU na c</w:t>
      </w:r>
      <w:r>
        <w:rPr>
          <w:rFonts w:ascii="Times New Roman" w:hAnsi="Times New Roman"/>
          <w:b/>
          <w:noProof/>
          <w:sz w:val="24"/>
        </w:rPr>
        <w:t>ele sprawiedliwej transformacji uruchomi kwalifikowalne inwestycje we wszystkich czterech segmentach polityki i będzie odzwierciedlone w produktach finansowych.</w:t>
      </w:r>
      <w:r>
        <w:rPr>
          <w:rFonts w:ascii="Times New Roman" w:hAnsi="Times New Roman"/>
          <w:noProof/>
          <w:sz w:val="24"/>
        </w:rPr>
        <w:t xml:space="preserve"> Specjalne środki zachęty dla partnerów wykonawczych mogą dotyczyć opłat lub korzystniejszego po</w:t>
      </w:r>
      <w:r>
        <w:rPr>
          <w:rFonts w:ascii="Times New Roman" w:hAnsi="Times New Roman"/>
          <w:noProof/>
          <w:sz w:val="24"/>
        </w:rPr>
        <w:t>krycia ryzyka w przypadku projektów przeznaczonych do realizacji w regionach objętych transformacją. Wysokość celu sprawiedliwej transformacji będzie ujęta w wytycznych dotyczących inwestycji InvestEU i w umowach w sprawie gwarancji z partnerami wykonawczy</w:t>
      </w:r>
      <w:r>
        <w:rPr>
          <w:rFonts w:ascii="Times New Roman" w:hAnsi="Times New Roman"/>
          <w:noProof/>
          <w:sz w:val="24"/>
        </w:rPr>
        <w:t>mi. Zaproszenia do składania wniosków kierowane do partnerów wykonawczych w ramach Funduszu InvestEU będą ponadto dawać pierwszeństwo tym partnerom wykonawczym, którzy oferują produkty finansowe przyczyniające się do osiągnięcia celów sprawiedliwej transfo</w:t>
      </w:r>
      <w:r>
        <w:rPr>
          <w:rFonts w:ascii="Times New Roman" w:hAnsi="Times New Roman"/>
          <w:noProof/>
          <w:sz w:val="24"/>
        </w:rPr>
        <w:t xml:space="preserve">rmacji. </w:t>
      </w:r>
      <w:r>
        <w:rPr>
          <w:rFonts w:ascii="Times New Roman" w:hAnsi="Times New Roman"/>
          <w:b/>
          <w:noProof/>
          <w:sz w:val="24"/>
        </w:rPr>
        <w:t>Za pośrednictwem Centrum Doradztwa InvestEU udzielana będzie specjalna pomoc techniczna w zakresie przygotowania projektów do inwestycji, na co przeznaczona będzie dodatkowa pula środków.</w:t>
      </w:r>
    </w:p>
    <w:p w:rsidR="00680C29" w:rsidRDefault="0082696E">
      <w:pPr>
        <w:pStyle w:val="Heading2"/>
        <w:spacing w:after="240"/>
        <w:rPr>
          <w:noProof/>
        </w:rPr>
      </w:pPr>
      <w:r>
        <w:rPr>
          <w:noProof/>
        </w:rPr>
        <w:t>Filar 3: Instrument pożyczkowy Grupy Europejskiego Banku Inw</w:t>
      </w:r>
      <w:r>
        <w:rPr>
          <w:noProof/>
        </w:rPr>
        <w:t xml:space="preserve">estycyjnego na rzecz sektora publicznego </w:t>
      </w:r>
    </w:p>
    <w:p w:rsidR="00680C29" w:rsidRDefault="0082696E">
      <w:pPr>
        <w:spacing w:after="240"/>
        <w:jc w:val="both"/>
        <w:rPr>
          <w:rFonts w:ascii="Times New Roman" w:hAnsi="Times New Roman"/>
          <w:noProof/>
          <w:sz w:val="28"/>
          <w:szCs w:val="24"/>
        </w:rPr>
      </w:pPr>
      <w:r>
        <w:rPr>
          <w:rFonts w:ascii="Times New Roman" w:hAnsi="Times New Roman"/>
          <w:b/>
          <w:noProof/>
          <w:sz w:val="24"/>
        </w:rPr>
        <w:t>Instrument pożyczkowy Europejskiego Banku Inwestycyjnego na rzecz sektora publicznego będzie wspierać rosnące inwestycje sektora publicznego w regionach przechodzących transformację klimatyczną. W ramach tego wspar</w:t>
      </w:r>
      <w:r>
        <w:rPr>
          <w:rFonts w:ascii="Times New Roman" w:hAnsi="Times New Roman"/>
          <w:b/>
          <w:noProof/>
          <w:sz w:val="24"/>
        </w:rPr>
        <w:t>cia sektor publiczny będzie mógł otrzymywać pożyczki preferencyjne,</w:t>
      </w:r>
      <w:r>
        <w:rPr>
          <w:rFonts w:ascii="Times New Roman" w:hAnsi="Times New Roman"/>
          <w:noProof/>
          <w:sz w:val="24"/>
        </w:rPr>
        <w:t xml:space="preserve"> które dadzą podmiotom publicznym zasoby na wprowadzenie w życie środków ułatwiających przejście na neutralność klimatyczną. Wspierane będą inwestycje w zakresie infrastruktury energetyczne</w:t>
      </w:r>
      <w:r>
        <w:rPr>
          <w:rFonts w:ascii="Times New Roman" w:hAnsi="Times New Roman"/>
          <w:noProof/>
          <w:sz w:val="24"/>
        </w:rPr>
        <w:t>j i transportowej, sieci ciepłowniczych, środków na rzecz efektywności energetycznej, w tym renowacji budynków, a także infrastruktury społecznej, ale wsparcie może również obejmować inne sektory. Wsparcie UE mogłoby przyjąć formę m.in. dotacji na spłatę o</w:t>
      </w:r>
      <w:r>
        <w:rPr>
          <w:rFonts w:ascii="Times New Roman" w:hAnsi="Times New Roman"/>
          <w:noProof/>
          <w:sz w:val="24"/>
        </w:rPr>
        <w:t xml:space="preserve">dsetek lub dotacji na inwestycje, finansowanych z budżetu UE, które będą łączone z pożyczkami udzielanymi przez EBI na rzecz władz gminnych, regionalnych i innych organów publicznych. </w:t>
      </w:r>
    </w:p>
    <w:p w:rsidR="00680C29" w:rsidRDefault="0082696E">
      <w:pPr>
        <w:spacing w:after="240"/>
        <w:jc w:val="both"/>
        <w:rPr>
          <w:rFonts w:ascii="Times New Roman" w:hAnsi="Times New Roman"/>
          <w:noProof/>
          <w:sz w:val="28"/>
          <w:szCs w:val="24"/>
        </w:rPr>
      </w:pPr>
      <w:r>
        <w:rPr>
          <w:rFonts w:ascii="Times New Roman" w:hAnsi="Times New Roman"/>
          <w:b/>
          <w:noProof/>
          <w:sz w:val="24"/>
        </w:rPr>
        <w:t xml:space="preserve">Zasięg geograficzny będzie taki sam jak w ramach systemu sprawiedliwej </w:t>
      </w:r>
      <w:r>
        <w:rPr>
          <w:rFonts w:ascii="Times New Roman" w:hAnsi="Times New Roman"/>
          <w:b/>
          <w:noProof/>
          <w:sz w:val="24"/>
        </w:rPr>
        <w:t>transformacji InvestEU (2. filar mechanizmu sprawiedliwej transformacji), tj. kwalifikowały się będą projekty w regionach, dla których zatwierdzono plan transformacji</w:t>
      </w:r>
      <w:r>
        <w:rPr>
          <w:rFonts w:ascii="Times New Roman" w:hAnsi="Times New Roman"/>
          <w:noProof/>
          <w:sz w:val="24"/>
        </w:rPr>
        <w:t>, ale również projekty, które przynoszą korzyści tym regionom, lecz tylko wówczas, gdy fin</w:t>
      </w:r>
      <w:r>
        <w:rPr>
          <w:rFonts w:ascii="Times New Roman" w:hAnsi="Times New Roman"/>
          <w:noProof/>
          <w:sz w:val="24"/>
        </w:rPr>
        <w:t>ansowanie poza obszarami objętymi sprawiedliwą transformacją jest kluczowe dla transformacji w tych obszarach.</w:t>
      </w:r>
      <w:r>
        <w:rPr>
          <w:rFonts w:ascii="Times New Roman" w:hAnsi="Times New Roman"/>
          <w:b/>
          <w:noProof/>
          <w:sz w:val="24"/>
        </w:rPr>
        <w:t xml:space="preserve"> </w:t>
      </w:r>
      <w:r>
        <w:rPr>
          <w:rFonts w:ascii="Times New Roman" w:hAnsi="Times New Roman"/>
          <w:noProof/>
          <w:sz w:val="24"/>
        </w:rPr>
        <w:t>Instrument pożyczkowy na rzecz sektora publicznego służący sprawiedliwej transformacji będzie oferował takie preferencyjne warunki finansowania w</w:t>
      </w:r>
      <w:r>
        <w:rPr>
          <w:rFonts w:ascii="Times New Roman" w:hAnsi="Times New Roman"/>
          <w:noProof/>
          <w:sz w:val="24"/>
        </w:rPr>
        <w:t> celu wsparcia inwestycji sektora publicznego, z których korzystają najbardziej dotknięte regiony. Wsparcie obejmie również doradztwo, aby pomóc stworzyć wykaz projektów inwestycyjnych.</w:t>
      </w:r>
    </w:p>
    <w:p w:rsidR="00680C29" w:rsidRDefault="0082696E">
      <w:pPr>
        <w:spacing w:after="240"/>
        <w:jc w:val="both"/>
        <w:rPr>
          <w:rFonts w:ascii="Times New Roman" w:hAnsi="Times New Roman"/>
          <w:b/>
          <w:noProof/>
          <w:sz w:val="28"/>
          <w:szCs w:val="24"/>
        </w:rPr>
      </w:pPr>
      <w:r>
        <w:rPr>
          <w:rFonts w:ascii="Times New Roman" w:hAnsi="Times New Roman"/>
          <w:b/>
          <w:noProof/>
          <w:sz w:val="24"/>
        </w:rPr>
        <w:t>Wsparcie w ramach instrumentu pożyczkowego na rzecz sektora publiczneg</w:t>
      </w:r>
      <w:r>
        <w:rPr>
          <w:rFonts w:ascii="Times New Roman" w:hAnsi="Times New Roman"/>
          <w:b/>
          <w:noProof/>
          <w:sz w:val="24"/>
        </w:rPr>
        <w:t xml:space="preserve">o uzupełni produkty finansowe oferowane w ramach systemu sprawiedliwej transformacji programu InvestEU. </w:t>
      </w:r>
      <w:r>
        <w:rPr>
          <w:rFonts w:ascii="Times New Roman" w:hAnsi="Times New Roman"/>
          <w:noProof/>
          <w:sz w:val="24"/>
        </w:rPr>
        <w:t>Obejmie ono projekty, które nie generują wystarczającego rynkowego strumienia dochodów i które w przeciwnym wypadku nie otrzymałyby finansowania bez ele</w:t>
      </w:r>
      <w:r>
        <w:rPr>
          <w:rFonts w:ascii="Times New Roman" w:hAnsi="Times New Roman"/>
          <w:noProof/>
          <w:sz w:val="24"/>
        </w:rPr>
        <w:t>mentu dotacji.</w:t>
      </w:r>
      <w:r>
        <w:rPr>
          <w:rFonts w:ascii="Times New Roman" w:hAnsi="Times New Roman"/>
          <w:b/>
          <w:noProof/>
          <w:sz w:val="24"/>
        </w:rPr>
        <w:t xml:space="preserve"> </w:t>
      </w:r>
    </w:p>
    <w:p w:rsidR="00680C29" w:rsidRDefault="0082696E">
      <w:pPr>
        <w:spacing w:after="240"/>
        <w:jc w:val="both"/>
        <w:rPr>
          <w:rFonts w:ascii="Times New Roman" w:hAnsi="Times New Roman"/>
          <w:noProof/>
          <w:sz w:val="28"/>
          <w:szCs w:val="24"/>
        </w:rPr>
      </w:pPr>
      <w:r>
        <w:rPr>
          <w:rFonts w:ascii="Times New Roman" w:hAnsi="Times New Roman"/>
          <w:b/>
          <w:noProof/>
          <w:sz w:val="24"/>
        </w:rPr>
        <w:t>Za pomocą wkładu z budżetu UE w wysokości 1,5 mld EUR i pożyczek w wysokości 10 mld EUR udzielanych przez EBI na własne ryzyko instrument pożyczkowy na rzecz sektora publicznego może w latach 2021–2027 uruchomić inwestycje publiczne w wysok</w:t>
      </w:r>
      <w:r>
        <w:rPr>
          <w:rFonts w:ascii="Times New Roman" w:hAnsi="Times New Roman"/>
          <w:b/>
          <w:noProof/>
          <w:sz w:val="24"/>
        </w:rPr>
        <w:t xml:space="preserve">ości 25–30 mld EUR. </w:t>
      </w:r>
      <w:r>
        <w:rPr>
          <w:rFonts w:ascii="Times New Roman" w:hAnsi="Times New Roman"/>
          <w:noProof/>
          <w:sz w:val="24"/>
        </w:rPr>
        <w:t>Odzwierciedla to krajowy klucz alokacji środków w ramach Funduszu na rzecz Sprawiedliwej Transformacji celem wsparcia transformacji w przedmiotowych regionach. W marcu 2020 r. Komisja przedstawi wniosek ustawodawczy w sprawie utworzenia</w:t>
      </w:r>
      <w:r>
        <w:rPr>
          <w:rFonts w:ascii="Times New Roman" w:hAnsi="Times New Roman"/>
          <w:noProof/>
          <w:sz w:val="24"/>
        </w:rPr>
        <w:t xml:space="preserve"> tego nowego instrumentu pożyczkowego na rzecz sektora publicznego. W miarę ewolucji potrzeb sektora publicznego Komisja może z czasem rozważyć współpracę z dodatkowymi partnerami wykonawczymi. </w:t>
      </w:r>
    </w:p>
    <w:p w:rsidR="00680C29" w:rsidRDefault="0082696E">
      <w:pPr>
        <w:pStyle w:val="Heading2"/>
        <w:spacing w:after="240"/>
        <w:rPr>
          <w:noProof/>
        </w:rPr>
      </w:pPr>
      <w:r>
        <w:rPr>
          <w:noProof/>
        </w:rPr>
        <w:t>Pomoc techniczna i wsparcie doradcze</w:t>
      </w:r>
    </w:p>
    <w:p w:rsidR="00680C29" w:rsidRDefault="0082696E">
      <w:pPr>
        <w:spacing w:after="240"/>
        <w:jc w:val="both"/>
        <w:rPr>
          <w:rFonts w:ascii="Times New Roman" w:hAnsi="Times New Roman"/>
          <w:b/>
          <w:noProof/>
          <w:sz w:val="28"/>
          <w:szCs w:val="24"/>
        </w:rPr>
      </w:pPr>
      <w:r>
        <w:rPr>
          <w:rFonts w:ascii="Times New Roman" w:hAnsi="Times New Roman"/>
          <w:b/>
          <w:noProof/>
          <w:sz w:val="24"/>
        </w:rPr>
        <w:t xml:space="preserve">Sprawiedliwa transformacja będzie zależeć nie tylko od środków dostępnych na wsparcie inwestycji, lecz również od kierowania tych środków do właściwych projektów. </w:t>
      </w:r>
      <w:r>
        <w:rPr>
          <w:rFonts w:ascii="Times New Roman" w:hAnsi="Times New Roman"/>
          <w:noProof/>
          <w:sz w:val="24"/>
        </w:rPr>
        <w:t>Państwa członkowskie i regiony otrzymają pomoc za pośrednictwem platformy sprawiedliwej trans</w:t>
      </w:r>
      <w:r>
        <w:rPr>
          <w:rFonts w:ascii="Times New Roman" w:hAnsi="Times New Roman"/>
          <w:noProof/>
          <w:sz w:val="24"/>
        </w:rPr>
        <w:t>formacji, zarządzanej przez Komisję. Platforma wykorzysta i rozszerzy działania istniejącej platformy dla regionów górniczych w okresie transformacji, która już teraz wspiera regiony wytwarzające paliwa kopalne w całej UE w procesie sprawiedliwej transform</w:t>
      </w:r>
      <w:r>
        <w:rPr>
          <w:rFonts w:ascii="Times New Roman" w:hAnsi="Times New Roman"/>
          <w:noProof/>
          <w:sz w:val="24"/>
        </w:rPr>
        <w:t xml:space="preserve">acji. Zapewni ona wsparcie techniczne i doradcze w celu opracowania terytorialnych planów transformacji za pośrednictwem sieci ekspertów, która ułatwi wymianę informacji między państwami członkowskimi, regionami, agencjami i zainteresowanymi stronami. Już </w:t>
      </w:r>
      <w:r>
        <w:rPr>
          <w:rFonts w:ascii="Times New Roman" w:hAnsi="Times New Roman"/>
          <w:noProof/>
          <w:sz w:val="24"/>
        </w:rPr>
        <w:t>w pierwszym kwartale 2020 r. Komisja ogłosi zaproszenie do składania wniosków w ramach programu wspierania reform strukturalnych, aby pomóc państwom członkowskim, w razie potrzeby, w przygotowaniu ich terytorialnych planów transformacji. Mechanizm sprawied</w:t>
      </w:r>
      <w:r>
        <w:rPr>
          <w:rFonts w:ascii="Times New Roman" w:hAnsi="Times New Roman"/>
          <w:noProof/>
          <w:sz w:val="24"/>
        </w:rPr>
        <w:t>liwej transformacji zapewni również wsparcie doradcze i pomoc techniczną za pośrednictwem tych samych środków, które opisano w sekcji 5.1.2.</w:t>
      </w:r>
      <w:r>
        <w:rPr>
          <w:rFonts w:ascii="Times New Roman" w:hAnsi="Times New Roman"/>
          <w:b/>
          <w:noProof/>
          <w:sz w:val="24"/>
        </w:rPr>
        <w:t xml:space="preserve"> </w:t>
      </w:r>
    </w:p>
    <w:p w:rsidR="00680C29" w:rsidRDefault="0082696E">
      <w:pPr>
        <w:rPr>
          <w:noProof/>
        </w:rPr>
      </w:pPr>
      <w:r>
        <w:rPr>
          <w:noProof/>
        </w:rPr>
        <w:br w:type="page"/>
      </w:r>
    </w:p>
    <w:p w:rsidR="00680C29" w:rsidRDefault="00680C29">
      <w:pPr>
        <w:spacing w:after="240"/>
        <w:jc w:val="both"/>
        <w:rPr>
          <w:rFonts w:ascii="Times New Roman" w:hAnsi="Times New Roman"/>
          <w:b/>
          <w:noProof/>
          <w:sz w:val="24"/>
          <w:szCs w:val="24"/>
        </w:rPr>
      </w:pPr>
    </w:p>
    <w:tbl>
      <w:tblPr>
        <w:tblStyle w:val="TableGrid"/>
        <w:tblW w:w="0" w:type="auto"/>
        <w:tblLook w:val="04A0" w:firstRow="1" w:lastRow="0" w:firstColumn="1" w:lastColumn="0" w:noHBand="0" w:noVBand="1"/>
      </w:tblPr>
      <w:tblGrid>
        <w:gridCol w:w="9062"/>
      </w:tblGrid>
      <w:tr w:rsidR="00680C29">
        <w:tc>
          <w:tcPr>
            <w:tcW w:w="9062" w:type="dxa"/>
          </w:tcPr>
          <w:p w:rsidR="00680C29" w:rsidRDefault="0082696E">
            <w:pPr>
              <w:spacing w:after="240"/>
              <w:jc w:val="both"/>
              <w:rPr>
                <w:rFonts w:ascii="Times New Roman" w:hAnsi="Times New Roman"/>
                <w:b/>
                <w:noProof/>
                <w:sz w:val="28"/>
                <w:szCs w:val="24"/>
              </w:rPr>
            </w:pPr>
            <w:r>
              <w:rPr>
                <w:rFonts w:ascii="Times New Roman" w:hAnsi="Times New Roman"/>
                <w:b/>
                <w:noProof/>
                <w:sz w:val="24"/>
              </w:rPr>
              <w:t>Komisja:</w:t>
            </w:r>
          </w:p>
          <w:p w:rsidR="00680C29" w:rsidRDefault="0082696E">
            <w:pPr>
              <w:spacing w:after="240"/>
              <w:jc w:val="both"/>
              <w:rPr>
                <w:rFonts w:ascii="Times New Roman" w:hAnsi="Times New Roman"/>
                <w:b/>
                <w:noProof/>
                <w:sz w:val="28"/>
                <w:szCs w:val="24"/>
              </w:rPr>
            </w:pPr>
            <w:r>
              <w:rPr>
                <w:rFonts w:ascii="Times New Roman" w:hAnsi="Times New Roman"/>
                <w:b/>
                <w:noProof/>
                <w:sz w:val="24"/>
              </w:rPr>
              <w:t>- Wraz ze współprawodawcami podejmie działania w celu doprowadzenia do szybkiego przyjęcia rozporządze</w:t>
            </w:r>
            <w:r>
              <w:rPr>
                <w:rFonts w:ascii="Times New Roman" w:hAnsi="Times New Roman"/>
                <w:b/>
                <w:noProof/>
                <w:sz w:val="24"/>
              </w:rPr>
              <w:t>nia w sprawie Funduszu na rzecz Sprawiedliwej Transformacji i odpowiednich zmian do rozporządzenia w sprawie wspólnych przepisów.</w:t>
            </w:r>
          </w:p>
          <w:p w:rsidR="00680C29" w:rsidRDefault="0082696E">
            <w:pPr>
              <w:spacing w:after="240"/>
              <w:jc w:val="both"/>
              <w:rPr>
                <w:rFonts w:ascii="Times New Roman" w:hAnsi="Times New Roman"/>
                <w:b/>
                <w:noProof/>
                <w:sz w:val="28"/>
                <w:szCs w:val="24"/>
              </w:rPr>
            </w:pPr>
            <w:r>
              <w:rPr>
                <w:rFonts w:ascii="Times New Roman" w:hAnsi="Times New Roman"/>
                <w:b/>
                <w:noProof/>
                <w:sz w:val="24"/>
              </w:rPr>
              <w:t>- Będzie współpracować z grupą EBI i innymi partnerami wykonawczymi w celu wdrożenia systemu sprawiedliwej transformacji w ram</w:t>
            </w:r>
            <w:r>
              <w:rPr>
                <w:rFonts w:ascii="Times New Roman" w:hAnsi="Times New Roman"/>
                <w:b/>
                <w:noProof/>
                <w:sz w:val="24"/>
              </w:rPr>
              <w:t>ach Programu InvestEU po jego przyjęciu.</w:t>
            </w:r>
          </w:p>
          <w:p w:rsidR="00680C29" w:rsidRDefault="0082696E">
            <w:pPr>
              <w:spacing w:after="240"/>
              <w:jc w:val="both"/>
              <w:rPr>
                <w:rFonts w:ascii="Times New Roman" w:hAnsi="Times New Roman"/>
                <w:b/>
                <w:noProof/>
                <w:sz w:val="28"/>
                <w:szCs w:val="24"/>
              </w:rPr>
            </w:pPr>
            <w:r>
              <w:rPr>
                <w:rFonts w:ascii="Times New Roman" w:hAnsi="Times New Roman"/>
                <w:b/>
                <w:noProof/>
                <w:sz w:val="24"/>
              </w:rPr>
              <w:t>- W marcu 2020 r. wraz z EBI przedstawi nowy wniosek ustawodawczy dotyczący instrumentu pożyczkowego na rzecz sektora publicznego.</w:t>
            </w:r>
          </w:p>
          <w:p w:rsidR="00680C29" w:rsidRDefault="0082696E">
            <w:pPr>
              <w:spacing w:after="240"/>
              <w:jc w:val="both"/>
              <w:rPr>
                <w:rFonts w:ascii="Times New Roman" w:hAnsi="Times New Roman"/>
                <w:b/>
                <w:noProof/>
                <w:sz w:val="28"/>
                <w:szCs w:val="24"/>
              </w:rPr>
            </w:pPr>
            <w:r>
              <w:rPr>
                <w:rFonts w:ascii="Times New Roman" w:hAnsi="Times New Roman"/>
                <w:b/>
                <w:noProof/>
                <w:sz w:val="24"/>
              </w:rPr>
              <w:t xml:space="preserve">- Pomoże państwom członkowskim i regionom w przygotowaniu ich terytorialnych planów </w:t>
            </w:r>
            <w:r>
              <w:rPr>
                <w:rFonts w:ascii="Times New Roman" w:hAnsi="Times New Roman"/>
                <w:b/>
                <w:noProof/>
                <w:sz w:val="24"/>
              </w:rPr>
              <w:t>transformacji.</w:t>
            </w:r>
          </w:p>
          <w:p w:rsidR="00680C29" w:rsidRDefault="0082696E">
            <w:pPr>
              <w:spacing w:after="240"/>
              <w:jc w:val="both"/>
              <w:rPr>
                <w:rFonts w:ascii="Times New Roman" w:hAnsi="Times New Roman"/>
                <w:noProof/>
                <w:sz w:val="24"/>
                <w:szCs w:val="24"/>
              </w:rPr>
            </w:pPr>
            <w:r>
              <w:rPr>
                <w:rFonts w:ascii="Times New Roman" w:hAnsi="Times New Roman"/>
                <w:b/>
                <w:noProof/>
                <w:sz w:val="24"/>
              </w:rPr>
              <w:t>- Zapewni pomoc techniczną i doradztwo w celu stworzenia solidnego wykazu projektów inwestycyjnych z korzyścią dla regionów objętych sprawiedliwą transformacją.</w:t>
            </w:r>
          </w:p>
        </w:tc>
      </w:tr>
    </w:tbl>
    <w:p w:rsidR="00680C29" w:rsidRDefault="0082696E">
      <w:pPr>
        <w:pStyle w:val="Heading1"/>
        <w:spacing w:before="240" w:after="240"/>
        <w:rPr>
          <w:noProof/>
        </w:rPr>
      </w:pPr>
      <w:r>
        <w:rPr>
          <w:noProof/>
        </w:rPr>
        <w:t xml:space="preserve">Wnioski i kolejne kroki </w:t>
      </w:r>
    </w:p>
    <w:p w:rsidR="00680C29" w:rsidRDefault="0082696E">
      <w:pPr>
        <w:spacing w:after="240"/>
        <w:jc w:val="both"/>
        <w:rPr>
          <w:rFonts w:ascii="Times New Roman" w:hAnsi="Times New Roman"/>
          <w:noProof/>
          <w:sz w:val="28"/>
          <w:szCs w:val="24"/>
        </w:rPr>
      </w:pPr>
      <w:r>
        <w:rPr>
          <w:rFonts w:ascii="Times New Roman" w:hAnsi="Times New Roman"/>
          <w:b/>
          <w:noProof/>
          <w:sz w:val="24"/>
        </w:rPr>
        <w:t>Plan inwestycyjny na rzecz zrównoważonej Europy ma zas</w:t>
      </w:r>
      <w:r>
        <w:rPr>
          <w:rFonts w:ascii="Times New Roman" w:hAnsi="Times New Roman"/>
          <w:b/>
          <w:noProof/>
          <w:sz w:val="24"/>
        </w:rPr>
        <w:t>adnicze znaczenie dla uruchomienia inwestycji niezbędnych do osiągnięcia ambitnych celów określonych w Europejskim Zielonym Ładzie</w:t>
      </w:r>
      <w:r>
        <w:rPr>
          <w:rFonts w:ascii="Times New Roman" w:hAnsi="Times New Roman"/>
          <w:noProof/>
          <w:sz w:val="24"/>
        </w:rPr>
        <w:t>. Zobowiązując się do uruchomienia w następnym dziesięcioleciu co najmniej 1 bln EUR w ramach zrównoważonych inwestycji z wyko</w:t>
      </w:r>
      <w:r>
        <w:rPr>
          <w:rFonts w:ascii="Times New Roman" w:hAnsi="Times New Roman"/>
          <w:noProof/>
          <w:sz w:val="24"/>
        </w:rPr>
        <w:t>rzystaniem budżetu UE, Komisja wyznaczyła sobie bardzo konkretny cel, który będzie punktem odniesienia dla monitorowania postępów. Plan zawiera również zobowiązanie do wykorzystania wszystkich odpowiednich środków politycznych w celu zapewnienia inwestorom</w:t>
      </w:r>
      <w:r>
        <w:rPr>
          <w:rFonts w:ascii="Times New Roman" w:hAnsi="Times New Roman"/>
          <w:noProof/>
          <w:sz w:val="24"/>
        </w:rPr>
        <w:t xml:space="preserve"> prywatnym i publicznym ram ułatwiających w największym możliwym stopniu prowadzenie zrównoważonych inwestycji. Oznacza to również odnowione zobowiązanie do zapewnienia organom publicznym i promotorom projektów niezbędnego wsparcia w zakresie planowania i </w:t>
      </w:r>
      <w:r>
        <w:rPr>
          <w:rFonts w:ascii="Times New Roman" w:hAnsi="Times New Roman"/>
          <w:noProof/>
          <w:sz w:val="24"/>
        </w:rPr>
        <w:t>realizacji projektów. Biorąc pod uwagę skalę potrzeb w zakresie finansowania, Komisja podejmuje się, że będzie w dalszym ciągu badać możliwości uruchomienia dodatkowych środków w celu osiągnięcia celów Europejskiego Zielonego Ładu.</w:t>
      </w:r>
    </w:p>
    <w:p w:rsidR="00680C29" w:rsidRDefault="0082696E">
      <w:pPr>
        <w:spacing w:after="240"/>
        <w:jc w:val="both"/>
        <w:rPr>
          <w:rFonts w:ascii="Times New Roman" w:hAnsi="Times New Roman"/>
          <w:noProof/>
          <w:sz w:val="28"/>
          <w:szCs w:val="24"/>
        </w:rPr>
      </w:pPr>
      <w:r>
        <w:rPr>
          <w:rFonts w:ascii="Times New Roman" w:hAnsi="Times New Roman"/>
          <w:b/>
          <w:noProof/>
          <w:sz w:val="24"/>
        </w:rPr>
        <w:t>Zawarty w planie mechani</w:t>
      </w:r>
      <w:r>
        <w:rPr>
          <w:rFonts w:ascii="Times New Roman" w:hAnsi="Times New Roman"/>
          <w:b/>
          <w:noProof/>
          <w:sz w:val="24"/>
        </w:rPr>
        <w:t>zm sprawiedliwej transformacji pomoże zapewnić, aby na drodze do zrównoważonej przyszłości nikogo nie pozostawiono w tyle</w:t>
      </w:r>
      <w:r>
        <w:rPr>
          <w:rFonts w:ascii="Times New Roman" w:hAnsi="Times New Roman"/>
          <w:noProof/>
          <w:sz w:val="24"/>
        </w:rPr>
        <w:t xml:space="preserve">. Regiony najbardziej narażone na wyzwania związane z transformacją otrzymają wsparcie zarówno finansowe, jak i administracyjne. </w:t>
      </w:r>
    </w:p>
    <w:p w:rsidR="00680C29" w:rsidRDefault="0082696E">
      <w:pPr>
        <w:spacing w:after="240"/>
        <w:jc w:val="both"/>
        <w:rPr>
          <w:rFonts w:ascii="Times New Roman" w:hAnsi="Times New Roman"/>
          <w:noProof/>
          <w:sz w:val="28"/>
          <w:szCs w:val="24"/>
        </w:rPr>
      </w:pPr>
      <w:r>
        <w:rPr>
          <w:rFonts w:ascii="Times New Roman" w:hAnsi="Times New Roman"/>
          <w:b/>
          <w:noProof/>
          <w:sz w:val="24"/>
        </w:rPr>
        <w:t xml:space="preserve">Powodzenie planu inwestycyjnego na rzecz zrównoważonej Europy będzie zależało od zaangażowania wszystkich właściwych zainteresowanych stron w jego realizację. </w:t>
      </w:r>
      <w:r>
        <w:rPr>
          <w:rFonts w:ascii="Times New Roman" w:hAnsi="Times New Roman"/>
          <w:noProof/>
          <w:sz w:val="24"/>
        </w:rPr>
        <w:t>W</w:t>
      </w:r>
      <w:r>
        <w:rPr>
          <w:rFonts w:ascii="Times New Roman" w:hAnsi="Times New Roman"/>
          <w:b/>
          <w:noProof/>
          <w:sz w:val="24"/>
        </w:rPr>
        <w:t> </w:t>
      </w:r>
      <w:r>
        <w:rPr>
          <w:rFonts w:ascii="Times New Roman" w:hAnsi="Times New Roman"/>
          <w:noProof/>
          <w:sz w:val="24"/>
        </w:rPr>
        <w:t>trakcie negocjacji w sprawie przyszłych ram finansowych państwa członkowskie i Parlament Europe</w:t>
      </w:r>
      <w:r>
        <w:rPr>
          <w:rFonts w:ascii="Times New Roman" w:hAnsi="Times New Roman"/>
          <w:noProof/>
          <w:sz w:val="24"/>
        </w:rPr>
        <w:t xml:space="preserve">jski będą musiały zdecydowanie zachować ambitny charakter wniosku Komisji. Społeczność inwestycyjną, w tym inwestorów instytucjonalnych, banki, instytucje prorozwojowe i fundusze </w:t>
      </w:r>
      <w:r>
        <w:rPr>
          <w:rFonts w:ascii="Times New Roman" w:hAnsi="Times New Roman"/>
          <w:i/>
          <w:iCs/>
          <w:noProof/>
          <w:sz w:val="24"/>
        </w:rPr>
        <w:t>private equity</w:t>
      </w:r>
      <w:r>
        <w:rPr>
          <w:rFonts w:ascii="Times New Roman" w:hAnsi="Times New Roman"/>
          <w:noProof/>
          <w:sz w:val="24"/>
        </w:rPr>
        <w:t xml:space="preserve"> zachęca się do pełnego wykorzystania nowych ram na rzecz zrówn</w:t>
      </w:r>
      <w:r>
        <w:rPr>
          <w:rFonts w:ascii="Times New Roman" w:hAnsi="Times New Roman"/>
          <w:noProof/>
          <w:sz w:val="24"/>
        </w:rPr>
        <w:t>oważonych inwestycji. Z kolei organy państw członkowskich będą musiały przyjąć aktywną rolę w określaniu, promowaniu i, w razie potrzeby, współfinansowaniu takich inwestycji.</w:t>
      </w:r>
    </w:p>
    <w:p w:rsidR="00680C29" w:rsidRDefault="0082696E">
      <w:pPr>
        <w:spacing w:after="240"/>
        <w:jc w:val="both"/>
        <w:rPr>
          <w:rFonts w:ascii="Times New Roman" w:hAnsi="Times New Roman"/>
          <w:noProof/>
          <w:sz w:val="28"/>
          <w:szCs w:val="24"/>
        </w:rPr>
      </w:pPr>
      <w:r>
        <w:rPr>
          <w:rFonts w:ascii="Times New Roman" w:hAnsi="Times New Roman"/>
          <w:b/>
          <w:noProof/>
          <w:sz w:val="24"/>
        </w:rPr>
        <w:t>Co roku Komisja będzie organizować szczyt w sprawie zrównoważonych inwestycji z</w:t>
      </w:r>
      <w:r>
        <w:rPr>
          <w:rFonts w:ascii="Times New Roman" w:hAnsi="Times New Roman"/>
          <w:b/>
          <w:noProof/>
          <w:sz w:val="24"/>
        </w:rPr>
        <w:t> udziałem wszystkich zainteresowanych stron</w:t>
      </w:r>
      <w:r>
        <w:rPr>
          <w:rFonts w:ascii="Times New Roman" w:hAnsi="Times New Roman"/>
          <w:noProof/>
          <w:sz w:val="24"/>
        </w:rPr>
        <w:t>. Będzie to okazja do podsumowania postępów w różnych obszarach działań ujętych w planie inwestycyjnym na rzecz zrównoważonej Europy oraz do określenia nowych dróg działania. Komisja, wraz z odpowiednimi partneram</w:t>
      </w:r>
      <w:r>
        <w:rPr>
          <w:rFonts w:ascii="Times New Roman" w:hAnsi="Times New Roman"/>
          <w:noProof/>
          <w:sz w:val="24"/>
        </w:rPr>
        <w:t>i, będzie nadal szukać dodatkowych źródeł, które można będzie wykorzystać w celu zaspokojenia długoterminowych potrzeb finansowych związanych z transformacją, oraz innowacyjnych metod czerpania z tych źródeł. Ponadto, zgodnie z konkluzjami Rady z grudnia 2</w:t>
      </w:r>
      <w:r>
        <w:rPr>
          <w:rFonts w:ascii="Times New Roman" w:hAnsi="Times New Roman"/>
          <w:noProof/>
          <w:sz w:val="24"/>
        </w:rPr>
        <w:t>019 r., Komisja opracuje i będzie regularnie przedstawiać oceny środowiskowych i społeczno-gospodarczych skutków przejścia na neutralność klimatyczną oraz ewentualne związane z tym potrzeby w zakresie inwestycji koniecznych do zaradzenia tym skutkom.</w:t>
      </w:r>
    </w:p>
    <w:p w:rsidR="00680C29" w:rsidRDefault="00680C29">
      <w:pPr>
        <w:spacing w:line="276" w:lineRule="auto"/>
        <w:jc w:val="both"/>
        <w:rPr>
          <w:rFonts w:ascii="Times New Roman" w:hAnsi="Times New Roman"/>
          <w:noProof/>
          <w:sz w:val="28"/>
          <w:szCs w:val="24"/>
        </w:rPr>
      </w:pPr>
    </w:p>
    <w:p w:rsidR="00680C29" w:rsidRDefault="00680C29">
      <w:pPr>
        <w:pStyle w:val="Heading1"/>
        <w:numPr>
          <w:ilvl w:val="0"/>
          <w:numId w:val="0"/>
        </w:numPr>
        <w:spacing w:before="240" w:after="240"/>
        <w:rPr>
          <w:noProof/>
          <w:sz w:val="28"/>
        </w:rPr>
      </w:pPr>
    </w:p>
    <w:sectPr w:rsidR="00680C29">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09256" w16cid:durableId="21B9A69D"/>
  <w16cid:commentId w16cid:paraId="2F6115CB" w16cid:durableId="21BCB6C0"/>
  <w16cid:commentId w16cid:paraId="545AB71F" w16cid:durableId="21B9A69E"/>
  <w16cid:commentId w16cid:paraId="00BA931F" w16cid:durableId="21BCB6C2"/>
  <w16cid:commentId w16cid:paraId="3B4BCBD2" w16cid:durableId="21B9A6A0"/>
  <w16cid:commentId w16cid:paraId="2A171CD6" w16cid:durableId="21BCB6C4"/>
  <w16cid:commentId w16cid:paraId="65D7183F" w16cid:durableId="21B9A6A1"/>
  <w16cid:commentId w16cid:paraId="7F8FE4FB" w16cid:durableId="21BCB6C6"/>
  <w16cid:commentId w16cid:paraId="3C471C82" w16cid:durableId="21B9A6A4"/>
  <w16cid:commentId w16cid:paraId="060B63E1" w16cid:durableId="21BCB6C8"/>
  <w16cid:commentId w16cid:paraId="47279857" w16cid:durableId="21BCB6C9"/>
  <w16cid:commentId w16cid:paraId="796EC089" w16cid:durableId="21B9A6A5"/>
  <w16cid:commentId w16cid:paraId="6A2A2306" w16cid:durableId="21B9AECD"/>
  <w16cid:commentId w16cid:paraId="4A7B4016" w16cid:durableId="21B9A6A7"/>
  <w16cid:commentId w16cid:paraId="07E5B45A" w16cid:durableId="21B9AFAC"/>
  <w16cid:commentId w16cid:paraId="75566035" w16cid:durableId="21B9A6A8"/>
  <w16cid:commentId w16cid:paraId="1F82A162" w16cid:durableId="21B9B0A2"/>
  <w16cid:commentId w16cid:paraId="0DB5D7C1" w16cid:durableId="21B9A6A9"/>
  <w16cid:commentId w16cid:paraId="1422BC64" w16cid:durableId="21B9A6AA"/>
  <w16cid:commentId w16cid:paraId="69891D72" w16cid:durableId="21B9B2C3"/>
  <w16cid:commentId w16cid:paraId="0E057EDD" w16cid:durableId="21B9A6AF"/>
  <w16cid:commentId w16cid:paraId="03E08CFA" w16cid:durableId="21B9A6B0"/>
  <w16cid:commentId w16cid:paraId="588CF822" w16cid:durableId="21B9A6B1"/>
  <w16cid:commentId w16cid:paraId="33181BBA" w16cid:durableId="21B9A6B2"/>
  <w16cid:commentId w16cid:paraId="3EEC6D36" w16cid:durableId="21B9A6B3"/>
  <w16cid:commentId w16cid:paraId="0F2684C4" w16cid:durableId="21B9A6B4"/>
  <w16cid:commentId w16cid:paraId="53C00601" w16cid:durableId="21B9A6B5"/>
  <w16cid:commentId w16cid:paraId="08B3340D" w16cid:durableId="21B9A6B6"/>
  <w16cid:commentId w16cid:paraId="5DE08879" w16cid:durableId="21B9A6B7"/>
  <w16cid:commentId w16cid:paraId="17B591EF" w16cid:durableId="21B9A6B8"/>
  <w16cid:commentId w16cid:paraId="0C335760" w16cid:durableId="21B9A6B9"/>
  <w16cid:commentId w16cid:paraId="5E18B75B" w16cid:durableId="21B9A6BA"/>
  <w16cid:commentId w16cid:paraId="753F1125" w16cid:durableId="21B9A6BB"/>
  <w16cid:commentId w16cid:paraId="165AC57C" w16cid:durableId="21BCB6E0"/>
  <w16cid:commentId w16cid:paraId="0F81B8A6" w16cid:durableId="21B9A6BC"/>
  <w16cid:commentId w16cid:paraId="7E9563AF" w16cid:durableId="21B9A6BD"/>
  <w16cid:commentId w16cid:paraId="441E374C" w16cid:durableId="21B9A6BE"/>
  <w16cid:commentId w16cid:paraId="563C28DD" w16cid:durableId="21B9A6BF"/>
  <w16cid:commentId w16cid:paraId="5CF88059" w16cid:durableId="21B9A6C0"/>
  <w16cid:commentId w16cid:paraId="2AA44EEE" w16cid:durableId="21B9A6C1"/>
  <w16cid:commentId w16cid:paraId="389F579E" w16cid:durableId="21BCB6E7"/>
  <w16cid:commentId w16cid:paraId="05447D9E" w16cid:durableId="21BCB6E8"/>
  <w16cid:commentId w16cid:paraId="2A158B94" w16cid:durableId="21B9A6C2"/>
  <w16cid:commentId w16cid:paraId="4D436A17" w16cid:durableId="21B9A6C3"/>
  <w16cid:commentId w16cid:paraId="5B302290" w16cid:durableId="21B9B798"/>
  <w16cid:commentId w16cid:paraId="45E06A54" w16cid:durableId="21BCC7A8"/>
  <w16cid:commentId w16cid:paraId="5C2B2D4E" w16cid:durableId="21B9A6C4"/>
  <w16cid:commentId w16cid:paraId="7F75E3EC" w16cid:durableId="21B9A6C5"/>
  <w16cid:commentId w16cid:paraId="68B5C5B9" w16cid:durableId="21B9A6C6"/>
  <w16cid:commentId w16cid:paraId="206F471D" w16cid:durableId="21B9A6C7"/>
  <w16cid:commentId w16cid:paraId="6807F581" w16cid:durableId="21B9A6C8"/>
  <w16cid:commentId w16cid:paraId="6039A7B5" w16cid:durableId="21BCB6F1"/>
  <w16cid:commentId w16cid:paraId="1CFF2710" w16cid:durableId="21BCB68E"/>
  <w16cid:commentId w16cid:paraId="038A5C92" w16cid:durableId="21BCB68F"/>
  <w16cid:commentId w16cid:paraId="6E0DF2A7" w16cid:durableId="21BCB690"/>
  <w16cid:commentId w16cid:paraId="5ACDE2D1" w16cid:durableId="21BCB691"/>
  <w16cid:commentId w16cid:paraId="17D155B9" w16cid:durableId="21BCB692"/>
  <w16cid:commentId w16cid:paraId="54D25014" w16cid:durableId="21BCB693"/>
  <w16cid:commentId w16cid:paraId="14624B21" w16cid:durableId="21B9A6C9"/>
  <w16cid:commentId w16cid:paraId="19E8EEBB" w16cid:durableId="21B9A6CA"/>
  <w16cid:commentId w16cid:paraId="181B4930" w16cid:durableId="21B9A6CB"/>
  <w16cid:commentId w16cid:paraId="69D37453" w16cid:durableId="21B9A6CC"/>
  <w16cid:commentId w16cid:paraId="1AD6F53D" w16cid:durableId="21BCB6F6"/>
  <w16cid:commentId w16cid:paraId="702295B3" w16cid:durableId="21B9A6CD"/>
  <w16cid:commentId w16cid:paraId="4BBE1857" w16cid:durableId="21BCB6F8"/>
  <w16cid:commentId w16cid:paraId="79D5F666" w16cid:durableId="21B9A6CE"/>
  <w16cid:commentId w16cid:paraId="205AA95B" w16cid:durableId="21B9A6CF"/>
  <w16cid:commentId w16cid:paraId="3153A0FD" w16cid:durableId="21BCB6FC"/>
  <w16cid:commentId w16cid:paraId="08A33F76" w16cid:durableId="21B9A6D1"/>
  <w16cid:commentId w16cid:paraId="79C6481D" w16cid:durableId="21B9A6D2"/>
  <w16cid:commentId w16cid:paraId="46C96DDB" w16cid:durableId="21B9A6D3"/>
  <w16cid:commentId w16cid:paraId="0CFFCB87" w16cid:durableId="21BCB700"/>
  <w16cid:commentId w16cid:paraId="0AA4A3A7" w16cid:durableId="21BCB701"/>
  <w16cid:commentId w16cid:paraId="5ECBCDB1" w16cid:durableId="21B9A6D4"/>
  <w16cid:commentId w16cid:paraId="4B9EDE16" w16cid:durableId="21B9A6D5"/>
  <w16cid:commentId w16cid:paraId="1FDFEAED" w16cid:durableId="21B9A6D6"/>
  <w16cid:commentId w16cid:paraId="429FFCF2" w16cid:durableId="21BCB705"/>
  <w16cid:commentId w16cid:paraId="12589772" w16cid:durableId="21B9A6D7"/>
  <w16cid:commentId w16cid:paraId="1A4DE2AC" w16cid:durableId="21B9B4EE"/>
  <w16cid:commentId w16cid:paraId="314B182D" w16cid:durableId="21B9A6D8"/>
  <w16cid:commentId w16cid:paraId="28EB42ED" w16cid:durableId="21B9A6D9"/>
  <w16cid:commentId w16cid:paraId="50270AA1" w16cid:durableId="21B9B450"/>
  <w16cid:commentId w16cid:paraId="35EABBEA" w16cid:durableId="21B9A6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29" w:rsidRDefault="0082696E">
      <w:r>
        <w:separator/>
      </w:r>
    </w:p>
  </w:endnote>
  <w:endnote w:type="continuationSeparator" w:id="0">
    <w:p w:rsidR="00680C29" w:rsidRDefault="0082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w:altName w:val="Malgun Gothic Semiligh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680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82696E">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680C2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82696E">
    <w:pPr>
      <w:pStyle w:val="Footer"/>
      <w:rPr>
        <w:rFonts w:hAnsi="Times New Roman"/>
      </w:rPr>
    </w:pPr>
    <w:r>
      <w:tab/>
    </w:r>
    <w:r>
      <w:rPr>
        <w:rFonts w:hAnsi="Times New Roman"/>
      </w:rPr>
      <w:fldChar w:fldCharType="begin"/>
    </w:r>
    <w:r>
      <w:instrText>PAGE  \* MERGEFORMAT</w:instrText>
    </w:r>
    <w:r>
      <w:fldChar w:fldCharType="separate"/>
    </w:r>
    <w:r>
      <w:rPr>
        <w:rFonts w:hAnsi="Times New Roman"/>
      </w:rPr>
      <w:t>1</w:t>
    </w:r>
    <w:r>
      <w:rPr>
        <w:rFonts w:hAnsi="Times New Roman"/>
      </w:rPr>
      <w:fldChar w:fldCharType="end"/>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82696E">
    <w:pPr>
      <w:pStyle w:val="Footer"/>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rsidR="00680C29" w:rsidRDefault="00680C29">
    <w:pPr>
      <w:pStyle w:val="Foo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82696E">
    <w:pPr>
      <w:pStyle w:val="Footer"/>
      <w:rPr>
        <w:rFonts w:hAnsi="Times New Roman"/>
      </w:rPr>
    </w:pPr>
    <w:r>
      <w:tab/>
    </w:r>
    <w:r>
      <w:rPr>
        <w:rFonts w:hAnsi="Times New Roman"/>
      </w:rPr>
      <w:fldChar w:fldCharType="begin"/>
    </w:r>
    <w:r>
      <w:instrText>PAGE  \* MERGEFORMAT</w:instrText>
    </w:r>
    <w:r>
      <w:fldChar w:fldCharType="separate"/>
    </w:r>
    <w:r>
      <w:rPr>
        <w:rFonts w:hAnsi="Times New Roman"/>
      </w:rPr>
      <w:t>1</w:t>
    </w:r>
    <w:r>
      <w:rPr>
        <w:rFonts w:hAnsi="Times New Roman"/>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29" w:rsidRDefault="0082696E">
      <w:r>
        <w:separator/>
      </w:r>
    </w:p>
  </w:footnote>
  <w:footnote w:type="continuationSeparator" w:id="0">
    <w:p w:rsidR="00680C29" w:rsidRDefault="0082696E">
      <w:r>
        <w:continuationSeparator/>
      </w:r>
    </w:p>
  </w:footnote>
  <w:footnote w:id="1">
    <w:p w:rsidR="00680C29" w:rsidRDefault="0082696E">
      <w:pPr>
        <w:pStyle w:val="FootnoteText"/>
      </w:pPr>
      <w:r>
        <w:rPr>
          <w:rStyle w:val="FootnoteReference"/>
        </w:rPr>
        <w:footnoteRef/>
      </w:r>
      <w:r>
        <w:t xml:space="preserve"> </w:t>
      </w:r>
      <w:r>
        <w:tab/>
        <w:t>Najważniejsze cele na 2030 r.: ograniczenie emisji gazów cieplarnianych o co najmniej 40 % (w stosunku do poziomu z 1990 r.), zapewnienie udziału energii ze źródeł odn</w:t>
      </w:r>
      <w:r>
        <w:t>awialnych w całkowitym zużyciu energii na poziomie co najmniej 32 % oraz zwiększenie efektywności energetycznej o co najmniej 32,5 %.</w:t>
      </w:r>
    </w:p>
  </w:footnote>
  <w:footnote w:id="2">
    <w:p w:rsidR="00680C29" w:rsidRDefault="0082696E">
      <w:pPr>
        <w:pStyle w:val="FootnoteText"/>
      </w:pPr>
      <w:r>
        <w:rPr>
          <w:rStyle w:val="FootnoteReference"/>
        </w:rPr>
        <w:footnoteRef/>
      </w:r>
      <w:r>
        <w:tab/>
        <w:t xml:space="preserve">W porównaniu ze scenariuszem odniesienia – </w:t>
      </w:r>
      <w:r>
        <w:rPr>
          <w:i/>
        </w:rPr>
        <w:t>Komunikat „Zjednoczeni w realizacji unii energetycznej i działań w dziedzinie</w:t>
      </w:r>
      <w:r>
        <w:rPr>
          <w:i/>
        </w:rPr>
        <w:t xml:space="preserve"> klimatu – Przygotowanie fundamentów w celu zapewnienia udanego przejścia na czystą energię”</w:t>
      </w:r>
      <w:r>
        <w:t xml:space="preserve"> (COM(2019) 285). </w:t>
      </w:r>
    </w:p>
  </w:footnote>
  <w:footnote w:id="3">
    <w:p w:rsidR="00680C29" w:rsidRDefault="0082696E">
      <w:pPr>
        <w:pStyle w:val="FootnoteText"/>
      </w:pPr>
      <w:r>
        <w:rPr>
          <w:rStyle w:val="FootnoteReference"/>
        </w:rPr>
        <w:footnoteRef/>
      </w:r>
      <w:r>
        <w:t xml:space="preserve"> </w:t>
      </w:r>
      <w:r>
        <w:tab/>
        <w:t>Komisja szacuje, że – pomijając działania związane z klimatem – luka inwestycyjna w zakresie zrównoważenia środowiskowego (w tym ochrony środo</w:t>
      </w:r>
      <w:r>
        <w:t>wiska i zarządzania zasobami) liczy każdego roku od 100 mld EUR do 150 mld EUR. Jeżeli chodzi o inwestycje społeczne, grupa zadaniowa wysokiego szczebla ds. inwestowania w infrastrukturę społeczną oszacowała, że co roku konieczna byłaby dodatkowa kwota w w</w:t>
      </w:r>
      <w:r>
        <w:t>ysokości 142 mld EUR z przeznaczeniem na przystępne cenowo mieszkania, opiekę zdrowotną i długoterminową, edukację i uczenie się przez cale życie. Kwota ta nie dotyczy kosztów wspierania samej tylko transformacji ekologicznej.</w:t>
      </w:r>
    </w:p>
  </w:footnote>
  <w:footnote w:id="4">
    <w:p w:rsidR="00680C29" w:rsidRDefault="0082696E">
      <w:pPr>
        <w:pStyle w:val="FootnoteText"/>
      </w:pPr>
      <w:r>
        <w:rPr>
          <w:rStyle w:val="FootnoteReference"/>
        </w:rPr>
        <w:footnoteRef/>
      </w:r>
      <w:r>
        <w:t xml:space="preserve"> </w:t>
      </w:r>
      <w:r>
        <w:tab/>
        <w:t>W porównaniu ze scenariusz</w:t>
      </w:r>
      <w:r>
        <w:t>em odniesienia – COM(2019) 285.</w:t>
      </w:r>
    </w:p>
  </w:footnote>
  <w:footnote w:id="5">
    <w:p w:rsidR="00680C29" w:rsidRDefault="0082696E">
      <w:pPr>
        <w:pStyle w:val="FootnoteText"/>
      </w:pPr>
      <w:r>
        <w:rPr>
          <w:rStyle w:val="FootnoteReference"/>
        </w:rPr>
        <w:footnoteRef/>
      </w:r>
      <w:r>
        <w:tab/>
        <w:t xml:space="preserve">Jeżeli chodzi o transport, dane obejmują całkowite wydatki na inwestycje w aktywa ruchome, ale nie obejmują inwestycji w infrastrukturę i w systemy ułatwiające wspólne korzystanie z pojazdów itp. Dane te nie uwzględniają </w:t>
      </w:r>
      <w:r>
        <w:t>zaktualizowanych założeń dotyczących kosztów technologii, wykorzystywanych na potrzeby strategii długoterminowej.</w:t>
      </w:r>
    </w:p>
  </w:footnote>
  <w:footnote w:id="6">
    <w:p w:rsidR="00680C29" w:rsidRDefault="0082696E">
      <w:pPr>
        <w:pStyle w:val="FootnoteText"/>
        <w:spacing w:after="120"/>
      </w:pPr>
      <w:r>
        <w:rPr>
          <w:rStyle w:val="FootnoteReference"/>
        </w:rPr>
        <w:footnoteRef/>
      </w:r>
      <w:r>
        <w:tab/>
        <w:t>Należy traktować je jako szacunki zachowawcze. Ze względu na brak danych nie uwzględniono ważnych potrzeb inwestycyjnych w obszarach rolnict</w:t>
      </w:r>
      <w:r>
        <w:t>wa, dostosowania do zmiany klimatu lub zachowania i przywrócenia ekosystemów i bioróżnorodności.</w:t>
      </w:r>
    </w:p>
  </w:footnote>
  <w:footnote w:id="7">
    <w:p w:rsidR="00680C29" w:rsidRDefault="0082696E">
      <w:pPr>
        <w:ind w:left="357" w:hanging="357"/>
        <w:jc w:val="both"/>
      </w:pPr>
      <w:r>
        <w:rPr>
          <w:rFonts w:ascii="Times New Roman" w:hAnsi="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ab/>
        <w:t>Te szacunki są zwykłą ekstrapolacją wniosku Komisji dotyczącego wieloletnich ram finansowych na lata 2021–2027 (MFF) na okres 10 lat, bez uszczerbku dla kol</w:t>
      </w:r>
      <w:r>
        <w:rPr>
          <w:rFonts w:ascii="Times New Roman" w:hAnsi="Times New Roman"/>
          <w:sz w:val="20"/>
          <w:szCs w:val="20"/>
        </w:rPr>
        <w:t>ejnych MFF po 2027 r., przy czym założeniem jest, że cele klimatyczne zostaną przynajmniej na tym samym poziomie.</w:t>
      </w:r>
    </w:p>
  </w:footnote>
  <w:footnote w:id="8">
    <w:p w:rsidR="00680C29" w:rsidRDefault="0082696E">
      <w:pPr>
        <w:pStyle w:val="FootnoteText"/>
      </w:pPr>
      <w:r>
        <w:rPr>
          <w:rStyle w:val="FootnoteReference"/>
        </w:rPr>
        <w:footnoteRef/>
      </w:r>
      <w:r>
        <w:t xml:space="preserve"> </w:t>
      </w:r>
      <w:r>
        <w:tab/>
        <w:t xml:space="preserve">Europejski Fundusz Rolny na rzecz Rozwoju Obszarów Wiejskich, </w:t>
      </w:r>
      <w:r>
        <w:rPr>
          <w:rStyle w:val="st"/>
        </w:rPr>
        <w:t>Europejski Fundusz Rolniczy Gwarancji, Europejski Fundusz Rozwoju Regionalneg</w:t>
      </w:r>
      <w:r>
        <w:rPr>
          <w:rStyle w:val="st"/>
        </w:rPr>
        <w:t xml:space="preserve">o, Fundusz Spójności, </w:t>
      </w:r>
      <w:r>
        <w:t>program „Horyzont Europa” oraz program LIFE.</w:t>
      </w:r>
    </w:p>
  </w:footnote>
  <w:footnote w:id="9">
    <w:p w:rsidR="00680C29" w:rsidRDefault="0082696E">
      <w:pPr>
        <w:pStyle w:val="FootnoteText"/>
      </w:pPr>
      <w:r>
        <w:rPr>
          <w:rStyle w:val="FootnoteReference"/>
        </w:rPr>
        <w:footnoteRef/>
      </w:r>
      <w:r>
        <w:t xml:space="preserve"> </w:t>
      </w:r>
      <w:r>
        <w:tab/>
        <w:t>COM(2018) 97 final.</w:t>
      </w:r>
    </w:p>
  </w:footnote>
  <w:footnote w:id="10">
    <w:p w:rsidR="00680C29" w:rsidRDefault="0082696E">
      <w:pPr>
        <w:pStyle w:val="FootnoteText"/>
      </w:pPr>
      <w:r>
        <w:rPr>
          <w:rStyle w:val="FootnoteReference"/>
        </w:rPr>
        <w:footnoteRef/>
      </w:r>
      <w:r>
        <w:t xml:space="preserve"> </w:t>
      </w:r>
      <w:r>
        <w:tab/>
        <w:t>COM(2019) 456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680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680C2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680C2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680C29">
    <w:pPr>
      <w:pStyle w:val="Header"/>
      <w:rPr>
        <w:rFonts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680C29">
    <w:pPr>
      <w:pStyle w:val="Header"/>
      <w:rPr>
        <w:rFonts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9" w:rsidRDefault="00680C29">
    <w:pPr>
      <w:pStyle w:val="Header"/>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23A3"/>
    <w:multiLevelType w:val="hybridMultilevel"/>
    <w:tmpl w:val="C974F85E"/>
    <w:lvl w:ilvl="0" w:tplc="EBA0F11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00000"/>
    <w:multiLevelType w:val="hybridMultilevel"/>
    <w:tmpl w:val="597BFC26"/>
    <w:lvl w:ilvl="0" w:tplc="2466D176">
      <w:numFmt w:val="bullet"/>
      <w:lvlText w:val="-"/>
      <w:lvlJc w:val="left"/>
      <w:pPr>
        <w:ind w:left="720" w:hanging="360"/>
        <w:jc w:val="both"/>
      </w:pPr>
      <w:rPr>
        <w:rFonts w:ascii="Calibri" w:eastAsia="Calibri" w:hAnsi="Calibri"/>
        <w:w w:val="100"/>
        <w:sz w:val="20"/>
        <w:szCs w:val="20"/>
        <w:shd w:val="clear" w:color="000000" w:fill="auto"/>
      </w:rPr>
    </w:lvl>
    <w:lvl w:ilvl="1" w:tplc="258012A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B66B7B4">
      <w:start w:val="1"/>
      <w:numFmt w:val="bullet"/>
      <w:lvlText w:val="§"/>
      <w:lvlJc w:val="left"/>
      <w:pPr>
        <w:ind w:left="2160" w:hanging="360"/>
        <w:jc w:val="both"/>
      </w:pPr>
      <w:rPr>
        <w:rFonts w:ascii="Wingdings" w:eastAsia="Wingdings" w:hAnsi="Wingdings"/>
        <w:w w:val="100"/>
        <w:sz w:val="20"/>
        <w:szCs w:val="20"/>
        <w:shd w:val="clear" w:color="auto" w:fill="auto"/>
      </w:rPr>
    </w:lvl>
    <w:lvl w:ilvl="3" w:tplc="FBF2FEF4">
      <w:start w:val="1"/>
      <w:numFmt w:val="bullet"/>
      <w:lvlText w:val="·"/>
      <w:lvlJc w:val="left"/>
      <w:pPr>
        <w:ind w:left="2880" w:hanging="360"/>
        <w:jc w:val="both"/>
      </w:pPr>
      <w:rPr>
        <w:rFonts w:ascii="Symbol" w:eastAsia="Symbol" w:hAnsi="Symbol"/>
        <w:w w:val="100"/>
        <w:sz w:val="20"/>
        <w:szCs w:val="20"/>
        <w:shd w:val="clear" w:color="auto" w:fill="auto"/>
      </w:rPr>
    </w:lvl>
    <w:lvl w:ilvl="4" w:tplc="A284450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1B864592">
      <w:start w:val="1"/>
      <w:numFmt w:val="bullet"/>
      <w:lvlText w:val="§"/>
      <w:lvlJc w:val="left"/>
      <w:pPr>
        <w:ind w:left="4320" w:hanging="360"/>
        <w:jc w:val="both"/>
      </w:pPr>
      <w:rPr>
        <w:rFonts w:ascii="Wingdings" w:eastAsia="Wingdings" w:hAnsi="Wingdings"/>
        <w:w w:val="100"/>
        <w:sz w:val="20"/>
        <w:szCs w:val="20"/>
        <w:shd w:val="clear" w:color="auto" w:fill="auto"/>
      </w:rPr>
    </w:lvl>
    <w:lvl w:ilvl="6" w:tplc="50762EAA">
      <w:start w:val="1"/>
      <w:numFmt w:val="bullet"/>
      <w:lvlText w:val="·"/>
      <w:lvlJc w:val="left"/>
      <w:pPr>
        <w:ind w:left="5040" w:hanging="360"/>
        <w:jc w:val="both"/>
      </w:pPr>
      <w:rPr>
        <w:rFonts w:ascii="Symbol" w:eastAsia="Symbol" w:hAnsi="Symbol"/>
        <w:w w:val="100"/>
        <w:sz w:val="20"/>
        <w:szCs w:val="20"/>
        <w:shd w:val="clear" w:color="auto" w:fill="auto"/>
      </w:rPr>
    </w:lvl>
    <w:lvl w:ilvl="7" w:tplc="7F08B7D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D6AD54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15:restartNumberingAfterBreak="0">
    <w:nsid w:val="2F000001"/>
    <w:multiLevelType w:val="hybridMultilevel"/>
    <w:tmpl w:val="40E7619C"/>
    <w:lvl w:ilvl="0" w:tplc="24B46E1A">
      <w:start w:val="1"/>
      <w:numFmt w:val="bullet"/>
      <w:lvlText w:val="·"/>
      <w:lvlJc w:val="left"/>
      <w:pPr>
        <w:ind w:left="720" w:hanging="360"/>
        <w:jc w:val="both"/>
      </w:pPr>
      <w:rPr>
        <w:rFonts w:ascii="Symbol" w:eastAsia="Symbol" w:hAnsi="Symbol"/>
        <w:w w:val="100"/>
        <w:sz w:val="20"/>
        <w:szCs w:val="20"/>
        <w:shd w:val="clear" w:color="auto" w:fill="auto"/>
      </w:rPr>
    </w:lvl>
    <w:lvl w:ilvl="1" w:tplc="7BBAF63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1B86A5E">
      <w:start w:val="1"/>
      <w:numFmt w:val="bullet"/>
      <w:lvlText w:val="§"/>
      <w:lvlJc w:val="left"/>
      <w:pPr>
        <w:ind w:left="2160" w:hanging="360"/>
        <w:jc w:val="both"/>
      </w:pPr>
      <w:rPr>
        <w:rFonts w:ascii="Wingdings" w:eastAsia="Wingdings" w:hAnsi="Wingdings"/>
        <w:w w:val="100"/>
        <w:sz w:val="20"/>
        <w:szCs w:val="20"/>
        <w:shd w:val="clear" w:color="auto" w:fill="auto"/>
      </w:rPr>
    </w:lvl>
    <w:lvl w:ilvl="3" w:tplc="035AFBC2">
      <w:start w:val="1"/>
      <w:numFmt w:val="bullet"/>
      <w:lvlText w:val="·"/>
      <w:lvlJc w:val="left"/>
      <w:pPr>
        <w:ind w:left="2880" w:hanging="360"/>
        <w:jc w:val="both"/>
      </w:pPr>
      <w:rPr>
        <w:rFonts w:ascii="Symbol" w:eastAsia="Symbol" w:hAnsi="Symbol"/>
        <w:w w:val="100"/>
        <w:sz w:val="20"/>
        <w:szCs w:val="20"/>
        <w:shd w:val="clear" w:color="auto" w:fill="auto"/>
      </w:rPr>
    </w:lvl>
    <w:lvl w:ilvl="4" w:tplc="C98EFCC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D68C6CE6">
      <w:start w:val="1"/>
      <w:numFmt w:val="bullet"/>
      <w:lvlText w:val="§"/>
      <w:lvlJc w:val="left"/>
      <w:pPr>
        <w:ind w:left="4320" w:hanging="360"/>
        <w:jc w:val="both"/>
      </w:pPr>
      <w:rPr>
        <w:rFonts w:ascii="Wingdings" w:eastAsia="Wingdings" w:hAnsi="Wingdings"/>
        <w:w w:val="100"/>
        <w:sz w:val="20"/>
        <w:szCs w:val="20"/>
        <w:shd w:val="clear" w:color="auto" w:fill="auto"/>
      </w:rPr>
    </w:lvl>
    <w:lvl w:ilvl="6" w:tplc="46048992">
      <w:start w:val="1"/>
      <w:numFmt w:val="bullet"/>
      <w:lvlText w:val="·"/>
      <w:lvlJc w:val="left"/>
      <w:pPr>
        <w:ind w:left="5040" w:hanging="360"/>
        <w:jc w:val="both"/>
      </w:pPr>
      <w:rPr>
        <w:rFonts w:ascii="Symbol" w:eastAsia="Symbol" w:hAnsi="Symbol"/>
        <w:w w:val="100"/>
        <w:sz w:val="20"/>
        <w:szCs w:val="20"/>
        <w:shd w:val="clear" w:color="auto" w:fill="auto"/>
      </w:rPr>
    </w:lvl>
    <w:lvl w:ilvl="7" w:tplc="3724A9D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200C97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 w15:restartNumberingAfterBreak="0">
    <w:nsid w:val="2F000002"/>
    <w:multiLevelType w:val="hybridMultilevel"/>
    <w:tmpl w:val="3CB97AFB"/>
    <w:lvl w:ilvl="0" w:tplc="F642EB88">
      <w:start w:val="1"/>
      <w:numFmt w:val="bullet"/>
      <w:lvlText w:val="•"/>
      <w:lvlJc w:val="left"/>
    </w:lvl>
    <w:lvl w:ilvl="1" w:tplc="7748AB10">
      <w:numFmt w:val="decimal"/>
      <w:lvlText w:val=""/>
      <w:lvlJc w:val="left"/>
    </w:lvl>
    <w:lvl w:ilvl="2" w:tplc="2F4E34F0">
      <w:numFmt w:val="decimal"/>
      <w:lvlText w:val=""/>
      <w:lvlJc w:val="left"/>
    </w:lvl>
    <w:lvl w:ilvl="3" w:tplc="394457E2">
      <w:numFmt w:val="decimal"/>
      <w:lvlText w:val=""/>
      <w:lvlJc w:val="left"/>
    </w:lvl>
    <w:lvl w:ilvl="4" w:tplc="0CAA3A60">
      <w:numFmt w:val="decimal"/>
      <w:lvlText w:val=""/>
      <w:lvlJc w:val="left"/>
    </w:lvl>
    <w:lvl w:ilvl="5" w:tplc="0016C4FE">
      <w:numFmt w:val="decimal"/>
      <w:lvlText w:val=""/>
      <w:lvlJc w:val="left"/>
    </w:lvl>
    <w:lvl w:ilvl="6" w:tplc="ECAAF950">
      <w:numFmt w:val="decimal"/>
      <w:lvlText w:val=""/>
      <w:lvlJc w:val="left"/>
    </w:lvl>
    <w:lvl w:ilvl="7" w:tplc="F6AE1884">
      <w:numFmt w:val="decimal"/>
      <w:lvlText w:val=""/>
      <w:lvlJc w:val="left"/>
    </w:lvl>
    <w:lvl w:ilvl="8" w:tplc="F478253E">
      <w:numFmt w:val="decimal"/>
      <w:lvlText w:val=""/>
      <w:lvlJc w:val="left"/>
    </w:lvl>
  </w:abstractNum>
  <w:abstractNum w:abstractNumId="4" w15:restartNumberingAfterBreak="0">
    <w:nsid w:val="2F000003"/>
    <w:multiLevelType w:val="hybridMultilevel"/>
    <w:tmpl w:val="5B3903FB"/>
    <w:lvl w:ilvl="0" w:tplc="368CE872">
      <w:start w:val="1"/>
      <w:numFmt w:val="bullet"/>
      <w:lvlText w:val="Ø"/>
      <w:lvlJc w:val="left"/>
      <w:pPr>
        <w:tabs>
          <w:tab w:val="left" w:pos="0"/>
        </w:tabs>
        <w:ind w:left="720" w:hanging="360"/>
        <w:jc w:val="both"/>
      </w:pPr>
      <w:rPr>
        <w:rFonts w:ascii="Wingdings" w:eastAsia="Wingdings" w:hAnsi="Wingdings"/>
        <w:w w:val="100"/>
        <w:sz w:val="20"/>
        <w:szCs w:val="20"/>
        <w:shd w:val="clear" w:color="000000" w:fill="auto"/>
      </w:rPr>
    </w:lvl>
    <w:lvl w:ilvl="1" w:tplc="097C410A">
      <w:start w:val="1"/>
      <w:numFmt w:val="bullet"/>
      <w:lvlText w:val="o"/>
      <w:lvlJc w:val="left"/>
      <w:pPr>
        <w:tabs>
          <w:tab w:val="left" w:pos="0"/>
        </w:tabs>
        <w:ind w:left="1440" w:hanging="360"/>
        <w:jc w:val="both"/>
      </w:pPr>
      <w:rPr>
        <w:rFonts w:ascii="Courier New" w:eastAsia="Courier New" w:hAnsi="Courier New"/>
        <w:w w:val="100"/>
        <w:sz w:val="20"/>
        <w:szCs w:val="20"/>
        <w:shd w:val="clear" w:color="000000" w:fill="auto"/>
      </w:rPr>
    </w:lvl>
    <w:lvl w:ilvl="2" w:tplc="9E385798">
      <w:start w:val="1"/>
      <w:numFmt w:val="bullet"/>
      <w:lvlText w:val="§"/>
      <w:lvlJc w:val="left"/>
      <w:pPr>
        <w:tabs>
          <w:tab w:val="left" w:pos="0"/>
        </w:tabs>
        <w:ind w:left="2160" w:hanging="360"/>
        <w:jc w:val="both"/>
      </w:pPr>
      <w:rPr>
        <w:rFonts w:ascii="Wingdings" w:eastAsia="Wingdings" w:hAnsi="Wingdings"/>
        <w:w w:val="100"/>
        <w:sz w:val="20"/>
        <w:szCs w:val="20"/>
        <w:shd w:val="clear" w:color="000000" w:fill="auto"/>
      </w:rPr>
    </w:lvl>
    <w:lvl w:ilvl="3" w:tplc="F530CBF4">
      <w:start w:val="1"/>
      <w:numFmt w:val="bullet"/>
      <w:lvlText w:val="·"/>
      <w:lvlJc w:val="left"/>
      <w:pPr>
        <w:tabs>
          <w:tab w:val="left" w:pos="0"/>
        </w:tabs>
        <w:ind w:left="2880" w:hanging="360"/>
        <w:jc w:val="both"/>
      </w:pPr>
      <w:rPr>
        <w:rFonts w:ascii="Symbol" w:eastAsia="Symbol" w:hAnsi="Symbol"/>
        <w:w w:val="100"/>
        <w:sz w:val="20"/>
        <w:szCs w:val="20"/>
        <w:shd w:val="clear" w:color="000000" w:fill="auto"/>
      </w:rPr>
    </w:lvl>
    <w:lvl w:ilvl="4" w:tplc="ECEEE962">
      <w:start w:val="1"/>
      <w:numFmt w:val="bullet"/>
      <w:lvlText w:val="o"/>
      <w:lvlJc w:val="left"/>
      <w:pPr>
        <w:tabs>
          <w:tab w:val="left" w:pos="0"/>
        </w:tabs>
        <w:ind w:left="3600" w:hanging="360"/>
        <w:jc w:val="both"/>
      </w:pPr>
      <w:rPr>
        <w:rFonts w:ascii="Courier New" w:eastAsia="Courier New" w:hAnsi="Courier New"/>
        <w:w w:val="100"/>
        <w:sz w:val="20"/>
        <w:szCs w:val="20"/>
        <w:shd w:val="clear" w:color="000000" w:fill="auto"/>
      </w:rPr>
    </w:lvl>
    <w:lvl w:ilvl="5" w:tplc="F90E3AA4">
      <w:start w:val="1"/>
      <w:numFmt w:val="bullet"/>
      <w:lvlText w:val="§"/>
      <w:lvlJc w:val="left"/>
      <w:pPr>
        <w:tabs>
          <w:tab w:val="left" w:pos="0"/>
        </w:tabs>
        <w:ind w:left="4320" w:hanging="360"/>
        <w:jc w:val="both"/>
      </w:pPr>
      <w:rPr>
        <w:rFonts w:ascii="Wingdings" w:eastAsia="Wingdings" w:hAnsi="Wingdings"/>
        <w:w w:val="100"/>
        <w:sz w:val="20"/>
        <w:szCs w:val="20"/>
        <w:shd w:val="clear" w:color="000000" w:fill="auto"/>
      </w:rPr>
    </w:lvl>
    <w:lvl w:ilvl="6" w:tplc="EFFAD57E">
      <w:start w:val="1"/>
      <w:numFmt w:val="bullet"/>
      <w:lvlText w:val="·"/>
      <w:lvlJc w:val="left"/>
      <w:pPr>
        <w:tabs>
          <w:tab w:val="left" w:pos="0"/>
        </w:tabs>
        <w:ind w:left="5040" w:hanging="360"/>
        <w:jc w:val="both"/>
      </w:pPr>
      <w:rPr>
        <w:rFonts w:ascii="Symbol" w:eastAsia="Symbol" w:hAnsi="Symbol"/>
        <w:w w:val="100"/>
        <w:sz w:val="20"/>
        <w:szCs w:val="20"/>
        <w:shd w:val="clear" w:color="000000" w:fill="auto"/>
      </w:rPr>
    </w:lvl>
    <w:lvl w:ilvl="7" w:tplc="EFEE388C">
      <w:start w:val="1"/>
      <w:numFmt w:val="bullet"/>
      <w:lvlText w:val="o"/>
      <w:lvlJc w:val="left"/>
      <w:pPr>
        <w:tabs>
          <w:tab w:val="left" w:pos="0"/>
        </w:tabs>
        <w:ind w:left="5760" w:hanging="360"/>
        <w:jc w:val="both"/>
      </w:pPr>
      <w:rPr>
        <w:rFonts w:ascii="Courier New" w:eastAsia="Courier New" w:hAnsi="Courier New"/>
        <w:w w:val="100"/>
        <w:sz w:val="20"/>
        <w:szCs w:val="20"/>
        <w:shd w:val="clear" w:color="000000" w:fill="auto"/>
      </w:rPr>
    </w:lvl>
    <w:lvl w:ilvl="8" w:tplc="BD04F90E">
      <w:start w:val="1"/>
      <w:numFmt w:val="bullet"/>
      <w:lvlText w:val="§"/>
      <w:lvlJc w:val="left"/>
      <w:pPr>
        <w:tabs>
          <w:tab w:val="left" w:pos="0"/>
        </w:tabs>
        <w:ind w:left="6480" w:hanging="360"/>
        <w:jc w:val="both"/>
      </w:pPr>
      <w:rPr>
        <w:rFonts w:ascii="Wingdings" w:eastAsia="Wingdings" w:hAnsi="Wingdings"/>
        <w:w w:val="100"/>
        <w:sz w:val="20"/>
        <w:szCs w:val="20"/>
        <w:shd w:val="clear" w:color="000000" w:fill="auto"/>
      </w:rPr>
    </w:lvl>
  </w:abstractNum>
  <w:abstractNum w:abstractNumId="5" w15:restartNumberingAfterBreak="0">
    <w:nsid w:val="2F000004"/>
    <w:multiLevelType w:val="hybridMultilevel"/>
    <w:tmpl w:val="22349374"/>
    <w:lvl w:ilvl="0" w:tplc="60E247DE">
      <w:start w:val="1"/>
      <w:numFmt w:val="bullet"/>
      <w:lvlText w:val="·"/>
      <w:lvlJc w:val="left"/>
      <w:pPr>
        <w:ind w:left="720" w:hanging="360"/>
        <w:jc w:val="both"/>
      </w:pPr>
      <w:rPr>
        <w:rFonts w:ascii="Symbol" w:eastAsia="Symbol" w:hAnsi="Symbol"/>
        <w:w w:val="100"/>
        <w:sz w:val="20"/>
        <w:szCs w:val="20"/>
        <w:shd w:val="clear" w:color="000000" w:fill="auto"/>
      </w:rPr>
    </w:lvl>
    <w:lvl w:ilvl="1" w:tplc="9404ED2E">
      <w:start w:val="1"/>
      <w:numFmt w:val="bullet"/>
      <w:lvlText w:val="·"/>
      <w:lvlJc w:val="left"/>
      <w:pPr>
        <w:ind w:left="1440" w:hanging="360"/>
        <w:jc w:val="both"/>
      </w:pPr>
      <w:rPr>
        <w:rFonts w:ascii="Symbol" w:eastAsia="Symbol" w:hAnsi="Symbol"/>
        <w:w w:val="100"/>
        <w:sz w:val="20"/>
        <w:szCs w:val="20"/>
        <w:shd w:val="clear" w:color="000000" w:fill="auto"/>
      </w:rPr>
    </w:lvl>
    <w:lvl w:ilvl="2" w:tplc="8FEA6DB6">
      <w:start w:val="1"/>
      <w:numFmt w:val="lowerRoman"/>
      <w:lvlText w:val="%3."/>
      <w:lvlJc w:val="right"/>
      <w:pPr>
        <w:ind w:left="2160" w:hanging="180"/>
        <w:jc w:val="both"/>
      </w:pPr>
    </w:lvl>
    <w:lvl w:ilvl="3" w:tplc="672A3E78">
      <w:start w:val="1"/>
      <w:numFmt w:val="decimal"/>
      <w:lvlText w:val="%4."/>
      <w:lvlJc w:val="left"/>
      <w:pPr>
        <w:ind w:left="2880" w:hanging="360"/>
        <w:jc w:val="both"/>
      </w:pPr>
    </w:lvl>
    <w:lvl w:ilvl="4" w:tplc="FEB85FD4">
      <w:start w:val="1"/>
      <w:numFmt w:val="lowerLetter"/>
      <w:lvlText w:val="%5."/>
      <w:lvlJc w:val="left"/>
      <w:pPr>
        <w:ind w:left="3600" w:hanging="360"/>
        <w:jc w:val="both"/>
      </w:pPr>
    </w:lvl>
    <w:lvl w:ilvl="5" w:tplc="AF96A514">
      <w:start w:val="1"/>
      <w:numFmt w:val="lowerRoman"/>
      <w:lvlText w:val="%6."/>
      <w:lvlJc w:val="right"/>
      <w:pPr>
        <w:ind w:left="4320" w:hanging="180"/>
        <w:jc w:val="both"/>
      </w:pPr>
    </w:lvl>
    <w:lvl w:ilvl="6" w:tplc="6CC092C0">
      <w:start w:val="1"/>
      <w:numFmt w:val="decimal"/>
      <w:lvlText w:val="%7."/>
      <w:lvlJc w:val="left"/>
      <w:pPr>
        <w:ind w:left="5040" w:hanging="360"/>
        <w:jc w:val="both"/>
      </w:pPr>
    </w:lvl>
    <w:lvl w:ilvl="7" w:tplc="6B96EF00">
      <w:start w:val="1"/>
      <w:numFmt w:val="lowerLetter"/>
      <w:lvlText w:val="%8."/>
      <w:lvlJc w:val="left"/>
      <w:pPr>
        <w:ind w:left="5760" w:hanging="360"/>
        <w:jc w:val="both"/>
      </w:pPr>
    </w:lvl>
    <w:lvl w:ilvl="8" w:tplc="8070B45E">
      <w:start w:val="1"/>
      <w:numFmt w:val="lowerRoman"/>
      <w:lvlText w:val="%9."/>
      <w:lvlJc w:val="right"/>
      <w:pPr>
        <w:ind w:left="6480" w:hanging="180"/>
        <w:jc w:val="both"/>
      </w:pPr>
    </w:lvl>
  </w:abstractNum>
  <w:abstractNum w:abstractNumId="6" w15:restartNumberingAfterBreak="0">
    <w:nsid w:val="2F000005"/>
    <w:multiLevelType w:val="hybridMultilevel"/>
    <w:tmpl w:val="4FBCA650"/>
    <w:lvl w:ilvl="0" w:tplc="BC468328">
      <w:start w:val="1"/>
      <w:numFmt w:val="bullet"/>
      <w:lvlText w:val="·"/>
      <w:lvlJc w:val="left"/>
      <w:pPr>
        <w:ind w:left="720" w:hanging="360"/>
        <w:jc w:val="both"/>
      </w:pPr>
      <w:rPr>
        <w:rFonts w:ascii="Symbol" w:eastAsia="Symbol" w:hAnsi="Symbol"/>
        <w:w w:val="100"/>
        <w:sz w:val="20"/>
        <w:szCs w:val="20"/>
        <w:shd w:val="clear" w:color="000000" w:fill="auto"/>
      </w:rPr>
    </w:lvl>
    <w:lvl w:ilvl="1" w:tplc="374A6484">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A8C87632">
      <w:start w:val="1"/>
      <w:numFmt w:val="bullet"/>
      <w:lvlText w:val="§"/>
      <w:lvlJc w:val="left"/>
      <w:pPr>
        <w:ind w:left="2160" w:hanging="360"/>
        <w:jc w:val="both"/>
      </w:pPr>
      <w:rPr>
        <w:rFonts w:ascii="Wingdings" w:eastAsia="Wingdings" w:hAnsi="Wingdings"/>
        <w:w w:val="100"/>
        <w:sz w:val="20"/>
        <w:szCs w:val="20"/>
        <w:shd w:val="clear" w:color="000000" w:fill="auto"/>
      </w:rPr>
    </w:lvl>
    <w:lvl w:ilvl="3" w:tplc="E1CCD14A">
      <w:start w:val="1"/>
      <w:numFmt w:val="bullet"/>
      <w:lvlText w:val="·"/>
      <w:lvlJc w:val="left"/>
      <w:pPr>
        <w:ind w:left="2880" w:hanging="360"/>
        <w:jc w:val="both"/>
      </w:pPr>
      <w:rPr>
        <w:rFonts w:ascii="Symbol" w:eastAsia="Symbol" w:hAnsi="Symbol"/>
        <w:w w:val="100"/>
        <w:sz w:val="20"/>
        <w:szCs w:val="20"/>
        <w:shd w:val="clear" w:color="000000" w:fill="auto"/>
      </w:rPr>
    </w:lvl>
    <w:lvl w:ilvl="4" w:tplc="91C0ED9C">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34DAD930">
      <w:start w:val="1"/>
      <w:numFmt w:val="bullet"/>
      <w:lvlText w:val="§"/>
      <w:lvlJc w:val="left"/>
      <w:pPr>
        <w:ind w:left="4320" w:hanging="360"/>
        <w:jc w:val="both"/>
      </w:pPr>
      <w:rPr>
        <w:rFonts w:ascii="Wingdings" w:eastAsia="Wingdings" w:hAnsi="Wingdings"/>
        <w:w w:val="100"/>
        <w:sz w:val="20"/>
        <w:szCs w:val="20"/>
        <w:shd w:val="clear" w:color="000000" w:fill="auto"/>
      </w:rPr>
    </w:lvl>
    <w:lvl w:ilvl="6" w:tplc="C780F104">
      <w:start w:val="1"/>
      <w:numFmt w:val="bullet"/>
      <w:lvlText w:val="·"/>
      <w:lvlJc w:val="left"/>
      <w:pPr>
        <w:ind w:left="5040" w:hanging="360"/>
        <w:jc w:val="both"/>
      </w:pPr>
      <w:rPr>
        <w:rFonts w:ascii="Symbol" w:eastAsia="Symbol" w:hAnsi="Symbol"/>
        <w:w w:val="100"/>
        <w:sz w:val="20"/>
        <w:szCs w:val="20"/>
        <w:shd w:val="clear" w:color="000000" w:fill="auto"/>
      </w:rPr>
    </w:lvl>
    <w:lvl w:ilvl="7" w:tplc="BB7E6456">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D434625A">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7" w15:restartNumberingAfterBreak="0">
    <w:nsid w:val="2F000006"/>
    <w:multiLevelType w:val="hybridMultilevel"/>
    <w:tmpl w:val="504B0802"/>
    <w:lvl w:ilvl="0" w:tplc="9808D722">
      <w:numFmt w:val="bullet"/>
      <w:lvlText w:val="-"/>
      <w:lvlJc w:val="left"/>
      <w:pPr>
        <w:ind w:left="360" w:hanging="360"/>
        <w:jc w:val="both"/>
      </w:pPr>
      <w:rPr>
        <w:rFonts w:ascii="Calibri" w:eastAsia="Calibri" w:hAnsi="Calibri"/>
        <w:w w:val="100"/>
        <w:sz w:val="20"/>
        <w:szCs w:val="20"/>
        <w:shd w:val="clear" w:color="000000" w:fill="auto"/>
      </w:rPr>
    </w:lvl>
    <w:lvl w:ilvl="1" w:tplc="E2BE3780">
      <w:start w:val="1"/>
      <w:numFmt w:val="bullet"/>
      <w:lvlText w:val="o"/>
      <w:lvlJc w:val="left"/>
      <w:pPr>
        <w:ind w:left="1080" w:hanging="360"/>
        <w:jc w:val="both"/>
      </w:pPr>
      <w:rPr>
        <w:rFonts w:ascii="Courier New" w:eastAsia="Courier New" w:hAnsi="Courier New"/>
        <w:w w:val="100"/>
        <w:sz w:val="20"/>
        <w:szCs w:val="20"/>
        <w:shd w:val="clear" w:color="000000" w:fill="auto"/>
      </w:rPr>
    </w:lvl>
    <w:lvl w:ilvl="2" w:tplc="A6C2EED6">
      <w:start w:val="1"/>
      <w:numFmt w:val="bullet"/>
      <w:lvlText w:val="§"/>
      <w:lvlJc w:val="left"/>
      <w:pPr>
        <w:ind w:left="1800" w:hanging="360"/>
        <w:jc w:val="both"/>
      </w:pPr>
      <w:rPr>
        <w:rFonts w:ascii="Wingdings" w:eastAsia="Wingdings" w:hAnsi="Wingdings"/>
        <w:w w:val="100"/>
        <w:sz w:val="20"/>
        <w:szCs w:val="20"/>
        <w:shd w:val="clear" w:color="000000" w:fill="auto"/>
      </w:rPr>
    </w:lvl>
    <w:lvl w:ilvl="3" w:tplc="45043716">
      <w:start w:val="1"/>
      <w:numFmt w:val="bullet"/>
      <w:lvlText w:val="·"/>
      <w:lvlJc w:val="left"/>
      <w:pPr>
        <w:ind w:left="2520" w:hanging="360"/>
        <w:jc w:val="both"/>
      </w:pPr>
      <w:rPr>
        <w:rFonts w:ascii="Symbol" w:eastAsia="Symbol" w:hAnsi="Symbol"/>
        <w:w w:val="100"/>
        <w:sz w:val="20"/>
        <w:szCs w:val="20"/>
        <w:shd w:val="clear" w:color="000000" w:fill="auto"/>
      </w:rPr>
    </w:lvl>
    <w:lvl w:ilvl="4" w:tplc="B64AB404">
      <w:start w:val="1"/>
      <w:numFmt w:val="bullet"/>
      <w:lvlText w:val="o"/>
      <w:lvlJc w:val="left"/>
      <w:pPr>
        <w:ind w:left="3240" w:hanging="360"/>
        <w:jc w:val="both"/>
      </w:pPr>
      <w:rPr>
        <w:rFonts w:ascii="Courier New" w:eastAsia="Courier New" w:hAnsi="Courier New"/>
        <w:w w:val="100"/>
        <w:sz w:val="20"/>
        <w:szCs w:val="20"/>
        <w:shd w:val="clear" w:color="000000" w:fill="auto"/>
      </w:rPr>
    </w:lvl>
    <w:lvl w:ilvl="5" w:tplc="99D4ECC6">
      <w:start w:val="1"/>
      <w:numFmt w:val="bullet"/>
      <w:lvlText w:val="§"/>
      <w:lvlJc w:val="left"/>
      <w:pPr>
        <w:ind w:left="3960" w:hanging="360"/>
        <w:jc w:val="both"/>
      </w:pPr>
      <w:rPr>
        <w:rFonts w:ascii="Wingdings" w:eastAsia="Wingdings" w:hAnsi="Wingdings"/>
        <w:w w:val="100"/>
        <w:sz w:val="20"/>
        <w:szCs w:val="20"/>
        <w:shd w:val="clear" w:color="000000" w:fill="auto"/>
      </w:rPr>
    </w:lvl>
    <w:lvl w:ilvl="6" w:tplc="1C8460C2">
      <w:start w:val="1"/>
      <w:numFmt w:val="bullet"/>
      <w:lvlText w:val="·"/>
      <w:lvlJc w:val="left"/>
      <w:pPr>
        <w:ind w:left="4680" w:hanging="360"/>
        <w:jc w:val="both"/>
      </w:pPr>
      <w:rPr>
        <w:rFonts w:ascii="Symbol" w:eastAsia="Symbol" w:hAnsi="Symbol"/>
        <w:w w:val="100"/>
        <w:sz w:val="20"/>
        <w:szCs w:val="20"/>
        <w:shd w:val="clear" w:color="000000" w:fill="auto"/>
      </w:rPr>
    </w:lvl>
    <w:lvl w:ilvl="7" w:tplc="46BCF7EC">
      <w:start w:val="1"/>
      <w:numFmt w:val="bullet"/>
      <w:lvlText w:val="o"/>
      <w:lvlJc w:val="left"/>
      <w:pPr>
        <w:ind w:left="5400" w:hanging="360"/>
        <w:jc w:val="both"/>
      </w:pPr>
      <w:rPr>
        <w:rFonts w:ascii="Courier New" w:eastAsia="Courier New" w:hAnsi="Courier New"/>
        <w:w w:val="100"/>
        <w:sz w:val="20"/>
        <w:szCs w:val="20"/>
        <w:shd w:val="clear" w:color="000000" w:fill="auto"/>
      </w:rPr>
    </w:lvl>
    <w:lvl w:ilvl="8" w:tplc="9C12D32A">
      <w:start w:val="1"/>
      <w:numFmt w:val="bullet"/>
      <w:lvlText w:val="§"/>
      <w:lvlJc w:val="left"/>
      <w:pPr>
        <w:ind w:left="6120" w:hanging="360"/>
        <w:jc w:val="both"/>
      </w:pPr>
      <w:rPr>
        <w:rFonts w:ascii="Wingdings" w:eastAsia="Wingdings" w:hAnsi="Wingdings"/>
        <w:w w:val="100"/>
        <w:sz w:val="20"/>
        <w:szCs w:val="20"/>
        <w:shd w:val="clear" w:color="000000" w:fill="auto"/>
      </w:rPr>
    </w:lvl>
  </w:abstractNum>
  <w:abstractNum w:abstractNumId="8" w15:restartNumberingAfterBreak="0">
    <w:nsid w:val="2F000007"/>
    <w:multiLevelType w:val="hybridMultilevel"/>
    <w:tmpl w:val="53FAF569"/>
    <w:lvl w:ilvl="0" w:tplc="488A3B40">
      <w:start w:val="1"/>
      <w:numFmt w:val="lowerLetter"/>
      <w:lvlText w:val="%1."/>
      <w:lvlJc w:val="left"/>
      <w:pPr>
        <w:ind w:left="1080" w:hanging="360"/>
        <w:jc w:val="both"/>
      </w:pPr>
    </w:lvl>
    <w:lvl w:ilvl="1" w:tplc="6234D256">
      <w:start w:val="1"/>
      <w:numFmt w:val="lowerLetter"/>
      <w:lvlText w:val="%2."/>
      <w:lvlJc w:val="left"/>
      <w:pPr>
        <w:ind w:left="1440" w:hanging="360"/>
        <w:jc w:val="both"/>
      </w:pPr>
    </w:lvl>
    <w:lvl w:ilvl="2" w:tplc="D9E60886">
      <w:start w:val="1"/>
      <w:numFmt w:val="lowerRoman"/>
      <w:lvlText w:val="%3."/>
      <w:lvlJc w:val="right"/>
      <w:pPr>
        <w:ind w:left="2160" w:hanging="180"/>
        <w:jc w:val="both"/>
      </w:pPr>
    </w:lvl>
    <w:lvl w:ilvl="3" w:tplc="7F4C2CE0">
      <w:start w:val="1"/>
      <w:numFmt w:val="decimal"/>
      <w:lvlText w:val="%4."/>
      <w:lvlJc w:val="left"/>
      <w:pPr>
        <w:ind w:left="2880" w:hanging="360"/>
        <w:jc w:val="both"/>
      </w:pPr>
    </w:lvl>
    <w:lvl w:ilvl="4" w:tplc="F884AA1A">
      <w:start w:val="1"/>
      <w:numFmt w:val="lowerLetter"/>
      <w:lvlText w:val="%5."/>
      <w:lvlJc w:val="left"/>
      <w:pPr>
        <w:ind w:left="3600" w:hanging="360"/>
        <w:jc w:val="both"/>
      </w:pPr>
    </w:lvl>
    <w:lvl w:ilvl="5" w:tplc="3D741EC4">
      <w:start w:val="1"/>
      <w:numFmt w:val="lowerRoman"/>
      <w:lvlText w:val="%6."/>
      <w:lvlJc w:val="right"/>
      <w:pPr>
        <w:ind w:left="4320" w:hanging="180"/>
        <w:jc w:val="both"/>
      </w:pPr>
    </w:lvl>
    <w:lvl w:ilvl="6" w:tplc="B044D5E0">
      <w:start w:val="1"/>
      <w:numFmt w:val="decimal"/>
      <w:lvlText w:val="%7."/>
      <w:lvlJc w:val="left"/>
      <w:pPr>
        <w:ind w:left="5040" w:hanging="360"/>
        <w:jc w:val="both"/>
      </w:pPr>
    </w:lvl>
    <w:lvl w:ilvl="7" w:tplc="9A2CEF5E">
      <w:start w:val="1"/>
      <w:numFmt w:val="lowerLetter"/>
      <w:lvlText w:val="%8."/>
      <w:lvlJc w:val="left"/>
      <w:pPr>
        <w:ind w:left="5760" w:hanging="360"/>
        <w:jc w:val="both"/>
      </w:pPr>
    </w:lvl>
    <w:lvl w:ilvl="8" w:tplc="76AC47B8">
      <w:start w:val="1"/>
      <w:numFmt w:val="lowerRoman"/>
      <w:lvlText w:val="%9."/>
      <w:lvlJc w:val="right"/>
      <w:pPr>
        <w:ind w:left="6480" w:hanging="180"/>
        <w:jc w:val="both"/>
      </w:pPr>
    </w:lvl>
  </w:abstractNum>
  <w:abstractNum w:abstractNumId="9" w15:restartNumberingAfterBreak="0">
    <w:nsid w:val="2F000008"/>
    <w:multiLevelType w:val="hybridMultilevel"/>
    <w:tmpl w:val="2705FC7F"/>
    <w:lvl w:ilvl="0" w:tplc="CEB2056C">
      <w:start w:val="1"/>
      <w:numFmt w:val="bullet"/>
      <w:lvlText w:val="·"/>
      <w:lvlJc w:val="left"/>
      <w:pPr>
        <w:ind w:left="720" w:hanging="360"/>
        <w:jc w:val="both"/>
      </w:pPr>
      <w:rPr>
        <w:rFonts w:ascii="Symbol" w:eastAsia="Symbol" w:hAnsi="Symbol"/>
        <w:w w:val="100"/>
        <w:sz w:val="20"/>
        <w:szCs w:val="20"/>
        <w:shd w:val="clear" w:color="000000" w:fill="auto"/>
      </w:rPr>
    </w:lvl>
    <w:lvl w:ilvl="1" w:tplc="7CD8F8D4">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74848720">
      <w:start w:val="1"/>
      <w:numFmt w:val="bullet"/>
      <w:lvlText w:val="§"/>
      <w:lvlJc w:val="left"/>
      <w:pPr>
        <w:ind w:left="2160" w:hanging="360"/>
        <w:jc w:val="both"/>
      </w:pPr>
      <w:rPr>
        <w:rFonts w:ascii="Wingdings" w:eastAsia="Wingdings" w:hAnsi="Wingdings"/>
        <w:w w:val="100"/>
        <w:sz w:val="20"/>
        <w:szCs w:val="20"/>
        <w:shd w:val="clear" w:color="000000" w:fill="auto"/>
      </w:rPr>
    </w:lvl>
    <w:lvl w:ilvl="3" w:tplc="7E5ABA6A">
      <w:start w:val="1"/>
      <w:numFmt w:val="bullet"/>
      <w:lvlText w:val="·"/>
      <w:lvlJc w:val="left"/>
      <w:pPr>
        <w:ind w:left="2880" w:hanging="360"/>
        <w:jc w:val="both"/>
      </w:pPr>
      <w:rPr>
        <w:rFonts w:ascii="Symbol" w:eastAsia="Symbol" w:hAnsi="Symbol"/>
        <w:w w:val="100"/>
        <w:sz w:val="20"/>
        <w:szCs w:val="20"/>
        <w:shd w:val="clear" w:color="000000" w:fill="auto"/>
      </w:rPr>
    </w:lvl>
    <w:lvl w:ilvl="4" w:tplc="EE909C6E">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BAEED28A">
      <w:start w:val="1"/>
      <w:numFmt w:val="bullet"/>
      <w:lvlText w:val="§"/>
      <w:lvlJc w:val="left"/>
      <w:pPr>
        <w:ind w:left="4320" w:hanging="360"/>
        <w:jc w:val="both"/>
      </w:pPr>
      <w:rPr>
        <w:rFonts w:ascii="Wingdings" w:eastAsia="Wingdings" w:hAnsi="Wingdings"/>
        <w:w w:val="100"/>
        <w:sz w:val="20"/>
        <w:szCs w:val="20"/>
        <w:shd w:val="clear" w:color="000000" w:fill="auto"/>
      </w:rPr>
    </w:lvl>
    <w:lvl w:ilvl="6" w:tplc="A4F244DC">
      <w:start w:val="1"/>
      <w:numFmt w:val="bullet"/>
      <w:lvlText w:val="·"/>
      <w:lvlJc w:val="left"/>
      <w:pPr>
        <w:ind w:left="5040" w:hanging="360"/>
        <w:jc w:val="both"/>
      </w:pPr>
      <w:rPr>
        <w:rFonts w:ascii="Symbol" w:eastAsia="Symbol" w:hAnsi="Symbol"/>
        <w:w w:val="100"/>
        <w:sz w:val="20"/>
        <w:szCs w:val="20"/>
        <w:shd w:val="clear" w:color="000000" w:fill="auto"/>
      </w:rPr>
    </w:lvl>
    <w:lvl w:ilvl="7" w:tplc="126042A8">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BA5A7CC8">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0" w15:restartNumberingAfterBreak="0">
    <w:nsid w:val="2F000009"/>
    <w:multiLevelType w:val="hybridMultilevel"/>
    <w:tmpl w:val="2003F9F6"/>
    <w:lvl w:ilvl="0" w:tplc="E25EBE84">
      <w:start w:val="1"/>
      <w:numFmt w:val="bullet"/>
      <w:lvlText w:val="·"/>
      <w:lvlJc w:val="left"/>
      <w:pPr>
        <w:ind w:left="720" w:hanging="360"/>
        <w:jc w:val="both"/>
      </w:pPr>
      <w:rPr>
        <w:rFonts w:ascii="Symbol" w:eastAsia="Symbol" w:hAnsi="Symbol"/>
        <w:w w:val="100"/>
        <w:sz w:val="20"/>
        <w:szCs w:val="20"/>
        <w:shd w:val="clear" w:color="000000" w:fill="auto"/>
      </w:rPr>
    </w:lvl>
    <w:lvl w:ilvl="1" w:tplc="52F61A4E">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7A50CA38">
      <w:start w:val="1"/>
      <w:numFmt w:val="bullet"/>
      <w:lvlText w:val="§"/>
      <w:lvlJc w:val="left"/>
      <w:pPr>
        <w:ind w:left="2160" w:hanging="360"/>
        <w:jc w:val="both"/>
      </w:pPr>
      <w:rPr>
        <w:rFonts w:ascii="Wingdings" w:eastAsia="Wingdings" w:hAnsi="Wingdings"/>
        <w:w w:val="100"/>
        <w:sz w:val="20"/>
        <w:szCs w:val="20"/>
        <w:shd w:val="clear" w:color="000000" w:fill="auto"/>
      </w:rPr>
    </w:lvl>
    <w:lvl w:ilvl="3" w:tplc="7A8A75CE">
      <w:start w:val="1"/>
      <w:numFmt w:val="bullet"/>
      <w:lvlText w:val="·"/>
      <w:lvlJc w:val="left"/>
      <w:pPr>
        <w:ind w:left="2880" w:hanging="360"/>
        <w:jc w:val="both"/>
      </w:pPr>
      <w:rPr>
        <w:rFonts w:ascii="Symbol" w:eastAsia="Symbol" w:hAnsi="Symbol"/>
        <w:w w:val="100"/>
        <w:sz w:val="20"/>
        <w:szCs w:val="20"/>
        <w:shd w:val="clear" w:color="000000" w:fill="auto"/>
      </w:rPr>
    </w:lvl>
    <w:lvl w:ilvl="4" w:tplc="D88C210E">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9EAA7FF4">
      <w:start w:val="1"/>
      <w:numFmt w:val="bullet"/>
      <w:lvlText w:val="§"/>
      <w:lvlJc w:val="left"/>
      <w:pPr>
        <w:ind w:left="4320" w:hanging="360"/>
        <w:jc w:val="both"/>
      </w:pPr>
      <w:rPr>
        <w:rFonts w:ascii="Wingdings" w:eastAsia="Wingdings" w:hAnsi="Wingdings"/>
        <w:w w:val="100"/>
        <w:sz w:val="20"/>
        <w:szCs w:val="20"/>
        <w:shd w:val="clear" w:color="000000" w:fill="auto"/>
      </w:rPr>
    </w:lvl>
    <w:lvl w:ilvl="6" w:tplc="54A6FF66">
      <w:start w:val="1"/>
      <w:numFmt w:val="bullet"/>
      <w:lvlText w:val="·"/>
      <w:lvlJc w:val="left"/>
      <w:pPr>
        <w:ind w:left="5040" w:hanging="360"/>
        <w:jc w:val="both"/>
      </w:pPr>
      <w:rPr>
        <w:rFonts w:ascii="Symbol" w:eastAsia="Symbol" w:hAnsi="Symbol"/>
        <w:w w:val="100"/>
        <w:sz w:val="20"/>
        <w:szCs w:val="20"/>
        <w:shd w:val="clear" w:color="000000" w:fill="auto"/>
      </w:rPr>
    </w:lvl>
    <w:lvl w:ilvl="7" w:tplc="7452D970">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296427F2">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1" w15:restartNumberingAfterBreak="0">
    <w:nsid w:val="2F00000A"/>
    <w:multiLevelType w:val="hybridMultilevel"/>
    <w:tmpl w:val="4B0FA6D2"/>
    <w:lvl w:ilvl="0" w:tplc="FE104A5A">
      <w:start w:val="1"/>
      <w:numFmt w:val="bullet"/>
      <w:lvlText w:val="·"/>
      <w:lvlJc w:val="left"/>
      <w:pPr>
        <w:ind w:left="720" w:hanging="360"/>
        <w:jc w:val="both"/>
      </w:pPr>
      <w:rPr>
        <w:rFonts w:ascii="Symbol" w:eastAsia="Symbol" w:hAnsi="Symbol"/>
        <w:w w:val="100"/>
        <w:sz w:val="20"/>
        <w:szCs w:val="20"/>
        <w:shd w:val="clear" w:color="000000" w:fill="auto"/>
      </w:rPr>
    </w:lvl>
    <w:lvl w:ilvl="1" w:tplc="E0781296">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720A47A8">
      <w:start w:val="1"/>
      <w:numFmt w:val="bullet"/>
      <w:lvlText w:val="§"/>
      <w:lvlJc w:val="left"/>
      <w:pPr>
        <w:ind w:left="2160" w:hanging="360"/>
        <w:jc w:val="both"/>
      </w:pPr>
      <w:rPr>
        <w:rFonts w:ascii="Wingdings" w:eastAsia="Wingdings" w:hAnsi="Wingdings"/>
        <w:w w:val="100"/>
        <w:sz w:val="20"/>
        <w:szCs w:val="20"/>
        <w:shd w:val="clear" w:color="000000" w:fill="auto"/>
      </w:rPr>
    </w:lvl>
    <w:lvl w:ilvl="3" w:tplc="6D802224">
      <w:start w:val="1"/>
      <w:numFmt w:val="bullet"/>
      <w:lvlText w:val="·"/>
      <w:lvlJc w:val="left"/>
      <w:pPr>
        <w:ind w:left="2880" w:hanging="360"/>
        <w:jc w:val="both"/>
      </w:pPr>
      <w:rPr>
        <w:rFonts w:ascii="Symbol" w:eastAsia="Symbol" w:hAnsi="Symbol"/>
        <w:w w:val="100"/>
        <w:sz w:val="20"/>
        <w:szCs w:val="20"/>
        <w:shd w:val="clear" w:color="000000" w:fill="auto"/>
      </w:rPr>
    </w:lvl>
    <w:lvl w:ilvl="4" w:tplc="1AFEC46C">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0E4A6C5A">
      <w:start w:val="1"/>
      <w:numFmt w:val="bullet"/>
      <w:lvlText w:val="§"/>
      <w:lvlJc w:val="left"/>
      <w:pPr>
        <w:ind w:left="4320" w:hanging="360"/>
        <w:jc w:val="both"/>
      </w:pPr>
      <w:rPr>
        <w:rFonts w:ascii="Wingdings" w:eastAsia="Wingdings" w:hAnsi="Wingdings"/>
        <w:w w:val="100"/>
        <w:sz w:val="20"/>
        <w:szCs w:val="20"/>
        <w:shd w:val="clear" w:color="000000" w:fill="auto"/>
      </w:rPr>
    </w:lvl>
    <w:lvl w:ilvl="6" w:tplc="3BAEF4E8">
      <w:start w:val="1"/>
      <w:numFmt w:val="bullet"/>
      <w:lvlText w:val="·"/>
      <w:lvlJc w:val="left"/>
      <w:pPr>
        <w:ind w:left="5040" w:hanging="360"/>
        <w:jc w:val="both"/>
      </w:pPr>
      <w:rPr>
        <w:rFonts w:ascii="Symbol" w:eastAsia="Symbol" w:hAnsi="Symbol"/>
        <w:w w:val="100"/>
        <w:sz w:val="20"/>
        <w:szCs w:val="20"/>
        <w:shd w:val="clear" w:color="000000" w:fill="auto"/>
      </w:rPr>
    </w:lvl>
    <w:lvl w:ilvl="7" w:tplc="FCB8DEB8">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D812B2CA">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2" w15:restartNumberingAfterBreak="0">
    <w:nsid w:val="2F00000B"/>
    <w:multiLevelType w:val="hybridMultilevel"/>
    <w:tmpl w:val="56915C6A"/>
    <w:lvl w:ilvl="0" w:tplc="B68A39E0">
      <w:start w:val="1"/>
      <w:numFmt w:val="decimal"/>
      <w:lvlText w:val="%1)"/>
      <w:lvlJc w:val="left"/>
      <w:pPr>
        <w:ind w:left="360" w:hanging="360"/>
        <w:jc w:val="both"/>
      </w:pPr>
      <w:rPr>
        <w:w w:val="100"/>
        <w:sz w:val="20"/>
        <w:szCs w:val="20"/>
        <w:shd w:val="clear" w:color="000000" w:fill="auto"/>
      </w:rPr>
    </w:lvl>
    <w:lvl w:ilvl="1" w:tplc="BADAD6B6">
      <w:start w:val="1"/>
      <w:numFmt w:val="bullet"/>
      <w:lvlText w:val="o"/>
      <w:lvlJc w:val="left"/>
      <w:pPr>
        <w:ind w:left="1080" w:hanging="360"/>
        <w:jc w:val="both"/>
      </w:pPr>
      <w:rPr>
        <w:rFonts w:ascii="Courier New" w:eastAsia="Courier New" w:hAnsi="Courier New"/>
        <w:w w:val="100"/>
        <w:sz w:val="20"/>
        <w:szCs w:val="20"/>
        <w:shd w:val="clear" w:color="000000" w:fill="auto"/>
      </w:rPr>
    </w:lvl>
    <w:lvl w:ilvl="2" w:tplc="C2C0F296">
      <w:start w:val="1"/>
      <w:numFmt w:val="bullet"/>
      <w:lvlText w:val="§"/>
      <w:lvlJc w:val="left"/>
      <w:pPr>
        <w:ind w:left="1800" w:hanging="360"/>
        <w:jc w:val="both"/>
      </w:pPr>
      <w:rPr>
        <w:rFonts w:ascii="Wingdings" w:eastAsia="Wingdings" w:hAnsi="Wingdings"/>
        <w:w w:val="100"/>
        <w:sz w:val="20"/>
        <w:szCs w:val="20"/>
        <w:shd w:val="clear" w:color="000000" w:fill="auto"/>
      </w:rPr>
    </w:lvl>
    <w:lvl w:ilvl="3" w:tplc="25AECCF0">
      <w:start w:val="1"/>
      <w:numFmt w:val="bullet"/>
      <w:lvlText w:val="·"/>
      <w:lvlJc w:val="left"/>
      <w:pPr>
        <w:ind w:left="2520" w:hanging="360"/>
        <w:jc w:val="both"/>
      </w:pPr>
      <w:rPr>
        <w:rFonts w:ascii="Symbol" w:eastAsia="Symbol" w:hAnsi="Symbol"/>
        <w:w w:val="100"/>
        <w:sz w:val="20"/>
        <w:szCs w:val="20"/>
        <w:shd w:val="clear" w:color="000000" w:fill="auto"/>
      </w:rPr>
    </w:lvl>
    <w:lvl w:ilvl="4" w:tplc="903CBCF8">
      <w:start w:val="1"/>
      <w:numFmt w:val="bullet"/>
      <w:lvlText w:val="o"/>
      <w:lvlJc w:val="left"/>
      <w:pPr>
        <w:ind w:left="3240" w:hanging="360"/>
        <w:jc w:val="both"/>
      </w:pPr>
      <w:rPr>
        <w:rFonts w:ascii="Courier New" w:eastAsia="Courier New" w:hAnsi="Courier New"/>
        <w:w w:val="100"/>
        <w:sz w:val="20"/>
        <w:szCs w:val="20"/>
        <w:shd w:val="clear" w:color="000000" w:fill="auto"/>
      </w:rPr>
    </w:lvl>
    <w:lvl w:ilvl="5" w:tplc="2DE2975E">
      <w:start w:val="1"/>
      <w:numFmt w:val="bullet"/>
      <w:lvlText w:val="§"/>
      <w:lvlJc w:val="left"/>
      <w:pPr>
        <w:ind w:left="3960" w:hanging="360"/>
        <w:jc w:val="both"/>
      </w:pPr>
      <w:rPr>
        <w:rFonts w:ascii="Wingdings" w:eastAsia="Wingdings" w:hAnsi="Wingdings"/>
        <w:w w:val="100"/>
        <w:sz w:val="20"/>
        <w:szCs w:val="20"/>
        <w:shd w:val="clear" w:color="000000" w:fill="auto"/>
      </w:rPr>
    </w:lvl>
    <w:lvl w:ilvl="6" w:tplc="7546673C">
      <w:start w:val="1"/>
      <w:numFmt w:val="bullet"/>
      <w:lvlText w:val="·"/>
      <w:lvlJc w:val="left"/>
      <w:pPr>
        <w:ind w:left="4680" w:hanging="360"/>
        <w:jc w:val="both"/>
      </w:pPr>
      <w:rPr>
        <w:rFonts w:ascii="Symbol" w:eastAsia="Symbol" w:hAnsi="Symbol"/>
        <w:w w:val="100"/>
        <w:sz w:val="20"/>
        <w:szCs w:val="20"/>
        <w:shd w:val="clear" w:color="000000" w:fill="auto"/>
      </w:rPr>
    </w:lvl>
    <w:lvl w:ilvl="7" w:tplc="CB8A21BC">
      <w:start w:val="1"/>
      <w:numFmt w:val="bullet"/>
      <w:lvlText w:val="o"/>
      <w:lvlJc w:val="left"/>
      <w:pPr>
        <w:ind w:left="5400" w:hanging="360"/>
        <w:jc w:val="both"/>
      </w:pPr>
      <w:rPr>
        <w:rFonts w:ascii="Courier New" w:eastAsia="Courier New" w:hAnsi="Courier New"/>
        <w:w w:val="100"/>
        <w:sz w:val="20"/>
        <w:szCs w:val="20"/>
        <w:shd w:val="clear" w:color="000000" w:fill="auto"/>
      </w:rPr>
    </w:lvl>
    <w:lvl w:ilvl="8" w:tplc="9D24102C">
      <w:start w:val="1"/>
      <w:numFmt w:val="bullet"/>
      <w:lvlText w:val="§"/>
      <w:lvlJc w:val="left"/>
      <w:pPr>
        <w:ind w:left="6120" w:hanging="360"/>
        <w:jc w:val="both"/>
      </w:pPr>
      <w:rPr>
        <w:rFonts w:ascii="Wingdings" w:eastAsia="Wingdings" w:hAnsi="Wingdings"/>
        <w:w w:val="100"/>
        <w:sz w:val="20"/>
        <w:szCs w:val="20"/>
        <w:shd w:val="clear" w:color="000000" w:fill="auto"/>
      </w:rPr>
    </w:lvl>
  </w:abstractNum>
  <w:abstractNum w:abstractNumId="13" w15:restartNumberingAfterBreak="0">
    <w:nsid w:val="2F00000C"/>
    <w:multiLevelType w:val="hybridMultilevel"/>
    <w:tmpl w:val="474A7079"/>
    <w:lvl w:ilvl="0" w:tplc="522AADD8">
      <w:start w:val="1"/>
      <w:numFmt w:val="bullet"/>
      <w:lvlText w:val="·"/>
      <w:lvlJc w:val="left"/>
      <w:pPr>
        <w:ind w:left="720" w:hanging="360"/>
        <w:jc w:val="both"/>
      </w:pPr>
      <w:rPr>
        <w:rFonts w:ascii="Symbol" w:eastAsia="Symbol" w:hAnsi="Symbol"/>
        <w:w w:val="100"/>
        <w:sz w:val="20"/>
        <w:szCs w:val="20"/>
        <w:shd w:val="clear" w:color="000000" w:fill="auto"/>
      </w:rPr>
    </w:lvl>
    <w:lvl w:ilvl="1" w:tplc="BAE0A46A">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EC284BA2">
      <w:start w:val="1"/>
      <w:numFmt w:val="bullet"/>
      <w:lvlText w:val="§"/>
      <w:lvlJc w:val="left"/>
      <w:pPr>
        <w:ind w:left="2160" w:hanging="360"/>
        <w:jc w:val="both"/>
      </w:pPr>
      <w:rPr>
        <w:rFonts w:ascii="Wingdings" w:eastAsia="Wingdings" w:hAnsi="Wingdings"/>
        <w:w w:val="100"/>
        <w:sz w:val="20"/>
        <w:szCs w:val="20"/>
        <w:shd w:val="clear" w:color="000000" w:fill="auto"/>
      </w:rPr>
    </w:lvl>
    <w:lvl w:ilvl="3" w:tplc="F140CF02">
      <w:start w:val="1"/>
      <w:numFmt w:val="bullet"/>
      <w:lvlText w:val="·"/>
      <w:lvlJc w:val="left"/>
      <w:pPr>
        <w:ind w:left="2880" w:hanging="360"/>
        <w:jc w:val="both"/>
      </w:pPr>
      <w:rPr>
        <w:rFonts w:ascii="Symbol" w:eastAsia="Symbol" w:hAnsi="Symbol"/>
        <w:w w:val="100"/>
        <w:sz w:val="20"/>
        <w:szCs w:val="20"/>
        <w:shd w:val="clear" w:color="000000" w:fill="auto"/>
      </w:rPr>
    </w:lvl>
    <w:lvl w:ilvl="4" w:tplc="159C5FCC">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72546368">
      <w:start w:val="1"/>
      <w:numFmt w:val="bullet"/>
      <w:lvlText w:val="§"/>
      <w:lvlJc w:val="left"/>
      <w:pPr>
        <w:ind w:left="4320" w:hanging="360"/>
        <w:jc w:val="both"/>
      </w:pPr>
      <w:rPr>
        <w:rFonts w:ascii="Wingdings" w:eastAsia="Wingdings" w:hAnsi="Wingdings"/>
        <w:w w:val="100"/>
        <w:sz w:val="20"/>
        <w:szCs w:val="20"/>
        <w:shd w:val="clear" w:color="000000" w:fill="auto"/>
      </w:rPr>
    </w:lvl>
    <w:lvl w:ilvl="6" w:tplc="0000816A">
      <w:start w:val="1"/>
      <w:numFmt w:val="bullet"/>
      <w:lvlText w:val="·"/>
      <w:lvlJc w:val="left"/>
      <w:pPr>
        <w:ind w:left="5040" w:hanging="360"/>
        <w:jc w:val="both"/>
      </w:pPr>
      <w:rPr>
        <w:rFonts w:ascii="Symbol" w:eastAsia="Symbol" w:hAnsi="Symbol"/>
        <w:w w:val="100"/>
        <w:sz w:val="20"/>
        <w:szCs w:val="20"/>
        <w:shd w:val="clear" w:color="000000" w:fill="auto"/>
      </w:rPr>
    </w:lvl>
    <w:lvl w:ilvl="7" w:tplc="656686B4">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39C840A0">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4" w15:restartNumberingAfterBreak="0">
    <w:nsid w:val="2F00000D"/>
    <w:multiLevelType w:val="hybridMultilevel"/>
    <w:tmpl w:val="4E1E4D6C"/>
    <w:lvl w:ilvl="0" w:tplc="D9CA9FE6">
      <w:start w:val="1"/>
      <w:numFmt w:val="decimal"/>
      <w:lvlText w:val="%1."/>
      <w:lvlJc w:val="left"/>
      <w:pPr>
        <w:ind w:left="360" w:hanging="360"/>
        <w:jc w:val="both"/>
      </w:pPr>
    </w:lvl>
    <w:lvl w:ilvl="1" w:tplc="E092054E">
      <w:start w:val="1"/>
      <w:numFmt w:val="lowerLetter"/>
      <w:lvlText w:val="%2."/>
      <w:lvlJc w:val="left"/>
      <w:pPr>
        <w:ind w:left="1080" w:hanging="360"/>
        <w:jc w:val="both"/>
      </w:pPr>
    </w:lvl>
    <w:lvl w:ilvl="2" w:tplc="E03CFE0E">
      <w:start w:val="1"/>
      <w:numFmt w:val="lowerRoman"/>
      <w:lvlText w:val="%3."/>
      <w:lvlJc w:val="right"/>
      <w:pPr>
        <w:ind w:left="1800" w:hanging="180"/>
        <w:jc w:val="both"/>
      </w:pPr>
    </w:lvl>
    <w:lvl w:ilvl="3" w:tplc="0E309326">
      <w:start w:val="1"/>
      <w:numFmt w:val="decimal"/>
      <w:lvlText w:val="%4."/>
      <w:lvlJc w:val="left"/>
      <w:pPr>
        <w:ind w:left="2520" w:hanging="360"/>
        <w:jc w:val="both"/>
      </w:pPr>
    </w:lvl>
    <w:lvl w:ilvl="4" w:tplc="81A86F8C">
      <w:start w:val="1"/>
      <w:numFmt w:val="lowerLetter"/>
      <w:lvlText w:val="%5."/>
      <w:lvlJc w:val="left"/>
      <w:pPr>
        <w:ind w:left="3240" w:hanging="360"/>
        <w:jc w:val="both"/>
      </w:pPr>
    </w:lvl>
    <w:lvl w:ilvl="5" w:tplc="EBF48266">
      <w:start w:val="1"/>
      <w:numFmt w:val="lowerRoman"/>
      <w:lvlText w:val="%6."/>
      <w:lvlJc w:val="right"/>
      <w:pPr>
        <w:ind w:left="3960" w:hanging="180"/>
        <w:jc w:val="both"/>
      </w:pPr>
    </w:lvl>
    <w:lvl w:ilvl="6" w:tplc="26D88FEC">
      <w:start w:val="1"/>
      <w:numFmt w:val="decimal"/>
      <w:lvlText w:val="%7."/>
      <w:lvlJc w:val="left"/>
      <w:pPr>
        <w:ind w:left="4680" w:hanging="360"/>
        <w:jc w:val="both"/>
      </w:pPr>
    </w:lvl>
    <w:lvl w:ilvl="7" w:tplc="C972CA3A">
      <w:start w:val="1"/>
      <w:numFmt w:val="lowerLetter"/>
      <w:lvlText w:val="%8."/>
      <w:lvlJc w:val="left"/>
      <w:pPr>
        <w:ind w:left="5400" w:hanging="360"/>
        <w:jc w:val="both"/>
      </w:pPr>
    </w:lvl>
    <w:lvl w:ilvl="8" w:tplc="98DCBF54">
      <w:start w:val="1"/>
      <w:numFmt w:val="lowerRoman"/>
      <w:lvlText w:val="%9."/>
      <w:lvlJc w:val="right"/>
      <w:pPr>
        <w:ind w:left="6120" w:hanging="180"/>
        <w:jc w:val="both"/>
      </w:pPr>
    </w:lvl>
  </w:abstractNum>
  <w:abstractNum w:abstractNumId="15" w15:restartNumberingAfterBreak="0">
    <w:nsid w:val="2F00000E"/>
    <w:multiLevelType w:val="hybridMultilevel"/>
    <w:tmpl w:val="4D6D2672"/>
    <w:lvl w:ilvl="0" w:tplc="FBF0AD86">
      <w:start w:val="1"/>
      <w:numFmt w:val="lowerLetter"/>
      <w:lvlText w:val="%1."/>
      <w:lvlJc w:val="left"/>
      <w:pPr>
        <w:ind w:left="720" w:hanging="360"/>
        <w:jc w:val="both"/>
      </w:pPr>
    </w:lvl>
    <w:lvl w:ilvl="1" w:tplc="81F07B16">
      <w:start w:val="1"/>
      <w:numFmt w:val="lowerLetter"/>
      <w:lvlText w:val="%2."/>
      <w:lvlJc w:val="left"/>
      <w:pPr>
        <w:ind w:left="1440" w:hanging="360"/>
        <w:jc w:val="both"/>
      </w:pPr>
    </w:lvl>
    <w:lvl w:ilvl="2" w:tplc="9AF2B3D6">
      <w:start w:val="1"/>
      <w:numFmt w:val="lowerRoman"/>
      <w:lvlText w:val="%3."/>
      <w:lvlJc w:val="right"/>
      <w:pPr>
        <w:ind w:left="2160" w:hanging="180"/>
        <w:jc w:val="both"/>
      </w:pPr>
    </w:lvl>
    <w:lvl w:ilvl="3" w:tplc="ADB690F6">
      <w:start w:val="1"/>
      <w:numFmt w:val="decimal"/>
      <w:lvlText w:val="%4."/>
      <w:lvlJc w:val="left"/>
      <w:pPr>
        <w:ind w:left="2880" w:hanging="360"/>
        <w:jc w:val="both"/>
      </w:pPr>
    </w:lvl>
    <w:lvl w:ilvl="4" w:tplc="B0C636BA">
      <w:start w:val="1"/>
      <w:numFmt w:val="lowerLetter"/>
      <w:lvlText w:val="%5."/>
      <w:lvlJc w:val="left"/>
      <w:pPr>
        <w:ind w:left="3600" w:hanging="360"/>
        <w:jc w:val="both"/>
      </w:pPr>
    </w:lvl>
    <w:lvl w:ilvl="5" w:tplc="F6B656F6">
      <w:start w:val="1"/>
      <w:numFmt w:val="lowerRoman"/>
      <w:lvlText w:val="%6."/>
      <w:lvlJc w:val="right"/>
      <w:pPr>
        <w:ind w:left="4320" w:hanging="180"/>
        <w:jc w:val="both"/>
      </w:pPr>
    </w:lvl>
    <w:lvl w:ilvl="6" w:tplc="A1502152">
      <w:start w:val="1"/>
      <w:numFmt w:val="decimal"/>
      <w:lvlText w:val="%7."/>
      <w:lvlJc w:val="left"/>
      <w:pPr>
        <w:ind w:left="5040" w:hanging="360"/>
        <w:jc w:val="both"/>
      </w:pPr>
    </w:lvl>
    <w:lvl w:ilvl="7" w:tplc="C1902AAE">
      <w:start w:val="1"/>
      <w:numFmt w:val="lowerLetter"/>
      <w:lvlText w:val="%8."/>
      <w:lvlJc w:val="left"/>
      <w:pPr>
        <w:ind w:left="5760" w:hanging="360"/>
        <w:jc w:val="both"/>
      </w:pPr>
    </w:lvl>
    <w:lvl w:ilvl="8" w:tplc="CC94DBEA">
      <w:start w:val="1"/>
      <w:numFmt w:val="lowerRoman"/>
      <w:lvlText w:val="%9."/>
      <w:lvlJc w:val="right"/>
      <w:pPr>
        <w:ind w:left="6480" w:hanging="180"/>
        <w:jc w:val="both"/>
      </w:pPr>
    </w:lvl>
  </w:abstractNum>
  <w:abstractNum w:abstractNumId="16" w15:restartNumberingAfterBreak="0">
    <w:nsid w:val="2F00000F"/>
    <w:multiLevelType w:val="hybridMultilevel"/>
    <w:tmpl w:val="5EF71E2D"/>
    <w:lvl w:ilvl="0" w:tplc="0E5C2352">
      <w:start w:val="1"/>
      <w:numFmt w:val="lowerLetter"/>
      <w:lvlText w:val="%1."/>
      <w:lvlJc w:val="left"/>
      <w:pPr>
        <w:ind w:left="720" w:hanging="360"/>
        <w:jc w:val="both"/>
      </w:pPr>
    </w:lvl>
    <w:lvl w:ilvl="1" w:tplc="7924DE06">
      <w:start w:val="1"/>
      <w:numFmt w:val="lowerLetter"/>
      <w:lvlText w:val="%2."/>
      <w:lvlJc w:val="left"/>
      <w:pPr>
        <w:ind w:left="1440" w:hanging="360"/>
        <w:jc w:val="both"/>
      </w:pPr>
    </w:lvl>
    <w:lvl w:ilvl="2" w:tplc="128E406E">
      <w:start w:val="1"/>
      <w:numFmt w:val="lowerRoman"/>
      <w:lvlText w:val="%3."/>
      <w:lvlJc w:val="right"/>
      <w:pPr>
        <w:ind w:left="2160" w:hanging="180"/>
        <w:jc w:val="both"/>
      </w:pPr>
    </w:lvl>
    <w:lvl w:ilvl="3" w:tplc="472EFC5E">
      <w:start w:val="1"/>
      <w:numFmt w:val="decimal"/>
      <w:lvlText w:val="%4."/>
      <w:lvlJc w:val="left"/>
      <w:pPr>
        <w:ind w:left="2880" w:hanging="360"/>
        <w:jc w:val="both"/>
      </w:pPr>
    </w:lvl>
    <w:lvl w:ilvl="4" w:tplc="4C34B476">
      <w:start w:val="1"/>
      <w:numFmt w:val="lowerLetter"/>
      <w:lvlText w:val="%5."/>
      <w:lvlJc w:val="left"/>
      <w:pPr>
        <w:ind w:left="3600" w:hanging="360"/>
        <w:jc w:val="both"/>
      </w:pPr>
    </w:lvl>
    <w:lvl w:ilvl="5" w:tplc="8188E3C6">
      <w:start w:val="1"/>
      <w:numFmt w:val="lowerRoman"/>
      <w:lvlText w:val="%6."/>
      <w:lvlJc w:val="right"/>
      <w:pPr>
        <w:ind w:left="4320" w:hanging="180"/>
        <w:jc w:val="both"/>
      </w:pPr>
    </w:lvl>
    <w:lvl w:ilvl="6" w:tplc="CE4E10C8">
      <w:start w:val="1"/>
      <w:numFmt w:val="decimal"/>
      <w:lvlText w:val="%7."/>
      <w:lvlJc w:val="left"/>
      <w:pPr>
        <w:ind w:left="5040" w:hanging="360"/>
        <w:jc w:val="both"/>
      </w:pPr>
    </w:lvl>
    <w:lvl w:ilvl="7" w:tplc="0C2A2774">
      <w:start w:val="1"/>
      <w:numFmt w:val="lowerLetter"/>
      <w:lvlText w:val="%8."/>
      <w:lvlJc w:val="left"/>
      <w:pPr>
        <w:ind w:left="5760" w:hanging="360"/>
        <w:jc w:val="both"/>
      </w:pPr>
    </w:lvl>
    <w:lvl w:ilvl="8" w:tplc="D76CD25C">
      <w:start w:val="1"/>
      <w:numFmt w:val="lowerRoman"/>
      <w:lvlText w:val="%9."/>
      <w:lvlJc w:val="right"/>
      <w:pPr>
        <w:ind w:left="6480" w:hanging="180"/>
        <w:jc w:val="both"/>
      </w:pPr>
    </w:lvl>
  </w:abstractNum>
  <w:abstractNum w:abstractNumId="17" w15:restartNumberingAfterBreak="0">
    <w:nsid w:val="2F000010"/>
    <w:multiLevelType w:val="hybridMultilevel"/>
    <w:tmpl w:val="57DE5DFD"/>
    <w:lvl w:ilvl="0" w:tplc="D46834D0">
      <w:start w:val="1"/>
      <w:numFmt w:val="lowerRoman"/>
      <w:lvlText w:val="(%1)"/>
      <w:lvlJc w:val="left"/>
      <w:pPr>
        <w:ind w:left="1080" w:hanging="720"/>
        <w:jc w:val="both"/>
      </w:pPr>
      <w:rPr>
        <w:w w:val="100"/>
        <w:sz w:val="20"/>
        <w:szCs w:val="20"/>
        <w:shd w:val="clear" w:color="000000" w:fill="auto"/>
      </w:rPr>
    </w:lvl>
    <w:lvl w:ilvl="1" w:tplc="8FAC247A">
      <w:start w:val="1"/>
      <w:numFmt w:val="lowerLetter"/>
      <w:lvlText w:val="%2."/>
      <w:lvlJc w:val="left"/>
      <w:pPr>
        <w:ind w:left="1440" w:hanging="360"/>
        <w:jc w:val="both"/>
      </w:pPr>
    </w:lvl>
    <w:lvl w:ilvl="2" w:tplc="E474D7F6">
      <w:start w:val="1"/>
      <w:numFmt w:val="lowerRoman"/>
      <w:lvlText w:val="%3."/>
      <w:lvlJc w:val="right"/>
      <w:pPr>
        <w:ind w:left="2160" w:hanging="180"/>
        <w:jc w:val="both"/>
      </w:pPr>
    </w:lvl>
    <w:lvl w:ilvl="3" w:tplc="7A523268">
      <w:start w:val="1"/>
      <w:numFmt w:val="decimal"/>
      <w:lvlText w:val="%4."/>
      <w:lvlJc w:val="left"/>
      <w:pPr>
        <w:ind w:left="2880" w:hanging="360"/>
        <w:jc w:val="both"/>
      </w:pPr>
    </w:lvl>
    <w:lvl w:ilvl="4" w:tplc="09542334">
      <w:start w:val="1"/>
      <w:numFmt w:val="lowerLetter"/>
      <w:lvlText w:val="%5."/>
      <w:lvlJc w:val="left"/>
      <w:pPr>
        <w:ind w:left="3600" w:hanging="360"/>
        <w:jc w:val="both"/>
      </w:pPr>
    </w:lvl>
    <w:lvl w:ilvl="5" w:tplc="F86AB2E0">
      <w:start w:val="1"/>
      <w:numFmt w:val="lowerRoman"/>
      <w:lvlText w:val="%6."/>
      <w:lvlJc w:val="right"/>
      <w:pPr>
        <w:ind w:left="4320" w:hanging="180"/>
        <w:jc w:val="both"/>
      </w:pPr>
    </w:lvl>
    <w:lvl w:ilvl="6" w:tplc="E48C670C">
      <w:start w:val="1"/>
      <w:numFmt w:val="decimal"/>
      <w:lvlText w:val="%7."/>
      <w:lvlJc w:val="left"/>
      <w:pPr>
        <w:ind w:left="5040" w:hanging="360"/>
        <w:jc w:val="both"/>
      </w:pPr>
    </w:lvl>
    <w:lvl w:ilvl="7" w:tplc="CB26078A">
      <w:start w:val="1"/>
      <w:numFmt w:val="lowerLetter"/>
      <w:lvlText w:val="%8."/>
      <w:lvlJc w:val="left"/>
      <w:pPr>
        <w:ind w:left="5760" w:hanging="360"/>
        <w:jc w:val="both"/>
      </w:pPr>
    </w:lvl>
    <w:lvl w:ilvl="8" w:tplc="ACD884DA">
      <w:start w:val="1"/>
      <w:numFmt w:val="lowerRoman"/>
      <w:lvlText w:val="%9."/>
      <w:lvlJc w:val="right"/>
      <w:pPr>
        <w:ind w:left="6480" w:hanging="180"/>
        <w:jc w:val="both"/>
      </w:pPr>
    </w:lvl>
  </w:abstractNum>
  <w:abstractNum w:abstractNumId="18" w15:restartNumberingAfterBreak="0">
    <w:nsid w:val="2F000011"/>
    <w:multiLevelType w:val="hybridMultilevel"/>
    <w:tmpl w:val="2DECAA36"/>
    <w:lvl w:ilvl="0" w:tplc="C54ED30C">
      <w:start w:val="1"/>
      <w:numFmt w:val="decimal"/>
      <w:lvlText w:val="%1."/>
      <w:lvlJc w:val="left"/>
      <w:pPr>
        <w:ind w:left="720" w:hanging="360"/>
        <w:jc w:val="both"/>
      </w:pPr>
      <w:rPr>
        <w:w w:val="100"/>
        <w:sz w:val="20"/>
        <w:szCs w:val="20"/>
        <w:shd w:val="clear" w:color="000000" w:fill="auto"/>
      </w:rPr>
    </w:lvl>
    <w:lvl w:ilvl="1" w:tplc="281C4604">
      <w:start w:val="1"/>
      <w:numFmt w:val="lowerLetter"/>
      <w:lvlText w:val="%2."/>
      <w:lvlJc w:val="left"/>
      <w:pPr>
        <w:ind w:left="1440" w:hanging="360"/>
        <w:jc w:val="both"/>
      </w:pPr>
    </w:lvl>
    <w:lvl w:ilvl="2" w:tplc="8FF07398">
      <w:start w:val="1"/>
      <w:numFmt w:val="lowerRoman"/>
      <w:lvlText w:val="%3."/>
      <w:lvlJc w:val="right"/>
      <w:pPr>
        <w:ind w:left="2160" w:hanging="180"/>
        <w:jc w:val="both"/>
      </w:pPr>
    </w:lvl>
    <w:lvl w:ilvl="3" w:tplc="2D489996">
      <w:start w:val="1"/>
      <w:numFmt w:val="decimal"/>
      <w:lvlText w:val="%4."/>
      <w:lvlJc w:val="left"/>
      <w:pPr>
        <w:ind w:left="2880" w:hanging="360"/>
        <w:jc w:val="both"/>
      </w:pPr>
    </w:lvl>
    <w:lvl w:ilvl="4" w:tplc="B26C57C6">
      <w:start w:val="1"/>
      <w:numFmt w:val="lowerLetter"/>
      <w:lvlText w:val="%5."/>
      <w:lvlJc w:val="left"/>
      <w:pPr>
        <w:ind w:left="3600" w:hanging="360"/>
        <w:jc w:val="both"/>
      </w:pPr>
    </w:lvl>
    <w:lvl w:ilvl="5" w:tplc="AC7A6CE0">
      <w:start w:val="1"/>
      <w:numFmt w:val="lowerRoman"/>
      <w:lvlText w:val="%6."/>
      <w:lvlJc w:val="right"/>
      <w:pPr>
        <w:ind w:left="4320" w:hanging="180"/>
        <w:jc w:val="both"/>
      </w:pPr>
    </w:lvl>
    <w:lvl w:ilvl="6" w:tplc="2F1828CC">
      <w:start w:val="1"/>
      <w:numFmt w:val="decimal"/>
      <w:lvlText w:val="%7."/>
      <w:lvlJc w:val="left"/>
      <w:pPr>
        <w:ind w:left="5040" w:hanging="360"/>
        <w:jc w:val="both"/>
      </w:pPr>
    </w:lvl>
    <w:lvl w:ilvl="7" w:tplc="9F8E9020">
      <w:start w:val="1"/>
      <w:numFmt w:val="lowerLetter"/>
      <w:lvlText w:val="%8."/>
      <w:lvlJc w:val="left"/>
      <w:pPr>
        <w:ind w:left="5760" w:hanging="360"/>
        <w:jc w:val="both"/>
      </w:pPr>
    </w:lvl>
    <w:lvl w:ilvl="8" w:tplc="8116BF24">
      <w:start w:val="1"/>
      <w:numFmt w:val="lowerRoman"/>
      <w:lvlText w:val="%9."/>
      <w:lvlJc w:val="right"/>
      <w:pPr>
        <w:ind w:left="6480" w:hanging="180"/>
        <w:jc w:val="both"/>
      </w:pPr>
    </w:lvl>
  </w:abstractNum>
  <w:abstractNum w:abstractNumId="19" w15:restartNumberingAfterBreak="0">
    <w:nsid w:val="2F000012"/>
    <w:multiLevelType w:val="hybridMultilevel"/>
    <w:tmpl w:val="329AC6E1"/>
    <w:lvl w:ilvl="0" w:tplc="4BFA38E8">
      <w:start w:val="1"/>
      <w:numFmt w:val="bullet"/>
      <w:lvlText w:val="·"/>
      <w:lvlJc w:val="left"/>
      <w:pPr>
        <w:ind w:left="720" w:hanging="360"/>
        <w:jc w:val="both"/>
      </w:pPr>
      <w:rPr>
        <w:rFonts w:ascii="Symbol" w:eastAsia="Symbol" w:hAnsi="Symbol"/>
        <w:w w:val="100"/>
        <w:sz w:val="20"/>
        <w:szCs w:val="20"/>
        <w:shd w:val="clear" w:color="000000" w:fill="auto"/>
      </w:rPr>
    </w:lvl>
    <w:lvl w:ilvl="1" w:tplc="A8FC7168">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17765A36">
      <w:start w:val="1"/>
      <w:numFmt w:val="bullet"/>
      <w:lvlText w:val="§"/>
      <w:lvlJc w:val="left"/>
      <w:pPr>
        <w:ind w:left="2160" w:hanging="360"/>
        <w:jc w:val="both"/>
      </w:pPr>
      <w:rPr>
        <w:rFonts w:ascii="Wingdings" w:eastAsia="Wingdings" w:hAnsi="Wingdings"/>
        <w:w w:val="100"/>
        <w:sz w:val="20"/>
        <w:szCs w:val="20"/>
        <w:shd w:val="clear" w:color="000000" w:fill="auto"/>
      </w:rPr>
    </w:lvl>
    <w:lvl w:ilvl="3" w:tplc="46AEE90A">
      <w:start w:val="1"/>
      <w:numFmt w:val="bullet"/>
      <w:lvlText w:val="·"/>
      <w:lvlJc w:val="left"/>
      <w:pPr>
        <w:ind w:left="2880" w:hanging="360"/>
        <w:jc w:val="both"/>
      </w:pPr>
      <w:rPr>
        <w:rFonts w:ascii="Symbol" w:eastAsia="Symbol" w:hAnsi="Symbol"/>
        <w:w w:val="100"/>
        <w:sz w:val="20"/>
        <w:szCs w:val="20"/>
        <w:shd w:val="clear" w:color="000000" w:fill="auto"/>
      </w:rPr>
    </w:lvl>
    <w:lvl w:ilvl="4" w:tplc="B33CBA60">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8E62B9EC">
      <w:start w:val="1"/>
      <w:numFmt w:val="bullet"/>
      <w:lvlText w:val="§"/>
      <w:lvlJc w:val="left"/>
      <w:pPr>
        <w:ind w:left="4320" w:hanging="360"/>
        <w:jc w:val="both"/>
      </w:pPr>
      <w:rPr>
        <w:rFonts w:ascii="Wingdings" w:eastAsia="Wingdings" w:hAnsi="Wingdings"/>
        <w:w w:val="100"/>
        <w:sz w:val="20"/>
        <w:szCs w:val="20"/>
        <w:shd w:val="clear" w:color="000000" w:fill="auto"/>
      </w:rPr>
    </w:lvl>
    <w:lvl w:ilvl="6" w:tplc="04325E06">
      <w:start w:val="1"/>
      <w:numFmt w:val="bullet"/>
      <w:lvlText w:val="·"/>
      <w:lvlJc w:val="left"/>
      <w:pPr>
        <w:ind w:left="5040" w:hanging="360"/>
        <w:jc w:val="both"/>
      </w:pPr>
      <w:rPr>
        <w:rFonts w:ascii="Symbol" w:eastAsia="Symbol" w:hAnsi="Symbol"/>
        <w:w w:val="100"/>
        <w:sz w:val="20"/>
        <w:szCs w:val="20"/>
        <w:shd w:val="clear" w:color="000000" w:fill="auto"/>
      </w:rPr>
    </w:lvl>
    <w:lvl w:ilvl="7" w:tplc="9BBC002A">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C7209458">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0" w15:restartNumberingAfterBreak="0">
    <w:nsid w:val="2F000013"/>
    <w:multiLevelType w:val="hybridMultilevel"/>
    <w:tmpl w:val="357708A8"/>
    <w:lvl w:ilvl="0" w:tplc="5DC60752">
      <w:start w:val="1"/>
      <w:numFmt w:val="bullet"/>
      <w:lvlText w:val="·"/>
      <w:lvlJc w:val="left"/>
      <w:pPr>
        <w:ind w:left="720" w:hanging="360"/>
        <w:jc w:val="both"/>
      </w:pPr>
      <w:rPr>
        <w:rFonts w:ascii="Symbol" w:eastAsia="Symbol" w:hAnsi="Symbol"/>
        <w:w w:val="100"/>
        <w:sz w:val="20"/>
        <w:szCs w:val="20"/>
        <w:shd w:val="clear" w:color="000000" w:fill="auto"/>
      </w:rPr>
    </w:lvl>
    <w:lvl w:ilvl="1" w:tplc="55422B94">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3E1E820A">
      <w:start w:val="1"/>
      <w:numFmt w:val="bullet"/>
      <w:lvlText w:val="§"/>
      <w:lvlJc w:val="left"/>
      <w:pPr>
        <w:ind w:left="2160" w:hanging="360"/>
        <w:jc w:val="both"/>
      </w:pPr>
      <w:rPr>
        <w:rFonts w:ascii="Wingdings" w:eastAsia="Wingdings" w:hAnsi="Wingdings"/>
        <w:w w:val="100"/>
        <w:sz w:val="20"/>
        <w:szCs w:val="20"/>
        <w:shd w:val="clear" w:color="000000" w:fill="auto"/>
      </w:rPr>
    </w:lvl>
    <w:lvl w:ilvl="3" w:tplc="2E5ABD78">
      <w:start w:val="1"/>
      <w:numFmt w:val="bullet"/>
      <w:lvlText w:val="·"/>
      <w:lvlJc w:val="left"/>
      <w:pPr>
        <w:ind w:left="2880" w:hanging="360"/>
        <w:jc w:val="both"/>
      </w:pPr>
      <w:rPr>
        <w:rFonts w:ascii="Symbol" w:eastAsia="Symbol" w:hAnsi="Symbol"/>
        <w:w w:val="100"/>
        <w:sz w:val="20"/>
        <w:szCs w:val="20"/>
        <w:shd w:val="clear" w:color="000000" w:fill="auto"/>
      </w:rPr>
    </w:lvl>
    <w:lvl w:ilvl="4" w:tplc="42B0E172">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6CD838E0">
      <w:start w:val="1"/>
      <w:numFmt w:val="bullet"/>
      <w:lvlText w:val="§"/>
      <w:lvlJc w:val="left"/>
      <w:pPr>
        <w:ind w:left="4320" w:hanging="360"/>
        <w:jc w:val="both"/>
      </w:pPr>
      <w:rPr>
        <w:rFonts w:ascii="Wingdings" w:eastAsia="Wingdings" w:hAnsi="Wingdings"/>
        <w:w w:val="100"/>
        <w:sz w:val="20"/>
        <w:szCs w:val="20"/>
        <w:shd w:val="clear" w:color="000000" w:fill="auto"/>
      </w:rPr>
    </w:lvl>
    <w:lvl w:ilvl="6" w:tplc="6EDE9BF8">
      <w:start w:val="1"/>
      <w:numFmt w:val="bullet"/>
      <w:lvlText w:val="·"/>
      <w:lvlJc w:val="left"/>
      <w:pPr>
        <w:ind w:left="5040" w:hanging="360"/>
        <w:jc w:val="both"/>
      </w:pPr>
      <w:rPr>
        <w:rFonts w:ascii="Symbol" w:eastAsia="Symbol" w:hAnsi="Symbol"/>
        <w:w w:val="100"/>
        <w:sz w:val="20"/>
        <w:szCs w:val="20"/>
        <w:shd w:val="clear" w:color="000000" w:fill="auto"/>
      </w:rPr>
    </w:lvl>
    <w:lvl w:ilvl="7" w:tplc="0B5891DA">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F70E9830">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1" w15:restartNumberingAfterBreak="0">
    <w:nsid w:val="2F000014"/>
    <w:multiLevelType w:val="hybridMultilevel"/>
    <w:tmpl w:val="3FD979F1"/>
    <w:lvl w:ilvl="0" w:tplc="1AC449FE">
      <w:start w:val="3"/>
      <w:numFmt w:val="lowerLetter"/>
      <w:lvlText w:val="%1."/>
      <w:lvlJc w:val="left"/>
      <w:pPr>
        <w:ind w:left="720" w:hanging="360"/>
        <w:jc w:val="both"/>
      </w:pPr>
      <w:rPr>
        <w:w w:val="100"/>
        <w:sz w:val="20"/>
        <w:szCs w:val="20"/>
        <w:shd w:val="clear" w:color="000000" w:fill="auto"/>
      </w:rPr>
    </w:lvl>
    <w:lvl w:ilvl="1" w:tplc="E79E387A">
      <w:start w:val="1"/>
      <w:numFmt w:val="lowerLetter"/>
      <w:lvlText w:val="%2."/>
      <w:lvlJc w:val="left"/>
      <w:pPr>
        <w:ind w:left="1440" w:hanging="360"/>
        <w:jc w:val="both"/>
      </w:pPr>
    </w:lvl>
    <w:lvl w:ilvl="2" w:tplc="19FE6BFE">
      <w:start w:val="1"/>
      <w:numFmt w:val="lowerRoman"/>
      <w:lvlText w:val="%3."/>
      <w:lvlJc w:val="right"/>
      <w:pPr>
        <w:ind w:left="2160" w:hanging="180"/>
        <w:jc w:val="both"/>
      </w:pPr>
    </w:lvl>
    <w:lvl w:ilvl="3" w:tplc="67000654">
      <w:start w:val="1"/>
      <w:numFmt w:val="decimal"/>
      <w:lvlText w:val="%4."/>
      <w:lvlJc w:val="left"/>
      <w:pPr>
        <w:ind w:left="2880" w:hanging="360"/>
        <w:jc w:val="both"/>
      </w:pPr>
    </w:lvl>
    <w:lvl w:ilvl="4" w:tplc="1F10EDFE">
      <w:start w:val="1"/>
      <w:numFmt w:val="lowerLetter"/>
      <w:lvlText w:val="%5."/>
      <w:lvlJc w:val="left"/>
      <w:pPr>
        <w:ind w:left="3600" w:hanging="360"/>
        <w:jc w:val="both"/>
      </w:pPr>
    </w:lvl>
    <w:lvl w:ilvl="5" w:tplc="E60AAD66">
      <w:start w:val="1"/>
      <w:numFmt w:val="lowerRoman"/>
      <w:lvlText w:val="%6."/>
      <w:lvlJc w:val="right"/>
      <w:pPr>
        <w:ind w:left="4320" w:hanging="180"/>
        <w:jc w:val="both"/>
      </w:pPr>
    </w:lvl>
    <w:lvl w:ilvl="6" w:tplc="9BACBF3E">
      <w:start w:val="1"/>
      <w:numFmt w:val="decimal"/>
      <w:lvlText w:val="%7."/>
      <w:lvlJc w:val="left"/>
      <w:pPr>
        <w:ind w:left="5040" w:hanging="360"/>
        <w:jc w:val="both"/>
      </w:pPr>
    </w:lvl>
    <w:lvl w:ilvl="7" w:tplc="2D3CD590">
      <w:start w:val="1"/>
      <w:numFmt w:val="lowerLetter"/>
      <w:lvlText w:val="%8."/>
      <w:lvlJc w:val="left"/>
      <w:pPr>
        <w:ind w:left="5760" w:hanging="360"/>
        <w:jc w:val="both"/>
      </w:pPr>
    </w:lvl>
    <w:lvl w:ilvl="8" w:tplc="96D61960">
      <w:start w:val="1"/>
      <w:numFmt w:val="lowerRoman"/>
      <w:lvlText w:val="%9."/>
      <w:lvlJc w:val="right"/>
      <w:pPr>
        <w:ind w:left="6480" w:hanging="180"/>
        <w:jc w:val="both"/>
      </w:pPr>
    </w:lvl>
  </w:abstractNum>
  <w:abstractNum w:abstractNumId="22" w15:restartNumberingAfterBreak="0">
    <w:nsid w:val="2F000015"/>
    <w:multiLevelType w:val="hybridMultilevel"/>
    <w:tmpl w:val="44D4CE10"/>
    <w:lvl w:ilvl="0" w:tplc="AFD89FE6">
      <w:start w:val="1"/>
      <w:numFmt w:val="bullet"/>
      <w:lvlText w:val="·"/>
      <w:lvlJc w:val="left"/>
      <w:pPr>
        <w:ind w:left="720" w:hanging="360"/>
        <w:jc w:val="both"/>
      </w:pPr>
      <w:rPr>
        <w:rFonts w:ascii="Symbol" w:eastAsia="Symbol" w:hAnsi="Symbol"/>
        <w:w w:val="100"/>
        <w:sz w:val="20"/>
        <w:szCs w:val="20"/>
        <w:shd w:val="clear" w:color="000000" w:fill="auto"/>
      </w:rPr>
    </w:lvl>
    <w:lvl w:ilvl="1" w:tplc="A8462B4A">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249CD8E0">
      <w:start w:val="1"/>
      <w:numFmt w:val="bullet"/>
      <w:lvlText w:val="§"/>
      <w:lvlJc w:val="left"/>
      <w:pPr>
        <w:ind w:left="2160" w:hanging="360"/>
        <w:jc w:val="both"/>
      </w:pPr>
      <w:rPr>
        <w:rFonts w:ascii="Wingdings" w:eastAsia="Wingdings" w:hAnsi="Wingdings"/>
        <w:w w:val="100"/>
        <w:sz w:val="20"/>
        <w:szCs w:val="20"/>
        <w:shd w:val="clear" w:color="000000" w:fill="auto"/>
      </w:rPr>
    </w:lvl>
    <w:lvl w:ilvl="3" w:tplc="A418DF8E">
      <w:start w:val="1"/>
      <w:numFmt w:val="bullet"/>
      <w:lvlText w:val="·"/>
      <w:lvlJc w:val="left"/>
      <w:pPr>
        <w:ind w:left="2880" w:hanging="360"/>
        <w:jc w:val="both"/>
      </w:pPr>
      <w:rPr>
        <w:rFonts w:ascii="Symbol" w:eastAsia="Symbol" w:hAnsi="Symbol"/>
        <w:w w:val="100"/>
        <w:sz w:val="20"/>
        <w:szCs w:val="20"/>
        <w:shd w:val="clear" w:color="000000" w:fill="auto"/>
      </w:rPr>
    </w:lvl>
    <w:lvl w:ilvl="4" w:tplc="DDC68D0A">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2C10EE00">
      <w:start w:val="1"/>
      <w:numFmt w:val="bullet"/>
      <w:lvlText w:val="§"/>
      <w:lvlJc w:val="left"/>
      <w:pPr>
        <w:ind w:left="4320" w:hanging="360"/>
        <w:jc w:val="both"/>
      </w:pPr>
      <w:rPr>
        <w:rFonts w:ascii="Wingdings" w:eastAsia="Wingdings" w:hAnsi="Wingdings"/>
        <w:w w:val="100"/>
        <w:sz w:val="20"/>
        <w:szCs w:val="20"/>
        <w:shd w:val="clear" w:color="000000" w:fill="auto"/>
      </w:rPr>
    </w:lvl>
    <w:lvl w:ilvl="6" w:tplc="27D8F62C">
      <w:start w:val="1"/>
      <w:numFmt w:val="bullet"/>
      <w:lvlText w:val="·"/>
      <w:lvlJc w:val="left"/>
      <w:pPr>
        <w:ind w:left="5040" w:hanging="360"/>
        <w:jc w:val="both"/>
      </w:pPr>
      <w:rPr>
        <w:rFonts w:ascii="Symbol" w:eastAsia="Symbol" w:hAnsi="Symbol"/>
        <w:w w:val="100"/>
        <w:sz w:val="20"/>
        <w:szCs w:val="20"/>
        <w:shd w:val="clear" w:color="000000" w:fill="auto"/>
      </w:rPr>
    </w:lvl>
    <w:lvl w:ilvl="7" w:tplc="80164E30">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009E2946">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3" w15:restartNumberingAfterBreak="0">
    <w:nsid w:val="2F000016"/>
    <w:multiLevelType w:val="hybridMultilevel"/>
    <w:tmpl w:val="55248FD7"/>
    <w:lvl w:ilvl="0" w:tplc="46F456A6">
      <w:numFmt w:val="bullet"/>
      <w:lvlText w:val="-"/>
      <w:lvlJc w:val="left"/>
      <w:pPr>
        <w:ind w:left="720" w:hanging="360"/>
        <w:jc w:val="both"/>
      </w:pPr>
      <w:rPr>
        <w:rFonts w:ascii="Calibri" w:eastAsia="Calibri" w:hAnsi="Calibri"/>
        <w:w w:val="100"/>
        <w:sz w:val="20"/>
        <w:szCs w:val="20"/>
        <w:shd w:val="clear" w:color="000000" w:fill="auto"/>
      </w:rPr>
    </w:lvl>
    <w:lvl w:ilvl="1" w:tplc="8744C9F2">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F40AD0BA">
      <w:start w:val="1"/>
      <w:numFmt w:val="bullet"/>
      <w:lvlText w:val="§"/>
      <w:lvlJc w:val="left"/>
      <w:pPr>
        <w:ind w:left="2160" w:hanging="360"/>
        <w:jc w:val="both"/>
      </w:pPr>
      <w:rPr>
        <w:rFonts w:ascii="Wingdings" w:eastAsia="Wingdings" w:hAnsi="Wingdings"/>
        <w:w w:val="100"/>
        <w:sz w:val="20"/>
        <w:szCs w:val="20"/>
        <w:shd w:val="clear" w:color="000000" w:fill="auto"/>
      </w:rPr>
    </w:lvl>
    <w:lvl w:ilvl="3" w:tplc="FC247672">
      <w:start w:val="1"/>
      <w:numFmt w:val="bullet"/>
      <w:lvlText w:val="·"/>
      <w:lvlJc w:val="left"/>
      <w:pPr>
        <w:ind w:left="2880" w:hanging="360"/>
        <w:jc w:val="both"/>
      </w:pPr>
      <w:rPr>
        <w:rFonts w:ascii="Symbol" w:eastAsia="Symbol" w:hAnsi="Symbol"/>
        <w:w w:val="100"/>
        <w:sz w:val="20"/>
        <w:szCs w:val="20"/>
        <w:shd w:val="clear" w:color="000000" w:fill="auto"/>
      </w:rPr>
    </w:lvl>
    <w:lvl w:ilvl="4" w:tplc="7744F1A6">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26B09306">
      <w:start w:val="1"/>
      <w:numFmt w:val="bullet"/>
      <w:lvlText w:val="§"/>
      <w:lvlJc w:val="left"/>
      <w:pPr>
        <w:ind w:left="4320" w:hanging="360"/>
        <w:jc w:val="both"/>
      </w:pPr>
      <w:rPr>
        <w:rFonts w:ascii="Wingdings" w:eastAsia="Wingdings" w:hAnsi="Wingdings"/>
        <w:w w:val="100"/>
        <w:sz w:val="20"/>
        <w:szCs w:val="20"/>
        <w:shd w:val="clear" w:color="000000" w:fill="auto"/>
      </w:rPr>
    </w:lvl>
    <w:lvl w:ilvl="6" w:tplc="B782A364">
      <w:start w:val="1"/>
      <w:numFmt w:val="bullet"/>
      <w:lvlText w:val="·"/>
      <w:lvlJc w:val="left"/>
      <w:pPr>
        <w:ind w:left="5040" w:hanging="360"/>
        <w:jc w:val="both"/>
      </w:pPr>
      <w:rPr>
        <w:rFonts w:ascii="Symbol" w:eastAsia="Symbol" w:hAnsi="Symbol"/>
        <w:w w:val="100"/>
        <w:sz w:val="20"/>
        <w:szCs w:val="20"/>
        <w:shd w:val="clear" w:color="000000" w:fill="auto"/>
      </w:rPr>
    </w:lvl>
    <w:lvl w:ilvl="7" w:tplc="DEDA1198">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4A52B44A">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4" w15:restartNumberingAfterBreak="0">
    <w:nsid w:val="2F000017"/>
    <w:multiLevelType w:val="hybridMultilevel"/>
    <w:tmpl w:val="395F8806"/>
    <w:lvl w:ilvl="0" w:tplc="411666D4">
      <w:start w:val="1"/>
      <w:numFmt w:val="decimal"/>
      <w:lvlText w:val="%1)"/>
      <w:lvlJc w:val="left"/>
      <w:pPr>
        <w:ind w:left="720" w:hanging="360"/>
        <w:jc w:val="both"/>
      </w:pPr>
      <w:rPr>
        <w:w w:val="100"/>
        <w:sz w:val="20"/>
        <w:szCs w:val="20"/>
        <w:shd w:val="clear" w:color="000000" w:fill="auto"/>
      </w:rPr>
    </w:lvl>
    <w:lvl w:ilvl="1" w:tplc="4714271C">
      <w:start w:val="1"/>
      <w:numFmt w:val="lowerLetter"/>
      <w:lvlText w:val="%2."/>
      <w:lvlJc w:val="left"/>
      <w:pPr>
        <w:ind w:left="1440" w:hanging="360"/>
        <w:jc w:val="both"/>
      </w:pPr>
    </w:lvl>
    <w:lvl w:ilvl="2" w:tplc="AFD86B68">
      <w:start w:val="1"/>
      <w:numFmt w:val="lowerRoman"/>
      <w:lvlText w:val="%3."/>
      <w:lvlJc w:val="right"/>
      <w:pPr>
        <w:ind w:left="2160" w:hanging="180"/>
        <w:jc w:val="both"/>
      </w:pPr>
    </w:lvl>
    <w:lvl w:ilvl="3" w:tplc="1422A9AE">
      <w:start w:val="1"/>
      <w:numFmt w:val="decimal"/>
      <w:lvlText w:val="%4."/>
      <w:lvlJc w:val="left"/>
      <w:pPr>
        <w:ind w:left="2880" w:hanging="360"/>
        <w:jc w:val="both"/>
      </w:pPr>
    </w:lvl>
    <w:lvl w:ilvl="4" w:tplc="1FF66D44">
      <w:start w:val="1"/>
      <w:numFmt w:val="lowerLetter"/>
      <w:lvlText w:val="%5."/>
      <w:lvlJc w:val="left"/>
      <w:pPr>
        <w:ind w:left="3600" w:hanging="360"/>
        <w:jc w:val="both"/>
      </w:pPr>
    </w:lvl>
    <w:lvl w:ilvl="5" w:tplc="3CE0EC70">
      <w:start w:val="1"/>
      <w:numFmt w:val="lowerRoman"/>
      <w:lvlText w:val="%6."/>
      <w:lvlJc w:val="right"/>
      <w:pPr>
        <w:ind w:left="4320" w:hanging="180"/>
        <w:jc w:val="both"/>
      </w:pPr>
    </w:lvl>
    <w:lvl w:ilvl="6" w:tplc="07FC8BC0">
      <w:start w:val="1"/>
      <w:numFmt w:val="decimal"/>
      <w:lvlText w:val="%7."/>
      <w:lvlJc w:val="left"/>
      <w:pPr>
        <w:ind w:left="5040" w:hanging="360"/>
        <w:jc w:val="both"/>
      </w:pPr>
    </w:lvl>
    <w:lvl w:ilvl="7" w:tplc="D2941DD8">
      <w:start w:val="1"/>
      <w:numFmt w:val="lowerLetter"/>
      <w:lvlText w:val="%8."/>
      <w:lvlJc w:val="left"/>
      <w:pPr>
        <w:ind w:left="5760" w:hanging="360"/>
        <w:jc w:val="both"/>
      </w:pPr>
    </w:lvl>
    <w:lvl w:ilvl="8" w:tplc="3216F5C4">
      <w:start w:val="1"/>
      <w:numFmt w:val="lowerRoman"/>
      <w:lvlText w:val="%9."/>
      <w:lvlJc w:val="right"/>
      <w:pPr>
        <w:ind w:left="6480" w:hanging="180"/>
        <w:jc w:val="both"/>
      </w:pPr>
    </w:lvl>
  </w:abstractNum>
  <w:abstractNum w:abstractNumId="25" w15:restartNumberingAfterBreak="0">
    <w:nsid w:val="2F000018"/>
    <w:multiLevelType w:val="hybridMultilevel"/>
    <w:tmpl w:val="54DB4F70"/>
    <w:lvl w:ilvl="0" w:tplc="F716B0DA">
      <w:start w:val="1"/>
      <w:numFmt w:val="bullet"/>
      <w:lvlText w:val="·"/>
      <w:lvlJc w:val="left"/>
      <w:pPr>
        <w:ind w:left="720" w:hanging="360"/>
        <w:jc w:val="both"/>
      </w:pPr>
      <w:rPr>
        <w:rFonts w:ascii="Symbol" w:eastAsia="Symbol" w:hAnsi="Symbol"/>
        <w:w w:val="100"/>
        <w:sz w:val="20"/>
        <w:szCs w:val="20"/>
        <w:shd w:val="clear" w:color="000000" w:fill="auto"/>
      </w:rPr>
    </w:lvl>
    <w:lvl w:ilvl="1" w:tplc="15302FEA">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999C689A">
      <w:start w:val="1"/>
      <w:numFmt w:val="bullet"/>
      <w:lvlText w:val="§"/>
      <w:lvlJc w:val="left"/>
      <w:pPr>
        <w:ind w:left="2160" w:hanging="360"/>
        <w:jc w:val="both"/>
      </w:pPr>
      <w:rPr>
        <w:rFonts w:ascii="Wingdings" w:eastAsia="Wingdings" w:hAnsi="Wingdings"/>
        <w:w w:val="100"/>
        <w:sz w:val="20"/>
        <w:szCs w:val="20"/>
        <w:shd w:val="clear" w:color="000000" w:fill="auto"/>
      </w:rPr>
    </w:lvl>
    <w:lvl w:ilvl="3" w:tplc="66C861BE">
      <w:start w:val="1"/>
      <w:numFmt w:val="bullet"/>
      <w:lvlText w:val="·"/>
      <w:lvlJc w:val="left"/>
      <w:pPr>
        <w:ind w:left="2880" w:hanging="360"/>
        <w:jc w:val="both"/>
      </w:pPr>
      <w:rPr>
        <w:rFonts w:ascii="Symbol" w:eastAsia="Symbol" w:hAnsi="Symbol"/>
        <w:w w:val="100"/>
        <w:sz w:val="20"/>
        <w:szCs w:val="20"/>
        <w:shd w:val="clear" w:color="000000" w:fill="auto"/>
      </w:rPr>
    </w:lvl>
    <w:lvl w:ilvl="4" w:tplc="433E1DEA">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066A6BEA">
      <w:start w:val="1"/>
      <w:numFmt w:val="bullet"/>
      <w:lvlText w:val="§"/>
      <w:lvlJc w:val="left"/>
      <w:pPr>
        <w:ind w:left="4320" w:hanging="360"/>
        <w:jc w:val="both"/>
      </w:pPr>
      <w:rPr>
        <w:rFonts w:ascii="Wingdings" w:eastAsia="Wingdings" w:hAnsi="Wingdings"/>
        <w:w w:val="100"/>
        <w:sz w:val="20"/>
        <w:szCs w:val="20"/>
        <w:shd w:val="clear" w:color="000000" w:fill="auto"/>
      </w:rPr>
    </w:lvl>
    <w:lvl w:ilvl="6" w:tplc="8FFC4AE4">
      <w:start w:val="1"/>
      <w:numFmt w:val="bullet"/>
      <w:lvlText w:val="·"/>
      <w:lvlJc w:val="left"/>
      <w:pPr>
        <w:ind w:left="5040" w:hanging="360"/>
        <w:jc w:val="both"/>
      </w:pPr>
      <w:rPr>
        <w:rFonts w:ascii="Symbol" w:eastAsia="Symbol" w:hAnsi="Symbol"/>
        <w:w w:val="100"/>
        <w:sz w:val="20"/>
        <w:szCs w:val="20"/>
        <w:shd w:val="clear" w:color="000000" w:fill="auto"/>
      </w:rPr>
    </w:lvl>
    <w:lvl w:ilvl="7" w:tplc="7458C8F4">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B400FB68">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6" w15:restartNumberingAfterBreak="0">
    <w:nsid w:val="2F000019"/>
    <w:multiLevelType w:val="multilevel"/>
    <w:tmpl w:val="303C7E83"/>
    <w:lvl w:ilvl="0">
      <w:start w:val="1"/>
      <w:numFmt w:val="decimal"/>
      <w:pStyle w:val="Heading1"/>
      <w:lvlText w:val="%1."/>
      <w:lvlJc w:val="left"/>
      <w:pPr>
        <w:tabs>
          <w:tab w:val="left" w:pos="482"/>
        </w:tabs>
        <w:ind w:left="482" w:hanging="482"/>
        <w:jc w:val="both"/>
      </w:pPr>
    </w:lvl>
    <w:lvl w:ilvl="1">
      <w:start w:val="1"/>
      <w:numFmt w:val="decimal"/>
      <w:pStyle w:val="Heading2"/>
      <w:lvlText w:val="%1.%2."/>
      <w:lvlJc w:val="left"/>
      <w:pPr>
        <w:tabs>
          <w:tab w:val="left" w:pos="1077"/>
        </w:tabs>
        <w:ind w:left="1077" w:hanging="601"/>
        <w:jc w:val="both"/>
      </w:pPr>
    </w:lvl>
    <w:lvl w:ilvl="2">
      <w:start w:val="1"/>
      <w:numFmt w:val="decimal"/>
      <w:pStyle w:val="Heading3"/>
      <w:lvlText w:val="%1.%2.%3."/>
      <w:lvlJc w:val="left"/>
      <w:pPr>
        <w:tabs>
          <w:tab w:val="left" w:pos="1690"/>
        </w:tabs>
        <w:ind w:left="1690" w:hanging="839"/>
        <w:jc w:val="both"/>
      </w:pPr>
    </w:lvl>
    <w:lvl w:ilvl="3">
      <w:start w:val="1"/>
      <w:numFmt w:val="decimal"/>
      <w:pStyle w:val="Heading4"/>
      <w:lvlText w:val="%1.%2.%3.%4."/>
      <w:lvlJc w:val="left"/>
      <w:pPr>
        <w:tabs>
          <w:tab w:val="left" w:pos="2880"/>
        </w:tabs>
        <w:ind w:left="2880" w:hanging="958"/>
        <w:jc w:val="both"/>
      </w:pPr>
    </w:lvl>
    <w:lvl w:ilvl="4">
      <w:start w:val="1"/>
      <w:numFmt w:val="decimal"/>
      <w:pStyle w:val="Heading5"/>
      <w:lvlText w:val="%1.%2.%3.%4.%5."/>
      <w:lvlJc w:val="left"/>
      <w:pPr>
        <w:tabs>
          <w:tab w:val="left" w:pos="2880"/>
        </w:tabs>
        <w:ind w:left="3838" w:hanging="958"/>
        <w:jc w:val="both"/>
      </w:pPr>
    </w:lvl>
    <w:lvl w:ilvl="5">
      <w:start w:val="1"/>
      <w:numFmt w:val="decimal"/>
      <w:pStyle w:val="Heading6"/>
      <w:lvlText w:val="%1.%2.%3.%4.%5.%6."/>
      <w:lvlJc w:val="left"/>
      <w:pPr>
        <w:tabs>
          <w:tab w:val="left" w:pos="2880"/>
        </w:tabs>
        <w:ind w:left="3838" w:hanging="958"/>
        <w:jc w:val="both"/>
      </w:pPr>
    </w:lvl>
    <w:lvl w:ilvl="6">
      <w:start w:val="1"/>
      <w:numFmt w:val="decimal"/>
      <w:pStyle w:val="Heading7"/>
      <w:lvlText w:val="%1.%2.%3.%4.%5.%6.%7."/>
      <w:lvlJc w:val="left"/>
      <w:pPr>
        <w:tabs>
          <w:tab w:val="left" w:pos="2880"/>
        </w:tabs>
        <w:ind w:left="3838" w:hanging="958"/>
        <w:jc w:val="both"/>
      </w:pPr>
    </w:lvl>
    <w:lvl w:ilvl="7">
      <w:start w:val="1"/>
      <w:numFmt w:val="decimal"/>
      <w:pStyle w:val="Heading8"/>
      <w:lvlText w:val="%1.%2.%3.%4.%5.%6.%7.%8."/>
      <w:lvlJc w:val="left"/>
      <w:pPr>
        <w:tabs>
          <w:tab w:val="left" w:pos="2880"/>
        </w:tabs>
        <w:ind w:left="3838" w:hanging="958"/>
        <w:jc w:val="both"/>
      </w:pPr>
    </w:lvl>
    <w:lvl w:ilvl="8">
      <w:start w:val="1"/>
      <w:numFmt w:val="decimal"/>
      <w:pStyle w:val="Heading9"/>
      <w:lvlText w:val="%1.%2.%3.%4.%5.%6.%7.%8.%9."/>
      <w:lvlJc w:val="left"/>
      <w:pPr>
        <w:tabs>
          <w:tab w:val="left" w:pos="2880"/>
        </w:tabs>
        <w:ind w:left="3838" w:hanging="958"/>
        <w:jc w:val="both"/>
      </w:pPr>
    </w:lvl>
  </w:abstractNum>
  <w:abstractNum w:abstractNumId="27" w15:restartNumberingAfterBreak="0">
    <w:nsid w:val="2F00001A"/>
    <w:multiLevelType w:val="hybridMultilevel"/>
    <w:tmpl w:val="3995D34C"/>
    <w:lvl w:ilvl="0" w:tplc="21B2FA16">
      <w:start w:val="1"/>
      <w:numFmt w:val="bullet"/>
      <w:lvlText w:val="·"/>
      <w:lvlJc w:val="left"/>
      <w:pPr>
        <w:ind w:left="720" w:hanging="360"/>
        <w:jc w:val="both"/>
      </w:pPr>
      <w:rPr>
        <w:rFonts w:ascii="Symbol" w:eastAsia="Symbol" w:hAnsi="Symbol"/>
        <w:w w:val="100"/>
        <w:sz w:val="20"/>
        <w:szCs w:val="20"/>
        <w:shd w:val="clear" w:color="000000" w:fill="auto"/>
      </w:rPr>
    </w:lvl>
    <w:lvl w:ilvl="1" w:tplc="C28281B0">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CD745854">
      <w:start w:val="1"/>
      <w:numFmt w:val="bullet"/>
      <w:lvlText w:val="§"/>
      <w:lvlJc w:val="left"/>
      <w:pPr>
        <w:ind w:left="2160" w:hanging="360"/>
        <w:jc w:val="both"/>
      </w:pPr>
      <w:rPr>
        <w:rFonts w:ascii="Wingdings" w:eastAsia="Wingdings" w:hAnsi="Wingdings"/>
        <w:w w:val="100"/>
        <w:sz w:val="20"/>
        <w:szCs w:val="20"/>
        <w:shd w:val="clear" w:color="000000" w:fill="auto"/>
      </w:rPr>
    </w:lvl>
    <w:lvl w:ilvl="3" w:tplc="2048EA9E">
      <w:start w:val="1"/>
      <w:numFmt w:val="bullet"/>
      <w:lvlText w:val="·"/>
      <w:lvlJc w:val="left"/>
      <w:pPr>
        <w:ind w:left="2880" w:hanging="360"/>
        <w:jc w:val="both"/>
      </w:pPr>
      <w:rPr>
        <w:rFonts w:ascii="Symbol" w:eastAsia="Symbol" w:hAnsi="Symbol"/>
        <w:w w:val="100"/>
        <w:sz w:val="20"/>
        <w:szCs w:val="20"/>
        <w:shd w:val="clear" w:color="000000" w:fill="auto"/>
      </w:rPr>
    </w:lvl>
    <w:lvl w:ilvl="4" w:tplc="68D6408E">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DF14C0FC">
      <w:start w:val="1"/>
      <w:numFmt w:val="bullet"/>
      <w:lvlText w:val="§"/>
      <w:lvlJc w:val="left"/>
      <w:pPr>
        <w:ind w:left="4320" w:hanging="360"/>
        <w:jc w:val="both"/>
      </w:pPr>
      <w:rPr>
        <w:rFonts w:ascii="Wingdings" w:eastAsia="Wingdings" w:hAnsi="Wingdings"/>
        <w:w w:val="100"/>
        <w:sz w:val="20"/>
        <w:szCs w:val="20"/>
        <w:shd w:val="clear" w:color="000000" w:fill="auto"/>
      </w:rPr>
    </w:lvl>
    <w:lvl w:ilvl="6" w:tplc="F3FEDF7E">
      <w:start w:val="1"/>
      <w:numFmt w:val="bullet"/>
      <w:lvlText w:val="·"/>
      <w:lvlJc w:val="left"/>
      <w:pPr>
        <w:ind w:left="5040" w:hanging="360"/>
        <w:jc w:val="both"/>
      </w:pPr>
      <w:rPr>
        <w:rFonts w:ascii="Symbol" w:eastAsia="Symbol" w:hAnsi="Symbol"/>
        <w:w w:val="100"/>
        <w:sz w:val="20"/>
        <w:szCs w:val="20"/>
        <w:shd w:val="clear" w:color="000000" w:fill="auto"/>
      </w:rPr>
    </w:lvl>
    <w:lvl w:ilvl="7" w:tplc="A39E654A">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645E0850">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8" w15:restartNumberingAfterBreak="0">
    <w:nsid w:val="2F00001B"/>
    <w:multiLevelType w:val="hybridMultilevel"/>
    <w:tmpl w:val="41633036"/>
    <w:lvl w:ilvl="0" w:tplc="03424366">
      <w:start w:val="9"/>
      <w:numFmt w:val="bullet"/>
      <w:lvlText w:val="-"/>
      <w:lvlJc w:val="left"/>
      <w:pPr>
        <w:ind w:left="720" w:hanging="360"/>
        <w:jc w:val="both"/>
      </w:pPr>
      <w:rPr>
        <w:rFonts w:ascii="Calibri" w:eastAsia="Calibri" w:hAnsi="Calibri"/>
        <w:w w:val="100"/>
        <w:sz w:val="20"/>
        <w:szCs w:val="20"/>
        <w:shd w:val="clear" w:color="auto" w:fill="auto"/>
      </w:rPr>
    </w:lvl>
    <w:lvl w:ilvl="1" w:tplc="1568B82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11EE64C">
      <w:start w:val="1"/>
      <w:numFmt w:val="bullet"/>
      <w:lvlText w:val="§"/>
      <w:lvlJc w:val="left"/>
      <w:pPr>
        <w:ind w:left="2160" w:hanging="360"/>
        <w:jc w:val="both"/>
      </w:pPr>
      <w:rPr>
        <w:rFonts w:ascii="Wingdings" w:eastAsia="Wingdings" w:hAnsi="Wingdings"/>
        <w:w w:val="100"/>
        <w:sz w:val="20"/>
        <w:szCs w:val="20"/>
        <w:shd w:val="clear" w:color="auto" w:fill="auto"/>
      </w:rPr>
    </w:lvl>
    <w:lvl w:ilvl="3" w:tplc="85EE8828">
      <w:start w:val="1"/>
      <w:numFmt w:val="bullet"/>
      <w:lvlText w:val="·"/>
      <w:lvlJc w:val="left"/>
      <w:pPr>
        <w:ind w:left="2880" w:hanging="360"/>
        <w:jc w:val="both"/>
      </w:pPr>
      <w:rPr>
        <w:rFonts w:ascii="Symbol" w:eastAsia="Symbol" w:hAnsi="Symbol"/>
        <w:w w:val="100"/>
        <w:sz w:val="20"/>
        <w:szCs w:val="20"/>
        <w:shd w:val="clear" w:color="auto" w:fill="auto"/>
      </w:rPr>
    </w:lvl>
    <w:lvl w:ilvl="4" w:tplc="08ECC82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3161204">
      <w:start w:val="1"/>
      <w:numFmt w:val="bullet"/>
      <w:lvlText w:val="§"/>
      <w:lvlJc w:val="left"/>
      <w:pPr>
        <w:ind w:left="4320" w:hanging="360"/>
        <w:jc w:val="both"/>
      </w:pPr>
      <w:rPr>
        <w:rFonts w:ascii="Wingdings" w:eastAsia="Wingdings" w:hAnsi="Wingdings"/>
        <w:w w:val="100"/>
        <w:sz w:val="20"/>
        <w:szCs w:val="20"/>
        <w:shd w:val="clear" w:color="auto" w:fill="auto"/>
      </w:rPr>
    </w:lvl>
    <w:lvl w:ilvl="6" w:tplc="79B219D4">
      <w:start w:val="1"/>
      <w:numFmt w:val="bullet"/>
      <w:lvlText w:val="·"/>
      <w:lvlJc w:val="left"/>
      <w:pPr>
        <w:ind w:left="5040" w:hanging="360"/>
        <w:jc w:val="both"/>
      </w:pPr>
      <w:rPr>
        <w:rFonts w:ascii="Symbol" w:eastAsia="Symbol" w:hAnsi="Symbol"/>
        <w:w w:val="100"/>
        <w:sz w:val="20"/>
        <w:szCs w:val="20"/>
        <w:shd w:val="clear" w:color="auto" w:fill="auto"/>
      </w:rPr>
    </w:lvl>
    <w:lvl w:ilvl="7" w:tplc="23D60A9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E43C885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9" w15:restartNumberingAfterBreak="0">
    <w:nsid w:val="2F00001C"/>
    <w:multiLevelType w:val="hybridMultilevel"/>
    <w:tmpl w:val="3CF25BB0"/>
    <w:lvl w:ilvl="0" w:tplc="BA76D6E6">
      <w:start w:val="1"/>
      <w:numFmt w:val="bullet"/>
      <w:lvlText w:val="·"/>
      <w:lvlJc w:val="left"/>
      <w:pPr>
        <w:ind w:left="360" w:hanging="360"/>
        <w:jc w:val="both"/>
      </w:pPr>
      <w:rPr>
        <w:rFonts w:ascii="Symbol" w:eastAsia="Symbol" w:hAnsi="Symbol"/>
        <w:w w:val="100"/>
        <w:sz w:val="20"/>
        <w:szCs w:val="20"/>
        <w:shd w:val="clear" w:color="auto" w:fill="auto"/>
      </w:rPr>
    </w:lvl>
    <w:lvl w:ilvl="1" w:tplc="D982D496">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0B7A9950">
      <w:start w:val="1"/>
      <w:numFmt w:val="bullet"/>
      <w:lvlText w:val="§"/>
      <w:lvlJc w:val="left"/>
      <w:pPr>
        <w:ind w:left="1800" w:hanging="360"/>
        <w:jc w:val="both"/>
      </w:pPr>
      <w:rPr>
        <w:rFonts w:ascii="Wingdings" w:eastAsia="Wingdings" w:hAnsi="Wingdings"/>
        <w:w w:val="100"/>
        <w:sz w:val="20"/>
        <w:szCs w:val="20"/>
        <w:shd w:val="clear" w:color="auto" w:fill="auto"/>
      </w:rPr>
    </w:lvl>
    <w:lvl w:ilvl="3" w:tplc="FD346F94">
      <w:start w:val="1"/>
      <w:numFmt w:val="bullet"/>
      <w:lvlText w:val="·"/>
      <w:lvlJc w:val="left"/>
      <w:pPr>
        <w:ind w:left="2520" w:hanging="360"/>
        <w:jc w:val="both"/>
      </w:pPr>
      <w:rPr>
        <w:rFonts w:ascii="Symbol" w:eastAsia="Symbol" w:hAnsi="Symbol"/>
        <w:w w:val="100"/>
        <w:sz w:val="20"/>
        <w:szCs w:val="20"/>
        <w:shd w:val="clear" w:color="auto" w:fill="auto"/>
      </w:rPr>
    </w:lvl>
    <w:lvl w:ilvl="4" w:tplc="09601E40">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FAB82A52">
      <w:start w:val="1"/>
      <w:numFmt w:val="bullet"/>
      <w:lvlText w:val="§"/>
      <w:lvlJc w:val="left"/>
      <w:pPr>
        <w:ind w:left="3960" w:hanging="360"/>
        <w:jc w:val="both"/>
      </w:pPr>
      <w:rPr>
        <w:rFonts w:ascii="Wingdings" w:eastAsia="Wingdings" w:hAnsi="Wingdings"/>
        <w:w w:val="100"/>
        <w:sz w:val="20"/>
        <w:szCs w:val="20"/>
        <w:shd w:val="clear" w:color="auto" w:fill="auto"/>
      </w:rPr>
    </w:lvl>
    <w:lvl w:ilvl="6" w:tplc="CEF4FAF0">
      <w:start w:val="1"/>
      <w:numFmt w:val="bullet"/>
      <w:lvlText w:val="·"/>
      <w:lvlJc w:val="left"/>
      <w:pPr>
        <w:ind w:left="4680" w:hanging="360"/>
        <w:jc w:val="both"/>
      </w:pPr>
      <w:rPr>
        <w:rFonts w:ascii="Symbol" w:eastAsia="Symbol" w:hAnsi="Symbol"/>
        <w:w w:val="100"/>
        <w:sz w:val="20"/>
        <w:szCs w:val="20"/>
        <w:shd w:val="clear" w:color="auto" w:fill="auto"/>
      </w:rPr>
    </w:lvl>
    <w:lvl w:ilvl="7" w:tplc="55F4CB3C">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6D889C78">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30" w15:restartNumberingAfterBreak="0">
    <w:nsid w:val="2F00001D"/>
    <w:multiLevelType w:val="hybridMultilevel"/>
    <w:tmpl w:val="3161AFFF"/>
    <w:lvl w:ilvl="0" w:tplc="C5388102">
      <w:start w:val="16"/>
      <w:numFmt w:val="bullet"/>
      <w:lvlText w:val="-"/>
      <w:lvlJc w:val="left"/>
      <w:pPr>
        <w:ind w:left="720" w:hanging="360"/>
        <w:jc w:val="both"/>
      </w:pPr>
      <w:rPr>
        <w:rFonts w:ascii="Calibri" w:eastAsia="Calibri" w:hAnsi="Calibri"/>
        <w:w w:val="100"/>
        <w:sz w:val="20"/>
        <w:szCs w:val="20"/>
        <w:shd w:val="clear" w:color="auto" w:fill="auto"/>
      </w:rPr>
    </w:lvl>
    <w:lvl w:ilvl="1" w:tplc="AEF434E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324CDA52">
      <w:start w:val="1"/>
      <w:numFmt w:val="bullet"/>
      <w:lvlText w:val="§"/>
      <w:lvlJc w:val="left"/>
      <w:pPr>
        <w:ind w:left="2160" w:hanging="360"/>
        <w:jc w:val="both"/>
      </w:pPr>
      <w:rPr>
        <w:rFonts w:ascii="Wingdings" w:eastAsia="Wingdings" w:hAnsi="Wingdings"/>
        <w:w w:val="100"/>
        <w:sz w:val="20"/>
        <w:szCs w:val="20"/>
        <w:shd w:val="clear" w:color="auto" w:fill="auto"/>
      </w:rPr>
    </w:lvl>
    <w:lvl w:ilvl="3" w:tplc="29D64A50">
      <w:start w:val="1"/>
      <w:numFmt w:val="bullet"/>
      <w:lvlText w:val="·"/>
      <w:lvlJc w:val="left"/>
      <w:pPr>
        <w:ind w:left="2880" w:hanging="360"/>
        <w:jc w:val="both"/>
      </w:pPr>
      <w:rPr>
        <w:rFonts w:ascii="Symbol" w:eastAsia="Symbol" w:hAnsi="Symbol"/>
        <w:w w:val="100"/>
        <w:sz w:val="20"/>
        <w:szCs w:val="20"/>
        <w:shd w:val="clear" w:color="auto" w:fill="auto"/>
      </w:rPr>
    </w:lvl>
    <w:lvl w:ilvl="4" w:tplc="57DCFB8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288CCBA">
      <w:start w:val="1"/>
      <w:numFmt w:val="bullet"/>
      <w:lvlText w:val="§"/>
      <w:lvlJc w:val="left"/>
      <w:pPr>
        <w:ind w:left="4320" w:hanging="360"/>
        <w:jc w:val="both"/>
      </w:pPr>
      <w:rPr>
        <w:rFonts w:ascii="Wingdings" w:eastAsia="Wingdings" w:hAnsi="Wingdings"/>
        <w:w w:val="100"/>
        <w:sz w:val="20"/>
        <w:szCs w:val="20"/>
        <w:shd w:val="clear" w:color="auto" w:fill="auto"/>
      </w:rPr>
    </w:lvl>
    <w:lvl w:ilvl="6" w:tplc="764C9FF4">
      <w:start w:val="1"/>
      <w:numFmt w:val="bullet"/>
      <w:lvlText w:val="·"/>
      <w:lvlJc w:val="left"/>
      <w:pPr>
        <w:ind w:left="5040" w:hanging="360"/>
        <w:jc w:val="both"/>
      </w:pPr>
      <w:rPr>
        <w:rFonts w:ascii="Symbol" w:eastAsia="Symbol" w:hAnsi="Symbol"/>
        <w:w w:val="100"/>
        <w:sz w:val="20"/>
        <w:szCs w:val="20"/>
        <w:shd w:val="clear" w:color="auto" w:fill="auto"/>
      </w:rPr>
    </w:lvl>
    <w:lvl w:ilvl="7" w:tplc="BEA66E8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2FEEDE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1" w15:restartNumberingAfterBreak="0">
    <w:nsid w:val="2F00001E"/>
    <w:multiLevelType w:val="hybridMultilevel"/>
    <w:tmpl w:val="2A69B89A"/>
    <w:lvl w:ilvl="0" w:tplc="0D1AD884">
      <w:numFmt w:val="bullet"/>
      <w:lvlText w:val="-"/>
      <w:lvlJc w:val="left"/>
      <w:pPr>
        <w:ind w:left="720" w:hanging="360"/>
        <w:jc w:val="both"/>
      </w:pPr>
      <w:rPr>
        <w:rFonts w:ascii="Calibri" w:eastAsia="Calibri" w:hAnsi="Calibri"/>
        <w:w w:val="100"/>
        <w:sz w:val="20"/>
        <w:szCs w:val="20"/>
        <w:shd w:val="clear" w:color="000000" w:fill="auto"/>
      </w:rPr>
    </w:lvl>
    <w:lvl w:ilvl="1" w:tplc="DB96B47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B98F874">
      <w:start w:val="1"/>
      <w:numFmt w:val="bullet"/>
      <w:lvlText w:val="§"/>
      <w:lvlJc w:val="left"/>
      <w:pPr>
        <w:ind w:left="2160" w:hanging="360"/>
        <w:jc w:val="both"/>
      </w:pPr>
      <w:rPr>
        <w:rFonts w:ascii="Wingdings" w:eastAsia="Wingdings" w:hAnsi="Wingdings"/>
        <w:w w:val="100"/>
        <w:sz w:val="20"/>
        <w:szCs w:val="20"/>
        <w:shd w:val="clear" w:color="auto" w:fill="auto"/>
      </w:rPr>
    </w:lvl>
    <w:lvl w:ilvl="3" w:tplc="05C257FC">
      <w:start w:val="1"/>
      <w:numFmt w:val="bullet"/>
      <w:lvlText w:val="·"/>
      <w:lvlJc w:val="left"/>
      <w:pPr>
        <w:ind w:left="2880" w:hanging="360"/>
        <w:jc w:val="both"/>
      </w:pPr>
      <w:rPr>
        <w:rFonts w:ascii="Symbol" w:eastAsia="Symbol" w:hAnsi="Symbol"/>
        <w:w w:val="100"/>
        <w:sz w:val="20"/>
        <w:szCs w:val="20"/>
        <w:shd w:val="clear" w:color="auto" w:fill="auto"/>
      </w:rPr>
    </w:lvl>
    <w:lvl w:ilvl="4" w:tplc="DEA2A53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FBC68A4">
      <w:start w:val="1"/>
      <w:numFmt w:val="bullet"/>
      <w:lvlText w:val="§"/>
      <w:lvlJc w:val="left"/>
      <w:pPr>
        <w:ind w:left="4320" w:hanging="360"/>
        <w:jc w:val="both"/>
      </w:pPr>
      <w:rPr>
        <w:rFonts w:ascii="Wingdings" w:eastAsia="Wingdings" w:hAnsi="Wingdings"/>
        <w:w w:val="100"/>
        <w:sz w:val="20"/>
        <w:szCs w:val="20"/>
        <w:shd w:val="clear" w:color="auto" w:fill="auto"/>
      </w:rPr>
    </w:lvl>
    <w:lvl w:ilvl="6" w:tplc="E01C3AD6">
      <w:start w:val="1"/>
      <w:numFmt w:val="bullet"/>
      <w:lvlText w:val="·"/>
      <w:lvlJc w:val="left"/>
      <w:pPr>
        <w:ind w:left="5040" w:hanging="360"/>
        <w:jc w:val="both"/>
      </w:pPr>
      <w:rPr>
        <w:rFonts w:ascii="Symbol" w:eastAsia="Symbol" w:hAnsi="Symbol"/>
        <w:w w:val="100"/>
        <w:sz w:val="20"/>
        <w:szCs w:val="20"/>
        <w:shd w:val="clear" w:color="auto" w:fill="auto"/>
      </w:rPr>
    </w:lvl>
    <w:lvl w:ilvl="7" w:tplc="A7FE29B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0B18E21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2" w15:restartNumberingAfterBreak="0">
    <w:nsid w:val="2F00001F"/>
    <w:multiLevelType w:val="hybridMultilevel"/>
    <w:tmpl w:val="28D68C50"/>
    <w:lvl w:ilvl="0" w:tplc="DEA4FEAE">
      <w:start w:val="2"/>
      <w:numFmt w:val="bullet"/>
      <w:lvlText w:val="-"/>
      <w:lvlJc w:val="left"/>
      <w:pPr>
        <w:ind w:left="720" w:hanging="360"/>
        <w:jc w:val="both"/>
      </w:pPr>
      <w:rPr>
        <w:rFonts w:ascii="Times New Roman" w:eastAsia="Times New Roman" w:hAnsi="Times New Roman"/>
        <w:w w:val="100"/>
        <w:sz w:val="20"/>
        <w:szCs w:val="20"/>
        <w:shd w:val="clear" w:color="auto" w:fill="auto"/>
      </w:rPr>
    </w:lvl>
    <w:lvl w:ilvl="1" w:tplc="E7A0722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1FC3724">
      <w:start w:val="1"/>
      <w:numFmt w:val="bullet"/>
      <w:lvlText w:val="§"/>
      <w:lvlJc w:val="left"/>
      <w:pPr>
        <w:ind w:left="2160" w:hanging="360"/>
        <w:jc w:val="both"/>
      </w:pPr>
      <w:rPr>
        <w:rFonts w:ascii="Wingdings" w:eastAsia="Wingdings" w:hAnsi="Wingdings"/>
        <w:w w:val="100"/>
        <w:sz w:val="20"/>
        <w:szCs w:val="20"/>
        <w:shd w:val="clear" w:color="auto" w:fill="auto"/>
      </w:rPr>
    </w:lvl>
    <w:lvl w:ilvl="3" w:tplc="B66CFCC0">
      <w:start w:val="1"/>
      <w:numFmt w:val="bullet"/>
      <w:lvlText w:val="·"/>
      <w:lvlJc w:val="left"/>
      <w:pPr>
        <w:ind w:left="2880" w:hanging="360"/>
        <w:jc w:val="both"/>
      </w:pPr>
      <w:rPr>
        <w:rFonts w:ascii="Symbol" w:eastAsia="Symbol" w:hAnsi="Symbol"/>
        <w:w w:val="100"/>
        <w:sz w:val="20"/>
        <w:szCs w:val="20"/>
        <w:shd w:val="clear" w:color="auto" w:fill="auto"/>
      </w:rPr>
    </w:lvl>
    <w:lvl w:ilvl="4" w:tplc="F6FE2E0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C44E310">
      <w:start w:val="1"/>
      <w:numFmt w:val="bullet"/>
      <w:lvlText w:val="§"/>
      <w:lvlJc w:val="left"/>
      <w:pPr>
        <w:ind w:left="4320" w:hanging="360"/>
        <w:jc w:val="both"/>
      </w:pPr>
      <w:rPr>
        <w:rFonts w:ascii="Wingdings" w:eastAsia="Wingdings" w:hAnsi="Wingdings"/>
        <w:w w:val="100"/>
        <w:sz w:val="20"/>
        <w:szCs w:val="20"/>
        <w:shd w:val="clear" w:color="auto" w:fill="auto"/>
      </w:rPr>
    </w:lvl>
    <w:lvl w:ilvl="6" w:tplc="769CCF92">
      <w:start w:val="1"/>
      <w:numFmt w:val="bullet"/>
      <w:lvlText w:val="·"/>
      <w:lvlJc w:val="left"/>
      <w:pPr>
        <w:ind w:left="5040" w:hanging="360"/>
        <w:jc w:val="both"/>
      </w:pPr>
      <w:rPr>
        <w:rFonts w:ascii="Symbol" w:eastAsia="Symbol" w:hAnsi="Symbol"/>
        <w:w w:val="100"/>
        <w:sz w:val="20"/>
        <w:szCs w:val="20"/>
        <w:shd w:val="clear" w:color="auto" w:fill="auto"/>
      </w:rPr>
    </w:lvl>
    <w:lvl w:ilvl="7" w:tplc="B51A4AF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13E71E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3" w15:restartNumberingAfterBreak="0">
    <w:nsid w:val="2F000020"/>
    <w:multiLevelType w:val="hybridMultilevel"/>
    <w:tmpl w:val="4395FE0F"/>
    <w:lvl w:ilvl="0" w:tplc="EC2E53F2">
      <w:start w:val="1"/>
      <w:numFmt w:val="bullet"/>
      <w:lvlText w:val="·"/>
      <w:lvlJc w:val="left"/>
      <w:pPr>
        <w:ind w:left="360" w:hanging="360"/>
        <w:jc w:val="both"/>
      </w:pPr>
      <w:rPr>
        <w:rFonts w:ascii="Symbol" w:eastAsia="Symbol" w:hAnsi="Symbol"/>
        <w:w w:val="100"/>
        <w:sz w:val="20"/>
        <w:szCs w:val="20"/>
        <w:shd w:val="clear" w:color="auto" w:fill="auto"/>
      </w:rPr>
    </w:lvl>
    <w:lvl w:ilvl="1" w:tplc="DDA83100">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38AC6A18">
      <w:start w:val="1"/>
      <w:numFmt w:val="bullet"/>
      <w:lvlText w:val="§"/>
      <w:lvlJc w:val="left"/>
      <w:pPr>
        <w:ind w:left="1800" w:hanging="360"/>
        <w:jc w:val="both"/>
      </w:pPr>
      <w:rPr>
        <w:rFonts w:ascii="Wingdings" w:eastAsia="Wingdings" w:hAnsi="Wingdings"/>
        <w:w w:val="100"/>
        <w:sz w:val="20"/>
        <w:szCs w:val="20"/>
        <w:shd w:val="clear" w:color="auto" w:fill="auto"/>
      </w:rPr>
    </w:lvl>
    <w:lvl w:ilvl="3" w:tplc="9BEE734E">
      <w:start w:val="1"/>
      <w:numFmt w:val="bullet"/>
      <w:lvlText w:val="·"/>
      <w:lvlJc w:val="left"/>
      <w:pPr>
        <w:ind w:left="2520" w:hanging="360"/>
        <w:jc w:val="both"/>
      </w:pPr>
      <w:rPr>
        <w:rFonts w:ascii="Symbol" w:eastAsia="Symbol" w:hAnsi="Symbol"/>
        <w:w w:val="100"/>
        <w:sz w:val="20"/>
        <w:szCs w:val="20"/>
        <w:shd w:val="clear" w:color="auto" w:fill="auto"/>
      </w:rPr>
    </w:lvl>
    <w:lvl w:ilvl="4" w:tplc="035A12A8">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23167D82">
      <w:start w:val="1"/>
      <w:numFmt w:val="bullet"/>
      <w:lvlText w:val="§"/>
      <w:lvlJc w:val="left"/>
      <w:pPr>
        <w:ind w:left="3960" w:hanging="360"/>
        <w:jc w:val="both"/>
      </w:pPr>
      <w:rPr>
        <w:rFonts w:ascii="Wingdings" w:eastAsia="Wingdings" w:hAnsi="Wingdings"/>
        <w:w w:val="100"/>
        <w:sz w:val="20"/>
        <w:szCs w:val="20"/>
        <w:shd w:val="clear" w:color="auto" w:fill="auto"/>
      </w:rPr>
    </w:lvl>
    <w:lvl w:ilvl="6" w:tplc="4F421B78">
      <w:start w:val="1"/>
      <w:numFmt w:val="bullet"/>
      <w:lvlText w:val="·"/>
      <w:lvlJc w:val="left"/>
      <w:pPr>
        <w:ind w:left="4680" w:hanging="360"/>
        <w:jc w:val="both"/>
      </w:pPr>
      <w:rPr>
        <w:rFonts w:ascii="Symbol" w:eastAsia="Symbol" w:hAnsi="Symbol"/>
        <w:w w:val="100"/>
        <w:sz w:val="20"/>
        <w:szCs w:val="20"/>
        <w:shd w:val="clear" w:color="auto" w:fill="auto"/>
      </w:rPr>
    </w:lvl>
    <w:lvl w:ilvl="7" w:tplc="173CA944">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40A8BFE6">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34" w15:restartNumberingAfterBreak="0">
    <w:nsid w:val="2F000021"/>
    <w:multiLevelType w:val="hybridMultilevel"/>
    <w:tmpl w:val="525A9D8C"/>
    <w:lvl w:ilvl="0" w:tplc="3272CD64">
      <w:numFmt w:val="bullet"/>
      <w:lvlText w:val="-"/>
      <w:lvlJc w:val="left"/>
      <w:pPr>
        <w:ind w:left="720" w:hanging="360"/>
        <w:jc w:val="both"/>
      </w:pPr>
      <w:rPr>
        <w:rFonts w:ascii="Calibri" w:eastAsia="Calibri" w:hAnsi="Calibri"/>
        <w:w w:val="100"/>
        <w:sz w:val="20"/>
        <w:szCs w:val="20"/>
        <w:shd w:val="clear" w:color="auto" w:fill="auto"/>
      </w:rPr>
    </w:lvl>
    <w:lvl w:ilvl="1" w:tplc="F15E6C7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15C6C086">
      <w:start w:val="1"/>
      <w:numFmt w:val="bullet"/>
      <w:lvlText w:val="§"/>
      <w:lvlJc w:val="left"/>
      <w:pPr>
        <w:ind w:left="2160" w:hanging="360"/>
        <w:jc w:val="both"/>
      </w:pPr>
      <w:rPr>
        <w:rFonts w:ascii="Wingdings" w:eastAsia="Wingdings" w:hAnsi="Wingdings"/>
        <w:w w:val="100"/>
        <w:sz w:val="20"/>
        <w:szCs w:val="20"/>
        <w:shd w:val="clear" w:color="auto" w:fill="auto"/>
      </w:rPr>
    </w:lvl>
    <w:lvl w:ilvl="3" w:tplc="8A9CE334">
      <w:start w:val="1"/>
      <w:numFmt w:val="bullet"/>
      <w:lvlText w:val="·"/>
      <w:lvlJc w:val="left"/>
      <w:pPr>
        <w:ind w:left="2880" w:hanging="360"/>
        <w:jc w:val="both"/>
      </w:pPr>
      <w:rPr>
        <w:rFonts w:ascii="Symbol" w:eastAsia="Symbol" w:hAnsi="Symbol"/>
        <w:w w:val="100"/>
        <w:sz w:val="20"/>
        <w:szCs w:val="20"/>
        <w:shd w:val="clear" w:color="auto" w:fill="auto"/>
      </w:rPr>
    </w:lvl>
    <w:lvl w:ilvl="4" w:tplc="D1F8C6A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1E468BA">
      <w:start w:val="1"/>
      <w:numFmt w:val="bullet"/>
      <w:lvlText w:val="§"/>
      <w:lvlJc w:val="left"/>
      <w:pPr>
        <w:ind w:left="4320" w:hanging="360"/>
        <w:jc w:val="both"/>
      </w:pPr>
      <w:rPr>
        <w:rFonts w:ascii="Wingdings" w:eastAsia="Wingdings" w:hAnsi="Wingdings"/>
        <w:w w:val="100"/>
        <w:sz w:val="20"/>
        <w:szCs w:val="20"/>
        <w:shd w:val="clear" w:color="auto" w:fill="auto"/>
      </w:rPr>
    </w:lvl>
    <w:lvl w:ilvl="6" w:tplc="111A8AEA">
      <w:start w:val="1"/>
      <w:numFmt w:val="bullet"/>
      <w:lvlText w:val="·"/>
      <w:lvlJc w:val="left"/>
      <w:pPr>
        <w:ind w:left="5040" w:hanging="360"/>
        <w:jc w:val="both"/>
      </w:pPr>
      <w:rPr>
        <w:rFonts w:ascii="Symbol" w:eastAsia="Symbol" w:hAnsi="Symbol"/>
        <w:w w:val="100"/>
        <w:sz w:val="20"/>
        <w:szCs w:val="20"/>
        <w:shd w:val="clear" w:color="auto" w:fill="auto"/>
      </w:rPr>
    </w:lvl>
    <w:lvl w:ilvl="7" w:tplc="A400139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A0C6ED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5" w15:restartNumberingAfterBreak="0">
    <w:nsid w:val="2F000022"/>
    <w:multiLevelType w:val="hybridMultilevel"/>
    <w:tmpl w:val="211D8D7E"/>
    <w:lvl w:ilvl="0" w:tplc="4A143246">
      <w:start w:val="1"/>
      <w:numFmt w:val="bullet"/>
      <w:lvlText w:val="·"/>
      <w:lvlJc w:val="left"/>
      <w:pPr>
        <w:ind w:left="720" w:hanging="360"/>
        <w:jc w:val="both"/>
      </w:pPr>
      <w:rPr>
        <w:rFonts w:ascii="Symbol" w:eastAsia="Symbol" w:hAnsi="Symbol"/>
        <w:w w:val="100"/>
        <w:sz w:val="20"/>
        <w:szCs w:val="20"/>
        <w:shd w:val="clear" w:color="auto" w:fill="auto"/>
      </w:rPr>
    </w:lvl>
    <w:lvl w:ilvl="1" w:tplc="FB24465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0FAC7D0">
      <w:start w:val="1"/>
      <w:numFmt w:val="bullet"/>
      <w:lvlText w:val="§"/>
      <w:lvlJc w:val="left"/>
      <w:pPr>
        <w:ind w:left="2160" w:hanging="360"/>
        <w:jc w:val="both"/>
      </w:pPr>
      <w:rPr>
        <w:rFonts w:ascii="Wingdings" w:eastAsia="Wingdings" w:hAnsi="Wingdings"/>
        <w:w w:val="100"/>
        <w:sz w:val="20"/>
        <w:szCs w:val="20"/>
        <w:shd w:val="clear" w:color="auto" w:fill="auto"/>
      </w:rPr>
    </w:lvl>
    <w:lvl w:ilvl="3" w:tplc="EBBE69A4">
      <w:start w:val="1"/>
      <w:numFmt w:val="bullet"/>
      <w:lvlText w:val="·"/>
      <w:lvlJc w:val="left"/>
      <w:pPr>
        <w:ind w:left="2880" w:hanging="360"/>
        <w:jc w:val="both"/>
      </w:pPr>
      <w:rPr>
        <w:rFonts w:ascii="Symbol" w:eastAsia="Symbol" w:hAnsi="Symbol"/>
        <w:w w:val="100"/>
        <w:sz w:val="20"/>
        <w:szCs w:val="20"/>
        <w:shd w:val="clear" w:color="auto" w:fill="auto"/>
      </w:rPr>
    </w:lvl>
    <w:lvl w:ilvl="4" w:tplc="34B4250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CD0A496">
      <w:start w:val="1"/>
      <w:numFmt w:val="bullet"/>
      <w:lvlText w:val="§"/>
      <w:lvlJc w:val="left"/>
      <w:pPr>
        <w:ind w:left="4320" w:hanging="360"/>
        <w:jc w:val="both"/>
      </w:pPr>
      <w:rPr>
        <w:rFonts w:ascii="Wingdings" w:eastAsia="Wingdings" w:hAnsi="Wingdings"/>
        <w:w w:val="100"/>
        <w:sz w:val="20"/>
        <w:szCs w:val="20"/>
        <w:shd w:val="clear" w:color="auto" w:fill="auto"/>
      </w:rPr>
    </w:lvl>
    <w:lvl w:ilvl="6" w:tplc="99D05C36">
      <w:start w:val="1"/>
      <w:numFmt w:val="bullet"/>
      <w:lvlText w:val="·"/>
      <w:lvlJc w:val="left"/>
      <w:pPr>
        <w:ind w:left="5040" w:hanging="360"/>
        <w:jc w:val="both"/>
      </w:pPr>
      <w:rPr>
        <w:rFonts w:ascii="Symbol" w:eastAsia="Symbol" w:hAnsi="Symbol"/>
        <w:w w:val="100"/>
        <w:sz w:val="20"/>
        <w:szCs w:val="20"/>
        <w:shd w:val="clear" w:color="auto" w:fill="auto"/>
      </w:rPr>
    </w:lvl>
    <w:lvl w:ilvl="7" w:tplc="ED3CA0A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BDDC122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6" w15:restartNumberingAfterBreak="0">
    <w:nsid w:val="2F000023"/>
    <w:multiLevelType w:val="hybridMultilevel"/>
    <w:tmpl w:val="41346D1B"/>
    <w:lvl w:ilvl="0" w:tplc="07B06754">
      <w:numFmt w:val="bullet"/>
      <w:lvlText w:val="-"/>
      <w:lvlJc w:val="left"/>
      <w:pPr>
        <w:ind w:left="720" w:hanging="360"/>
        <w:jc w:val="both"/>
      </w:pPr>
      <w:rPr>
        <w:rFonts w:ascii="Calibri" w:eastAsia="Calibri" w:hAnsi="Calibri"/>
        <w:w w:val="100"/>
        <w:sz w:val="20"/>
        <w:szCs w:val="20"/>
        <w:shd w:val="clear" w:color="auto" w:fill="auto"/>
      </w:rPr>
    </w:lvl>
    <w:lvl w:ilvl="1" w:tplc="7BB44BE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11EABF6">
      <w:start w:val="1"/>
      <w:numFmt w:val="bullet"/>
      <w:lvlText w:val="§"/>
      <w:lvlJc w:val="left"/>
      <w:pPr>
        <w:ind w:left="2160" w:hanging="360"/>
        <w:jc w:val="both"/>
      </w:pPr>
      <w:rPr>
        <w:rFonts w:ascii="Wingdings" w:eastAsia="Wingdings" w:hAnsi="Wingdings"/>
        <w:w w:val="100"/>
        <w:sz w:val="20"/>
        <w:szCs w:val="20"/>
        <w:shd w:val="clear" w:color="auto" w:fill="auto"/>
      </w:rPr>
    </w:lvl>
    <w:lvl w:ilvl="3" w:tplc="871EFEF4">
      <w:start w:val="1"/>
      <w:numFmt w:val="bullet"/>
      <w:lvlText w:val="·"/>
      <w:lvlJc w:val="left"/>
      <w:pPr>
        <w:ind w:left="2880" w:hanging="360"/>
        <w:jc w:val="both"/>
      </w:pPr>
      <w:rPr>
        <w:rFonts w:ascii="Symbol" w:eastAsia="Symbol" w:hAnsi="Symbol"/>
        <w:w w:val="100"/>
        <w:sz w:val="20"/>
        <w:szCs w:val="20"/>
        <w:shd w:val="clear" w:color="auto" w:fill="auto"/>
      </w:rPr>
    </w:lvl>
    <w:lvl w:ilvl="4" w:tplc="95DC8EE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EB24F1C">
      <w:start w:val="1"/>
      <w:numFmt w:val="bullet"/>
      <w:lvlText w:val="§"/>
      <w:lvlJc w:val="left"/>
      <w:pPr>
        <w:ind w:left="4320" w:hanging="360"/>
        <w:jc w:val="both"/>
      </w:pPr>
      <w:rPr>
        <w:rFonts w:ascii="Wingdings" w:eastAsia="Wingdings" w:hAnsi="Wingdings"/>
        <w:w w:val="100"/>
        <w:sz w:val="20"/>
        <w:szCs w:val="20"/>
        <w:shd w:val="clear" w:color="auto" w:fill="auto"/>
      </w:rPr>
    </w:lvl>
    <w:lvl w:ilvl="6" w:tplc="53F68C1A">
      <w:start w:val="1"/>
      <w:numFmt w:val="bullet"/>
      <w:lvlText w:val="·"/>
      <w:lvlJc w:val="left"/>
      <w:pPr>
        <w:ind w:left="5040" w:hanging="360"/>
        <w:jc w:val="both"/>
      </w:pPr>
      <w:rPr>
        <w:rFonts w:ascii="Symbol" w:eastAsia="Symbol" w:hAnsi="Symbol"/>
        <w:w w:val="100"/>
        <w:sz w:val="20"/>
        <w:szCs w:val="20"/>
        <w:shd w:val="clear" w:color="auto" w:fill="auto"/>
      </w:rPr>
    </w:lvl>
    <w:lvl w:ilvl="7" w:tplc="5D88A50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0F6BCA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7" w15:restartNumberingAfterBreak="0">
    <w:nsid w:val="64670AA5"/>
    <w:multiLevelType w:val="hybridMultilevel"/>
    <w:tmpl w:val="1AA8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87D9B"/>
    <w:multiLevelType w:val="multilevel"/>
    <w:tmpl w:val="FA1229E4"/>
    <w:lvl w:ilvl="0">
      <w:start w:val="4"/>
      <w:numFmt w:val="decimal"/>
      <w:lvlText w:val="%1"/>
      <w:lvlJc w:val="left"/>
      <w:pPr>
        <w:ind w:left="480" w:hanging="480"/>
      </w:pPr>
      <w:rPr>
        <w:rFonts w:hint="default"/>
      </w:rPr>
    </w:lvl>
    <w:lvl w:ilvl="1">
      <w:start w:val="3"/>
      <w:numFmt w:val="decimal"/>
      <w:lvlText w:val="%1.%2"/>
      <w:lvlJc w:val="left"/>
      <w:pPr>
        <w:ind w:left="1325" w:hanging="480"/>
      </w:pPr>
      <w:rPr>
        <w:rFonts w:hint="default"/>
      </w:rPr>
    </w:lvl>
    <w:lvl w:ilvl="2">
      <w:start w:val="6"/>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39" w15:restartNumberingAfterBreak="0">
    <w:nsid w:val="79E46E01"/>
    <w:multiLevelType w:val="hybridMultilevel"/>
    <w:tmpl w:val="DE24C9E8"/>
    <w:lvl w:ilvl="0" w:tplc="EBA0F11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0"/>
  </w:num>
  <w:num w:numId="4">
    <w:abstractNumId w:val="27"/>
  </w:num>
  <w:num w:numId="5">
    <w:abstractNumId w:val="18"/>
  </w:num>
  <w:num w:numId="6">
    <w:abstractNumId w:val="13"/>
  </w:num>
  <w:num w:numId="7">
    <w:abstractNumId w:val="8"/>
  </w:num>
  <w:num w:numId="8">
    <w:abstractNumId w:val="11"/>
  </w:num>
  <w:num w:numId="9">
    <w:abstractNumId w:val="9"/>
  </w:num>
  <w:num w:numId="10">
    <w:abstractNumId w:val="25"/>
  </w:num>
  <w:num w:numId="11">
    <w:abstractNumId w:val="5"/>
  </w:num>
  <w:num w:numId="12">
    <w:abstractNumId w:val="6"/>
  </w:num>
  <w:num w:numId="13">
    <w:abstractNumId w:val="15"/>
  </w:num>
  <w:num w:numId="14">
    <w:abstractNumId w:val="19"/>
  </w:num>
  <w:num w:numId="15">
    <w:abstractNumId w:val="22"/>
  </w:num>
  <w:num w:numId="16">
    <w:abstractNumId w:val="12"/>
  </w:num>
  <w:num w:numId="17">
    <w:abstractNumId w:val="17"/>
  </w:num>
  <w:num w:numId="18">
    <w:abstractNumId w:val="3"/>
  </w:num>
  <w:num w:numId="19">
    <w:abstractNumId w:val="13"/>
  </w:num>
  <w:num w:numId="20">
    <w:abstractNumId w:val="10"/>
  </w:num>
  <w:num w:numId="21">
    <w:abstractNumId w:val="27"/>
  </w:num>
  <w:num w:numId="22">
    <w:abstractNumId w:val="24"/>
  </w:num>
  <w:num w:numId="23">
    <w:abstractNumId w:val="20"/>
  </w:num>
  <w:num w:numId="24">
    <w:abstractNumId w:val="23"/>
  </w:num>
  <w:num w:numId="25">
    <w:abstractNumId w:val="16"/>
  </w:num>
  <w:num w:numId="26">
    <w:abstractNumId w:val="21"/>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2"/>
  </w:num>
  <w:num w:numId="31">
    <w:abstractNumId w:val="31"/>
  </w:num>
  <w:num w:numId="32">
    <w:abstractNumId w:val="1"/>
  </w:num>
  <w:num w:numId="33">
    <w:abstractNumId w:val="28"/>
  </w:num>
  <w:num w:numId="34">
    <w:abstractNumId w:val="30"/>
  </w:num>
  <w:num w:numId="35">
    <w:abstractNumId w:val="29"/>
  </w:num>
  <w:num w:numId="36">
    <w:abstractNumId w:val="35"/>
  </w:num>
  <w:num w:numId="37">
    <w:abstractNumId w:val="33"/>
  </w:num>
  <w:num w:numId="38">
    <w:abstractNumId w:val="34"/>
  </w:num>
  <w:num w:numId="39">
    <w:abstractNumId w:val="32"/>
  </w:num>
  <w:num w:numId="40">
    <w:abstractNumId w:val="3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hideGrammaticalErrors/>
  <w:defaultTabStop w:val="720"/>
  <w:hyphenationZone w:val="425"/>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A5898E7-ABF5-4422-9864-8A1C6DBFB473"/>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lan inwestycyjny na rzecz zrównowa\u380?onej Europy_x000d__x000d__x000b__x000d__x000d__x000b_Plan inwestycyjny na rzecz Europejskiego Zielonego \u321?adu"/>
    <w:docVar w:name="LW_TYPE.DOC.CP" w:val="KOMUNIKAT KOMISJI DO PARLAMENTU EUROPEJSKIEGO, RADY, EUROPEJSKIEGO KOMITETU EKONOMICZNO-SPO\u321?ECZNEGO I KOMITETU REGIONÓW"/>
    <w:docVar w:name="LW_TYPE.DOC.CP.USERTEXT" w:val="&lt;EMPTY&gt;"/>
  </w:docVars>
  <w:rsids>
    <w:rsidRoot w:val="00680C29"/>
    <w:rsid w:val="00680C29"/>
    <w:rsid w:val="0082696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7"/>
    <w:qFormat/>
    <w:pPr>
      <w:keepNext/>
      <w:numPr>
        <w:numId w:val="1"/>
      </w:numPr>
      <w:outlineLvl w:val="0"/>
    </w:pPr>
    <w:rPr>
      <w:rFonts w:ascii="Times New Roman" w:hAnsi="Times New Roman"/>
      <w:b/>
      <w:smallCaps/>
      <w:sz w:val="24"/>
      <w:szCs w:val="24"/>
    </w:rPr>
  </w:style>
  <w:style w:type="paragraph" w:styleId="Heading2">
    <w:name w:val="heading 2"/>
    <w:basedOn w:val="Normal"/>
    <w:link w:val="Heading2Char"/>
    <w:uiPriority w:val="8"/>
    <w:qFormat/>
    <w:pPr>
      <w:keepNext/>
      <w:numPr>
        <w:ilvl w:val="1"/>
        <w:numId w:val="1"/>
      </w:numPr>
      <w:tabs>
        <w:tab w:val="left" w:pos="482"/>
      </w:tabs>
      <w:outlineLvl w:val="1"/>
    </w:pPr>
    <w:rPr>
      <w:rFonts w:ascii="Times New Roman" w:hAnsi="Times New Roman"/>
      <w:b/>
      <w:sz w:val="24"/>
      <w:szCs w:val="24"/>
    </w:rPr>
  </w:style>
  <w:style w:type="paragraph" w:styleId="Heading3">
    <w:name w:val="heading 3"/>
    <w:basedOn w:val="Normal"/>
    <w:next w:val="Normal"/>
    <w:link w:val="Heading3Char"/>
    <w:uiPriority w:val="9"/>
    <w:qFormat/>
    <w:pPr>
      <w:keepNext/>
      <w:numPr>
        <w:ilvl w:val="2"/>
        <w:numId w:val="1"/>
      </w:numPr>
      <w:tabs>
        <w:tab w:val="left" w:pos="482"/>
      </w:tabs>
      <w:outlineLvl w:val="2"/>
    </w:pPr>
    <w:rPr>
      <w:rFonts w:ascii="Times New Roman" w:hAnsi="Times New Roman"/>
      <w:i/>
      <w:sz w:val="24"/>
      <w:szCs w:val="24"/>
    </w:rPr>
  </w:style>
  <w:style w:type="paragraph" w:styleId="Heading4">
    <w:name w:val="heading 4"/>
    <w:basedOn w:val="Normal"/>
    <w:next w:val="Normal"/>
    <w:link w:val="Heading4Char"/>
    <w:uiPriority w:val="10"/>
    <w:qFormat/>
    <w:pPr>
      <w:keepNext/>
      <w:numPr>
        <w:ilvl w:val="3"/>
        <w:numId w:val="1"/>
      </w:numPr>
      <w:tabs>
        <w:tab w:val="left" w:pos="482"/>
      </w:tabs>
      <w:outlineLvl w:val="3"/>
    </w:pPr>
    <w:rPr>
      <w:rFonts w:ascii="Times New Roman" w:hAnsi="Times New Roman"/>
      <w:sz w:val="24"/>
      <w:szCs w:val="24"/>
    </w:rPr>
  </w:style>
  <w:style w:type="paragraph" w:styleId="Heading5">
    <w:name w:val="heading 5"/>
    <w:basedOn w:val="Normal"/>
    <w:next w:val="Normal"/>
    <w:link w:val="Heading5Char"/>
    <w:uiPriority w:val="11"/>
    <w:semiHidden/>
    <w:pPr>
      <w:keepNext/>
      <w:numPr>
        <w:ilvl w:val="4"/>
        <w:numId w:val="1"/>
      </w:numPr>
      <w:tabs>
        <w:tab w:val="left" w:pos="482"/>
      </w:tabs>
      <w:outlineLvl w:val="4"/>
    </w:pPr>
    <w:rPr>
      <w:rFonts w:ascii="Times New Roman" w:hAnsi="Times New Roman"/>
      <w:sz w:val="24"/>
      <w:szCs w:val="24"/>
    </w:rPr>
  </w:style>
  <w:style w:type="paragraph" w:styleId="Heading6">
    <w:name w:val="heading 6"/>
    <w:basedOn w:val="Normal"/>
    <w:next w:val="Normal"/>
    <w:link w:val="Heading6Char"/>
    <w:uiPriority w:val="12"/>
    <w:semiHidden/>
    <w:pPr>
      <w:keepNext/>
      <w:numPr>
        <w:ilvl w:val="5"/>
        <w:numId w:val="1"/>
      </w:numPr>
      <w:tabs>
        <w:tab w:val="left" w:pos="482"/>
      </w:tabs>
      <w:outlineLvl w:val="5"/>
    </w:pPr>
    <w:rPr>
      <w:rFonts w:ascii="Times New Roman" w:hAnsi="Times New Roman"/>
      <w:sz w:val="24"/>
      <w:szCs w:val="24"/>
    </w:rPr>
  </w:style>
  <w:style w:type="paragraph" w:styleId="Heading7">
    <w:name w:val="heading 7"/>
    <w:basedOn w:val="Normal"/>
    <w:next w:val="Normal"/>
    <w:link w:val="Heading7Char"/>
    <w:uiPriority w:val="13"/>
    <w:semiHidden/>
    <w:pPr>
      <w:keepNext/>
      <w:numPr>
        <w:ilvl w:val="6"/>
        <w:numId w:val="1"/>
      </w:numPr>
      <w:tabs>
        <w:tab w:val="left" w:pos="482"/>
      </w:tabs>
      <w:outlineLvl w:val="6"/>
    </w:pPr>
    <w:rPr>
      <w:rFonts w:ascii="Times New Roman" w:hAnsi="Times New Roman"/>
      <w:sz w:val="24"/>
      <w:szCs w:val="24"/>
    </w:rPr>
  </w:style>
  <w:style w:type="paragraph" w:styleId="Heading8">
    <w:name w:val="heading 8"/>
    <w:basedOn w:val="Normal"/>
    <w:next w:val="Normal"/>
    <w:link w:val="Heading8Char"/>
    <w:uiPriority w:val="14"/>
    <w:semiHidden/>
    <w:pPr>
      <w:keepNext/>
      <w:numPr>
        <w:ilvl w:val="7"/>
        <w:numId w:val="1"/>
      </w:numPr>
      <w:tabs>
        <w:tab w:val="left" w:pos="482"/>
      </w:tabs>
      <w:outlineLvl w:val="7"/>
    </w:pPr>
    <w:rPr>
      <w:rFonts w:ascii="Times New Roman" w:hAnsi="Times New Roman"/>
      <w:sz w:val="24"/>
      <w:szCs w:val="24"/>
    </w:rPr>
  </w:style>
  <w:style w:type="paragraph" w:styleId="Heading9">
    <w:name w:val="heading 9"/>
    <w:basedOn w:val="Normal"/>
    <w:next w:val="Normal"/>
    <w:link w:val="Heading9Char"/>
    <w:uiPriority w:val="15"/>
    <w:semiHidden/>
    <w:pPr>
      <w:keepNext/>
      <w:numPr>
        <w:ilvl w:val="8"/>
        <w:numId w:val="1"/>
      </w:numPr>
      <w:tabs>
        <w:tab w:val="left" w:pos="482"/>
      </w:tabs>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0"/>
    <w:qFormat/>
    <w:rPr>
      <w:b/>
      <w:w w:val="100"/>
      <w:sz w:val="20"/>
      <w:szCs w:val="20"/>
      <w:shd w:val="clear" w:color="000000" w:fill="auto"/>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hAnsi="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customStyle="1" w:styleId="Heading1Char">
    <w:name w:val="Heading 1 Char"/>
    <w:basedOn w:val="DefaultParagraphFont"/>
    <w:link w:val="Heading1"/>
    <w:rPr>
      <w:rFonts w:ascii="Times New Roman" w:eastAsia="Times New Roman" w:hAnsi="Times New Roman"/>
      <w:b/>
      <w:smallCaps/>
      <w:w w:val="100"/>
      <w:sz w:val="24"/>
      <w:szCs w:val="24"/>
      <w:shd w:val="clear" w:color="000000" w:fill="auto"/>
    </w:rPr>
  </w:style>
  <w:style w:type="character" w:customStyle="1" w:styleId="Heading2Char">
    <w:name w:val="Heading 2 Char"/>
    <w:basedOn w:val="DefaultParagraphFont"/>
    <w:link w:val="Heading2"/>
    <w:uiPriority w:val="8"/>
    <w:rPr>
      <w:rFonts w:ascii="Times New Roman" w:eastAsia="Times New Roman" w:hAnsi="Times New Roman"/>
      <w:b/>
      <w:w w:val="100"/>
      <w:sz w:val="24"/>
      <w:szCs w:val="24"/>
      <w:shd w:val="clear" w:color="000000" w:fill="auto"/>
    </w:rPr>
  </w:style>
  <w:style w:type="character" w:customStyle="1" w:styleId="Heading3Char">
    <w:name w:val="Heading 3 Char"/>
    <w:basedOn w:val="DefaultParagraphFont"/>
    <w:link w:val="Heading3"/>
    <w:rPr>
      <w:rFonts w:ascii="Times New Roman" w:eastAsia="Times New Roman" w:hAnsi="Times New Roman"/>
      <w:i/>
      <w:w w:val="100"/>
      <w:sz w:val="24"/>
      <w:szCs w:val="24"/>
      <w:shd w:val="clear" w:color="000000" w:fill="auto"/>
    </w:rPr>
  </w:style>
  <w:style w:type="character" w:customStyle="1" w:styleId="Heading4Char">
    <w:name w:val="Heading 4 Char"/>
    <w:basedOn w:val="DefaultParagraphFont"/>
    <w:link w:val="Heading4"/>
    <w:rPr>
      <w:rFonts w:ascii="Times New Roman" w:eastAsia="Times New Roman" w:hAnsi="Times New Roman"/>
      <w:w w:val="100"/>
      <w:sz w:val="24"/>
      <w:szCs w:val="24"/>
      <w:shd w:val="clear" w:color="000000" w:fill="auto"/>
    </w:rPr>
  </w:style>
  <w:style w:type="character" w:customStyle="1" w:styleId="Heading5Char">
    <w:name w:val="Heading 5 Char"/>
    <w:basedOn w:val="DefaultParagraphFont"/>
    <w:link w:val="Heading5"/>
    <w:semiHidden/>
    <w:rPr>
      <w:rFonts w:ascii="Times New Roman" w:eastAsia="Times New Roman" w:hAnsi="Times New Roman"/>
      <w:w w:val="100"/>
      <w:sz w:val="24"/>
      <w:szCs w:val="24"/>
      <w:shd w:val="clear" w:color="000000" w:fill="auto"/>
    </w:rPr>
  </w:style>
  <w:style w:type="character" w:customStyle="1" w:styleId="Heading6Char">
    <w:name w:val="Heading 6 Char"/>
    <w:basedOn w:val="DefaultParagraphFont"/>
    <w:link w:val="Heading6"/>
    <w:semiHidden/>
    <w:rPr>
      <w:rFonts w:ascii="Times New Roman" w:eastAsia="Times New Roman" w:hAnsi="Times New Roman"/>
      <w:w w:val="100"/>
      <w:sz w:val="24"/>
      <w:szCs w:val="24"/>
      <w:shd w:val="clear" w:color="000000" w:fill="auto"/>
    </w:rPr>
  </w:style>
  <w:style w:type="character" w:customStyle="1" w:styleId="Heading7Char">
    <w:name w:val="Heading 7 Char"/>
    <w:basedOn w:val="DefaultParagraphFont"/>
    <w:link w:val="Heading7"/>
    <w:semiHidden/>
    <w:rPr>
      <w:rFonts w:ascii="Times New Roman" w:eastAsia="Times New Roman" w:hAnsi="Times New Roman"/>
      <w:w w:val="100"/>
      <w:sz w:val="24"/>
      <w:szCs w:val="24"/>
      <w:shd w:val="clear" w:color="000000" w:fill="auto"/>
    </w:rPr>
  </w:style>
  <w:style w:type="character" w:customStyle="1" w:styleId="Heading8Char">
    <w:name w:val="Heading 8 Char"/>
    <w:basedOn w:val="DefaultParagraphFont"/>
    <w:link w:val="Heading8"/>
    <w:semiHidden/>
    <w:rPr>
      <w:rFonts w:ascii="Times New Roman" w:eastAsia="Times New Roman" w:hAnsi="Times New Roman"/>
      <w:w w:val="100"/>
      <w:sz w:val="24"/>
      <w:szCs w:val="24"/>
      <w:shd w:val="clear" w:color="000000" w:fill="auto"/>
    </w:rPr>
  </w:style>
  <w:style w:type="character" w:customStyle="1" w:styleId="Heading9Char">
    <w:name w:val="Heading 9 Char"/>
    <w:basedOn w:val="DefaultParagraphFont"/>
    <w:link w:val="Heading9"/>
    <w:semiHidden/>
    <w:rPr>
      <w:rFonts w:ascii="Times New Roman" w:eastAsia="Times New Roman" w:hAnsi="Times New Roman"/>
      <w:w w:val="100"/>
      <w:sz w:val="24"/>
      <w:szCs w:val="24"/>
      <w:shd w:val="clear" w:color="000000" w:fill="auto"/>
    </w:rPr>
  </w:style>
  <w:style w:type="paragraph" w:styleId="FootnoteText">
    <w:name w:val="footnote text"/>
    <w:basedOn w:val="Normal"/>
    <w:link w:val="FootnoteTextChar"/>
    <w:qFormat/>
    <w:pPr>
      <w:ind w:left="357" w:hanging="357"/>
      <w:jc w:val="both"/>
    </w:pPr>
    <w:rPr>
      <w:rFonts w:ascii="Times New Roman" w:hAnsi="Times New Roman"/>
      <w:sz w:val="20"/>
      <w:szCs w:val="20"/>
    </w:rPr>
  </w:style>
  <w:style w:type="character" w:customStyle="1" w:styleId="FootnoteTextChar">
    <w:name w:val="Footnote Text Char"/>
    <w:basedOn w:val="DefaultParagraphFont"/>
    <w:link w:val="FootnoteText"/>
    <w:qFormat/>
    <w:rPr>
      <w:rFonts w:ascii="Times New Roman" w:eastAsia="Times New Roman" w:hAnsi="Times New Roman"/>
      <w:w w:val="100"/>
      <w:sz w:val="20"/>
      <w:szCs w:val="20"/>
      <w:shd w:val="clear" w:color="000000" w:fill="auto"/>
    </w:rPr>
  </w:style>
  <w:style w:type="paragraph" w:customStyle="1" w:styleId="Text1">
    <w:name w:val="Text 1"/>
    <w:basedOn w:val="Normal"/>
    <w:qFormat/>
    <w:pPr>
      <w:ind w:left="482"/>
      <w:jc w:val="both"/>
    </w:pPr>
    <w:rPr>
      <w:rFonts w:ascii="Times New Roman" w:hAnsi="Times New Roman"/>
      <w:sz w:val="24"/>
      <w:szCs w:val="24"/>
    </w:rPr>
  </w:style>
  <w:style w:type="paragraph" w:customStyle="1" w:styleId="Text2">
    <w:name w:val="Text 2"/>
    <w:basedOn w:val="Normal"/>
    <w:qFormat/>
    <w:pPr>
      <w:ind w:left="1077"/>
      <w:jc w:val="both"/>
    </w:pPr>
    <w:rPr>
      <w:rFonts w:ascii="Times New Roman" w:hAnsi="Times New Roman"/>
      <w:sz w:val="24"/>
      <w:szCs w:val="24"/>
    </w:rPr>
  </w:style>
  <w:style w:type="character" w:customStyle="1" w:styleId="ListParagraphChar">
    <w:name w:val="List Paragraph Char"/>
    <w:basedOn w:val="DefaultParagraphFont"/>
    <w:link w:val="ListParagraph"/>
    <w:uiPriority w:val="26"/>
    <w:qFormat/>
  </w:style>
  <w:style w:type="character" w:customStyle="1" w:styleId="BriefingtextChar">
    <w:name w:val="Briefing text Char"/>
    <w:basedOn w:val="DefaultParagraphFont"/>
    <w:link w:val="Briefingtext"/>
    <w:rPr>
      <w:rFonts w:ascii="Arial" w:eastAsia="Arial" w:hAnsi="Arial"/>
      <w:w w:val="100"/>
      <w:sz w:val="20"/>
      <w:szCs w:val="20"/>
      <w:shd w:val="clear" w:color="000000" w:fill="auto"/>
    </w:rPr>
  </w:style>
  <w:style w:type="paragraph" w:customStyle="1" w:styleId="Briefingtext">
    <w:name w:val="Briefing text"/>
    <w:basedOn w:val="Normal"/>
    <w:link w:val="BriefingtextChar"/>
    <w:pPr>
      <w:jc w:val="both"/>
    </w:pPr>
    <w:rPr>
      <w:rFonts w:ascii="Arial" w:eastAsia="Arial" w:hAnsi="Arial"/>
      <w:sz w:val="20"/>
      <w:szCs w:val="20"/>
    </w:rPr>
  </w:style>
  <w:style w:type="character" w:styleId="FootnoteReference">
    <w:name w:val="footnote reference"/>
    <w:basedOn w:val="DefaultParagraphFont"/>
    <w:link w:val="SUPERSCharCharCharCharCharCharCharChar"/>
    <w:unhideWhenUsed/>
    <w:qFormat/>
    <w:rPr>
      <w:w w:val="100"/>
      <w:sz w:val="20"/>
      <w:szCs w:val="20"/>
      <w:shd w:val="clear" w:color="000000" w:fill="auto"/>
      <w:vertAlign w:val="superscript"/>
    </w:rPr>
  </w:style>
  <w:style w:type="paragraph" w:customStyle="1" w:styleId="SUPERSCharCharCharCharCharCharCharChar">
    <w:name w:val="SUPERS Char Char Char Char Char Char Char Char"/>
    <w:basedOn w:val="Normal"/>
    <w:link w:val="FootnoteReference"/>
    <w:rPr>
      <w:sz w:val="20"/>
      <w:szCs w:val="20"/>
      <w:vertAlign w:val="superscript"/>
    </w:rPr>
  </w:style>
  <w:style w:type="character" w:customStyle="1" w:styleId="Bodytext2">
    <w:name w:val="Body text|2_"/>
    <w:basedOn w:val="DefaultParagraphFont"/>
    <w:link w:val="Bodytext20"/>
    <w:rPr>
      <w:w w:val="100"/>
      <w:sz w:val="20"/>
      <w:szCs w:val="20"/>
      <w:shd w:val="clear" w:color="000000" w:fill="FFFFFF"/>
    </w:rPr>
  </w:style>
  <w:style w:type="paragraph" w:customStyle="1" w:styleId="Bodytext20">
    <w:name w:val="Body text|2"/>
    <w:basedOn w:val="Normal"/>
    <w:link w:val="Bodytext2"/>
    <w:qFormat/>
    <w:pPr>
      <w:shd w:val="clear" w:color="000000" w:fill="FFFFFF"/>
      <w:ind w:hanging="460"/>
      <w:jc w:val="both"/>
    </w:pPr>
  </w:style>
  <w:style w:type="paragraph" w:styleId="NormalWeb">
    <w:name w:val="Normal (Web)"/>
    <w:basedOn w:val="Normal"/>
    <w:unhideWhenUsed/>
    <w:rPr>
      <w:rFonts w:ascii="Times New Roman" w:hAnsi="Times New Roman"/>
      <w:sz w:val="24"/>
      <w:szCs w:val="24"/>
    </w:rPr>
  </w:style>
  <w:style w:type="character" w:styleId="CommentReference">
    <w:name w:val="annotation reference"/>
    <w:basedOn w:val="DefaultParagraphFont"/>
    <w:semiHidden/>
    <w:unhideWhenUsed/>
    <w:rPr>
      <w:w w:val="100"/>
      <w:sz w:val="16"/>
      <w:szCs w:val="16"/>
      <w:shd w:val="clear" w:color="000000"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w w:val="100"/>
      <w:sz w:val="20"/>
      <w:szCs w:val="20"/>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000000" w:fill="auto"/>
    </w:rPr>
  </w:style>
  <w:style w:type="paragraph" w:customStyle="1" w:styleId="FootnotesymbolCarZchn">
    <w:name w:val="Footnote symbol Car Zchn"/>
    <w:basedOn w:val="Normal"/>
    <w:pPr>
      <w:jc w:val="both"/>
    </w:pPr>
    <w:rPr>
      <w:sz w:val="20"/>
      <w:szCs w:val="20"/>
      <w:vertAlign w:val="superscript"/>
    </w:rPr>
  </w:style>
  <w:style w:type="paragraph" w:customStyle="1" w:styleId="Default">
    <w:name w:val="Default"/>
    <w:pPr>
      <w:autoSpaceDE w:val="0"/>
      <w:autoSpaceDN w:val="0"/>
    </w:pPr>
    <w:rPr>
      <w:rFonts w:ascii="EYInterstate" w:eastAsia="EYInterstate" w:hAnsi="EYInterstate"/>
      <w:color w:val="000000"/>
      <w:sz w:val="24"/>
      <w:szCs w:val="24"/>
    </w:rPr>
  </w:style>
  <w:style w:type="character" w:styleId="Hyperlink">
    <w:name w:val="Hyperlink"/>
    <w:basedOn w:val="DefaultParagraphFont"/>
    <w:unhideWhenUsed/>
    <w:rPr>
      <w:color w:val="0000FF" w:themeColor="hyperlink"/>
      <w:w w:val="100"/>
      <w:sz w:val="20"/>
      <w:szCs w:val="20"/>
      <w:u w:val="single"/>
      <w:shd w:val="clear" w:color="000000" w:fill="auto"/>
    </w:rPr>
  </w:style>
  <w:style w:type="paragraph" w:styleId="Revision">
    <w:name w:val="Revision"/>
    <w:semiHidden/>
  </w:style>
  <w:style w:type="table" w:customStyle="1" w:styleId="TableGrid1">
    <w:name w:val="Table Grid1"/>
    <w:basedOn w:val="TableNormal"/>
    <w:next w:val="Table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2775">
      <w:bodyDiv w:val="1"/>
      <w:marLeft w:val="0"/>
      <w:marRight w:val="0"/>
      <w:marTop w:val="0"/>
      <w:marBottom w:val="0"/>
      <w:divBdr>
        <w:top w:val="none" w:sz="0" w:space="0" w:color="auto"/>
        <w:left w:val="none" w:sz="0" w:space="0" w:color="auto"/>
        <w:bottom w:val="none" w:sz="0" w:space="0" w:color="auto"/>
        <w:right w:val="none" w:sz="0" w:space="0" w:color="auto"/>
      </w:divBdr>
    </w:div>
    <w:div w:id="530920188">
      <w:bodyDiv w:val="1"/>
      <w:marLeft w:val="0"/>
      <w:marRight w:val="0"/>
      <w:marTop w:val="0"/>
      <w:marBottom w:val="0"/>
      <w:divBdr>
        <w:top w:val="none" w:sz="0" w:space="0" w:color="auto"/>
        <w:left w:val="none" w:sz="0" w:space="0" w:color="auto"/>
        <w:bottom w:val="none" w:sz="0" w:space="0" w:color="auto"/>
        <w:right w:val="none" w:sz="0" w:space="0" w:color="auto"/>
      </w:divBdr>
    </w:div>
    <w:div w:id="534465212">
      <w:bodyDiv w:val="1"/>
      <w:marLeft w:val="0"/>
      <w:marRight w:val="0"/>
      <w:marTop w:val="0"/>
      <w:marBottom w:val="0"/>
      <w:divBdr>
        <w:top w:val="none" w:sz="0" w:space="0" w:color="auto"/>
        <w:left w:val="none" w:sz="0" w:space="0" w:color="auto"/>
        <w:bottom w:val="none" w:sz="0" w:space="0" w:color="auto"/>
        <w:right w:val="none" w:sz="0" w:space="0" w:color="auto"/>
      </w:divBdr>
      <w:divsChild>
        <w:div w:id="354045454">
          <w:marLeft w:val="0"/>
          <w:marRight w:val="0"/>
          <w:marTop w:val="0"/>
          <w:marBottom w:val="0"/>
          <w:divBdr>
            <w:top w:val="none" w:sz="0" w:space="0" w:color="auto"/>
            <w:left w:val="none" w:sz="0" w:space="0" w:color="auto"/>
            <w:bottom w:val="none" w:sz="0" w:space="0" w:color="auto"/>
            <w:right w:val="none" w:sz="0" w:space="0" w:color="auto"/>
          </w:divBdr>
          <w:divsChild>
            <w:div w:id="446436634">
              <w:marLeft w:val="0"/>
              <w:marRight w:val="0"/>
              <w:marTop w:val="0"/>
              <w:marBottom w:val="450"/>
              <w:divBdr>
                <w:top w:val="none" w:sz="0" w:space="0" w:color="auto"/>
                <w:left w:val="none" w:sz="0" w:space="0" w:color="auto"/>
                <w:bottom w:val="none" w:sz="0" w:space="0" w:color="auto"/>
                <w:right w:val="none" w:sz="0" w:space="0" w:color="auto"/>
              </w:divBdr>
              <w:divsChild>
                <w:div w:id="290598809">
                  <w:marLeft w:val="0"/>
                  <w:marRight w:val="0"/>
                  <w:marTop w:val="0"/>
                  <w:marBottom w:val="0"/>
                  <w:divBdr>
                    <w:top w:val="none" w:sz="0" w:space="0" w:color="auto"/>
                    <w:left w:val="none" w:sz="0" w:space="0" w:color="auto"/>
                    <w:bottom w:val="none" w:sz="0" w:space="0" w:color="auto"/>
                    <w:right w:val="none" w:sz="0" w:space="0" w:color="auto"/>
                  </w:divBdr>
                  <w:divsChild>
                    <w:div w:id="454326304">
                      <w:marLeft w:val="-225"/>
                      <w:marRight w:val="-225"/>
                      <w:marTop w:val="0"/>
                      <w:marBottom w:val="0"/>
                      <w:divBdr>
                        <w:top w:val="none" w:sz="0" w:space="0" w:color="auto"/>
                        <w:left w:val="none" w:sz="0" w:space="0" w:color="auto"/>
                        <w:bottom w:val="none" w:sz="0" w:space="0" w:color="auto"/>
                        <w:right w:val="none" w:sz="0" w:space="0" w:color="auto"/>
                      </w:divBdr>
                      <w:divsChild>
                        <w:div w:id="775640184">
                          <w:marLeft w:val="0"/>
                          <w:marRight w:val="0"/>
                          <w:marTop w:val="0"/>
                          <w:marBottom w:val="0"/>
                          <w:divBdr>
                            <w:top w:val="none" w:sz="0" w:space="0" w:color="auto"/>
                            <w:left w:val="none" w:sz="0" w:space="0" w:color="auto"/>
                            <w:bottom w:val="none" w:sz="0" w:space="0" w:color="auto"/>
                            <w:right w:val="none" w:sz="0" w:space="0" w:color="auto"/>
                          </w:divBdr>
                          <w:divsChild>
                            <w:div w:id="1479222469">
                              <w:marLeft w:val="0"/>
                              <w:marRight w:val="0"/>
                              <w:marTop w:val="0"/>
                              <w:marBottom w:val="0"/>
                              <w:divBdr>
                                <w:top w:val="none" w:sz="0" w:space="0" w:color="auto"/>
                                <w:left w:val="none" w:sz="0" w:space="0" w:color="auto"/>
                                <w:bottom w:val="none" w:sz="0" w:space="0" w:color="auto"/>
                                <w:right w:val="none" w:sz="0" w:space="0" w:color="auto"/>
                              </w:divBdr>
                              <w:divsChild>
                                <w:div w:id="1748770080">
                                  <w:marLeft w:val="-225"/>
                                  <w:marRight w:val="-225"/>
                                  <w:marTop w:val="0"/>
                                  <w:marBottom w:val="0"/>
                                  <w:divBdr>
                                    <w:top w:val="none" w:sz="0" w:space="0" w:color="auto"/>
                                    <w:left w:val="none" w:sz="0" w:space="0" w:color="auto"/>
                                    <w:bottom w:val="none" w:sz="0" w:space="0" w:color="auto"/>
                                    <w:right w:val="none" w:sz="0" w:space="0" w:color="auto"/>
                                  </w:divBdr>
                                  <w:divsChild>
                                    <w:div w:id="130439907">
                                      <w:marLeft w:val="0"/>
                                      <w:marRight w:val="0"/>
                                      <w:marTop w:val="0"/>
                                      <w:marBottom w:val="0"/>
                                      <w:divBdr>
                                        <w:top w:val="none" w:sz="0" w:space="0" w:color="auto"/>
                                        <w:left w:val="none" w:sz="0" w:space="0" w:color="auto"/>
                                        <w:bottom w:val="none" w:sz="0" w:space="0" w:color="auto"/>
                                        <w:right w:val="none" w:sz="0" w:space="0" w:color="auto"/>
                                      </w:divBdr>
                                      <w:divsChild>
                                        <w:div w:id="1596281155">
                                          <w:marLeft w:val="0"/>
                                          <w:marRight w:val="0"/>
                                          <w:marTop w:val="0"/>
                                          <w:marBottom w:val="0"/>
                                          <w:divBdr>
                                            <w:top w:val="none" w:sz="0" w:space="0" w:color="auto"/>
                                            <w:left w:val="none" w:sz="0" w:space="0" w:color="auto"/>
                                            <w:bottom w:val="none" w:sz="0" w:space="0" w:color="auto"/>
                                            <w:right w:val="none" w:sz="0" w:space="0" w:color="auto"/>
                                          </w:divBdr>
                                          <w:divsChild>
                                            <w:div w:id="1049457745">
                                              <w:marLeft w:val="0"/>
                                              <w:marRight w:val="0"/>
                                              <w:marTop w:val="0"/>
                                              <w:marBottom w:val="0"/>
                                              <w:divBdr>
                                                <w:top w:val="none" w:sz="0" w:space="0" w:color="auto"/>
                                                <w:left w:val="none" w:sz="0" w:space="0" w:color="auto"/>
                                                <w:bottom w:val="none" w:sz="0" w:space="0" w:color="auto"/>
                                                <w:right w:val="none" w:sz="0" w:space="0" w:color="auto"/>
                                              </w:divBdr>
                                              <w:divsChild>
                                                <w:div w:id="1512797247">
                                                  <w:marLeft w:val="0"/>
                                                  <w:marRight w:val="0"/>
                                                  <w:marTop w:val="0"/>
                                                  <w:marBottom w:val="0"/>
                                                  <w:divBdr>
                                                    <w:top w:val="none" w:sz="0" w:space="0" w:color="auto"/>
                                                    <w:left w:val="none" w:sz="0" w:space="0" w:color="auto"/>
                                                    <w:bottom w:val="none" w:sz="0" w:space="0" w:color="auto"/>
                                                    <w:right w:val="none" w:sz="0" w:space="0" w:color="auto"/>
                                                  </w:divBdr>
                                                  <w:divsChild>
                                                    <w:div w:id="247858932">
                                                      <w:marLeft w:val="0"/>
                                                      <w:marRight w:val="0"/>
                                                      <w:marTop w:val="0"/>
                                                      <w:marBottom w:val="0"/>
                                                      <w:divBdr>
                                                        <w:top w:val="none" w:sz="0" w:space="0" w:color="auto"/>
                                                        <w:left w:val="none" w:sz="0" w:space="0" w:color="auto"/>
                                                        <w:bottom w:val="none" w:sz="0" w:space="0" w:color="auto"/>
                                                        <w:right w:val="none" w:sz="0" w:space="0" w:color="auto"/>
                                                      </w:divBdr>
                                                      <w:divsChild>
                                                        <w:div w:id="1858612981">
                                                          <w:marLeft w:val="0"/>
                                                          <w:marRight w:val="0"/>
                                                          <w:marTop w:val="0"/>
                                                          <w:marBottom w:val="0"/>
                                                          <w:divBdr>
                                                            <w:top w:val="none" w:sz="0" w:space="0" w:color="auto"/>
                                                            <w:left w:val="none" w:sz="0" w:space="0" w:color="auto"/>
                                                            <w:bottom w:val="none" w:sz="0" w:space="0" w:color="auto"/>
                                                            <w:right w:val="none" w:sz="0" w:space="0" w:color="auto"/>
                                                          </w:divBdr>
                                                          <w:divsChild>
                                                            <w:div w:id="473177483">
                                                              <w:marLeft w:val="0"/>
                                                              <w:marRight w:val="0"/>
                                                              <w:marTop w:val="0"/>
                                                              <w:marBottom w:val="0"/>
                                                              <w:divBdr>
                                                                <w:top w:val="none" w:sz="0" w:space="0" w:color="auto"/>
                                                                <w:left w:val="none" w:sz="0" w:space="0" w:color="auto"/>
                                                                <w:bottom w:val="none" w:sz="0" w:space="0" w:color="auto"/>
                                                                <w:right w:val="none" w:sz="0" w:space="0" w:color="auto"/>
                                                              </w:divBdr>
                                                              <w:divsChild>
                                                                <w:div w:id="1947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457506">
      <w:bodyDiv w:val="1"/>
      <w:marLeft w:val="0"/>
      <w:marRight w:val="0"/>
      <w:marTop w:val="0"/>
      <w:marBottom w:val="0"/>
      <w:divBdr>
        <w:top w:val="none" w:sz="0" w:space="0" w:color="auto"/>
        <w:left w:val="none" w:sz="0" w:space="0" w:color="auto"/>
        <w:bottom w:val="none" w:sz="0" w:space="0" w:color="auto"/>
        <w:right w:val="none" w:sz="0" w:space="0" w:color="auto"/>
      </w:divBdr>
    </w:div>
    <w:div w:id="616831639">
      <w:bodyDiv w:val="1"/>
      <w:marLeft w:val="0"/>
      <w:marRight w:val="0"/>
      <w:marTop w:val="0"/>
      <w:marBottom w:val="0"/>
      <w:divBdr>
        <w:top w:val="none" w:sz="0" w:space="0" w:color="auto"/>
        <w:left w:val="none" w:sz="0" w:space="0" w:color="auto"/>
        <w:bottom w:val="none" w:sz="0" w:space="0" w:color="auto"/>
        <w:right w:val="none" w:sz="0" w:space="0" w:color="auto"/>
      </w:divBdr>
    </w:div>
    <w:div w:id="622856318">
      <w:bodyDiv w:val="1"/>
      <w:marLeft w:val="0"/>
      <w:marRight w:val="0"/>
      <w:marTop w:val="0"/>
      <w:marBottom w:val="0"/>
      <w:divBdr>
        <w:top w:val="none" w:sz="0" w:space="0" w:color="auto"/>
        <w:left w:val="none" w:sz="0" w:space="0" w:color="auto"/>
        <w:bottom w:val="none" w:sz="0" w:space="0" w:color="auto"/>
        <w:right w:val="none" w:sz="0" w:space="0" w:color="auto"/>
      </w:divBdr>
    </w:div>
    <w:div w:id="796262671">
      <w:bodyDiv w:val="1"/>
      <w:marLeft w:val="0"/>
      <w:marRight w:val="0"/>
      <w:marTop w:val="0"/>
      <w:marBottom w:val="0"/>
      <w:divBdr>
        <w:top w:val="none" w:sz="0" w:space="0" w:color="auto"/>
        <w:left w:val="none" w:sz="0" w:space="0" w:color="auto"/>
        <w:bottom w:val="none" w:sz="0" w:space="0" w:color="auto"/>
        <w:right w:val="none" w:sz="0" w:space="0" w:color="auto"/>
      </w:divBdr>
    </w:div>
    <w:div w:id="1033068842">
      <w:bodyDiv w:val="1"/>
      <w:marLeft w:val="0"/>
      <w:marRight w:val="0"/>
      <w:marTop w:val="0"/>
      <w:marBottom w:val="0"/>
      <w:divBdr>
        <w:top w:val="none" w:sz="0" w:space="0" w:color="auto"/>
        <w:left w:val="none" w:sz="0" w:space="0" w:color="auto"/>
        <w:bottom w:val="none" w:sz="0" w:space="0" w:color="auto"/>
        <w:right w:val="none" w:sz="0" w:space="0" w:color="auto"/>
      </w:divBdr>
    </w:div>
    <w:div w:id="1286041767">
      <w:bodyDiv w:val="1"/>
      <w:marLeft w:val="0"/>
      <w:marRight w:val="0"/>
      <w:marTop w:val="0"/>
      <w:marBottom w:val="0"/>
      <w:divBdr>
        <w:top w:val="none" w:sz="0" w:space="0" w:color="auto"/>
        <w:left w:val="none" w:sz="0" w:space="0" w:color="auto"/>
        <w:bottom w:val="none" w:sz="0" w:space="0" w:color="auto"/>
        <w:right w:val="none" w:sz="0" w:space="0" w:color="auto"/>
      </w:divBdr>
    </w:div>
    <w:div w:id="1470249602">
      <w:bodyDiv w:val="1"/>
      <w:marLeft w:val="0"/>
      <w:marRight w:val="0"/>
      <w:marTop w:val="0"/>
      <w:marBottom w:val="0"/>
      <w:divBdr>
        <w:top w:val="none" w:sz="0" w:space="0" w:color="auto"/>
        <w:left w:val="none" w:sz="0" w:space="0" w:color="auto"/>
        <w:bottom w:val="none" w:sz="0" w:space="0" w:color="auto"/>
        <w:right w:val="none" w:sz="0" w:space="0" w:color="auto"/>
      </w:divBdr>
    </w:div>
    <w:div w:id="1672102341">
      <w:bodyDiv w:val="1"/>
      <w:marLeft w:val="0"/>
      <w:marRight w:val="0"/>
      <w:marTop w:val="0"/>
      <w:marBottom w:val="0"/>
      <w:divBdr>
        <w:top w:val="none" w:sz="0" w:space="0" w:color="auto"/>
        <w:left w:val="none" w:sz="0" w:space="0" w:color="auto"/>
        <w:bottom w:val="none" w:sz="0" w:space="0" w:color="auto"/>
        <w:right w:val="none" w:sz="0" w:space="0" w:color="auto"/>
      </w:divBdr>
    </w:div>
    <w:div w:id="1739787477">
      <w:bodyDiv w:val="1"/>
      <w:marLeft w:val="0"/>
      <w:marRight w:val="0"/>
      <w:marTop w:val="0"/>
      <w:marBottom w:val="0"/>
      <w:divBdr>
        <w:top w:val="none" w:sz="0" w:space="0" w:color="auto"/>
        <w:left w:val="none" w:sz="0" w:space="0" w:color="auto"/>
        <w:bottom w:val="none" w:sz="0" w:space="0" w:color="auto"/>
        <w:right w:val="none" w:sz="0" w:space="0" w:color="auto"/>
      </w:divBdr>
    </w:div>
    <w:div w:id="1797723413">
      <w:bodyDiv w:val="1"/>
      <w:marLeft w:val="0"/>
      <w:marRight w:val="0"/>
      <w:marTop w:val="0"/>
      <w:marBottom w:val="0"/>
      <w:divBdr>
        <w:top w:val="none" w:sz="0" w:space="0" w:color="auto"/>
        <w:left w:val="none" w:sz="0" w:space="0" w:color="auto"/>
        <w:bottom w:val="none" w:sz="0" w:space="0" w:color="auto"/>
        <w:right w:val="none" w:sz="0" w:space="0" w:color="auto"/>
      </w:divBdr>
    </w:div>
    <w:div w:id="1886868868">
      <w:bodyDiv w:val="1"/>
      <w:marLeft w:val="0"/>
      <w:marRight w:val="0"/>
      <w:marTop w:val="0"/>
      <w:marBottom w:val="0"/>
      <w:divBdr>
        <w:top w:val="none" w:sz="0" w:space="0" w:color="auto"/>
        <w:left w:val="none" w:sz="0" w:space="0" w:color="auto"/>
        <w:bottom w:val="none" w:sz="0" w:space="0" w:color="auto"/>
        <w:right w:val="none" w:sz="0" w:space="0" w:color="auto"/>
      </w:divBdr>
    </w:div>
    <w:div w:id="1909146796">
      <w:bodyDiv w:val="1"/>
      <w:marLeft w:val="0"/>
      <w:marRight w:val="0"/>
      <w:marTop w:val="0"/>
      <w:marBottom w:val="0"/>
      <w:divBdr>
        <w:top w:val="none" w:sz="0" w:space="0" w:color="auto"/>
        <w:left w:val="none" w:sz="0" w:space="0" w:color="auto"/>
        <w:bottom w:val="none" w:sz="0" w:space="0" w:color="auto"/>
        <w:right w:val="none" w:sz="0" w:space="0" w:color="auto"/>
      </w:divBdr>
    </w:div>
    <w:div w:id="21304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8DD6-0349-4FB4-AD95-006AD79C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9178</Words>
  <Characters>64435</Characters>
  <Application>Microsoft Office Word</Application>
  <DocSecurity>0</DocSecurity>
  <Lines>1039</Lines>
  <Paragraphs>197</Paragraphs>
  <MMClips>0</MMClip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Manager/>
  <Company/>
  <LinksUpToDate>false</LinksUpToDate>
  <CharactersWithSpaces>73416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2020-01-13T08:43:00Z</dcterms:created>
  <dcterms:modified xsi:type="dcterms:W3CDTF">2020-01-16T14:12:00Z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ies>
</file>