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E270E7F-8193-4064-A7D3-A337484A9AF2" style="width:450.35pt;height:37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Din il-proposta tikkonċerna d-deċiżjoni li tistabbilixxi l-pożizzjoni li għandha tittieħed f’isem l-Unjoni </w:t>
      </w:r>
      <w:r>
        <w:rPr>
          <w:noProof/>
          <w:u w:color="000000"/>
          <w:bdr w:val="nil"/>
        </w:rPr>
        <w:t>fil-Kummissjoni dwar id-Drogi Narkotiċi (CND)</w:t>
      </w:r>
      <w:r>
        <w:t xml:space="preserve"> </w:t>
      </w:r>
      <w:r>
        <w:rPr>
          <w:noProof/>
        </w:rPr>
        <w:t xml:space="preserve">b’rabta mal-adozzjoni prevista ta’ </w:t>
      </w:r>
      <w:r>
        <w:rPr>
          <w:noProof/>
          <w:u w:color="000000"/>
          <w:bdr w:val="nil"/>
        </w:rPr>
        <w:t>bidliet fit-Tabelli tal-Konvenzjoni tal-1988 tan-Nazzjonijiet Uniti (NU) kontra t-Traffiku Illeċitu tad-Drogi Narkotiċi u s-Sustanzi Psikotropiċi abbażi ta’ rakkomandazzjonijiet tal-Bord Internazzjonali għall-Kontroll tan-Narkotiċi (INCB)</w:t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tal-1988 tan-Nazzjonijiet Uniti (NU) kontra t-Traffikar Illeċitu tad-Drogi Narkotiċi u s-Sustanzi Psikotropiċi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Il-Konvenzjoni tal-1988 tan-Nazzjonijiet Uniti (NU) kontra t-Traffikar Illeċitu tad-Drogi Narkotiċi u s-Sustanzi Psikotropiċi (“il-Konvenzjoni”) għandha l-għan li tippromwovi l-koperazzjoni bejn il-Partijiet biex ikunu jistgħu jindirizzaw b’mod aktar effettiv l-aspetti differenti tat-traffiku illeċitu tad-drogi narkotiċi u tas-sustanzi psikotropiċi li għandhom dimensjoni internazzjonali. Fit-twettiq tal-obbligi tagħhom skont il-Konvenzjoni, il-Partijiet jieħdu l-miżuri meħtieġa, inkluż miżuri leġiżlattivi u amministrattivi, f’konformità mad-dispożizzjonijiet fundamentali tas-sistemi leġiżlattivi domestiċi rispettivi tagħhom. Il-Konvenzjoni daħlet fis-seħħ fil-11 ta’ Novembru 1990. L-UE</w:t>
      </w:r>
      <w:r>
        <w:rPr>
          <w:rStyle w:val="FootnoteReference"/>
          <w:noProof/>
        </w:rPr>
        <w:footnoteReference w:id="1"/>
      </w:r>
      <w:r>
        <w:rPr>
          <w:noProof/>
          <w:u w:color="000000"/>
          <w:bdr w:val="nil"/>
        </w:rPr>
        <w:t xml:space="preserve"> u l-Istati Membri tagħha huma partijiet għall-Konvenzjoni.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  <w:u w:color="000000"/>
          <w:bdr w:val="nil"/>
        </w:rPr>
        <w:t>Il-Kummissjoni dwar id-Drogi Narkotiċi (CND)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Is-CND hi kummissjoni tal-Kunsill Ekonomiku u Soċjali tan-Nazzjonijiet Uniti (ECOSOC) u l-funzjonijiet u s-setgħat tagħha huma stabbiliti, fost l-oħrajn, fil-Konvenzjoni. Din magħmula minn 53 Stat Membru tan-Nazzjonijiet Uniti, ilkoll eletti mill-ECOSOC. Bħalissa hemm 13-il Stat Membru</w:t>
      </w:r>
      <w:r>
        <w:rPr>
          <w:rStyle w:val="FootnoteReference"/>
          <w:noProof/>
        </w:rPr>
        <w:footnoteReference w:id="2"/>
      </w:r>
      <w:r>
        <w:rPr>
          <w:noProof/>
          <w:u w:color="000000"/>
          <w:bdr w:val="nil"/>
        </w:rPr>
        <w:t xml:space="preserve"> li huma membri tas-CND bid-dritt tal-vot. L-Unjoni għandha status ta’ osservatur fis-CND.</w:t>
      </w:r>
    </w:p>
    <w:p>
      <w:pPr>
        <w:rPr>
          <w:noProof/>
        </w:rPr>
      </w:pPr>
      <w:r>
        <w:rPr>
          <w:noProof/>
          <w:u w:color="000000"/>
          <w:bdr w:val="nil"/>
        </w:rPr>
        <w:t>Is-CND, filwaqt li tqis il-kummenti li ressqu l-Partijiet u l-kummenti u r-rakkomandazzjonijiet tal-INCB, li l-valutazzjoni tagħhom għandha tkun determinanti dwar kwistjonijiet xjentifiċi, u filwaqt li tqis kif xieraq kull fattur rilevanti ieħor, tista’ tiddeċiedi b’maġġoranza ta’ żewġ terzi tal-membri tagħha biex iżżid sustanza fit-Tabelli tal-Konvenzjoni.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</w:t>
      </w:r>
      <w:r>
        <w:t xml:space="preserve"> </w:t>
      </w:r>
      <w:r>
        <w:rPr>
          <w:noProof/>
          <w:u w:color="000000"/>
          <w:bdr w:val="nil"/>
        </w:rPr>
        <w:t>tal-Kummissjoni dwar id-Drogi Narkotiċi (CND)</w:t>
      </w:r>
    </w:p>
    <w:p>
      <w:pPr>
        <w:rPr>
          <w:rFonts w:eastAsia="Arial Unicode MS"/>
          <w:noProof/>
        </w:rPr>
      </w:pPr>
      <w:r>
        <w:rPr>
          <w:noProof/>
          <w:u w:color="000000"/>
          <w:bdr w:val="nil"/>
        </w:rPr>
        <w:t>Bejn it-2 u s-6 ta’ Marzu 2020, waqt it-tlieta u sittin sessjoni tagħha, is-CND trid tadotta deċiżjoni ta’ skedar dwar iż-żieda ta’ sustanza waħda fit-Tabelli tal-Konvenzjoni (“l-att previst”), jiġifieri</w:t>
      </w:r>
      <w:r>
        <w:rPr>
          <w:noProof/>
        </w:rPr>
        <w:t xml:space="preserve"> l-metil </w:t>
      </w:r>
      <w:r>
        <w:rPr>
          <w:i/>
          <w:noProof/>
        </w:rPr>
        <w:t>alfa</w:t>
      </w:r>
      <w:r>
        <w:rPr>
          <w:noProof/>
        </w:rPr>
        <w:t>-fenilaċetoaċetat (MAPA)</w:t>
      </w:r>
      <w:r>
        <w:rPr>
          <w:noProof/>
          <w:u w:color="000000"/>
          <w:bdr w:val="nil"/>
        </w:rPr>
        <w:t>.</w:t>
      </w:r>
    </w:p>
    <w:p>
      <w:pPr>
        <w:rPr>
          <w:noProof/>
          <w:szCs w:val="24"/>
          <w:shd w:val="clear" w:color="auto" w:fill="FFFFFF"/>
        </w:rPr>
      </w:pPr>
      <w:r>
        <w:rPr>
          <w:noProof/>
        </w:rPr>
        <w:t xml:space="preserve">L-att previst għandu l-għan li jżid il-metil </w:t>
      </w:r>
      <w:r>
        <w:rPr>
          <w:i/>
          <w:noProof/>
        </w:rPr>
        <w:t>alfa</w:t>
      </w:r>
      <w:r>
        <w:rPr>
          <w:noProof/>
        </w:rPr>
        <w:t xml:space="preserve">-fenilaċetoaċetat (MAPA) </w:t>
      </w:r>
      <w:r>
        <w:rPr>
          <w:noProof/>
          <w:u w:color="000000"/>
          <w:bdr w:val="nil"/>
        </w:rPr>
        <w:t>mal-lista ta’ sustanzi skedati fit-Tabelli tal-Konvenzjoni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 xml:space="preserve">ħalli jkun jeħtieġ li l-pajjiżi jimplimentaw miżuri li </w:t>
      </w:r>
      <w:r>
        <w:rPr>
          <w:noProof/>
          <w:shd w:val="clear" w:color="auto" w:fill="FFFFFF"/>
        </w:rPr>
        <w:lastRenderedPageBreak/>
        <w:t>jikkontrollaw u jimmonitorjaw il-kummerċ leġittimu</w:t>
      </w:r>
      <w:r>
        <w:rPr>
          <w:noProof/>
        </w:rPr>
        <w:t xml:space="preserve"> tal-metil </w:t>
      </w:r>
      <w:r>
        <w:rPr>
          <w:i/>
          <w:noProof/>
        </w:rPr>
        <w:t>alfa</w:t>
      </w:r>
      <w:r>
        <w:rPr>
          <w:noProof/>
        </w:rPr>
        <w:t>-fenilaċetoaċetat (MAPA)</w:t>
      </w:r>
      <w:r>
        <w:rPr>
          <w:noProof/>
          <w:u w:color="000000"/>
          <w:bdr w:val="nil"/>
        </w:rPr>
        <w:t xml:space="preserve"> </w:t>
      </w:r>
      <w:r>
        <w:rPr>
          <w:noProof/>
          <w:shd w:val="clear" w:color="auto" w:fill="FFFFFF"/>
        </w:rPr>
        <w:t>bħala mod essenzjali biex tiġi evitata d-devjazzjoni tagħhom.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Skont il-Konvenzjoni, id-deċiżjonijiet tas-CND isiru vinkolanti, sakemm Parti ma tkunx ippreżentat id-deċiżjoni għal rieżami lill-ECOSOC sal-limiti taż-żmien applikabbli</w:t>
      </w:r>
      <w:r>
        <w:rPr>
          <w:rStyle w:val="FootnoteReference"/>
          <w:noProof/>
          <w:u w:color="000000"/>
          <w:bdr w:val="nil"/>
        </w:rPr>
        <w:footnoteReference w:id="3"/>
      </w:r>
      <w:r>
        <w:rPr>
          <w:noProof/>
          <w:u w:color="000000"/>
          <w:bdr w:val="nil"/>
        </w:rPr>
        <w:t>. Id-deċiżjonijiet tal-ECOSOC dwar din il-kwistjoni jkunu finali. L-atti previsti se jsiru vinkolanti għall-Partijiet skont l-Artikolu 12 tal-Konvenzjoni, li  fil-partijiet rilevanti tiegħu jipprovdi kif ġej: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“Kwalunkwe deċiżjoni tal-Kummissjoni meħuda skont dan l-Artikolu għandha tiġi kkomunikata mis-Segretarju Ġenerali tal-Istati kollha u entitajiet oħra li huma, jew li huma intitolati li jsiru, Partijiet għal din il-Konvenzjoni, u għall-Bord. Tali deċiżjoni għandha ssir effettiva għalkollox għal kull Parti, mija u tmenin jum wara d-data ta’ tali komunikazzjoni.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Id-deċiżjonijiet tal-Kummissjoni meħuda skont dan l-Artikolu għandhom ikunu soġġetti għal rieżami mill-Kunsill fuq talba ta’ kwalunkwe Parti ppreżentata fi żmien mija u tmenin jum wara d-data tan-notifika tad-deċiżjoni. It-talba għal rieżami għandha tintbagħat lis-Segretarju Ġenerali, flimkien mal-informazzjoni rilevanti kollha li fuqha hija bbażata t-talba għal rieżami.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Is-Segretarju Ġenerali għandu jibgħat kopji tat-talba għal rieżami u l-informazzjoni rilevanti lill-Kummissjoni, lill-Bord u lill-Partijiet kollha, u jistedinhom jibagħtu l-kummenti tagħhom fi żmien disgħin jum. Il-kummenti kollha rċevuti għandhom jiġu sottomessi lill-Kunsill għall-konsiderazzjoni.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Il-Kunsill jista’ jikkonferma jew ireġġa’ lura d-deċiżjoni tal-Kummissjoni. In-notifika tad-deċiżjoni tal-Kunsill għandha tintbagħat lill-Istati kollha u lil entitajiet oħra li huma, jew li huma intitolati li jsiru, Partijiet għal din il-Konvenzjoni, għall-Kummissjoni u għall-Bord.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Pożizzjoni li trid tittieħed f’isem l-Unjoni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 xml:space="preserve">Fil-15 ta’ Novembru 2019, il-Kummissjoni ġiet infurmata li l-INCB jirrakkomanda li tiżdied sustanza waħda, </w:t>
      </w:r>
      <w:r>
        <w:rPr>
          <w:noProof/>
        </w:rPr>
        <w:t xml:space="preserve">jiġifieri l-metil </w:t>
      </w:r>
      <w:r>
        <w:rPr>
          <w:i/>
          <w:noProof/>
        </w:rPr>
        <w:t>alfa</w:t>
      </w:r>
      <w:r>
        <w:rPr>
          <w:noProof/>
        </w:rPr>
        <w:t>-fenilaċetoaċetat (MAPA)</w:t>
      </w:r>
      <w:r>
        <w:rPr>
          <w:noProof/>
          <w:u w:color="000000"/>
          <w:bdr w:val="nil"/>
        </w:rPr>
        <w:t xml:space="preserve"> fit-Tabella I tal-Konvenzjoni. 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  <w:u w:color="000000"/>
          <w:bdr w:val="nil"/>
        </w:rPr>
        <w:t>Skont il-valutazzjoni tal-INCB,</w:t>
      </w:r>
      <w:r>
        <w:rPr>
          <w:noProof/>
        </w:rPr>
        <w:t xml:space="preserve"> il-metil </w:t>
      </w:r>
      <w:r>
        <w:rPr>
          <w:i/>
          <w:noProof/>
        </w:rPr>
        <w:t>alfa</w:t>
      </w:r>
      <w:r>
        <w:rPr>
          <w:noProof/>
        </w:rPr>
        <w:t xml:space="preserve">-fenilaċetoaċetat (MAPA) ħafna drabi jintuża fil-manifattura illeċita tal-amfetamina u l-metamfetamina. Hemm evidenza li l-volum u l-firxa tal-manifattura illeċita ta’ dawn id-drogi narkotiċi u s-sustanzi psikotropiċi joħolqu problemi serji tas-saħħa pubblika jew soċjali, u din tiġġustifika li dawn is-sustanzi jkollhom kontroll internazzjonali. Barra minn hekk, ma hemm l-ebda użu leġittimu magħruf tal-metil </w:t>
      </w:r>
      <w:r>
        <w:rPr>
          <w:i/>
          <w:noProof/>
        </w:rPr>
        <w:t>alfa</w:t>
      </w:r>
      <w:r>
        <w:rPr>
          <w:noProof/>
        </w:rPr>
        <w:t>-fenilaċetoaċetat (MAPA) għajr f’ammonti żgħar għar-riċerka, l-iżvilupp u l-analiżi fil-laboratorju.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Il-manifattura illegali tal-amfetamina u tal-metamfetamina hi problema serja fl-Unjoni. Dawn id-drogi narkotiċi u s-sustanzi psikotropiċi manifatturati illegalment jikkawżaw problemi sinifikanti tas-saħħa pubblika u soċjali fl-Unjoni. Barra minn hekk, gruppi tal-kriminalità organizzata fl-Unjoni qed jesportaw illegalment dawn id-drogi narkotiċi u s-sustanzi psikotropiċi lejn il-pajjiżi terzi.</w:t>
      </w:r>
    </w:p>
    <w:p>
      <w:pPr>
        <w:rPr>
          <w:noProof/>
          <w:szCs w:val="24"/>
        </w:rPr>
      </w:pPr>
      <w:r>
        <w:rPr>
          <w:noProof/>
        </w:rPr>
        <w:t xml:space="preserve">Jenħtieġ jiġi nnutat li l-Kummissjoni bħalissa tinsab, fl-istess waqt, għaddejja bil-proċess ta’ tħejjija ta’ Regolament Delegat li jżid għadd ta’ sustanzi, fosthom il-metil </w:t>
      </w:r>
      <w:r>
        <w:rPr>
          <w:i/>
          <w:noProof/>
        </w:rPr>
        <w:t>alfa</w:t>
      </w:r>
      <w:r>
        <w:rPr>
          <w:noProof/>
        </w:rPr>
        <w:t xml:space="preserve">-fenilaċetoaċetat (MAPA), fl-Anness 1 </w:t>
      </w:r>
      <w:r>
        <w:rPr>
          <w:noProof/>
          <w:u w:color="000000"/>
          <w:bdr w:val="nil"/>
        </w:rPr>
        <w:t xml:space="preserve">tar-Regolament (KE) Nru 273/2004 tal-Parlament </w:t>
      </w:r>
      <w:r>
        <w:rPr>
          <w:noProof/>
          <w:u w:color="000000"/>
          <w:bdr w:val="nil"/>
        </w:rPr>
        <w:lastRenderedPageBreak/>
        <w:t>Ewropew u tal-Kunsill tal-11 ta’ Frar 2004 dwar prekursuri tad-droga</w:t>
      </w:r>
      <w:r>
        <w:rPr>
          <w:noProof/>
        </w:rPr>
        <w:t xml:space="preserve"> u fl-Anness </w:t>
      </w:r>
      <w:r>
        <w:rPr>
          <w:noProof/>
          <w:u w:color="000000"/>
          <w:bdr w:val="nil"/>
        </w:rPr>
        <w:t>tar-Regolament tal-Kunsill (KE) Nru 111/2005 tat-22 ta’ Diċembru 2004 li jistabbilixxi regoli għall-monitoraġġ tal-kummerċ bejn l-Unjoni u pajjiżi terzi fi prekursuri tad-droga</w:t>
      </w:r>
      <w:r>
        <w:rPr>
          <w:noProof/>
        </w:rPr>
        <w:t xml:space="preserve"> wara diskussjonijiet fil-Grupp ta’ Esperti tal-UE dwar il-Prekursuri tad-Droga f’Mejju 2019.</w:t>
      </w:r>
      <w:r>
        <w:rPr>
          <w:rStyle w:val="FootnoteReference"/>
          <w:noProof/>
          <w:u w:color="000000"/>
          <w:bdr w:val="nil"/>
        </w:rPr>
        <w:t xml:space="preserve"> </w:t>
      </w:r>
      <w:r>
        <w:rPr>
          <w:rStyle w:val="FootnoteReference"/>
          <w:noProof/>
          <w:u w:color="000000"/>
          <w:bdr w:val="nil"/>
        </w:rPr>
        <w:footnoteReference w:id="4"/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Għalhekk jenħtieġ li l-Istati Membri tal-Unjoni jesprimu l-pożizzjoni fis-CND favur iż-żieda</w:t>
      </w:r>
      <w:r>
        <w:rPr>
          <w:noProof/>
        </w:rPr>
        <w:t xml:space="preserve"> tal-metil </w:t>
      </w:r>
      <w:r>
        <w:rPr>
          <w:i/>
          <w:noProof/>
        </w:rPr>
        <w:t>alfa</w:t>
      </w:r>
      <w:r>
        <w:rPr>
          <w:noProof/>
        </w:rPr>
        <w:t xml:space="preserve">-fenilaċetoaċetat (MAPA) </w:t>
      </w:r>
      <w:r>
        <w:rPr>
          <w:noProof/>
          <w:u w:color="000000"/>
          <w:bdr w:val="nil"/>
        </w:rPr>
        <w:t>fit-Tabella I tal-Konvenzjoni.</w:t>
      </w:r>
    </w:p>
    <w:p>
      <w:pPr>
        <w:rPr>
          <w:rFonts w:eastAsia="Arial Unicode MS"/>
          <w:noProof/>
        </w:rPr>
      </w:pPr>
      <w:r>
        <w:rPr>
          <w:noProof/>
          <w:u w:color="000000"/>
          <w:bdr w:val="nil"/>
        </w:rPr>
        <w:t>Bidliet fit-Tabelli tal-Konvenzjoni jkollhom riperkussjonijiet diretti fil-kamp ta’ applikazzjoni tad-dritt tal-Unjoni fil-qasam tal-kontroll tal-prekursuri tad-droga għax is-sustanzi miżjuda fit-Tabelli tal-Konvenzjoni jridu jiġu inkorporati fid-dritt tal-Unjoni. Il-Kummissjoni ngħatat is-setgħa li tadotta atti delegati biex dan jiġi żgurat.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(it-TFUE) jipprevedi deċiżjonijiet li jistabbilixxu “</w:t>
      </w:r>
      <w:r>
        <w:rPr>
          <w:i/>
          <w:noProof/>
        </w:rPr>
        <w:t>il-pożizzjonijiet li għandhom jiġu adottati f’isem l-Unjoni f’sede stabbilita bi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L-Artikolu 218(9) tat-TFUE japplika irrispettivament minn jekk l-Unjoni tkunx membru tal-korp jew parti għall-ftehim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atti li jkollhom effetti legali bis-saħħa tar-regoli tad-dritt internazzjonali li jirregolaw il-korp inkwistjoni. Dan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tal-UE</w:t>
      </w:r>
      <w:r>
        <w:rPr>
          <w:noProof/>
        </w:rPr>
        <w:t>”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Il-Kummissjoni dwar id-Drogi Narkotiċi (CND)</w:t>
      </w:r>
      <w:r>
        <w:rPr>
          <w:noProof/>
        </w:rPr>
        <w:t xml:space="preserve"> hi korp stabbilit minn ftehim, jiġifieri </w:t>
      </w:r>
      <w:r>
        <w:rPr>
          <w:noProof/>
          <w:u w:color="000000"/>
          <w:bdr w:val="nil"/>
        </w:rPr>
        <w:t>l-Konvenzjoni tan-Nazzjonijiet Uniti kontra t-Traffiku Illeċitu tad-Drogi Narkotiċi u s-Sustanzi Psikotropiċi</w:t>
      </w:r>
      <w:r>
        <w:rPr>
          <w:noProof/>
        </w:rPr>
        <w:t>.</w:t>
      </w:r>
    </w:p>
    <w:p>
      <w:r>
        <w:rPr>
          <w:noProof/>
        </w:rPr>
        <w:t xml:space="preserve">L-att li </w:t>
      </w:r>
      <w:r>
        <w:rPr>
          <w:noProof/>
          <w:u w:color="000000"/>
          <w:bdr w:val="nil"/>
        </w:rPr>
        <w:t>l-Kummissjoni dwar id-Drogi Narkotiċi (CND)</w:t>
      </w:r>
      <w:r>
        <w:rPr>
          <w:noProof/>
        </w:rPr>
        <w:t xml:space="preserve"> qed tintalab tadotta, jikkostitwixxi att b’effetti legali. L-att previst ikun vinkolanti skont id-dritt internazzjonali f’konformità mal-Artikolu 12 </w:t>
      </w:r>
      <w:r>
        <w:rPr>
          <w:noProof/>
          <w:u w:color="000000"/>
          <w:bdr w:val="nil"/>
        </w:rPr>
        <w:t>tal-Konvenzjoni tan-Nazzjonijiet Uniti kontra t-Traffikar Illeċitu tad-Drogi Narkotiċi u s-Sustanzi Psikotropiċi</w:t>
      </w:r>
      <w:r>
        <w:rPr>
          <w:noProof/>
        </w:rPr>
        <w:t>. L-att previst għandu effetti legali u jista’ jinfluwenza b’mod deċiżiv il-kontenut tal-leġiżlazzjoni tal-UE, jiġifieri:</w:t>
      </w:r>
      <w:r>
        <w:rPr>
          <w:noProof/>
          <w:u w:color="000000"/>
          <w:bdr w:val="nil"/>
        </w:rPr>
        <w:t xml:space="preserve"> Ir-Regolament tal-Kunsill (KE) Nru 111/2005 tat-22 ta’ Diċembru 2004 li jistabbilixxi regoli għall-monitoraġġ ta’ kummerċ fil-prekursuri ta’ drogi bejn l-Unjoni u pajjiżi terzi, u r-Regolament (KE) Nru 273/2004 tal-Parlament Ewropew u tal-Kunsill tal-11 ta’ Frar 2004 dwar prekursuri tad-droga</w:t>
      </w:r>
      <w:r>
        <w:rPr>
          <w:noProof/>
        </w:rPr>
        <w:t xml:space="preserve">. Dan hu </w:t>
      </w:r>
      <w:r>
        <w:rPr>
          <w:noProof/>
        </w:rPr>
        <w:lastRenderedPageBreak/>
        <w:t xml:space="preserve">għaliex </w:t>
      </w:r>
      <w:r>
        <w:rPr>
          <w:noProof/>
          <w:u w:color="000000"/>
          <w:bdr w:val="nil"/>
        </w:rPr>
        <w:t>il-bidliet fit-Tabelli tal-Konvenzjoni jkollhom riperkussjonijiet diretti fil-kamp ta’ applikazzjoni tad-dritt tal-Unjoni fil-qasam tal-kontroll tal-prekursuri tad-droga għax is-sustanzi miżjuda fit-Tabelli tal-Konvenzjoni jridu jiġu inkorporati fid-dritt tal-Unjoni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L-att previst ma jissupplimentax u ma jemendax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dwaru tittieħed pożizzjoni f’isem l-Unjoni. Jekk l-att previst ikollu żewġ għanijiet jew żewġ komponenti, u jekk wieħed minn dawn l-għanijiet jew il-komponenti jkun jista’ jiġi identifikat bħala dak ewlieni, filwaqt li l-ieħor ikun sempliċiment inċidentali, id-deċiżjoni skont l-Artikolu 218(9) tat-TFUE trid tkun imsejsa fuq bażi ġuridika sostantiva waħda, jiġifieri dik rikjesta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 xml:space="preserve">Għalhekk, il-bażi ġuridika sostantiva tad-deċiżjoni proposta hi </w:t>
      </w:r>
      <w:r>
        <w:rPr>
          <w:noProof/>
          <w:u w:color="000000"/>
          <w:bdr w:val="nil"/>
        </w:rPr>
        <w:t>l-Artikolu°207 tat-Trattat dwar il-Funzjonament tal-Unjoni Ewropea</w:t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tkun l-Artikolu 207, flimkien mal-Artikolu 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Billi l-att tal-Kummissjoni dwar id-Drogi Narkotiċi se jemenda t-Tabelli tal-Konvenzjoni tan-Nazzjonijiet Uniti kontra t-Traffiku Illeċitu tad-Drogi Narkotiċi u s-Sustanzi Psikotropiċi,</w:t>
      </w:r>
      <w:r>
        <w:t xml:space="preserve"> </w:t>
      </w:r>
      <w:r>
        <w:rPr>
          <w:noProof/>
        </w:rPr>
        <w:t>jixraq li wara l-adozzjoni tiegħu,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2020/0007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tiġi adottata, f’isem l-Unjoni Ewropea, fit-tlieta u sittin sessjoni tal-Kummissjoni dwar id-Drogi Narkotiċi rigward iż-żieda mal-lista tas-sustanzi fit-Tabella I tal-Konvenzjoni tan-Nazzjonijiet Uniti kontra t-Traffiku Illeċitu tad-Drogi Narkotiċi u s-Sustanzi Psikotropiċi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207,</w:t>
      </w:r>
      <w:r>
        <w:t xml:space="preserve"> </w:t>
      </w:r>
      <w:r>
        <w:rPr>
          <w:noProof/>
        </w:rPr>
        <w:t>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tan-Nazzjonijiet Uniti tal-1988 kontra t-Traffikar Illeċitu tad-Drogi Narkotiċi u s-Sustanzi Psikotropiċi (“il-Konvenzjoni”) daħlet fis-seħħ fil-11 ta’ Novembru 1990 u ġiet konkluża f’isem il-Komunità Ekonomika Ewropea bid-Deċiżjoni tal-Kunsill 90/611/KEE</w:t>
      </w:r>
      <w:r>
        <w:rPr>
          <w:rStyle w:val="FootnoteReference"/>
          <w:noProof/>
        </w:rPr>
        <w:footnoteReference w:id="7"/>
      </w:r>
      <w:r>
        <w:rPr>
          <w:rStyle w:val="FootnoteReference"/>
          <w:noProof/>
        </w:rPr>
        <w:t xml:space="preserve">. 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12(2) sa (7)</w:t>
      </w:r>
      <w:r>
        <w:t xml:space="preserve"> </w:t>
      </w:r>
      <w:r>
        <w:rPr>
          <w:noProof/>
        </w:rPr>
        <w:t xml:space="preserve">tal-Konvenzjoni, jistgħu jiżdiedu sustanzi fit-Tabelli tal-Konvenzjoni li jelenkaw il-prekursuri tad-droga.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Jenħtieġ li waqt it-tlieta u sittin sessjoni tagħha mit-2 sas-6 ta’ Marzu 2020 fi Vjenna, il-Kummissjoni dwar id-Drogi Narkotiċi tieħu deċiżjoni dwar iż-żieda ta’ sustanza ġdida waħda fit-Tabelli tal-Konvenzjoni.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Jixraq li tiġi stabbilita l-pożizzjoni li trid tittieħed f’isem l-Unjoni fil-Kummissjoni dwar id-Drogi Narkotiċi għax id-deċiżjoni tkun vinkolanti għall-Unjoni u tista’ tinfluwenza b’mod deċiżiv il-kontenut tad-dritt tal-Unjoni, jiġifieri r-Regolament tal-Kunsill (KE) Nru 111/2005 tat-22 ta’ Diċembru 2004 li jistabbilixxi regoli għall-monitoraġġ tal-kummerċ fil-prekursuri tad-droga bejn l-Unjoni u pajjiżi terzi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r-Regolament (KE) Nru 273/2004 tal-Parlament Ewropew u tal-Kunsill tal-11 ta’ Frar 2004 dwar il-prekursuri tad-droga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Skont il-valutazzjoni tal-Bord Internazzjonali għall-Kontroll tan-Narkotiċi (INCB), il-metil </w:t>
      </w:r>
      <w:r>
        <w:rPr>
          <w:i/>
          <w:noProof/>
        </w:rPr>
        <w:t>alfa</w:t>
      </w:r>
      <w:r>
        <w:rPr>
          <w:noProof/>
        </w:rPr>
        <w:t xml:space="preserve">-fenilaċetoaċetat (MAPA) jintuża ħafna drabi fil-manifattura illeċita tal-amfetamina u tal-metamfetamina. Hemm evidenza li l-volum u l-firxa tal-manifattura illeċita ta’ dawn id-drogi narkotiċi u s-sustanzi psikotropiċi joħolqu problemi serji tas-saħħa pubblika jew soċjali, u din tiġġustifika li dawn is-sustanzi jkollhom kontroll internazzjonali. Il-manifattura illegali tal-amfetamina u tal-metamfetamina jikkawżaw problemi sinifikanti tas-saħħa pubblika u soċjali fl-Unjoni. Kulma jmur qed dejjem jiżdiedu l-ammonti u l-frekwenza tal-inċidenti relatati mat-traffikar tal-metil </w:t>
      </w:r>
      <w:r>
        <w:rPr>
          <w:i/>
          <w:noProof/>
        </w:rPr>
        <w:t>alfa</w:t>
      </w:r>
      <w:r>
        <w:rPr>
          <w:noProof/>
        </w:rPr>
        <w:t>-</w:t>
      </w:r>
      <w:r>
        <w:rPr>
          <w:noProof/>
        </w:rPr>
        <w:lastRenderedPageBreak/>
        <w:t>fenilaċetoaċetat (MAPA), u l-gruppi tal-kriminalità organizzata fl-Unjoni qed jesportaw ukoll illegalment l-amfetamina u l-metamfetamina lejn il-pajjiżi terzi.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Il-pożizzjoni tal-Unjoni trid tiġi espressa mill-Istati Membri tal-Unjoni li huma membri tal-Kummissjoni dwar id-Drogi Narkotiċi</w:t>
      </w:r>
      <w:r>
        <w:t>.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bCs/>
          <w:noProof/>
          <w:szCs w:val="24"/>
        </w:rPr>
      </w:pPr>
      <w:r>
        <w:rPr>
          <w:noProof/>
        </w:rPr>
        <w:t>Il-pożizzjoni li trid tittieħed f’isem l-Unjoni fit-tlieta u sittin sessjoni tal-Kummissjoni dwar id-Drogi Narkotiċi għandha tkun kif ġej:</w:t>
      </w:r>
    </w:p>
    <w:p>
      <w:pPr>
        <w:rPr>
          <w:noProof/>
        </w:rPr>
      </w:pPr>
      <w:r>
        <w:rPr>
          <w:noProof/>
        </w:rPr>
        <w:t xml:space="preserve">- il-metil </w:t>
      </w:r>
      <w:r>
        <w:rPr>
          <w:i/>
          <w:noProof/>
        </w:rPr>
        <w:t>alfa</w:t>
      </w:r>
      <w:r>
        <w:rPr>
          <w:noProof/>
        </w:rPr>
        <w:t>-fenilaċetoaċetat (MAPA) trid tiġi inkluża fit-Tabella I tal-Konvenzjoni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Il-pożizzjoni msemmija fl-Artikolu 1 għandha tiġi espressa mill-Istati Membri tal-Unjoni li huma membri tal-Kummissjoni dwar id-Drogi Narkotiċi.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hija indirizzata lill-Istati Membri</w:t>
      </w:r>
      <w:r>
        <w:rPr>
          <w:i/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F’isem il-Kunsill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tat-22 ta’ Ottubru 1990 li tikkonċerna l-konklużjoni, f’isem il-Komunità Ekonomika Ewropea, tal-Konvenzjoni tan-Nazzjonijiet Uniti kontra t-Traffikar Illeċitu tad-Drogi Narkotiċi u s-Sustanzi Psikotropiċi (ĠU L 326 of 24/11/1990, p. 56).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L-Awstrija, il-Belġju, il-Kroazja, ir-Repubblika Ċeka, Franza, il-Ġermanja, l-Ungerija, l-Italja, in-Netherlands, il-Polonja, Spanja, l-Iżvezja u r-Renju Unit. Is-sħubija tar-Renju Unit fl-UE hi soġġetta għal tibdil minħabba t-talba tar-Renju Unit biex jirtira mis-sħubija fl-UE.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L-Artikolu 12(7) tal-Konvenzjoni tal-1988 tan-Nazzjonijiet Uniti.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tal-Kunsill (KE) Nru 111/2005 tat-22 ta’ Diċembru 2004 li jistabbilixxi regoli għall-monitoraġġ ta’ kummerċ fil-prekursuri ta’ drogi bejn l-Unjoni u pajjiżi terzi (ĠU L 22, 26.1.2005, p. 1), u r-Regolament (KE) Nru 273/2004 tal-Parlament Ewropew u l-Kunsill tal-11 ta’ Frar 2004 dwar prekursuri tad-droga (ĠU L 47, 18.2.2004, p. 1).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Il-paragrafu 64 tas-Sentenza tal-Qorti tal-Ġustizzja tas-7 ta’ Ottubru 2014 fil-kawża C-399/12 Il-Ġermanja vs Il-Kunsill, ECLI:EU:C:2014:2258. </w:t>
      </w:r>
    </w:p>
  </w:footnote>
  <w:footnote w:id="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Il-paragrafi 61 sa 64 tas-Sentenza tal-Qorti tal-Ġustizzja tas-7 ta’ Ottubru 2014 fil-kawża C-399/12, Il-Ġermanja vs Il-Kunsill, ECLI:EU:C:2014:2258. </w:t>
      </w:r>
    </w:p>
  </w:footnote>
  <w:footnote w:id="7">
    <w:p>
      <w:pPr>
        <w:pStyle w:val="Footnote"/>
        <w:spacing w:after="0"/>
        <w:rPr>
          <w:rStyle w:val="FootnoteTextChar"/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</w:r>
      <w:r>
        <w:rPr>
          <w:rStyle w:val="FootnoteTextChar"/>
          <w:lang w:val="fr-BE"/>
        </w:rPr>
        <w:t>ĠU L 326, 24.11.1990, p. 56.</w:t>
      </w:r>
    </w:p>
  </w:footnote>
  <w:footnote w:id="8">
    <w:p>
      <w:pPr>
        <w:pStyle w:val="FootnoteText"/>
        <w:ind w:left="0" w:firstLine="0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ĠU L 22, 26.1.2005, p. 1.</w:t>
      </w:r>
    </w:p>
  </w:footnote>
  <w:footnote w:id="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ĠU L 47, 18.2.2004,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F0E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9F63E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0CA5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DCA6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5402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7B09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D16C0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230C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1-10 09:29:3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E270E7F-8193-4064-A7D3-A337484A9AF2"/>
    <w:docVar w:name="LW_COVERPAGE_TYPE" w:val="1"/>
    <w:docVar w:name="LW_CROSSREFERENCE" w:val="&lt;UNUSED&gt;"/>
    <w:docVar w:name="LW_DocType" w:val="COM"/>
    <w:docVar w:name="LW_EMISSION" w:val="17.1.2020"/>
    <w:docVar w:name="LW_EMISSION_ISODATE" w:val="2020-01-17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20"/>
    <w:docVar w:name="LW_REF.INST.NEW" w:val="COM"/>
    <w:docVar w:name="LW_REF.INST.NEW_ADOPTED" w:val="final"/>
    <w:docVar w:name="LW_REF.INST.NEW_TEXT" w:val="(2020) 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\u289?i adottata, f\u8217?isem l-Unjoni Ewropea, fit-tlieta u sittin sessjoni tal-Kummissjoni dwar id-Drogi Narkoti\u267?i rigward i\u380?-\u380?ieda mal-lista tas-sustanzi fit-Tabella I tal-Konvenzjoni tan-Nazzjonijiet Uniti kontra t-Traffiku Ille\u267?itu tad-Drogi Narkoti\u267?i u s-Sustanzi Psikotropi\u267?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E943AA-AC36-453D-BB23-4A44948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1619</Words>
  <Characters>12228</Characters>
  <Application>Microsoft Office Word</Application>
  <DocSecurity>0</DocSecurity>
  <Lines>197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2019-12-17T09:18:00Z</cp:lastPrinted>
  <dcterms:created xsi:type="dcterms:W3CDTF">2020-01-07T13:40:00Z</dcterms:created>
  <dcterms:modified xsi:type="dcterms:W3CDTF">2020-01-10T08:29:00Z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