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F5FFEAC8-C0CD-4F4E-B1AF-F37567E27677" style="width:450.75pt;height:393.3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Предмет на предложението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Настоящото предложение се отнася до решението за установяване на позицията, която трябва да се заеме от името на Съюза в рамките на </w:t>
      </w:r>
      <w:r>
        <w:rPr>
          <w:noProof/>
          <w:u w:color="000000"/>
          <w:bdr w:val="nil"/>
        </w:rPr>
        <w:t>Комисията за упойващите вещества</w:t>
      </w:r>
      <w:r>
        <w:t xml:space="preserve"> </w:t>
      </w:r>
      <w:r>
        <w:rPr>
          <w:noProof/>
        </w:rPr>
        <w:t xml:space="preserve">във връзка с предвиденото приемане на </w:t>
      </w:r>
      <w:r>
        <w:rPr>
          <w:noProof/>
          <w:u w:color="000000"/>
          <w:bdr w:val="nil"/>
        </w:rPr>
        <w:t>промени в списъците към Конвенцията на Организацията на обединените нации (ООН) за борба срещу незаконния трафик на упойващи и психотропни вещества от 1988 г. въз основа на препоръките на Международния орган за контрол на упойващите вещества.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Контекст на предложението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Конвенцията на Организацията на обединените нации (ООН) за борба срещу незаконния трафик на упойващи и психотропни вещества от 1988 г.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Конвенцията на Организацията на обединените нации (ООН) за борба срещу незаконния трафик на упойващи и психотропни вещества от 1988 г. („Конвенцията“) има за цел да насърчава сътрудничеството между страните, за да могат те да се справят по-ефективно с различните аспекти на незаконния трафик на упойващи и психотропни вещества, който има международно измерение. При изпълнение на задълженията си съгласно Конвенцията страните вземат необходимите мерки, включително законодателни и административни мерки, в съответствие с основополагащите разпоредби на своите съответни вътрешни законодателни системи. Конвенцията влезе в сила на 11 ноември 1990 г. ЕС</w:t>
      </w:r>
      <w:r>
        <w:rPr>
          <w:rStyle w:val="FootnoteReference"/>
          <w:noProof/>
        </w:rPr>
        <w:footnoteReference w:id="1"/>
      </w:r>
      <w:r>
        <w:rPr>
          <w:noProof/>
          <w:u w:color="000000"/>
          <w:bdr w:val="nil"/>
        </w:rPr>
        <w:t xml:space="preserve"> и неговите държави членки са страни по Конвенцията.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  <w:u w:color="000000"/>
          <w:bdr w:val="nil"/>
        </w:rPr>
        <w:t>Комисията за упойващите вещества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Комисията за упойващите вещества е комисия към Икономическия и социален съвет на ООН и нейните функции и правомощия са, наред с другото, предвидени в Конвенцията. Тя се състои от 53 държави — членки на ООН, избрани от ECOSOC. Понастоящем 13 държави членки</w:t>
      </w:r>
      <w:r>
        <w:rPr>
          <w:noProof/>
        </w:rPr>
        <w:t xml:space="preserve"> </w:t>
      </w:r>
      <w:r>
        <w:rPr>
          <w:rStyle w:val="FootnoteReference"/>
          <w:noProof/>
        </w:rPr>
        <w:footnoteReference w:id="2"/>
      </w:r>
      <w:r>
        <w:rPr>
          <w:noProof/>
          <w:u w:color="000000"/>
          <w:bdr w:val="nil"/>
        </w:rPr>
        <w:t>са членове на Комисията за упойващите вещества с право на глас. Съюзът има статут на наблюдател в CND.</w:t>
      </w:r>
    </w:p>
    <w:p>
      <w:pPr>
        <w:rPr>
          <w:noProof/>
        </w:rPr>
      </w:pPr>
      <w:r>
        <w:rPr>
          <w:noProof/>
          <w:u w:color="000000"/>
          <w:bdr w:val="nil"/>
        </w:rPr>
        <w:t>Като взема предвид забележките, изпратени от страните, и забележките и препоръките на Международния орган за контрол на упойващите вещества, чиято оценка е определяща, що се отнася до научните въпроси, и като взема също надлежно предвид всякакви други относими фактори, Комисията за упойващите вещества може да реши с мнозинство от две трети на своите членове да включи дадено вещество в списъците към Конвенцията.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Предвиденият акт на</w:t>
      </w:r>
      <w:r>
        <w:t xml:space="preserve"> </w:t>
      </w:r>
      <w:r>
        <w:rPr>
          <w:noProof/>
          <w:u w:color="000000"/>
          <w:bdr w:val="nil"/>
        </w:rPr>
        <w:t>Комисията за упойващите вещества</w:t>
      </w:r>
    </w:p>
    <w:p>
      <w:pPr>
        <w:rPr>
          <w:rFonts w:eastAsia="Arial Unicode MS"/>
          <w:noProof/>
        </w:rPr>
      </w:pPr>
      <w:r>
        <w:rPr>
          <w:noProof/>
          <w:u w:color="000000"/>
          <w:bdr w:val="nil"/>
        </w:rPr>
        <w:t xml:space="preserve">От 2 до 6 март 2020 г. на своята шестдесет и трета сесия, Комисията за упойващите вещества трябва да приеме решение за добавяне на едно вещество в списъците към Конвенцията („предложеният акт“), а именно веществото </w:t>
      </w:r>
      <w:r>
        <w:rPr>
          <w:noProof/>
        </w:rPr>
        <w:t xml:space="preserve"> метил</w:t>
      </w:r>
      <w:r>
        <w:rPr>
          <w:i/>
          <w:noProof/>
        </w:rPr>
        <w:t xml:space="preserve"> алфа</w:t>
      </w:r>
      <w:r>
        <w:rPr>
          <w:noProof/>
        </w:rPr>
        <w:t>-фенилацетоацетат (MAPA)</w:t>
      </w:r>
      <w:r>
        <w:rPr>
          <w:noProof/>
          <w:u w:color="000000"/>
          <w:bdr w:val="nil"/>
        </w:rPr>
        <w:t>.</w:t>
      </w:r>
    </w:p>
    <w:p>
      <w:pPr>
        <w:rPr>
          <w:noProof/>
          <w:szCs w:val="24"/>
          <w:shd w:val="clear" w:color="auto" w:fill="FFFFFF"/>
        </w:rPr>
      </w:pPr>
      <w:r>
        <w:rPr>
          <w:noProof/>
        </w:rPr>
        <w:lastRenderedPageBreak/>
        <w:t>С предложени акт се цели веществото метил</w:t>
      </w:r>
      <w:r>
        <w:rPr>
          <w:i/>
          <w:noProof/>
        </w:rPr>
        <w:t xml:space="preserve"> алфа</w:t>
      </w:r>
      <w:r>
        <w:rPr>
          <w:noProof/>
        </w:rPr>
        <w:t>-фенилацетоацетат (MAPA)</w:t>
      </w:r>
      <w:r>
        <w:rPr>
          <w:noProof/>
          <w:u w:color="000000"/>
          <w:bdr w:val="nil"/>
        </w:rPr>
        <w:t xml:space="preserve"> да се включи в списъка на веществата, фигуриращи в списъците към Конвенцията, с цел</w:t>
      </w:r>
      <w:r>
        <w:rPr>
          <w:noProof/>
        </w:rPr>
        <w:t xml:space="preserve"> </w:t>
      </w:r>
      <w:r>
        <w:rPr>
          <w:noProof/>
          <w:shd w:val="clear" w:color="auto" w:fill="FFFFFF"/>
        </w:rPr>
        <w:t>да се изиска държавите да приемат мерки за контрол и наблюдение на законната търговия с</w:t>
      </w:r>
      <w:r>
        <w:rPr>
          <w:noProof/>
        </w:rPr>
        <w:t xml:space="preserve"> метил </w:t>
      </w:r>
      <w:r>
        <w:rPr>
          <w:i/>
          <w:noProof/>
        </w:rPr>
        <w:t>алфа</w:t>
      </w:r>
      <w:r>
        <w:rPr>
          <w:noProof/>
        </w:rPr>
        <w:t>-фенилацетоацетат (MAPA)</w:t>
      </w:r>
      <w:r>
        <w:rPr>
          <w:noProof/>
          <w:u w:color="000000"/>
          <w:bdr w:val="nil"/>
        </w:rPr>
        <w:t xml:space="preserve"> </w:t>
      </w:r>
      <w:r>
        <w:rPr>
          <w:noProof/>
          <w:shd w:val="clear" w:color="auto" w:fill="FFFFFF"/>
        </w:rPr>
        <w:t xml:space="preserve"> като основно средство за предотвратяване на злоупотреби.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Съгласно Конвенцията решенията на Комисията за упойващите вещества стават обвързващи, освен ако в рамките на предвидения срок някоя от страните поиска от Икономическия и социален съвет да преразгледа решението</w:t>
      </w:r>
      <w:r>
        <w:rPr>
          <w:rStyle w:val="FootnoteReference"/>
          <w:noProof/>
          <w:u w:color="000000"/>
          <w:bdr w:val="nil"/>
        </w:rPr>
        <w:footnoteReference w:id="3"/>
      </w:r>
      <w:r>
        <w:rPr>
          <w:noProof/>
          <w:u w:color="000000"/>
          <w:bdr w:val="nil"/>
        </w:rPr>
        <w:t>. Решенията на ECOSOC по въпроса са окончателни. Предвидените актове ще станат обвързващи за страните в съответствие с член 12 от Конвенцията, в чиито съответни разпоредби се предвижда следното: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„Всяко решение, взето от комисията в съответствие с този член, се съобщава от генералния секретар на всички държави и други организации, които са или могат да станат страни по тази конвенция, и на органа. То влиза в сила за всяка страна 180 дни от датата, на която то е било съобщено.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Решенията, взети от комисията в съответствие с този член, се внасят в съвета за преразглеждане, ако в периода от 180 дни от датата на тяхното съобщаване някоя страна подаде молба за това. Молбата трябва да бъде адресирана до генералния секретар и придружена от всички съществени сведения в нейна подкрепа.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Генералният секретар изпраща копие от молбата и съществените сведения на комисията, органа и всички страни с молба да представят своите забележки в срок 90 дни. Всички получени забележки се изпращат на съвета за проучване.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Съветът може да потвърди или отмени решението на комисията. Неговото решение се съобщава на всички държави и други организации, които са или могат да станат страни по конвенцията, на комисията и на органа.“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Позицията, която трябва да се заеме от името на Съюза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</w:rPr>
        <w:t>На 15 ноември 2019 г. Комисията беше уведомена, че Международният орган за контрол на упойващите вещества препоръчва в списък I към Конвенцията да се добави едно вещество, а именно метил алфа-фенилацетоацетат (MAPA).</w:t>
      </w:r>
      <w:r>
        <w:rPr>
          <w:noProof/>
          <w:u w:color="000000"/>
          <w:bdr w:val="nil"/>
        </w:rPr>
        <w:t xml:space="preserve"> 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  <w:u w:color="000000"/>
          <w:bdr w:val="nil"/>
        </w:rPr>
        <w:t xml:space="preserve">Съгласно оценката на Международния орган за контрол на упойващите вещества, веществото </w:t>
      </w:r>
      <w:r>
        <w:rPr>
          <w:noProof/>
        </w:rPr>
        <w:t xml:space="preserve">метил </w:t>
      </w:r>
      <w:r>
        <w:rPr>
          <w:i/>
          <w:noProof/>
        </w:rPr>
        <w:t>алфа</w:t>
      </w:r>
      <w:r>
        <w:rPr>
          <w:noProof/>
        </w:rPr>
        <w:t>-фенилацетоацетат (</w:t>
      </w:r>
      <w:r>
        <w:rPr>
          <w:noProof/>
          <w:u w:color="000000"/>
          <w:bdr w:val="nil"/>
        </w:rPr>
        <w:t xml:space="preserve">MAPA) </w:t>
      </w:r>
      <w:r>
        <w:rPr>
          <w:noProof/>
        </w:rPr>
        <w:t xml:space="preserve"> често се използва при незаконното производство на амфетамин и метамфетамин. Има данни, че обемът и обхватът на незаконното производство на тези упойващи и психотропни вещества представлява сериозен социален проблем и проблем за общественото здравеопазване, което налага посоченото вещество да бъде поставено под международен контрол.  Освен това, веществото метил </w:t>
      </w:r>
      <w:r>
        <w:rPr>
          <w:i/>
          <w:noProof/>
        </w:rPr>
        <w:t>алфа</w:t>
      </w:r>
      <w:r>
        <w:rPr>
          <w:noProof/>
        </w:rPr>
        <w:t>-фенилацетоацетат няма известна законна употреба, освен в малко количества за научни изследвания и разработки, както и за лабораторни анализи.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 xml:space="preserve">Незаконното производство на амфетамин и метамфетамин е сериозен проблем в Съюза. Тези незаконно произвеждани упойващи и психотропни вещества създават значителни проблеми за общественото здравеопазване и социални проблеми в Съюза. Освен това тези упойващи и психотропни вещества се изнасят за трети държави от организирани престъпни групи в Съюза. </w:t>
      </w:r>
    </w:p>
    <w:p>
      <w:pPr>
        <w:rPr>
          <w:noProof/>
          <w:szCs w:val="24"/>
        </w:rPr>
      </w:pPr>
      <w:r>
        <w:rPr>
          <w:noProof/>
        </w:rPr>
        <w:lastRenderedPageBreak/>
        <w:t xml:space="preserve">Следва да се отбележи, че след дискусии през май 2019 г. в рамките на групата експерти от ЕС по въпросите на прекурсорите на наркотичните вещества Комисията в момента е в процес на изготвяне на делегиран регламент, с който се добавят редица вещества, в това число и метил </w:t>
      </w:r>
      <w:r>
        <w:rPr>
          <w:i/>
          <w:noProof/>
        </w:rPr>
        <w:t>алфа</w:t>
      </w:r>
      <w:r>
        <w:rPr>
          <w:noProof/>
        </w:rPr>
        <w:t>-фенилацетоацетат (МАРА), към приложение 1 към Регламент (ЕО) № 273/2004 на Европейския парламент и на Съвета от 11 февруари 2004 г. относно прекурсорите на наркотичните вещества и към приложението към Регламент (ЕО) 111/2005 на Съвета от 22 декември 2004 г. за определяне на правила за мониторинг на търговията между Съюзa и трети страни в областта на прекурсорите.</w:t>
      </w:r>
      <w:r>
        <w:rPr>
          <w:rStyle w:val="FootnoteReference"/>
          <w:noProof/>
          <w:u w:color="000000"/>
          <w:bdr w:val="nil"/>
        </w:rPr>
        <w:t xml:space="preserve"> </w:t>
      </w:r>
      <w:r>
        <w:rPr>
          <w:rStyle w:val="FootnoteReference"/>
          <w:noProof/>
          <w:u w:color="000000"/>
          <w:bdr w:val="nil"/>
        </w:rPr>
        <w:footnoteReference w:id="4"/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Във връзка с това държавите — членки на Съюза следва да изразят позицията в Комисията за упойващите вещества в подкрепа на добавянето</w:t>
      </w:r>
      <w:r>
        <w:rPr>
          <w:noProof/>
        </w:rPr>
        <w:t xml:space="preserve"> на метил </w:t>
      </w:r>
      <w:r>
        <w:rPr>
          <w:i/>
          <w:noProof/>
        </w:rPr>
        <w:t>алфа</w:t>
      </w:r>
      <w:r>
        <w:rPr>
          <w:noProof/>
        </w:rPr>
        <w:t xml:space="preserve">-фенилацетоацетат (MAPA) в </w:t>
      </w:r>
      <w:r>
        <w:rPr>
          <w:noProof/>
          <w:u w:color="000000"/>
          <w:bdr w:val="nil"/>
        </w:rPr>
        <w:t>Списък I към Конвенцията</w:t>
      </w:r>
      <w:r>
        <w:rPr>
          <w:noProof/>
        </w:rPr>
        <w:t>.</w:t>
      </w:r>
    </w:p>
    <w:p>
      <w:pPr>
        <w:rPr>
          <w:rFonts w:eastAsia="Arial Unicode MS"/>
          <w:noProof/>
        </w:rPr>
      </w:pPr>
      <w:r>
        <w:rPr>
          <w:noProof/>
          <w:u w:color="000000"/>
          <w:bdr w:val="nil"/>
        </w:rPr>
        <w:t>Промените в списъците към Конвенцията се отразяват пряко върху приложното поле на правото на ЕС в областта на контрола върху прекурсорите на наркотични вещества, тъй като добавените в списъците към Конвенцията вещества трябва да бъдат включени в правния ред на Съюза. За да се гарантира това, на Комисията са предоставени правомощия да приема делегирани актове.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Правно основание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Процесуалноправно основание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>В член 218, параграф 9 от Договора за функционирането на Европейския съюз (ДФЕС) се предвижда приемането на решения за установяване на „</w:t>
      </w:r>
      <w:r>
        <w:rPr>
          <w:i/>
          <w:iCs/>
          <w:noProof/>
        </w:rPr>
        <w:t>позициите, които трябва да се заемат от името на Съюза в рамките на орган, създаден със споразумение, когато този орган има за задача да приема актове с правно действие, с изключение на актовете за допълнение или изменение на институционалната рамка на споразумението</w:t>
      </w:r>
      <w:r>
        <w:rPr>
          <w:noProof/>
        </w:rPr>
        <w:t>“.</w:t>
      </w:r>
    </w:p>
    <w:p>
      <w:pPr>
        <w:rPr>
          <w:noProof/>
        </w:rPr>
      </w:pPr>
      <w:r>
        <w:rPr>
          <w:noProof/>
        </w:rPr>
        <w:t>Член 218, параграф 9 от ДФЕС се прилага независимо от това дали Съюзът е член на органа или страна по споразумението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Понятието </w:t>
      </w:r>
      <w:r>
        <w:rPr>
          <w:i/>
          <w:noProof/>
        </w:rPr>
        <w:t>„актове с правно действие“</w:t>
      </w:r>
      <w:r>
        <w:rPr>
          <w:noProof/>
        </w:rPr>
        <w:t xml:space="preserve"> включва актовете с правно действие по силата на нормите на международното право, които уреждат съответния орган. То включва и инструментите, които нямат задължителен характер съгласно международното право, но са </w:t>
      </w:r>
      <w:r>
        <w:rPr>
          <w:i/>
          <w:noProof/>
        </w:rPr>
        <w:t>„годни да окажат съществено въздействие върху съдържанието на приеманата от законодателя на Съюза нормативна уредба“.</w:t>
      </w:r>
      <w:r>
        <w:rPr>
          <w:rStyle w:val="FootnoteReference"/>
          <w:noProof/>
        </w:rPr>
        <w:footnoteReference w:id="6"/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Приложение в конкретния случай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Комисията за упойващите вещества</w:t>
      </w:r>
      <w:r>
        <w:rPr>
          <w:noProof/>
        </w:rPr>
        <w:t xml:space="preserve"> е орган, създаден със споразумение, а именно Конвенцията на Организацията на обединените нации за борба срещу незаконния трафик на упойващи и психотропни вещества.</w:t>
      </w:r>
    </w:p>
    <w:p>
      <w:r>
        <w:rPr>
          <w:noProof/>
        </w:rPr>
        <w:lastRenderedPageBreak/>
        <w:t xml:space="preserve">Актовете, които </w:t>
      </w:r>
      <w:r>
        <w:rPr>
          <w:noProof/>
          <w:u w:color="000000"/>
          <w:bdr w:val="nil"/>
        </w:rPr>
        <w:t>Комисията за упойващите вещества</w:t>
      </w:r>
      <w:r>
        <w:rPr>
          <w:noProof/>
        </w:rPr>
        <w:t xml:space="preserve"> има за задача да приеме, представляват актове с правно действие. Предвидените актове ще бъдат обвързващи съгласно международното право в съответствие с член 12 от Конвенцията на </w:t>
      </w:r>
      <w:r>
        <w:rPr>
          <w:noProof/>
          <w:u w:color="000000"/>
          <w:bdr w:val="nil"/>
        </w:rPr>
        <w:t>Организацията на обединените нации за борба срещу незаконния трафик на упойващи и психотропни вещества</w:t>
      </w:r>
      <w:r>
        <w:rPr>
          <w:noProof/>
        </w:rPr>
        <w:t>. Предвидените актове са годни да окажат съществено въздействие върху съдържанието на законодателството на ЕС, и по-специално:</w:t>
      </w:r>
      <w:r>
        <w:rPr>
          <w:noProof/>
          <w:u w:color="000000"/>
          <w:bdr w:val="nil"/>
        </w:rPr>
        <w:t xml:space="preserve"> Регламент (ЕО) № 111/2005 на Съвета от 22 декември 2004 г. за определяне на правила за мониторинг на търговията между Съюза и трети страни в областта на прекурсорите (ОВ L 22, 26.1.2005 г., стр. 1) и Регламент (ЕО) № 273/2004 на Европейския парламент и на Съвета от 11 февруари 2004 г. относно прекурсорите на наркотичните вещества.</w:t>
      </w:r>
      <w:r>
        <w:rPr>
          <w:noProof/>
        </w:rPr>
        <w:t xml:space="preserve"> Това е така, защото </w:t>
      </w:r>
      <w:r>
        <w:rPr>
          <w:noProof/>
          <w:u w:color="000000"/>
          <w:bdr w:val="nil"/>
        </w:rPr>
        <w:t>промените в списъците към Конвенцията се отразяват пряко върху приложното поле на правото на ЕС в областта на контрола върху прекурсорите на наркотични вещества, тъй като добавените в списъците към Конвенцията вещества трябва да бъдат включени в правния ред на Съюза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Предвиденият акт не допълва, нито изменя институционалната рамка на споразумението.</w:t>
      </w:r>
    </w:p>
    <w:p>
      <w:pPr>
        <w:rPr>
          <w:noProof/>
        </w:rPr>
      </w:pPr>
      <w:r>
        <w:rPr>
          <w:noProof/>
        </w:rPr>
        <w:t>Поради това процесуалноправното основание за предложеното решение е член 218, параграф 9 от ДФЕС.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Материалноправно основание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Принципи</w:t>
      </w:r>
    </w:p>
    <w:p>
      <w:pPr>
        <w:rPr>
          <w:noProof/>
        </w:rPr>
      </w:pPr>
      <w:r>
        <w:rPr>
          <w:noProof/>
        </w:rPr>
        <w:t>Материалноправното основание за дадено решение съгласно член 218, параграф 9 от ДФЕС зависи преди всичко от целта и съдържанието на предвидения акт, във връзка с който се заема позиция от името на Съюза. Ако предвиденият акт преследва две цели или се състои от две части и ако едната от целите или частите може да се определи като основна, докато другата е само акцесорна, решението съгласно член 218, параграф 9 от ДФЕС трябва да се основава на едно-единствено материалноправно основание, а именно на изискваното от основната или преобладаващата цел или част.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Приложение в конкретния случай</w:t>
      </w:r>
    </w:p>
    <w:p>
      <w:pPr>
        <w:rPr>
          <w:noProof/>
        </w:rPr>
      </w:pPr>
      <w:r>
        <w:rPr>
          <w:noProof/>
        </w:rPr>
        <w:t>Основната цел и съдържанието на предвидения акт са свързани с общата търговска политика.</w:t>
      </w:r>
    </w:p>
    <w:p>
      <w:pPr>
        <w:autoSpaceDE w:val="0"/>
        <w:autoSpaceDN w:val="0"/>
        <w:adjustRightInd w:val="0"/>
        <w:spacing w:after="240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</w:rPr>
        <w:t xml:space="preserve">Поради това материалноправното основание за предложеното решение е </w:t>
      </w:r>
      <w:r>
        <w:rPr>
          <w:noProof/>
          <w:u w:color="000000"/>
          <w:bdr w:val="nil"/>
        </w:rPr>
        <w:t>член 207 от Договора за функционирането на Европейския съюз</w:t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Заключение</w:t>
      </w:r>
    </w:p>
    <w:p>
      <w:pPr>
        <w:rPr>
          <w:noProof/>
        </w:rPr>
      </w:pPr>
      <w:r>
        <w:rPr>
          <w:noProof/>
        </w:rPr>
        <w:t>Правното основание на предложеното решение следва да бъде член 207 от ДФЕС във връзка с член 218, параграф 9 от ДФЕС.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Публикуване на предвидения акт</w:t>
      </w:r>
    </w:p>
    <w:p>
      <w:pPr>
        <w:rPr>
          <w:noProof/>
        </w:rPr>
      </w:pPr>
      <w:r>
        <w:rPr>
          <w:noProof/>
        </w:rPr>
        <w:t xml:space="preserve">Тъй като актовете на Комисията за упойващите вещества ще изменят списъците към Конвенцията на Организацията на обединените нации за борба срещу незаконния трафик на упойващи и психотропни вещества, </w:t>
      </w:r>
      <w:r>
        <w:t xml:space="preserve"> </w:t>
      </w:r>
      <w:r>
        <w:rPr>
          <w:noProof/>
        </w:rPr>
        <w:t xml:space="preserve">е целесъобразно след приемането им те да бъдат публикувани в </w:t>
      </w:r>
      <w:r>
        <w:rPr>
          <w:i/>
          <w:noProof/>
        </w:rPr>
        <w:t>Официален вестник на Европейския съюз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2020/0007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относно позицията, която да бъде заета от името на Европейския съюз в рамките на шестдесет и третата сесия на Комисията за упойващите вещества, във връзка с добавянето на вещества в Списък I към Конвенцията на Организацията на обединените нации за борба срещу незаконния трафик на упойващи и психотропни вещества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207</w:t>
      </w:r>
      <w:r>
        <w:t xml:space="preserve"> </w:t>
      </w:r>
      <w:r>
        <w:rPr>
          <w:noProof/>
        </w:rPr>
        <w:t>във връзка с член 218, параграф 9 от него,</w:t>
      </w:r>
    </w:p>
    <w:p>
      <w:pPr>
        <w:rPr>
          <w:noProof/>
        </w:rPr>
      </w:pPr>
      <w:r>
        <w:rPr>
          <w:noProof/>
        </w:rPr>
        <w:t xml:space="preserve">като взе предвид предложението на Европейската комисия, 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Конвенцията на Организацията на обединените нации за борба срещу незаконния трафик на упойващи и психотропни вещества от 1988 г. („Конвенцията“) влезе в сила на 11 ноември 1990 г. и беше сключена от името на Европейската икономическа общност с Решение 90/611/ЕИО на Съвета</w:t>
      </w:r>
      <w:r>
        <w:rPr>
          <w:rStyle w:val="FootnoteReference"/>
          <w:noProof/>
        </w:rPr>
        <w:footnoteReference w:id="7"/>
      </w:r>
      <w:r>
        <w:rPr>
          <w:rStyle w:val="FootnoteReference"/>
          <w:noProof/>
        </w:rPr>
        <w:t xml:space="preserve">. 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Съгласно член 12, параграфи 2—7</w:t>
      </w:r>
      <w:r>
        <w:t xml:space="preserve"> </w:t>
      </w:r>
      <w:r>
        <w:rPr>
          <w:noProof/>
        </w:rPr>
        <w:t xml:space="preserve"> от Конвенцията в списъците към Конвенцията, в които са изброени прекурсори на наркотични вещества, е възможно да бъдат добавяни нови вещества.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По време на своята шестдесет и трета сесия, която ще се състои от 2 до 6 март 2020 г. във Виена, Комисията за упойващите вещества следва да вземе решение относно добавянето на едно ново вещество в списъците към Конвенцията.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Целесъобразно е да се установи позицията, която трябва да се заеме от името на Съюза в рамките на Комисията за упойващите вещества, тъй като решението ще бъде обвързващо за Съюза и е годно да окаже съществено въздействие върху съдържанието на правото на Съюза, по-специално върху Регламент (ЕО) № 111/2005 на Съвета от 22 декември 2004 г. за определяне на правила за мониторинг на търговията между Съюза и трети страни в областта на прекурсорите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и Регламент (ЕО) № 273/2004 на Европейския парламент и на Съвета от 11 февруари 2004 г. относно прекурсорите на наркотичните вещества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Съгласно оценката на Международния орган за контрол на упойващите вещества, веществото метил </w:t>
      </w:r>
      <w:r>
        <w:rPr>
          <w:i/>
          <w:noProof/>
        </w:rPr>
        <w:t>алфа</w:t>
      </w:r>
      <w:r>
        <w:rPr>
          <w:noProof/>
        </w:rPr>
        <w:t xml:space="preserve">-фенилацетоацетат (MAPA)  често се използва при незаконното производство на амфетамин и метамфетамин. Има данни, че обемът и обхватът на незаконното производство на упойващи и психотропни вещества представлява сериозен социален проблем и проблем за общественото </w:t>
      </w:r>
      <w:r>
        <w:rPr>
          <w:noProof/>
        </w:rPr>
        <w:lastRenderedPageBreak/>
        <w:t xml:space="preserve">здравеопазване, което налага те да бъдат поставени под международен контрол. Незаконното производство на амфетамин и метамфетамин създава значителни проблеми за общественото здравеопазване и социални проблеми в Съюза. Инцидентите, свързани с трафика на метил </w:t>
      </w:r>
      <w:r>
        <w:rPr>
          <w:i/>
          <w:noProof/>
        </w:rPr>
        <w:t>алфа</w:t>
      </w:r>
      <w:r>
        <w:rPr>
          <w:noProof/>
        </w:rPr>
        <w:t>-фенилацетоацетат (МАРА) са все по-чести и с по-големи количества, а организирани престъпни групи в Съюза се занимават с незаконен износ на амфетамин и метамфетамин в трети държави.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Позицията на Съюза трябва да бъде изразена от държавите — членки на Съюза, които са членове на Комисията за упойващите вещества</w:t>
      </w:r>
      <w:r>
        <w:t>.</w:t>
      </w:r>
    </w:p>
    <w:p>
      <w:pPr>
        <w:pStyle w:val="Formuledadoption"/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rPr>
          <w:bCs/>
          <w:noProof/>
          <w:szCs w:val="24"/>
        </w:rPr>
      </w:pPr>
      <w:r>
        <w:rPr>
          <w:noProof/>
        </w:rPr>
        <w:t>Позицията, която трябва да се заеме от името на Съюза на шестдесет и третата сесия на Комисията за упойващите вещества, е следната:</w:t>
      </w:r>
    </w:p>
    <w:p>
      <w:pPr>
        <w:rPr>
          <w:noProof/>
        </w:rPr>
      </w:pPr>
      <w:r>
        <w:rPr>
          <w:noProof/>
        </w:rPr>
        <w:t xml:space="preserve">веществото метил </w:t>
      </w:r>
      <w:r>
        <w:rPr>
          <w:i/>
          <w:noProof/>
        </w:rPr>
        <w:t>алфа</w:t>
      </w:r>
      <w:r>
        <w:rPr>
          <w:noProof/>
        </w:rPr>
        <w:t xml:space="preserve">-фенилацетоацетат (МАРА) да се включи в Списък I към Конвенцията </w:t>
      </w:r>
    </w:p>
    <w:p>
      <w:pPr>
        <w:pStyle w:val="Titrearticle"/>
        <w:rPr>
          <w:noProof/>
        </w:rPr>
      </w:pPr>
      <w:r>
        <w:rPr>
          <w:noProof/>
        </w:rPr>
        <w:t>Член 2</w:t>
      </w:r>
    </w:p>
    <w:p>
      <w:pPr>
        <w:rPr>
          <w:noProof/>
        </w:rPr>
      </w:pPr>
      <w:r>
        <w:rPr>
          <w:noProof/>
        </w:rPr>
        <w:t>Позицията по член 1 се изразява съвместно от държавите — членки на Съюза, които са членове на Комисията за упойващите вещества.</w:t>
      </w:r>
    </w:p>
    <w:p>
      <w:pPr>
        <w:pStyle w:val="Titrearticle"/>
        <w:rPr>
          <w:noProof/>
        </w:rPr>
      </w:pPr>
      <w:r>
        <w:rPr>
          <w:noProof/>
        </w:rPr>
        <w:t>Член 3</w:t>
      </w:r>
    </w:p>
    <w:p>
      <w:pPr>
        <w:rPr>
          <w:noProof/>
        </w:rPr>
      </w:pPr>
      <w:r>
        <w:rPr>
          <w:noProof/>
        </w:rPr>
        <w:t>Адресати на настоящото решение са държавите членки.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Решение на Съвета от 22 октомври 1990 г. относно сключването от името на Европейската икономическа общност на Конвенцията на Организацията на обединените нации за борба срещу незаконния трафик на упойващи и психотропни вещества (OВ L 326, 24.11.1990 г., стр. 56).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Белгия, Чехия, Германия, Испания, Франция, Хърватия, Италия, Унгария, Нидерландия, Австрия, Полша, Швеция и Обединеното кралство. Членството в Обединеното кралство в ЕС подлежи на промяна в резултат на искането на Обединеното кралство да се оттегли от членството си в ЕС.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Член 12, параграф 7 от Конвенцията на ООН от 1988 г.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Регламент (ЕО) № 111/2005 на Съвета от 22 декември 2004 г. за определяне на правила за мониторинг на търговията между Съюза и трети страни в областта на прекурсорите (ОВ L 22, 26.1.2005 г., стр. 1) и Регламент (ЕО) № 273/2004 на Европейския парламент и на Съвета от 11 февруари 2004 г. относно прекурсорите на наркотичните вещества (ОВ L 47, 18.2.2004 г., стр.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Решение на Съда на Европейския съюз от 7 октомври 2014 г., Германия/Съвет, C-399/12, ECLI:EU:C:2014:2258, т. 64.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Решение на Съда на ЕС от 7 октомври 2014 г. по дело Германия/Съвет, C-399/12, ECLI:EU:C:2014:2258, т. 61—64. </w:t>
      </w:r>
    </w:p>
  </w:footnote>
  <w:footnote w:id="7">
    <w:p>
      <w:pPr>
        <w:pStyle w:val="Footnote"/>
        <w:spacing w:after="0"/>
        <w:rPr>
          <w:rStyle w:val="FootnoteTextChar"/>
          <w:lang w:val="bg-BG"/>
        </w:rPr>
      </w:pPr>
      <w:r>
        <w:rPr>
          <w:rStyle w:val="FootnoteReference"/>
        </w:rPr>
        <w:footnoteRef/>
      </w:r>
      <w:r>
        <w:tab/>
      </w:r>
      <w:r>
        <w:rPr>
          <w:rStyle w:val="FootnoteTextChar"/>
          <w:lang w:val="bg-BG"/>
        </w:rPr>
        <w:t xml:space="preserve">ОВ </w:t>
      </w:r>
      <w:r>
        <w:rPr>
          <w:rStyle w:val="FootnoteTextChar"/>
        </w:rPr>
        <w:t>L</w:t>
      </w:r>
      <w:r>
        <w:rPr>
          <w:rStyle w:val="FootnoteTextChar"/>
          <w:lang w:val="bg-BG"/>
        </w:rPr>
        <w:t xml:space="preserve"> 326, 24.11.1990</w:t>
      </w:r>
      <w:r>
        <w:rPr>
          <w:rStyle w:val="FootnoteTextChar"/>
        </w:rPr>
        <w:t> </w:t>
      </w:r>
      <w:r>
        <w:rPr>
          <w:rStyle w:val="FootnoteTextChar"/>
          <w:lang w:val="bg-BG"/>
        </w:rPr>
        <w:t>г., стр.</w:t>
      </w:r>
      <w:r>
        <w:rPr>
          <w:rStyle w:val="FootnoteTextChar"/>
        </w:rPr>
        <w:t> </w:t>
      </w:r>
      <w:r>
        <w:rPr>
          <w:rStyle w:val="FootnoteTextChar"/>
          <w:lang w:val="bg-BG"/>
        </w:rPr>
        <w:t>56.</w:t>
      </w:r>
    </w:p>
  </w:footnote>
  <w:footnote w:id="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ОВ L 22, 26.1.2005 г., стр. 1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ОВ L 47, 18.2.2004 г., стр.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F0E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9F63E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0CA5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DCA6D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5402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7B095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D16C0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230C9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1-10 09:30:2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5FFEAC8-C0CD-4F4E-B1AF-F37567E27677"/>
    <w:docVar w:name="LW_COVERPAGE_TYPE" w:val="1"/>
    <w:docVar w:name="LW_CROSSREFERENCE" w:val="&lt;UNUSED&gt;"/>
    <w:docVar w:name="LW_DocType" w:val="COM"/>
    <w:docVar w:name="LW_EMISSION" w:val="17.1.2020"/>
    <w:docVar w:name="LW_EMISSION_ISODATE" w:val="2020-01-17"/>
    <w:docVar w:name="LW_EMISSION_LOCATION" w:val="BRX"/>
    <w:docVar w:name="LW_EMISSION_PREFIX" w:val="Брюксел, "/>
    <w:docVar w:name="LW_EMISSION_SUFFIX" w:val=" \u1075?.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20"/>
    <w:docVar w:name="LW_REF.INST.NEW" w:val="COM"/>
    <w:docVar w:name="LW_REF.INST.NEW_ADOPTED" w:val="final"/>
    <w:docVar w:name="LW_REF.INST.NEW_TEXT" w:val="(2020) 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86?\u1090?\u1085?\u1086?\u1089?\u1085?\u1086? \u1087?\u1086?\u1079?\u1080?\u1094?\u1080?\u1103?\u1090?\u1072?, \u1082?\u1086?\u1103?\u1090?\u1086? \u1076?\u1072? \u1073?\u1098?\u1076?\u1077? \u1079?\u1072?\u1077?\u1090?\u1072? \u1086?\u1090? \u1080?\u1084?\u1077?\u1090?\u1086? \u1085?\u1072? \u1045?\u1074?\u1088?\u1086?\u1087?\u1077?\u1081?\u1089?\u1082?\u1080?\u1103? \u1089?\u1098?\u1102?\u1079? \u1074? \u1088?\u1072?\u1084?\u1082?\u1080?\u1090?\u1077? \u1085?\u1072? \u1096?\u1077?\u1089?\u1090?\u1076?\u1077?\u1089?\u1077?\u1090? \u1080? \u1090?\u1088?\u1077?\u1090?\u1072?\u1090?\u1072? \u1089?\u1077?\u1089?\u1080?\u1103? \u1085?\u1072? \u1050?\u1086?\u1084?\u1080?\u1089?\u1080?\u1103?\u1090?\u1072? \u1079?\u1072? \u1091?\u1087?\u1086?\u1081?\u1074?\u1072?\u1097?\u1080?\u1090?\u1077? \u1074?\u1077?\u1097?\u1077?\u1089?\u1090?\u1074?\u1072?, \u1074?\u1098?\u1074? \u1074?\u1088?\u1098?\u1079?\u1082?\u1072? \u1089? \u1076?\u1086?\u1073?\u1072?\u1074?\u1103?\u1085?\u1077?\u1090?\u1086? \u1085?\u1072? \u1074?\u1077?\u1097?\u1077?\u1089?\u1090?\u1074?\u1072? \u1074? \u1057?\u1087?\u1080?\u1089?\u1098?\u1082? I \u1082?\u1098?\u1084? \u1050?\u1086?\u1085?\u1074?\u1077?\u1085?\u1094?\u1080?\u1103?\u1090?\u1072? \u1085?\u1072? \u1054?\u1088?\u1075?\u1072?\u1085?\u1080?\u1079?\u1072?\u1094?\u1080?\u1103?\u1090?\u1072? \u1085?\u1072? \u1086?\u1073?\u1077?\u1076?\u1080?\u1085?\u1077?\u1085?\u1080?\u1090?\u1077? \u1085?\u1072?\u1094?\u1080?\u1080? \u1079?\u1072? \u1073?\u1086?\u1088?\u1073?\u1072? \u1089?\u1088?\u1077?\u1097?\u1091? \u1085?\u1077?\u1079?\u1072?\u1082?\u1086?\u1085?\u1085?\u1080?\u1103? \u1090?\u1088?\u1072?\u1092?\u1080?\u1082? \u1085?\u1072? \u1091?\u1087?\u1086?\u1081?\u1074?\u1072?\u1097?\u1080? \u1080? \u1087?\u1089?\u1080?\u1093?\u1086?\u1090?\u1088?\u1086?\u1087?\u1085?\u1080? \u1074?\u1077?\u1097?\u1077?\u1089?\u1090?\u1074?\u1072?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9A62DE-B322-4407-937F-85E25E2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2074</Words>
  <Characters>11764</Characters>
  <Application>Microsoft Office Word</Application>
  <DocSecurity>0</DocSecurity>
  <Lines>221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2019-12-17T09:18:00Z</cp:lastPrinted>
  <dcterms:created xsi:type="dcterms:W3CDTF">2020-01-09T16:18:00Z</dcterms:created>
  <dcterms:modified xsi:type="dcterms:W3CDTF">2020-01-10T08:30:00Z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