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FA5BFFA-6439-4AC1-9A1E-F84394DEC52E" style="width:450.75pt;height:39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b/>
          <w:smallCaps/>
          <w:noProof/>
          <w:sz w:val="28"/>
          <w:szCs w:val="24"/>
        </w:rPr>
      </w:pPr>
      <w:bookmarkStart w:id="1" w:name="_GoBack"/>
      <w:bookmarkEnd w:id="1"/>
      <w:r>
        <w:rPr>
          <w:b/>
          <w:smallCaps/>
          <w:noProof/>
          <w:sz w:val="28"/>
        </w:rPr>
        <w:lastRenderedPageBreak/>
        <w:t xml:space="preserve">Priloga: Pobude Komisije </w:t>
      </w:r>
    </w:p>
    <w:p>
      <w:pPr>
        <w:rPr>
          <w:b/>
          <w:smallCaps/>
          <w:noProof/>
          <w:sz w:val="28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Prvo četrtletje leta 2020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prva faza posvetovanja s socialnimi partnerji o minimalnih plačah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naložbeni načrt za trajnostno evropo – naložbeni načrt v okviru evropskega zelenega dogovora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sklad za pravičen prehod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evropska strategija za enakost spolov, ki ji bodo sledili zavezujoči ukrepi za preglednost plač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posodobljen program znanj in spretnosti za evropo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industrijska strategija</w:t>
            </w:r>
          </w:p>
        </w:tc>
      </w:tr>
      <w:tr>
        <w:tc>
          <w:tcPr>
            <w:tcW w:w="2405" w:type="dxa"/>
            <w:vMerge w:val="restart"/>
            <w:tcBorders>
              <w:top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strategija za msp</w:t>
            </w:r>
          </w:p>
        </w:tc>
      </w:tr>
      <w:t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demografsko poročilo</w:t>
            </w:r>
          </w:p>
        </w:tc>
      </w:tr>
      <w:tr>
        <w:trPr>
          <w:trHeight w:val="4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Drugo četrtletje leta 2020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okrepljeno jamstvo za mlade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posodobljen akcijski načrt za digitalno izobraževanje</w:t>
            </w:r>
          </w:p>
        </w:tc>
      </w:tr>
      <w:tr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Tretje četrtletje leta 2020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 xml:space="preserve">vrh o platformnem delu </w:t>
            </w:r>
          </w:p>
        </w:tc>
      </w:tr>
      <w:t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evropski izobraževalni prostor</w:t>
            </w: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Četrto četrtletje leta 2020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zakon o digitalnih storitvah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zelena knjiga o staranju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evropski načrt za boj proti raku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pobuda za enakost in vključevanje romov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evropski sistem pozavarovanja za primer brezposelnosti</w:t>
            </w:r>
          </w:p>
        </w:tc>
      </w:tr>
      <w:tr>
        <w:tc>
          <w:tcPr>
            <w:tcW w:w="24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2021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akcijski načrt za izvajanje evropskega stebra socialnih pravic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jamstvo za otroke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akcijski načrt za socialno gospodarstvo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strategija o invalidnosti</w:t>
            </w:r>
          </w:p>
        </w:tc>
      </w:tr>
      <w:tr>
        <w:tc>
          <w:tcPr>
            <w:tcW w:w="24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  <w:highlight w:val="yellow"/>
              </w:rPr>
            </w:pPr>
            <w:r>
              <w:rPr>
                <w:smallCaps/>
                <w:noProof/>
              </w:rPr>
              <w:t>dolgoročna vizija za podeželje</w:t>
            </w:r>
          </w:p>
        </w:tc>
      </w:tr>
    </w:tbl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FA5BFFA-6439-4AC1-9A1E-F84394DEC52E"/>
    <w:docVar w:name="LW_COVERPAGE_TYPE" w:val="1"/>
    <w:docVar w:name="LW_CROSSREFERENCE" w:val="&lt;UNUSED&gt;"/>
    <w:docVar w:name="LW_DocType" w:val="NORMAL"/>
    <w:docVar w:name="LW_EMISSION" w:val="14.1.2020"/>
    <w:docVar w:name="LW_EMISSION_ISODATE" w:val="2020-01-14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&lt;FMT:Bold&gt;MO\u268?NA SOCIALNA EVROPA ZA PRAVI\u268?EN PREHOD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A_x000b_"/>
    <w:docVar w:name="LW_TYPEACTEPRINCIPAL.CP" w:val="SPORO\u268?ILU KOMISIJE EVROPSKEMU PARLAMENTU, SVETU, EVROPSKEMU EKONOMSKO-SOCIALNEMU ODBORU IN ODBORU REGIJ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931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 Marie Olga (EMPL)</dc:creator>
  <cp:keywords/>
  <dc:description/>
  <cp:lastModifiedBy>WES PDFC Administrator</cp:lastModifiedBy>
  <cp:revision>13</cp:revision>
  <cp:lastPrinted>2020-01-09T07:52:00Z</cp:lastPrinted>
  <dcterms:created xsi:type="dcterms:W3CDTF">2020-01-13T09:09:00Z</dcterms:created>
  <dcterms:modified xsi:type="dcterms:W3CDTF">2020-01-16T16:25:00Z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