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8E1FAD-B22B-4133-8404-B2B55A02E7B3" style="width:450.35pt;height:422.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Bdr>
          <w:top w:val="nil"/>
          <w:left w:val="nil"/>
          <w:bottom w:val="nil"/>
          <w:right w:val="nil"/>
          <w:between w:val="nil"/>
          <w:bar w:val="nil"/>
        </w:pBdr>
        <w:spacing w:before="240" w:after="240"/>
        <w:rPr>
          <w:noProof/>
          <w:szCs w:val="24"/>
        </w:rPr>
      </w:pPr>
      <w:r>
        <w:rPr>
          <w:noProof/>
        </w:rPr>
        <w:t xml:space="preserve">Den 29 mars 2017 anmälde Förenade kungariket till Europeiska rådet sin avsikt att utträda ur Europeiska unionen och Europeiska atomenergigemenskapen i enlighet med artikel 50 i fördraget om Europeiska unionen (nedan kallat </w:t>
      </w:r>
      <w:r>
        <w:rPr>
          <w:i/>
          <w:noProof/>
        </w:rPr>
        <w:t>EU-fördraget)</w:t>
      </w:r>
      <w:r>
        <w:rPr>
          <w:noProof/>
        </w:rPr>
        <w:t xml:space="preserve">. I enlighet med den bestämmelsen förhandlade Europeiska unionen med Förenade kungariket om ett avtal där villkoren för landets utträde fastställdes (nedan kallat </w:t>
      </w:r>
      <w:r>
        <w:rPr>
          <w:i/>
          <w:noProof/>
        </w:rPr>
        <w:t>utträdesavtalet</w:t>
      </w:r>
      <w:r>
        <w:rPr>
          <w:noProof/>
        </w:rPr>
        <w:t xml:space="preserve">), med beaktande av dess framtida förbindelser med unionen. </w:t>
      </w:r>
    </w:p>
    <w:p>
      <w:pPr>
        <w:pBdr>
          <w:top w:val="nil"/>
          <w:left w:val="nil"/>
          <w:bottom w:val="nil"/>
          <w:right w:val="nil"/>
          <w:between w:val="nil"/>
          <w:bar w:val="nil"/>
        </w:pBdr>
        <w:spacing w:after="240"/>
        <w:rPr>
          <w:noProof/>
          <w:szCs w:val="24"/>
        </w:rPr>
      </w:pPr>
      <w:r>
        <w:rPr>
          <w:noProof/>
        </w:rPr>
        <w:t>Den 11 januari 2019 antog rådet beslut (EU) 2019/274 om bemyndigande av undertecknandet av utträdesavtalet</w:t>
      </w:r>
      <w:r>
        <w:rPr>
          <w:rStyle w:val="FootnoteReference"/>
          <w:noProof/>
        </w:rPr>
        <w:footnoteReference w:id="1"/>
      </w:r>
      <w:r>
        <w:rPr>
          <w:noProof/>
        </w:rPr>
        <w:t xml:space="preserve"> och överlämnade utkastet till rådets beslut om ingåendet av utträdesavtalet till Europaparlamentet för godkännande. </w:t>
      </w:r>
    </w:p>
    <w:p>
      <w:pPr>
        <w:rPr>
          <w:noProof/>
          <w:szCs w:val="24"/>
        </w:rPr>
      </w:pPr>
      <w:r>
        <w:rPr>
          <w:noProof/>
        </w:rPr>
        <w:t>Förenade kungarikets regering fick dock inte det stöd som krävdes från landets parlament för att underteckna och ratificera utträdesavtalet och begärde att Europeiska rådet skulle förlänga den tidsfrist som anges i artikel 50.3 i EU-fördraget. Europeiska rådet beviljade inledningsvis en förlängning till och med den 12 april 2019</w:t>
      </w:r>
      <w:r>
        <w:rPr>
          <w:rStyle w:val="FootnoteReference"/>
          <w:noProof/>
        </w:rPr>
        <w:footnoteReference w:id="2"/>
      </w:r>
      <w:r>
        <w:rPr>
          <w:noProof/>
        </w:rPr>
        <w:t>. Denna period förlängdes ytterligare till och med den 31 oktober 2019</w:t>
      </w:r>
      <w:r>
        <w:rPr>
          <w:rStyle w:val="FootnoteReference"/>
          <w:noProof/>
        </w:rPr>
        <w:footnoteReference w:id="3"/>
      </w:r>
      <w:r>
        <w:rPr>
          <w:noProof/>
        </w:rPr>
        <w:t xml:space="preserve"> och därefter till och med den 31 januari 2020</w:t>
      </w:r>
      <w:r>
        <w:rPr>
          <w:rStyle w:val="FootnoteReference"/>
          <w:noProof/>
        </w:rPr>
        <w:footnoteReference w:id="4"/>
      </w:r>
      <w:r>
        <w:rPr>
          <w:noProof/>
        </w:rPr>
        <w:t>.</w:t>
      </w:r>
    </w:p>
    <w:p>
      <w:pPr>
        <w:rPr>
          <w:noProof/>
          <w:szCs w:val="24"/>
        </w:rPr>
      </w:pPr>
      <w:r>
        <w:rPr>
          <w:noProof/>
        </w:rPr>
        <w:t>Enligt artikel 185 tredje stycket i utträdesavtalet får unionen, när den gör den skriftliga anmälan om att den har avslutat sina nödvändiga interna förfaranden, med avseende på varje medlemsstat som har anfört skäl som rör grundläggande principer i den medlemsstatens nationella rätt, förklara att verkställande rättsliga myndigheter i den medlemsstaten under övergångsperioden, utöver de skäl för att vägra verkställighet av en europeisk arresteringsorder som anges i rådets rambeslut 2002/584/RIF</w:t>
      </w:r>
      <w:r>
        <w:rPr>
          <w:rStyle w:val="FootnoteReference"/>
          <w:noProof/>
        </w:rPr>
        <w:footnoteReference w:id="5"/>
      </w:r>
      <w:r>
        <w:rPr>
          <w:noProof/>
        </w:rPr>
        <w:t>, får vägra att överlämna sina medborgare till Förenade kungariket enligt en europeisk arresteringsorder. Enligt artikel 4 i beslut (EU) 2019/274 ska de medlemsstater som avser att utnyttja den möjlighet som föreskrivs i artikel 185 andra stycket i utträdesavtalet informera kommissionen och rådets generalsekretariat om sin avsikt att göra detta före den 15 februari 2019</w:t>
      </w:r>
      <w:r>
        <w:rPr>
          <w:rStyle w:val="FootnoteReference"/>
          <w:noProof/>
        </w:rPr>
        <w:footnoteReference w:id="6"/>
      </w:r>
      <w:r>
        <w:rPr>
          <w:noProof/>
        </w:rPr>
        <w:t xml:space="preserve">. </w:t>
      </w:r>
    </w:p>
    <w:p>
      <w:pPr>
        <w:rPr>
          <w:noProof/>
        </w:rPr>
      </w:pPr>
      <w:r>
        <w:rPr>
          <w:noProof/>
        </w:rPr>
        <w:t>Med tanke på de olika förlängningarna av tidsfristen enligt artikel 50.3 i EU-fördraget är det lämpligt att fastställa en ny tidsfrist inom vilken de medlemsstater som avser att utnyttja denna möjlighet bör informera kommissionen och rådets generalsekretariat om detta.</w:t>
      </w:r>
    </w:p>
    <w:p>
      <w:pPr>
        <w:pBdr>
          <w:top w:val="nil"/>
          <w:left w:val="nil"/>
          <w:bottom w:val="nil"/>
          <w:right w:val="nil"/>
          <w:between w:val="nil"/>
          <w:bar w:val="nil"/>
        </w:pBdr>
        <w:spacing w:after="240"/>
        <w:rPr>
          <w:noProof/>
          <w:szCs w:val="24"/>
        </w:rPr>
        <w:sectPr>
          <w:footerReference w:type="default" r:id="rId11"/>
          <w:footerReference w:type="first" r:id="rId12"/>
          <w:footnotePr>
            <w:numRestart w:val="eachSect"/>
          </w:footnotePr>
          <w:pgSz w:w="11907" w:h="16840" w:code="9"/>
          <w:pgMar w:top="1134" w:right="1418" w:bottom="1134" w:left="1418" w:header="709" w:footer="709" w:gutter="0"/>
          <w:cols w:space="708"/>
          <w:docGrid w:linePitch="360"/>
        </w:sectPr>
      </w:pPr>
      <w:r>
        <w:rPr>
          <w:noProof/>
        </w:rPr>
        <w:lastRenderedPageBreak/>
        <w:t xml:space="preserve">Det är därför nödvändigt att ändra beslut (EU) 2019/274 om undertecknande av utträdesavtalet i enlighet med detta.  </w:t>
      </w:r>
    </w:p>
    <w:p>
      <w:pPr>
        <w:pStyle w:val="Rfrenceinterinstitutionnelle"/>
        <w:rPr>
          <w:noProof/>
        </w:rPr>
      </w:pPr>
      <w:r>
        <w:rPr>
          <w:noProof/>
        </w:rPr>
        <w:lastRenderedPageBreak/>
        <w:t>2020/0012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ändring av beslut (EU) 2019/274 om undertecknande på Europeiska unionens och Europeiska atomenergigemenskapens vägnar av avtalet om Förenade konungariket Storbritannien och Nordirlands utträde ur Europeiska unionen och Europeiska atomenergigemenskapen</w:t>
      </w:r>
    </w:p>
    <w:p>
      <w:pPr>
        <w:pStyle w:val="IntrtEEE"/>
        <w:rPr>
          <w:noProof/>
        </w:rPr>
      </w:pPr>
      <w:r>
        <w:rPr>
          <w:noProof/>
        </w:rPr>
        <w:t>(Text av betydelse för EES)</w:t>
      </w:r>
    </w:p>
    <w:p>
      <w:pPr>
        <w:pStyle w:val="Institutionquiagit"/>
        <w:rPr>
          <w:noProof/>
        </w:rPr>
      </w:pPr>
      <w:r>
        <w:rPr>
          <w:noProof/>
        </w:rPr>
        <w:t>EUROPEISKA UNIONENS RÅD HAR ANTAGIT DETTA BESLUT</w:t>
      </w:r>
    </w:p>
    <w:p>
      <w:pPr>
        <w:rPr>
          <w:noProof/>
        </w:rPr>
      </w:pPr>
      <w:r>
        <w:rPr>
          <w:noProof/>
        </w:rPr>
        <w:t>med beaktande av fördraget om Europeiska unionen, särskilt artikel 50,</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Den 11 januari 2019 antog rådet beslut (EU) 2019/274</w:t>
      </w:r>
      <w:r>
        <w:rPr>
          <w:rStyle w:val="FootnoteReference"/>
          <w:noProof/>
        </w:rPr>
        <w:footnoteReference w:id="7"/>
      </w:r>
      <w:r>
        <w:rPr>
          <w:noProof/>
        </w:rPr>
        <w:t xml:space="preserve"> om undertecknande av utträdesavtalet. </w:t>
      </w:r>
    </w:p>
    <w:p>
      <w:pPr>
        <w:pStyle w:val="ManualConsidrant"/>
        <w:rPr>
          <w:noProof/>
        </w:rPr>
      </w:pPr>
      <w:r>
        <w:t>(2)</w:t>
      </w:r>
      <w:r>
        <w:tab/>
      </w:r>
      <w:r>
        <w:rPr>
          <w:noProof/>
        </w:rPr>
        <w:t>Genom beslut (EU) 2019/476</w:t>
      </w:r>
      <w:r>
        <w:rPr>
          <w:rStyle w:val="FootnoteReference"/>
          <w:noProof/>
        </w:rPr>
        <w:footnoteReference w:id="8"/>
      </w:r>
      <w:r>
        <w:rPr>
          <w:noProof/>
        </w:rPr>
        <w:t xml:space="preserve"> förlängde Europeiska rådet i samförstånd med Förenade kungariket inledningsvis tidsfristen enligt artikel 50.3 i EU-fördraget till och med den 12 april 2019. Den tidsfristen förlängdes ytterligare till och med den 31 oktober 2019 genom Europeiska rådets beslut (EU) 2019/584</w:t>
      </w:r>
      <w:r>
        <w:rPr>
          <w:rStyle w:val="FootnoteReference"/>
          <w:noProof/>
        </w:rPr>
        <w:footnoteReference w:id="9"/>
      </w:r>
      <w:r>
        <w:rPr>
          <w:noProof/>
        </w:rPr>
        <w:t>, antaget i samförstånd med Förenade kungariket, och därefter till och med den 31 januari 2020 genom Europeiska rådets beslut (EU) 2019/1810</w:t>
      </w:r>
      <w:r>
        <w:rPr>
          <w:rStyle w:val="FootnoteReference"/>
          <w:noProof/>
        </w:rPr>
        <w:footnoteReference w:id="10"/>
      </w:r>
      <w:r>
        <w:rPr>
          <w:noProof/>
        </w:rPr>
        <w:t xml:space="preserve">, antaget i samförstånd med Förenade kungariket. </w:t>
      </w:r>
    </w:p>
    <w:p>
      <w:pPr>
        <w:pStyle w:val="ManualConsidrant"/>
        <w:rPr>
          <w:noProof/>
        </w:rPr>
      </w:pPr>
      <w:r>
        <w:t>(3)</w:t>
      </w:r>
      <w:r>
        <w:tab/>
      </w:r>
      <w:r>
        <w:rPr>
          <w:noProof/>
        </w:rPr>
        <w:t>Enligt artikel 185 tredje stycket i utträdesavtalet, i dess anpassade lydelse</w:t>
      </w:r>
      <w:r>
        <w:rPr>
          <w:rStyle w:val="FootnoteReference"/>
          <w:noProof/>
        </w:rPr>
        <w:footnoteReference w:id="11"/>
      </w:r>
      <w:r>
        <w:rPr>
          <w:noProof/>
        </w:rPr>
        <w:t xml:space="preserve">, får unionen, när den gör den skriftliga anmälan om att den har avslutat sina nödvändiga interna förfaranden, med avseende på varje medlemsstat som har anfört skäl som rör grundläggande principer i den medlemsstatens nationella rätt, förklara att </w:t>
      </w:r>
      <w:r>
        <w:rPr>
          <w:noProof/>
        </w:rPr>
        <w:lastRenderedPageBreak/>
        <w:t>verkställande rättsliga myndigheter i den medlemsstaten under övergångsperioden, utöver de skäl för att vägra verkställighet av en europeisk arresteringsorder som anges i rådets rambeslut 2002/584/RIF</w:t>
      </w:r>
      <w:r>
        <w:rPr>
          <w:rStyle w:val="FootnoteReference"/>
          <w:noProof/>
        </w:rPr>
        <w:footnoteReference w:id="12"/>
      </w:r>
      <w:r>
        <w:rPr>
          <w:noProof/>
        </w:rPr>
        <w:t>, får vägra att överlämna sina medborgare till Förenade kungariket enligt en europeisk arresteringsorder. Enligt artikel 4 i beslut (EU) 2019/274 ska de medlemsstater som avser att utnyttja den möjlighet som föreskrivs i artikel 185 tredje stycket i utträdesavtalet informera kommissionen och rådets generalsekretariat om sin avsikt att göra detta före den 15 februari 2019.</w:t>
      </w:r>
    </w:p>
    <w:p>
      <w:pPr>
        <w:pStyle w:val="ManualConsidrant"/>
        <w:rPr>
          <w:noProof/>
        </w:rPr>
      </w:pPr>
      <w:r>
        <w:t>(4)</w:t>
      </w:r>
      <w:r>
        <w:tab/>
      </w:r>
      <w:r>
        <w:rPr>
          <w:noProof/>
        </w:rPr>
        <w:t>Mot bakgrund av de olika förlängningarna av tidsfristen enligt artikel 50.3 i EU-fördraget är det lämpligt att ändra beslut (EU) 2019/274 för att fastställa en ny tidsfrist inom vilken de medlemsstater som avser att utnyttja den möjlighet som föreskrivs i artikel 185 tredje stycket bör informera kommissionen och rådets generalsekretariat om detta. Samtidigt är det lämpligt att anpassa hänvisningen till det berörda stycket i artikel 185 i utträdesavtalet.</w:t>
      </w:r>
    </w:p>
    <w:p>
      <w:pPr>
        <w:pStyle w:val="ManualConsidrant"/>
        <w:rPr>
          <w:noProof/>
        </w:rPr>
      </w:pPr>
      <w:r>
        <w:t>(5)</w:t>
      </w:r>
      <w:r>
        <w:tab/>
      </w:r>
      <w:r>
        <w:rPr>
          <w:noProof/>
        </w:rPr>
        <w:t>Beslut (EU) 2019/274 bör därför ändras i enlighet med detta.</w:t>
      </w:r>
    </w:p>
    <w:p>
      <w:pPr>
        <w:pStyle w:val="ManualConsidrant"/>
        <w:rPr>
          <w:noProof/>
        </w:rPr>
      </w:pPr>
      <w:r>
        <w:t>(6)</w:t>
      </w:r>
      <w:r>
        <w:tab/>
      </w:r>
      <w:r>
        <w:rPr>
          <w:noProof/>
        </w:rPr>
        <w:t>I enlighet med vad som föreskrivs i artikel 50.4 i EU-fördraget har Förenade kungariket inte deltagit i rådets överläggningar som rör detta beslut och inte heller i antagandet av beslutet.</w:t>
      </w:r>
    </w:p>
    <w:p>
      <w:pPr>
        <w:pStyle w:val="Formuledadoption"/>
        <w:rPr>
          <w:noProof/>
        </w:rPr>
      </w:pPr>
      <w:r>
        <w:rPr>
          <w:noProof/>
        </w:rPr>
        <w:t>HÄRIGENOM FÖRESKRIVS FÖLJANDE.</w:t>
      </w:r>
    </w:p>
    <w:p>
      <w:pPr>
        <w:pStyle w:val="Titrearticle"/>
        <w:rPr>
          <w:noProof/>
        </w:rPr>
      </w:pPr>
      <w:r>
        <w:rPr>
          <w:noProof/>
        </w:rPr>
        <w:t>Artikel 1</w:t>
      </w:r>
    </w:p>
    <w:p>
      <w:pPr>
        <w:rPr>
          <w:noProof/>
        </w:rPr>
      </w:pPr>
    </w:p>
    <w:p>
      <w:pPr>
        <w:rPr>
          <w:noProof/>
        </w:rPr>
      </w:pPr>
      <w:r>
        <w:rPr>
          <w:noProof/>
        </w:rPr>
        <w:t>Artikel 4 i beslut (EU) 2019/274 ska ersättas med följande:</w:t>
      </w:r>
    </w:p>
    <w:p>
      <w:pPr>
        <w:jc w:val="center"/>
        <w:rPr>
          <w:noProof/>
        </w:rPr>
      </w:pPr>
      <w:r>
        <w:rPr>
          <w:noProof/>
        </w:rPr>
        <w:t>”</w:t>
      </w:r>
      <w:r>
        <w:rPr>
          <w:i/>
          <w:iCs/>
          <w:noProof/>
        </w:rPr>
        <w:t>Artikel 4</w:t>
      </w:r>
    </w:p>
    <w:p>
      <w:pPr>
        <w:rPr>
          <w:noProof/>
        </w:rPr>
      </w:pPr>
      <w:r>
        <w:rPr>
          <w:noProof/>
        </w:rPr>
        <w:t>De medlemsstater som avser att utnyttja den möjlighet som föreskrivs i artikel 185 tredje stycket i avtalet ska informera kommissionen och rådets generalsekretariat om sin avsikt att göra detta före den 28 januari 2020.”.</w:t>
      </w:r>
    </w:p>
    <w:p>
      <w:pPr>
        <w:rPr>
          <w:noProof/>
        </w:rPr>
      </w:pPr>
    </w:p>
    <w:p>
      <w:pPr>
        <w:pStyle w:val="Titrearticle"/>
        <w:rPr>
          <w:noProof/>
        </w:rPr>
      </w:pPr>
      <w:r>
        <w:rPr>
          <w:noProof/>
        </w:rPr>
        <w:lastRenderedPageBreak/>
        <w:t>Artikel 2</w:t>
      </w:r>
    </w:p>
    <w:p>
      <w:pPr>
        <w:pStyle w:val="Titrearticle"/>
        <w:jc w:val="both"/>
        <w:rPr>
          <w:noProof/>
        </w:rPr>
      </w:pPr>
    </w:p>
    <w:p>
      <w:pPr>
        <w:keepNext/>
        <w:keepLines/>
        <w:rPr>
          <w:noProof/>
        </w:rPr>
      </w:pPr>
      <w:r>
        <w:rPr>
          <w:noProof/>
        </w:rPr>
        <w:t xml:space="preserve">Detta beslut träder i kraft samma dag som det antas. </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(EU) 2019/274 av den 11 januari 2019 om undertecknande på Europeiska unionens och Europeiska atomenergigemenskapens vägnar av avtalet om Förenade konungariket Storbritannien och Nordirlands utträde ur Europeiska unionen och Europeiska atomenergigemenskapen (EUT L 47I, 19.2.2019, s. 1). Texten till utträdesavtalet som bifogats beslut (EU) 2019/274 offentliggjordes i EUT C 66 I, 19.2.2019, s. 1.</w:t>
      </w:r>
    </w:p>
  </w:footnote>
  <w:footnote w:id="2">
    <w:p>
      <w:pPr>
        <w:pStyle w:val="FootnoteText"/>
      </w:pPr>
      <w:r>
        <w:rPr>
          <w:rStyle w:val="FootnoteReference"/>
        </w:rPr>
        <w:footnoteRef/>
      </w:r>
      <w:r>
        <w:tab/>
        <w:t>Europeiska rådets beslut (EU) 2019/476 antaget i samförstånd med Förenade kungariket av den 22 mars 2019 om förlängning av tidsfristen enligt artikel 50.3 i EU-fördraget (EUT L 80 I, 22.3.2019, s. 1).</w:t>
      </w:r>
    </w:p>
  </w:footnote>
  <w:footnote w:id="3">
    <w:p>
      <w:pPr>
        <w:pStyle w:val="FootnoteText"/>
      </w:pPr>
      <w:r>
        <w:rPr>
          <w:rStyle w:val="FootnoteReference"/>
        </w:rPr>
        <w:footnoteRef/>
      </w:r>
      <w:r>
        <w:tab/>
        <w:t>Europeiska rådets beslut (EU) 2019/584 antaget i samförstånd med Förenade kungariket av den 11 april 2019 om förlängning av tidsfristen enligt artikel 50.3 i EU-fördraget (EUT L 101, 11.4.2019, s. 1).</w:t>
      </w:r>
    </w:p>
  </w:footnote>
  <w:footnote w:id="4">
    <w:p>
      <w:pPr>
        <w:pStyle w:val="FootnoteText"/>
      </w:pPr>
      <w:r>
        <w:rPr>
          <w:rStyle w:val="FootnoteReference"/>
        </w:rPr>
        <w:footnoteRef/>
      </w:r>
      <w:r>
        <w:tab/>
        <w:t>Europeiska rådets beslut (EU) 2019/1810 antaget i samförstånd med Förenade kungariket av den 29 oktober 2019 om förlängning av tidsfristen enligt artikel 50.3 i EU-fördraget (EUT L 278I, 30.10.2019, s. 1).</w:t>
      </w:r>
    </w:p>
  </w:footnote>
  <w:footnote w:id="5">
    <w:p>
      <w:pPr>
        <w:pStyle w:val="FootnoteText"/>
      </w:pPr>
      <w:r>
        <w:rPr>
          <w:rStyle w:val="FootnoteReference"/>
        </w:rPr>
        <w:footnoteRef/>
      </w:r>
      <w:r>
        <w:tab/>
        <w:t>Rådets rambeslut 2002/584/RIF av den 13 juni 2002 om en europeisk arresteringsorder och överlämnande mellan medlemsstaterna (EGT L 190, 18.7.2002, s. 1).</w:t>
      </w:r>
    </w:p>
  </w:footnote>
  <w:footnote w:id="6">
    <w:p>
      <w:pPr>
        <w:pStyle w:val="FootnoteText"/>
      </w:pPr>
      <w:r>
        <w:rPr>
          <w:rStyle w:val="FootnoteReference"/>
        </w:rPr>
        <w:footnoteRef/>
      </w:r>
      <w:r>
        <w:tab/>
        <w:t>Beslut (EU) 2019/274 hänvisar till artikel 185 andra stycket i utträdesavtalet, som offentliggjorts i EUT C 66I, 19.2.2019, s. 1. I det anpassade utträdesavtalet, som offentliggjorts i EUT C 384 I, 12.11.2019, s. 1, har andra stycket dock blivit tredje stycket.</w:t>
      </w:r>
    </w:p>
  </w:footnote>
  <w:footnote w:id="7">
    <w:p>
      <w:pPr>
        <w:pStyle w:val="FootnoteText"/>
      </w:pPr>
      <w:r>
        <w:rPr>
          <w:rStyle w:val="FootnoteReference"/>
        </w:rPr>
        <w:footnoteRef/>
      </w:r>
      <w:r>
        <w:tab/>
        <w:t xml:space="preserve">Rådets beslut (EU) 2019/274 av den 11 januari 2019 om undertecknande på Europeiska unionens och Europeiska atomenergigemenskapens vägnar av avtalet om Förenade konungariket Storbritannien och Nordirlands utträde ur Europeiska unionen och Europeiska atomenergigemenskapen (EUT L 47I, 19.2.2019, s. 1). </w:t>
      </w:r>
    </w:p>
  </w:footnote>
  <w:footnote w:id="8">
    <w:p>
      <w:pPr>
        <w:pStyle w:val="FootnoteText"/>
      </w:pPr>
      <w:r>
        <w:rPr>
          <w:rStyle w:val="FootnoteReference"/>
        </w:rPr>
        <w:footnoteRef/>
      </w:r>
      <w:r>
        <w:tab/>
        <w:t>Europeiska rådets beslut (EU) 2019/476 antaget i samförstånd med Förenade kungariket av den 22 mars 2019 om förlängning av tidsfristen enligt artikel 50.3 i EU-fördraget (EUT L 80I, 22.3.2019, s. 1).</w:t>
      </w:r>
    </w:p>
  </w:footnote>
  <w:footnote w:id="9">
    <w:p>
      <w:pPr>
        <w:pStyle w:val="FootnoteText"/>
      </w:pPr>
      <w:r>
        <w:rPr>
          <w:rStyle w:val="FootnoteReference"/>
        </w:rPr>
        <w:footnoteRef/>
      </w:r>
      <w:r>
        <w:tab/>
        <w:t>Europeiska rådets beslut (EU) 2019/584 antaget i samförstånd med Förenade kungariket av den 11 april 2019 om förlängning av tidsfristen enligt artikel 50.3 i EU-fördraget (EUT L 101, 11.4.2019, s. 1).</w:t>
      </w:r>
    </w:p>
  </w:footnote>
  <w:footnote w:id="10">
    <w:p>
      <w:pPr>
        <w:pStyle w:val="FootnoteText"/>
      </w:pPr>
      <w:r>
        <w:rPr>
          <w:rStyle w:val="FootnoteReference"/>
        </w:rPr>
        <w:footnoteRef/>
      </w:r>
      <w:r>
        <w:tab/>
        <w:t>Europeiska rådets beslut (EU) 2019/1810 antaget i samförstånd med Förenade kungariket av den 29 oktober 2019 om förlängning av tidsfristen enligt artikel 50.3 i EU-fördraget (EUT L 278I, 30.10.2019, s. 1).</w:t>
      </w:r>
    </w:p>
  </w:footnote>
  <w:footnote w:id="11">
    <w:p>
      <w:pPr>
        <w:pStyle w:val="FootnoteText"/>
      </w:pPr>
      <w:r>
        <w:rPr>
          <w:rStyle w:val="FootnoteReference"/>
        </w:rPr>
        <w:footnoteRef/>
      </w:r>
      <w:r>
        <w:tab/>
        <w:t>Den anpassade versionen av utträdesavtalet offentliggjordes i EUT C 384 I, 12.11.2019, s. 1.</w:t>
      </w:r>
    </w:p>
  </w:footnote>
  <w:footnote w:id="12">
    <w:p>
      <w:pPr>
        <w:pStyle w:val="FootnoteText"/>
      </w:pPr>
      <w:r>
        <w:rPr>
          <w:rStyle w:val="FootnoteReference"/>
        </w:rPr>
        <w:footnoteRef/>
      </w:r>
      <w:r>
        <w:tab/>
        <w:t>Rådets rambeslut 2002/584/RIF av den 13 juni 2002 om en europeisk arresteringsorder och överlämnande mellan medlemsstaterna (EGT L 190, 18.7.2002,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28"/>
    <w:lvlOverride w:ilvl="0">
      <w:startOverride w:val="1"/>
    </w:lvlOverride>
  </w:num>
  <w:num w:numId="17">
    <w:abstractNumId w:val="28"/>
  </w:num>
  <w:num w:numId="18">
    <w:abstractNumId w:val="25"/>
  </w:num>
  <w:num w:numId="19">
    <w:abstractNumId w:val="17"/>
  </w:num>
  <w:num w:numId="20">
    <w:abstractNumId w:val="27"/>
  </w:num>
  <w:num w:numId="21">
    <w:abstractNumId w:val="14"/>
  </w:num>
  <w:num w:numId="22">
    <w:abstractNumId w:val="18"/>
  </w:num>
  <w:num w:numId="23">
    <w:abstractNumId w:val="12"/>
  </w:num>
  <w:num w:numId="24">
    <w:abstractNumId w:val="26"/>
  </w:num>
  <w:num w:numId="25">
    <w:abstractNumId w:val="11"/>
  </w:num>
  <w:num w:numId="26">
    <w:abstractNumId w:val="19"/>
  </w:num>
  <w:num w:numId="27">
    <w:abstractNumId w:val="23"/>
  </w:num>
  <w:num w:numId="28">
    <w:abstractNumId w:val="24"/>
  </w:num>
  <w:num w:numId="29">
    <w:abstractNumId w:val="13"/>
  </w:num>
  <w:num w:numId="30">
    <w:abstractNumId w:val="22"/>
  </w:num>
  <w:num w:numId="31">
    <w:abstractNumId w:val="28"/>
  </w:num>
  <w:num w:numId="32">
    <w:abstractNumId w:val="25"/>
  </w:num>
  <w:num w:numId="33">
    <w:abstractNumId w:val="17"/>
  </w:num>
  <w:num w:numId="34">
    <w:abstractNumId w:val="27"/>
  </w:num>
  <w:num w:numId="35">
    <w:abstractNumId w:val="14"/>
  </w:num>
  <w:num w:numId="36">
    <w:abstractNumId w:val="18"/>
  </w:num>
  <w:num w:numId="37">
    <w:abstractNumId w:val="12"/>
  </w:num>
  <w:num w:numId="38">
    <w:abstractNumId w:val="26"/>
  </w:num>
  <w:num w:numId="39">
    <w:abstractNumId w:val="11"/>
  </w:num>
  <w:num w:numId="40">
    <w:abstractNumId w:val="19"/>
  </w:num>
  <w:num w:numId="41">
    <w:abstractNumId w:val="23"/>
  </w:num>
  <w:num w:numId="42">
    <w:abstractNumId w:val="24"/>
  </w:num>
  <w:num w:numId="43">
    <w:abstractNumId w:val="13"/>
  </w:num>
  <w:num w:numId="44">
    <w:abstractNumId w:val="22"/>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17 13:35: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98E1FAD-B22B-4133-8404-B2B55A02E7B3"/>
    <w:docVar w:name="LW_COVERPAGE_TYPE" w:val="1"/>
    <w:docVar w:name="LW_CROSSREFERENCE" w:val="&lt;UNUSED&gt;"/>
    <w:docVar w:name="LW_DocType" w:val="COM"/>
    <w:docVar w:name="LW_EMISSION" w:val="17.1.2020"/>
    <w:docVar w:name="LW_EMISSION_ISODATE" w:val="2020-01-17"/>
    <w:docVar w:name="LW_EMISSION_LOCATION" w:val="BRX"/>
    <w:docVar w:name="LW_EMISSION_PREFIX" w:val="Bry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12"/>
    <w:docVar w:name="LW_REF.II.NEW.CP_YEAR" w:val="2020"/>
    <w:docVar w:name="LW_REF.INST.NEW" w:val="COM"/>
    <w:docVar w:name="LW_REF.INST.NEW_ADOPTED" w:val="final"/>
    <w:docVar w:name="LW_REF.INST.NEW_TEXT" w:val="(2020) 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beslut (EU) 2019/274 om undertecknande på Europeiska unionens och Europeiska atomenergigemenskapens vägnar av avtalet om Förenade konungariket Storbritannien och Nordirlands utträde ur Europeiska unionen och Europeiska atomenergigemenskape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sv-S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v-SE"/>
    </w:rPr>
  </w:style>
  <w:style w:type="character" w:customStyle="1" w:styleId="FooterSensitivityChar">
    <w:name w:val="Footer Sensitivity Char"/>
    <w:basedOn w:val="DefaultParagraphFont"/>
    <w:rPr>
      <w:rFonts w:ascii="Times New Roman" w:hAnsi="Times New Roman" w:cs="Times New Roman"/>
      <w:b/>
      <w:sz w:val="32"/>
      <w:lang w:val="sv-S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v-SE"/>
    </w:rPr>
  </w:style>
  <w:style w:type="character" w:customStyle="1" w:styleId="HeaderSensitivityChar">
    <w:name w:val="Header Sensitivity Char"/>
    <w:basedOn w:val="DefaultParagraphFont"/>
    <w:rPr>
      <w:rFonts w:ascii="Times New Roman" w:hAnsi="Times New Roman" w:cs="Times New Roman"/>
      <w:b/>
      <w:sz w:val="32"/>
      <w:lang w:val="sv-S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sv-S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sv-S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v-SE"/>
    </w:rPr>
  </w:style>
  <w:style w:type="character" w:customStyle="1" w:styleId="FooterSensitivityChar">
    <w:name w:val="Footer Sensitivity Char"/>
    <w:basedOn w:val="DefaultParagraphFont"/>
    <w:rPr>
      <w:rFonts w:ascii="Times New Roman" w:hAnsi="Times New Roman" w:cs="Times New Roman"/>
      <w:b/>
      <w:sz w:val="32"/>
      <w:lang w:val="sv-S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v-SE"/>
    </w:rPr>
  </w:style>
  <w:style w:type="character" w:customStyle="1" w:styleId="HeaderSensitivityChar">
    <w:name w:val="Header Sensitivity Char"/>
    <w:basedOn w:val="DefaultParagraphFont"/>
    <w:rPr>
      <w:rFonts w:ascii="Times New Roman" w:hAnsi="Times New Roman" w:cs="Times New Roman"/>
      <w:b/>
      <w:sz w:val="32"/>
      <w:lang w:val="sv-S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sv-S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 w:id="21058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3F2F02-C9C4-49B2-B68E-4B428DE7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813</Words>
  <Characters>4809</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2019-10-17T11:12:00Z</cp:lastPrinted>
  <dcterms:created xsi:type="dcterms:W3CDTF">2020-01-17T09:56:00Z</dcterms:created>
  <dcterms:modified xsi:type="dcterms:W3CDTF">2020-01-17T12:35:00Z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