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2F958317-B12F-4A13-A9C0-C20716DA0194" style="width:451pt;height:422.5pt">
            <v:imagedata r:id="rId9" o:title=""/>
          </v:shape>
        </w:pict>
      </w:r>
    </w:p>
    <w:p>
      <w:pPr>
        <w:pStyle w:val="Pagedecouverture"/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/>
        <w:rPr>
          <w:noProof/>
          <w:szCs w:val="24"/>
        </w:rPr>
      </w:pPr>
      <w:r>
        <w:rPr>
          <w:noProof/>
        </w:rPr>
        <w:t xml:space="preserve">Fid-29 ta’ Marzu 2017, ir-Renju Unit innotifika lill-Kunsill Ewropew skont l-Artikolu 50 tat-Trattat dwar l-Unjoni Ewropea (TUE) dwar l-intenzjoni tiegħu li jitlaq mill-Unjoni Ewropea u mill-Komunità Ewropea tal-Enerġija Atomika. F’konformità ma’ dik id-dispożizzjoni, l-Unjoni Ewropea nnegozjat mar-Renju Unit ftehim li jistabbilixxi l-arranġamenti għall-ħruġ tiegħu (minn hawn ’il quddiem “il-Ftehim dwar il-Ħruġ”), li jikkunsidra l-qafas għar-relazzjoni futura tiegħu mal-Unjoni.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noProof/>
          <w:szCs w:val="24"/>
        </w:rPr>
      </w:pPr>
      <w:r>
        <w:rPr>
          <w:noProof/>
        </w:rPr>
        <w:t xml:space="preserve">Fil-11 ta’ Jannar 2019, il-Kunsill adotta d-Deċiżjoni (UE) 2019/274 li tawtorizza l-iffirmar tal-Ftehim dwar il-Ħruġ 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u ttrażmetta l-abbozz tad-Deċiżjoni tal-Kunsill dwar il-konklużjoni tal-Ftehim dwar il-Ħruġ lill-Parlament Ewropew għall-kunsens tiegħu. </w:t>
      </w:r>
    </w:p>
    <w:p>
      <w:pPr>
        <w:rPr>
          <w:noProof/>
          <w:szCs w:val="24"/>
        </w:rPr>
      </w:pPr>
      <w:r>
        <w:rPr>
          <w:noProof/>
        </w:rPr>
        <w:t>Madankollu, il-Gvern tar-Renju Unit ma kisibx l-appoġġ meħtieġ mill-Parlament tiegħu biex jipproċedi bl-iffirmar u r-ratifika tal-Ftehim dwar il-Ħruġ u talab lill-Kunsill Ewropew sabiex jestendi l-perjodu li jsir provvediment għalih fl-Artikolu 50(3) TUE. Il-Kunsill Ewropew ikkonċeda inizjalment estensjoni sat-12 ta’ April 2019</w:t>
      </w:r>
      <w:r>
        <w:rPr>
          <w:rStyle w:val="FootnoteReference"/>
          <w:noProof/>
        </w:rPr>
        <w:footnoteReference w:id="2"/>
      </w:r>
      <w:r>
        <w:rPr>
          <w:noProof/>
        </w:rPr>
        <w:t>. Dan il-perjodu kompla ġie estiż sal-31 ta’ Ottubru 2019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u mbagħad sal-31 ta’ Jannar 2020</w:t>
      </w:r>
      <w:r>
        <w:rPr>
          <w:rStyle w:val="FootnoteReference"/>
          <w:noProof/>
        </w:rPr>
        <w:footnoteReference w:id="4"/>
      </w:r>
    </w:p>
    <w:p>
      <w:pPr>
        <w:rPr>
          <w:noProof/>
          <w:szCs w:val="24"/>
        </w:rPr>
      </w:pPr>
      <w:r>
        <w:rPr>
          <w:noProof/>
        </w:rPr>
        <w:t>It-tielet paragrafu tal-Artikolu 185 tal-Ftehim dwar il-Ħruġ jipprovdi li, meta ssir in-notifika bil-miktub li tkun lestiet il-proċeduri interni neċessarji tagħha, l-Unjoni, fir-rigward ta’ kwalunkwe Stat Membru li jkun qajjem raġunijiet marbuta mal-prinċipji fundamentali tad-dritt nazzjonali ta’ dak l-Istat Membru, tkun tista’ tiddikjara li, matul il-perjodu ta’ tranżizzjoni, b’żieda mar-raġunijiet ta’ non-eżekuzzjoni ta’ xi mandat ta’ arrest Ewropew kif isir referenza għalih fid-Deċiżjoni Kwadru tal-Kunsill 2002/584/ĠAI</w:t>
      </w:r>
      <w:r>
        <w:rPr>
          <w:rStyle w:val="FootnoteReference"/>
          <w:noProof/>
        </w:rPr>
        <w:footnoteReference w:id="5"/>
      </w:r>
      <w:r>
        <w:rPr>
          <w:noProof/>
        </w:rPr>
        <w:t>, l-awtoritajiet ġudizzjarji ta’ eżekuzzjoni ta’ dak l-Istat Membru jkunu jistgħu jirrifjutaw li jikkonsenjaw ċittadini minn tagħhom lir-Renju Unit skont xi Mandat ta’ Arrest Ewropew. L-Artikolu 4 tad-Deċiżjoni (UE) 2019/274 jipprovdi li dawk l-Istati Membri li jkollhom l-intenzjoni li jużaw il-possibbiltà pprovduta lilhom fit-tieni paragrafu tal-Artikolu 185 tal-Ftehim dwar il-Ħruġ għandhom jinfurmaw lill-Kummissjoni u lis-Segretarjat Ġenerali tal-Kunsill bl-intenzjoni tagħhom li jagħmlu dan qabel il-15 ta’ Frar 2019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. </w:t>
      </w:r>
    </w:p>
    <w:p>
      <w:pPr>
        <w:rPr>
          <w:noProof/>
        </w:rPr>
      </w:pPr>
      <w:r>
        <w:rPr>
          <w:noProof/>
        </w:rPr>
        <w:t>Meta jitqiesu d-diversi estensjonijiet tal-perjodu skont l-Artikolu 50(3) TUE ikun xieraq li jiġi stabbilit perjodu limitat ġdid li fi ħdanu l-Istati Membri li jkollhom l-intenzjoni li jużaw dik il-</w:t>
      </w:r>
      <w:r>
        <w:rPr>
          <w:noProof/>
        </w:rPr>
        <w:lastRenderedPageBreak/>
        <w:t>possibbiltà jkun jenħtieġ li jinfurmaw b’dan lill-Kummissjoni u lis-Segretarjat Ġenerali tal-Kunsill.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noProof/>
          <w:szCs w:val="24"/>
        </w:rPr>
        <w:sectPr>
          <w:footerReference w:type="default" r:id="rId11"/>
          <w:footerReference w:type="first" r:id="rId12"/>
          <w:footnotePr>
            <w:numRestart w:val="eachSect"/>
          </w:footnote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  <w:r>
        <w:rPr>
          <w:noProof/>
        </w:rPr>
        <w:t xml:space="preserve">Huwa għalhekk meħtieġ li d-Deċiżjoni (UE) 2019/274 dwar l-iffirmar tal-Ftehim dwar il-Ħruġ tiġi emendata skont dan.  </w:t>
      </w: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2020/0012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>li temenda d-Deċiżjoni (UE) 2019/274 dwar l-iffirmar, f’isem l-Unjoni Ewropea u l-Komunità Ewropea tal-Enerġija Atomika, tal-Ftehim dwar il-ħruġ tar-Renju Unit tal-Gran Brittanja u l-Irlanda ta’ Fuq mill-Unjoni Ewropea u mill-Komunità Ewropea tal-Enerġija Atomika</w:t>
      </w:r>
    </w:p>
    <w:p>
      <w:pPr>
        <w:pStyle w:val="IntrtEEE"/>
        <w:rPr>
          <w:noProof/>
        </w:rPr>
      </w:pPr>
      <w:r>
        <w:rPr>
          <w:noProof/>
        </w:rPr>
        <w:t>(Test b’rilevanza għaż-ŻEE)</w:t>
      </w:r>
    </w:p>
    <w:p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l-Unjoni Ewropea, u b’mod partikolari l-Artikolu 50 tiegħu,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Fil-11 ta’ Jannar 2019, il-Kunsill adotta d-Deċiżjoni (UE) 2019/274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dwar l-iffirmar tal-Ftehim dwar il-Ħruġ.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Permezz tad-Deċiżjoni (UE) 2019/476</w:t>
      </w:r>
      <w:r>
        <w:rPr>
          <w:rStyle w:val="FootnoteReference"/>
          <w:noProof/>
        </w:rPr>
        <w:footnoteReference w:id="8"/>
      </w:r>
      <w:r>
        <w:rPr>
          <w:noProof/>
        </w:rPr>
        <w:t>, il-Kunsill Ewropew, bi qbil mar-Renju Unit, għall-ewwel estenda l-perjodu skont l-Artikolu 50(3) TUE sat-12 ta’ April 2019. Dak il-perjodu kien ġie estiż ulterjorment sal-31 ta’ Ottubru 2019 bid-Deċiżjoni tal-Kunsill Ewropew (UE) 2019/584</w:t>
      </w:r>
      <w:r>
        <w:rPr>
          <w:rStyle w:val="FootnoteReference"/>
          <w:noProof/>
        </w:rPr>
        <w:footnoteReference w:id="9"/>
      </w:r>
      <w:r>
        <w:rPr>
          <w:noProof/>
        </w:rPr>
        <w:t>, meħuda bi qbil mar-Renju Unit, u mbagħad sal-31 ta’ Jannar 2020 bid-Deċiżjoni tal-Kunsill (UE) 2019/1810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, meħuda bi qbil mar-Renju Unit. 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It-tielet paragrafu tal-Artikolu 185 tal-Ftehim dwar il-Ħruġ, kif aġġornat</w:t>
      </w:r>
      <w:r>
        <w:rPr>
          <w:rStyle w:val="FootnoteReference"/>
          <w:noProof/>
        </w:rPr>
        <w:footnoteReference w:id="11"/>
      </w:r>
      <w:r>
        <w:rPr>
          <w:noProof/>
        </w:rPr>
        <w:t xml:space="preserve">, jipprovdi li, meta ssir in-notifika bil-miktub li tkun lestiet il-proċeduri interni neċessarji tagħha, l-Unjoni, fir-rigward ta’ kwalunkwe Stat Membru li jkun qajjem raġunijiet marbuta mal-prinċipji fundamentali tad-dritt nazzjonali ta’ dak l-Istat Membru, tkun tista’ tiddikjara li, matul il-perjodu ta’ tranżizzjoni, b’żieda mar-raġunijiet ta’ non-eżekuzzjoni ta’ xi mandat ta’ arrest Ewropew kif isir referenza għalih fid-Deċiżjoni Kwadru tal-Kunsill </w:t>
      </w:r>
      <w:r>
        <w:rPr>
          <w:noProof/>
        </w:rPr>
        <w:lastRenderedPageBreak/>
        <w:t>2002/584/ĠAI</w:t>
      </w:r>
      <w:r>
        <w:rPr>
          <w:rStyle w:val="FootnoteReference"/>
          <w:noProof/>
        </w:rPr>
        <w:footnoteReference w:id="12"/>
      </w:r>
      <w:r>
        <w:rPr>
          <w:noProof/>
        </w:rPr>
        <w:t>, l-awtoritajiet ġudizzjarji ta’ eżekuzzjoni ta’ dak l-Istat Membru jkunu jistgħu jirrifjutaw li jikkonsenjaw ċittadini minn tagħhom lir-Renju Unit skont xi Mandat ta’ Arrest Ewropew. F’konformità mal-Artikolu 4 tad-Deċiżjoni (UE) 2019/274, dawk l-Istati Membri li jkollhom l-intenzjoni li jużaw il-possibbiltà pprovduta lilhom fit-tielet paragrafu tal-Artikolu 185 tal-Ftehim dwar il-Ħruġ għandhom jinfurmaw lill-Kummissjoni u lis-Segretarjat Ġenerali tal-Kunsill bl-intenzjoni tagħhom li jagħmlu dan qabel il-15 ta’ Frar 2019.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Meta jitqiesu d-diversi estensjonijiet tal-perjodu skont l-Artikolu 50(3) TUE ikun xieraq li tiġi emendata d-Deċiżjoni (UE) 2019/274 biex jiġi stabbilit perjodu limitat ġdid li fi ħdanu l-Istati Membri li jkollhom l-intenzjoni li jużaw dik il-possibbiltà pprovduta fit-tielet paragrafu tal-Artikolu 185 jkun jenħtieġ li jinfurmaw b’dan lill-Kummissjoni u lis-Segretarjat Ġenerali tal-Kunsill. F’din l-okkażjoni, ikun xieraq li tiġi aġġornata r-referenza għall-paragrafu relevanti tal-Artikolu 185 tal-Ftehim dwar il-Ħruġ.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Id-Deċiżjoni (UE) 2019/274 jenħtieġ għalhekk li tiġi emendata skont dan.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Kif ipprovdut fl-Artikolu 50(4) tat-TUE, ir-Renju Unit ma ħa sehem la fid-diskussjonijiet tal-Kunsill li jikkonċernaw din id-deċiżjoni u lanqas fl-adozzjoni tagħha,</w:t>
      </w:r>
    </w:p>
    <w:p>
      <w:pPr>
        <w:pStyle w:val="Formuledadoption"/>
        <w:rPr>
          <w:noProof/>
        </w:rPr>
      </w:pPr>
      <w:r>
        <w:rPr>
          <w:noProof/>
        </w:rPr>
        <w:t>ADOTTA DIN ID-DEĊIŻJONI:</w:t>
      </w:r>
    </w:p>
    <w:p>
      <w:pPr>
        <w:pStyle w:val="Titrearticle"/>
        <w:rPr>
          <w:noProof/>
        </w:rPr>
      </w:pPr>
      <w:r>
        <w:rPr>
          <w:noProof/>
        </w:rPr>
        <w:t>Artikolu 1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L-Artikolu 4 tad-Deċiżjoni (UE) 2019/274 huwa sostitwit b’dan li ġej:</w:t>
      </w:r>
    </w:p>
    <w:p>
      <w:pPr>
        <w:jc w:val="center"/>
        <w:rPr>
          <w:noProof/>
        </w:rPr>
      </w:pPr>
      <w:r>
        <w:rPr>
          <w:noProof/>
        </w:rPr>
        <w:t>“</w:t>
      </w:r>
      <w:r>
        <w:rPr>
          <w:i/>
          <w:noProof/>
        </w:rPr>
        <w:t>Artikolu 4</w:t>
      </w:r>
    </w:p>
    <w:p>
      <w:pPr>
        <w:rPr>
          <w:noProof/>
        </w:rPr>
      </w:pPr>
      <w:r>
        <w:rPr>
          <w:noProof/>
        </w:rPr>
        <w:t>Dawk l-Istati Membri li jkollhom l-intenzjoni li jużaw il-possibbiltà pprovduta lilhom fit-tielet paragrafu tal-Artikolu 185 tal-Ftehim għandhom jinfurmaw lill-Kummissjoni u lis-Segretarjat Ġenerali tal-Kunsill bl-intenzjoni tagħhom li jagħmlu dan qabel it-28 ta’ Jannar 2020.”.</w:t>
      </w:r>
    </w:p>
    <w:p>
      <w:pPr>
        <w:rPr>
          <w:noProof/>
        </w:rPr>
      </w:pPr>
    </w:p>
    <w:p>
      <w:pPr>
        <w:pStyle w:val="Titrearticle"/>
        <w:rPr>
          <w:noProof/>
        </w:rPr>
      </w:pPr>
      <w:r>
        <w:rPr>
          <w:noProof/>
        </w:rPr>
        <w:lastRenderedPageBreak/>
        <w:t>Artikolu 2</w:t>
      </w:r>
    </w:p>
    <w:p>
      <w:pPr>
        <w:pStyle w:val="Titrearticle"/>
        <w:jc w:val="both"/>
        <w:rPr>
          <w:noProof/>
        </w:rPr>
      </w:pPr>
    </w:p>
    <w:p>
      <w:pPr>
        <w:keepNext/>
        <w:keepLines/>
        <w:rPr>
          <w:noProof/>
        </w:rPr>
      </w:pPr>
      <w:r>
        <w:rPr>
          <w:noProof/>
        </w:rPr>
        <w:t xml:space="preserve">Din id-Deċiżjoni għandha tidħol fis-seħħ fid-data tal-adozzjoni tagħha. 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footnotePr>
        <w:numRestart w:val="eachSect"/>
      </w:footnotePr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Id-Deċiżjoni tal-Kunsill (UE) 2019/274 tal-11 ta’ Jannar 2019 dwar l-iffirmar, f’isem l-Unjoni Ewropea u l-Komunità Ewropea tal-Enerġija Atomika, tal-Ftehim dwar il-ħruġ tar-Renju Unit tal-Gran Brittanja u l-Irlanda ta’ Fuq mill-Unjoni Ewropea u mill-Komunità Ewropea tal-Enerġija Atomika (ĠU L 47I, 19.2.2019, p. 1). It-test tal-Ftehim dwar il-Ħruġ mehmuż mad-Deċiżjoni (UE) 2019/274 ġie ppubblikat fil-ĠU C 66 I, 19.2.2019, p. 1.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Id-Deċiżjoni tal-Kunsill Ewropew (UE) 2019/476 meħuda bi qbil mar-Renju Unit, tat-22 ta’ Marzu 2019, li testendi l-perjodu skont l-Artikolu 50(3) tat-TUE (ĠU L 80 I, 22.3.2019, p. 1).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Id-Deċiżjoni tal-Kunsill Ewropew (UE) 2019/584 meħuda bi qbil mar-Renju Unit, tal-11 ta’ April 2019, li testendi l-perjodu skont l-Artikolu 50(3) tat-TUE (ĠU L 101, 11.4.2019, p. 1).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Id-Deċiżjoni tal-Kunsill Ewropew (UE) 2019/1810 meħuda bi qbil mar-Renju Unit, tad-29 ta’ Ottubru 2019, li testendi l-perjodu skont l-Artikolu 50(3) tat-TUE (ĠU L 278I, 30.10.2019, p. 1).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Id-Deċiżjoni Kwadru tal-Kunsill 2002/584/ĠAI tat-13 ta' Ġunju 2002 fuq il-mandat ta’ arrest Ewropew u l-proċeduri ta’ ċediment bejn l-Istati Membri (ĠU L 190, 18.7.2002, p. 1).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Id-Deċiżjoni (UE) 2019/274 tirreferi għat-tieni paragrafu tal-Artkolu 185 tal-Ftehim dwar il-Ħruġ kif ippubblikat fil-ĠU C 66 I, 19.2.2019, p. 1. Madankollu, fil-Ftehim dwar il-Ħruġ aġġornat, kif ippubblikat fil-ĠU C 384 I, 12.11.2019, p.1, it-tieni paragrafu sar it-tielet paragrafu.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 xml:space="preserve">Id-Deċiżjoni tal-Kunsill (UE) 2019/274 tal-11 ta’ Jannar 2019 dwar l-iffirmar, f’isem l-Unjoni Ewropea u l-Komunità Ewropea tal-Enerġija Atomika, tal-Ftehim dwar il-ħruġ tar-Renju Unit tal-Gran Brittanja u l-Irlanda ta’ Fuq mill-Unjoni Ewropea u mill-Komunità Ewropea tal-Enerġija Atomika (ĠU L 47I, 19.2.2019, p. 1). 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Id-Deċiżjoni tal-Kunsill Ewropew (UE) 2019/476 meħuda bi qbil mar-Renju Unit, tat-22 ta’ Marzu 2019, li testendi l-perjodu skont l-Artikolu 50(3) tat-TUE (ĠU L 80 I, 22.3.2019, p. 1).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Id-Deċiżjoni tal-Kunsill Ewropew (UE) 2019/584 meħuda bi qbil mar-Renju Unit, tal-11 ta’ April 2019, li testendi l-perjodu skont l-Artikolu 50(3) tat-TUE (ĠU L 101, 11.4.2019, p. 1).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Id-Deċiżjoni tal-Kunsill Ewropew (UE) 2019/1810 meħuda bi qbil mar-Renju Unit, tad-29 ta’ Ottubru 2019, li testendi l-perjodu skont l-Artikolu 50(3) tat-TUE (ĠU L 278 I, 30.10.2019, p. 1).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Il-verżjoni adattata tal-Ftehim dwar il-Ħruġ kienet ippubblikata fil-ĠU C 384 I, 12.11.2019, p. 1.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  <w:t>Id-Deċiżjoni Kwadru tal-Kunsill 2002/584/ĠAI tat-13 ta' Ġunju 2002 fuq il-mandat ta’ arrest Ewropew u l-proċeduri ta’ ċediment bejn l-Istati Membri (ĠU L 190, 18/7/2002, p.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90602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E3C1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C5211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728FEB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3C2DCC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5D236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AA2EB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EE20F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62C6A95"/>
    <w:multiLevelType w:val="singleLevel"/>
    <w:tmpl w:val="02BAFA82"/>
    <w:name w:val="List Bullet 1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9">
    <w:nsid w:val="128364B0"/>
    <w:multiLevelType w:val="singleLevel"/>
    <w:tmpl w:val="D084FB54"/>
    <w:lvl w:ilvl="0">
      <w:start w:val="1"/>
      <w:numFmt w:val="bullet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0">
    <w:nsid w:val="13E4330B"/>
    <w:multiLevelType w:val="multilevel"/>
    <w:tmpl w:val="875C4416"/>
    <w:name w:val="List Dash 3"/>
    <w:lvl w:ilvl="0">
      <w:start w:val="1"/>
      <w:numFmt w:val="decimal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4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5">
    <w:nsid w:val="2D820C1F"/>
    <w:multiLevelType w:val="singleLevel"/>
    <w:tmpl w:val="7896AADE"/>
    <w:name w:val="List Dash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>
    <w:nsid w:val="31CD398A"/>
    <w:multiLevelType w:val="singleLevel"/>
    <w:tmpl w:val="0276BF00"/>
    <w:lvl w:ilvl="0">
      <w:start w:val="1"/>
      <w:numFmt w:val="bullet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9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0">
    <w:nsid w:val="489D74ED"/>
    <w:multiLevelType w:val="singleLevel"/>
    <w:tmpl w:val="C2E2F936"/>
    <w:name w:val="List Dash 2"/>
    <w:lvl w:ilvl="0">
      <w:start w:val="1"/>
      <w:numFmt w:val="bullet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1">
    <w:nsid w:val="4D0C058A"/>
    <w:multiLevelType w:val="singleLevel"/>
    <w:tmpl w:val="BAE8D90E"/>
    <w:name w:val="List Dash 1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2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3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4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8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5"/>
  </w:num>
  <w:num w:numId="11">
    <w:abstractNumId w:val="21"/>
  </w:num>
  <w:num w:numId="12">
    <w:abstractNumId w:val="20"/>
  </w:num>
  <w:num w:numId="13">
    <w:abstractNumId w:val="9"/>
  </w:num>
  <w:num w:numId="14">
    <w:abstractNumId w:val="16"/>
  </w:num>
  <w:num w:numId="15">
    <w:abstractNumId w:val="10"/>
  </w:num>
  <w:num w:numId="16">
    <w:abstractNumId w:val="28"/>
    <w:lvlOverride w:ilvl="0">
      <w:startOverride w:val="1"/>
    </w:lvlOverride>
  </w:num>
  <w:num w:numId="17">
    <w:abstractNumId w:val="28"/>
  </w:num>
  <w:num w:numId="18">
    <w:abstractNumId w:val="25"/>
  </w:num>
  <w:num w:numId="19">
    <w:abstractNumId w:val="17"/>
  </w:num>
  <w:num w:numId="20">
    <w:abstractNumId w:val="27"/>
  </w:num>
  <w:num w:numId="21">
    <w:abstractNumId w:val="14"/>
  </w:num>
  <w:num w:numId="22">
    <w:abstractNumId w:val="18"/>
  </w:num>
  <w:num w:numId="23">
    <w:abstractNumId w:val="12"/>
  </w:num>
  <w:num w:numId="24">
    <w:abstractNumId w:val="26"/>
  </w:num>
  <w:num w:numId="25">
    <w:abstractNumId w:val="11"/>
  </w:num>
  <w:num w:numId="26">
    <w:abstractNumId w:val="19"/>
  </w:num>
  <w:num w:numId="27">
    <w:abstractNumId w:val="23"/>
  </w:num>
  <w:num w:numId="28">
    <w:abstractNumId w:val="24"/>
  </w:num>
  <w:num w:numId="29">
    <w:abstractNumId w:val="13"/>
  </w:num>
  <w:num w:numId="30">
    <w:abstractNumId w:val="22"/>
  </w:num>
  <w:num w:numId="31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doNotUseHTMLParagraphAutoSpacing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20-01-17 13:34:5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2F958317-B12F-4A13-A9C0-C20716DA0194"/>
    <w:docVar w:name="LW_COVERPAGE_TYPE" w:val="1"/>
    <w:docVar w:name="LW_CROSSREFERENCE" w:val="&lt;UNUSED&gt;"/>
    <w:docVar w:name="LW_DocType" w:val="COM"/>
    <w:docVar w:name="LW_EMISSION" w:val="17.1.2020"/>
    <w:docVar w:name="LW_EMISSION_ISODATE" w:val="2020-01-17"/>
    <w:docVar w:name="LW_EMISSION_LOCATION" w:val="BRX"/>
    <w:docVar w:name="LW_EMISSION_PREFIX" w:val="Brussell, "/>
    <w:docVar w:name="LW_EMISSION_SUFFIX" w:val="&lt;EMPTY&gt;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(Test b\u8217?rilevanza g\u295?a\u380?-\u379?EE)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12"/>
    <w:docVar w:name="LW_REF.II.NEW.CP_YEAR" w:val="2020"/>
    <w:docVar w:name="LW_REF.INST.NEW" w:val="COM"/>
    <w:docVar w:name="LW_REF.INST.NEW_ADOPTED" w:val="final"/>
    <w:docVar w:name="LW_REF.INST.NEW_TEXT" w:val="(2020) 2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li temenda d-De\u267?i\u380?joni (UE) 2019/274 dwar l-iffirmar, f\u8217?isem l-Unjoni Ewropea u l-Komunità Ewropea tal-Ener\u289?ija Atomika, tal-Ftehim dwar il-\u295?ru\u289? tar-Renju Unit tal-Gran Brittanja u l-Irlanda ta\u8217? Fuq mill-Unjoni Ewropea u mill-Komunità Ewropea tal-Ener\u289?ija Atomika"/>
    <w:docVar w:name="LW_TYPE.DOC.CP" w:val="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4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4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4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4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nhideWhenUsed/>
    <w:pPr>
      <w:spacing w:after="0"/>
    </w:pPr>
  </w:style>
  <w:style w:type="paragraph" w:styleId="ListBullet">
    <w:name w:val="List Bullet"/>
    <w:basedOn w:val="Normal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mt-MT"/>
    </w:rPr>
  </w:style>
  <w:style w:type="paragraph" w:styleId="ListParagraph">
    <w:name w:val="List Paragraph"/>
    <w:aliases w:val="Listaszerű bekezdés1,List Paragraph à moi,Colorful List - Accent 11,Medium Grid 1 - Accent 21,Listaszeru bekezdés1,Colorful List - Accent 111,Dot pt,F5 List Paragraph,List Paragraph1,No Spacing1,List Paragraph Char Char Char,Bullets"/>
    <w:basedOn w:val="Normal"/>
    <w:link w:val="ListParagraphChar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ListBullet1">
    <w:name w:val="List Bullet 1"/>
    <w:basedOn w:val="Normal"/>
    <w:pPr>
      <w:numPr>
        <w:numId w:val="9"/>
      </w:numPr>
    </w:pPr>
    <w:rPr>
      <w:rFonts w:eastAsia="Times New Roman"/>
      <w:lang w:eastAsia="en-GB"/>
    </w:rPr>
  </w:style>
  <w:style w:type="paragraph" w:customStyle="1" w:styleId="ListDash">
    <w:name w:val="List Dash"/>
    <w:basedOn w:val="Normal"/>
    <w:pPr>
      <w:numPr>
        <w:numId w:val="10"/>
      </w:numPr>
    </w:pPr>
    <w:rPr>
      <w:rFonts w:eastAsia="Times New Roman"/>
      <w:lang w:eastAsia="en-GB"/>
    </w:rPr>
  </w:style>
  <w:style w:type="paragraph" w:customStyle="1" w:styleId="ListDash1">
    <w:name w:val="List Dash 1"/>
    <w:basedOn w:val="Normal"/>
    <w:pPr>
      <w:numPr>
        <w:numId w:val="11"/>
      </w:numPr>
    </w:pPr>
    <w:rPr>
      <w:rFonts w:eastAsia="Times New Roman"/>
      <w:lang w:eastAsia="en-GB"/>
    </w:rPr>
  </w:style>
  <w:style w:type="paragraph" w:customStyle="1" w:styleId="ListDash2">
    <w:name w:val="List Dash 2"/>
    <w:basedOn w:val="Normal"/>
    <w:pPr>
      <w:numPr>
        <w:numId w:val="12"/>
      </w:numPr>
    </w:pPr>
    <w:rPr>
      <w:rFonts w:eastAsia="Times New Roman"/>
      <w:lang w:eastAsia="en-GB"/>
    </w:rPr>
  </w:style>
  <w:style w:type="paragraph" w:customStyle="1" w:styleId="ListNumberLevel2">
    <w:name w:val="List Number (Level 2)"/>
    <w:basedOn w:val="Normal"/>
    <w:pPr>
      <w:tabs>
        <w:tab w:val="num" w:pos="1417"/>
      </w:tabs>
      <w:ind w:left="1417" w:hanging="708"/>
    </w:pPr>
    <w:rPr>
      <w:rFonts w:eastAsia="Times New Roman"/>
      <w:lang w:eastAsia="en-GB"/>
    </w:rPr>
  </w:style>
  <w:style w:type="paragraph" w:customStyle="1" w:styleId="ListNumberLevel3">
    <w:name w:val="List Number (Level 3)"/>
    <w:basedOn w:val="Normal"/>
    <w:pPr>
      <w:tabs>
        <w:tab w:val="num" w:pos="2126"/>
      </w:tabs>
      <w:ind w:left="2126" w:hanging="709"/>
    </w:pPr>
    <w:rPr>
      <w:rFonts w:eastAsia="Times New Roman"/>
      <w:lang w:eastAsia="en-GB"/>
    </w:rPr>
  </w:style>
  <w:style w:type="paragraph" w:customStyle="1" w:styleId="ListNumberLevel4">
    <w:name w:val="List Number (Level 4)"/>
    <w:basedOn w:val="Normal"/>
    <w:pPr>
      <w:tabs>
        <w:tab w:val="num" w:pos="2835"/>
      </w:tabs>
      <w:ind w:left="2835" w:hanging="709"/>
    </w:pPr>
    <w:rPr>
      <w:rFonts w:eastAsia="Times New Roman"/>
      <w:lang w:eastAsia="en-GB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rFonts w:eastAsia="Times New Roman"/>
      <w:b/>
      <w:lang w:eastAsia="en-GB"/>
    </w:rPr>
  </w:style>
  <w:style w:type="paragraph" w:customStyle="1" w:styleId="Sous-titreobjetPagedecouverture">
    <w:name w:val="Sous-titre objet (Page de couverture)"/>
    <w:basedOn w:val="Sous-titreobjet"/>
  </w:style>
  <w:style w:type="character" w:styleId="FollowedHyperlink">
    <w:name w:val="FollowedHyperlink"/>
    <w:rPr>
      <w:color w:val="800080"/>
      <w:u w:val="single"/>
    </w:rPr>
  </w:style>
  <w:style w:type="character" w:customStyle="1" w:styleId="ListParagraphChar">
    <w:name w:val="List Paragraph Char"/>
    <w:aliases w:val="Listaszerű bekezdés1 Char,List Paragraph à moi Char,Colorful List - Accent 11 Char,Medium Grid 1 - Accent 21 Char,Listaszeru bekezdés1 Char,Colorful List - Accent 111 Char,Dot pt Char,F5 List Paragraph Char,List Paragraph1 Char"/>
    <w:basedOn w:val="DefaultParagraphFont"/>
    <w:link w:val="ListParagraph"/>
    <w:uiPriority w:val="34"/>
    <w:locked/>
    <w:rPr>
      <w:lang w:val="mt-MT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  <w:lang w:val="mt-MT"/>
    </w:rPr>
  </w:style>
  <w:style w:type="character" w:customStyle="1" w:styleId="FooterSensitivityChar">
    <w:name w:val="Footer Sensitivity Char"/>
    <w:basedOn w:val="DefaultParagraphFont"/>
    <w:rPr>
      <w:rFonts w:ascii="Times New Roman" w:hAnsi="Times New Roman" w:cs="Times New Roman"/>
      <w:b/>
      <w:sz w:val="32"/>
      <w:lang w:val="mt-MT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  <w:lang w:val="mt-MT"/>
    </w:rPr>
  </w:style>
  <w:style w:type="character" w:customStyle="1" w:styleId="HeaderSensitivityChar">
    <w:name w:val="Header Sensitivity Char"/>
    <w:basedOn w:val="DefaultParagraphFont"/>
    <w:rPr>
      <w:rFonts w:ascii="Times New Roman" w:hAnsi="Times New Roman" w:cs="Times New Roman"/>
      <w:b/>
      <w:sz w:val="32"/>
      <w:lang w:val="mt-MT"/>
    </w:r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Titrearticle"/>
    <w:rPr>
      <w:lang w:eastAsia="fr-BE"/>
    </w:rPr>
  </w:style>
  <w:style w:type="paragraph" w:customStyle="1" w:styleId="ListDash3">
    <w:name w:val="List Dash 3"/>
    <w:basedOn w:val="Normal"/>
    <w:pPr>
      <w:numPr>
        <w:numId w:val="13"/>
      </w:numPr>
    </w:pPr>
    <w:rPr>
      <w:rFonts w:eastAsia="Times New Roman"/>
      <w:lang w:eastAsia="en-GB"/>
    </w:rPr>
  </w:style>
  <w:style w:type="paragraph" w:customStyle="1" w:styleId="ListDash4">
    <w:name w:val="List Dash 4"/>
    <w:basedOn w:val="Normal"/>
    <w:pPr>
      <w:numPr>
        <w:numId w:val="14"/>
      </w:numPr>
    </w:pPr>
    <w:rPr>
      <w:rFonts w:eastAsia="Times New Roman"/>
      <w:lang w:eastAsia="en-GB"/>
    </w:rPr>
  </w:style>
  <w:style w:type="paragraph" w:customStyle="1" w:styleId="ListNumber1">
    <w:name w:val="List Number 1"/>
    <w:basedOn w:val="Text1"/>
    <w:pPr>
      <w:numPr>
        <w:numId w:val="15"/>
      </w:numPr>
    </w:pPr>
    <w:rPr>
      <w:rFonts w:eastAsia="Times New Roman"/>
      <w:lang w:eastAsia="en-GB"/>
    </w:r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  <w:rPr>
      <w:rFonts w:eastAsia="Times New Roman"/>
      <w:lang w:eastAsia="en-GB"/>
    </w:rPr>
  </w:style>
  <w:style w:type="paragraph" w:customStyle="1" w:styleId="ListNumber2Level2">
    <w:name w:val="List Number 2 (Level 2)"/>
    <w:basedOn w:val="Text2"/>
    <w:pPr>
      <w:tabs>
        <w:tab w:val="num" w:pos="2268"/>
      </w:tabs>
      <w:ind w:left="2268" w:hanging="708"/>
    </w:pPr>
    <w:rPr>
      <w:rFonts w:eastAsia="Times New Roman"/>
      <w:lang w:eastAsia="en-GB"/>
    </w:rPr>
  </w:style>
  <w:style w:type="paragraph" w:customStyle="1" w:styleId="ListNumber3Level2">
    <w:name w:val="List Number 3 (Level 2)"/>
    <w:basedOn w:val="Text3"/>
    <w:pPr>
      <w:tabs>
        <w:tab w:val="num" w:pos="2268"/>
      </w:tabs>
      <w:ind w:left="2268" w:hanging="708"/>
    </w:pPr>
    <w:rPr>
      <w:rFonts w:eastAsia="Times New Roman"/>
      <w:lang w:eastAsia="en-GB"/>
    </w:rPr>
  </w:style>
  <w:style w:type="paragraph" w:customStyle="1" w:styleId="ListNumber4Level2">
    <w:name w:val="List Number 4 (Level 2)"/>
    <w:basedOn w:val="Text4"/>
    <w:pPr>
      <w:tabs>
        <w:tab w:val="num" w:pos="2268"/>
      </w:tabs>
      <w:ind w:left="2268" w:hanging="708"/>
    </w:pPr>
    <w:rPr>
      <w:rFonts w:eastAsia="Times New Roman"/>
      <w:lang w:eastAsia="en-GB"/>
    </w:r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  <w:rPr>
      <w:rFonts w:eastAsia="Times New Roman"/>
      <w:lang w:eastAsia="en-GB"/>
    </w:rPr>
  </w:style>
  <w:style w:type="paragraph" w:customStyle="1" w:styleId="ListNumber2Level3">
    <w:name w:val="List Number 2 (Level 3)"/>
    <w:basedOn w:val="Text2"/>
    <w:pPr>
      <w:tabs>
        <w:tab w:val="num" w:pos="2977"/>
      </w:tabs>
      <w:ind w:left="2977" w:hanging="709"/>
    </w:pPr>
    <w:rPr>
      <w:rFonts w:eastAsia="Times New Roman"/>
      <w:lang w:eastAsia="en-GB"/>
    </w:rPr>
  </w:style>
  <w:style w:type="paragraph" w:customStyle="1" w:styleId="ListNumber3Level3">
    <w:name w:val="List Number 3 (Level 3)"/>
    <w:basedOn w:val="Text3"/>
    <w:pPr>
      <w:tabs>
        <w:tab w:val="num" w:pos="2977"/>
      </w:tabs>
      <w:ind w:left="2977" w:hanging="709"/>
    </w:pPr>
    <w:rPr>
      <w:rFonts w:eastAsia="Times New Roman"/>
      <w:lang w:eastAsia="en-GB"/>
    </w:rPr>
  </w:style>
  <w:style w:type="paragraph" w:customStyle="1" w:styleId="ListNumber4Level3">
    <w:name w:val="List Number 4 (Level 3)"/>
    <w:basedOn w:val="Text4"/>
    <w:pPr>
      <w:tabs>
        <w:tab w:val="num" w:pos="2977"/>
      </w:tabs>
      <w:ind w:left="2977" w:hanging="709"/>
    </w:pPr>
    <w:rPr>
      <w:rFonts w:eastAsia="Times New Roman"/>
      <w:lang w:eastAsia="en-GB"/>
    </w:r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  <w:rPr>
      <w:rFonts w:eastAsia="Times New Roman"/>
      <w:lang w:eastAsia="en-GB"/>
    </w:rPr>
  </w:style>
  <w:style w:type="paragraph" w:customStyle="1" w:styleId="ListNumber2Level4">
    <w:name w:val="List Number 2 (Level 4)"/>
    <w:basedOn w:val="Text2"/>
    <w:pPr>
      <w:tabs>
        <w:tab w:val="num" w:pos="3686"/>
      </w:tabs>
      <w:ind w:left="3686" w:hanging="709"/>
    </w:pPr>
    <w:rPr>
      <w:rFonts w:eastAsia="Times New Roman"/>
      <w:lang w:eastAsia="en-GB"/>
    </w:rPr>
  </w:style>
  <w:style w:type="paragraph" w:customStyle="1" w:styleId="ListNumber3Level4">
    <w:name w:val="List Number 3 (Level 4)"/>
    <w:basedOn w:val="Text3"/>
    <w:pPr>
      <w:tabs>
        <w:tab w:val="num" w:pos="3686"/>
      </w:tabs>
      <w:ind w:left="3686" w:hanging="709"/>
    </w:pPr>
    <w:rPr>
      <w:rFonts w:eastAsia="Times New Roman"/>
      <w:lang w:eastAsia="en-GB"/>
    </w:rPr>
  </w:style>
  <w:style w:type="paragraph" w:customStyle="1" w:styleId="ListNumber4Level4">
    <w:name w:val="List Number 4 (Level 4)"/>
    <w:basedOn w:val="Text4"/>
    <w:pPr>
      <w:tabs>
        <w:tab w:val="num" w:pos="3686"/>
      </w:tabs>
      <w:ind w:left="3686" w:hanging="709"/>
    </w:pPr>
    <w:rPr>
      <w:rFonts w:eastAsia="Times New Roman"/>
      <w:lang w:eastAsia="en-GB"/>
    </w:rPr>
  </w:style>
  <w:style w:type="paragraph" w:customStyle="1" w:styleId="Annexetitreacte">
    <w:name w:val="Annexe titre (act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Annexetitreexposglobal">
    <w:name w:val="Annexe titre (exposé global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Annexetitrefichefinacte">
    <w:name w:val="Annexe titre (fiche fin. act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Annexetitrefichefinglobale">
    <w:name w:val="Annexe titre (fiche fin. global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Annexetitreglobale">
    <w:name w:val="Annexe titre (global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Exposdesmotifstitreglobal">
    <w:name w:val="Exposé des motifs titre (global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Langueoriginale">
    <w:name w:val="Langue originale"/>
    <w:basedOn w:val="Normal"/>
    <w:pPr>
      <w:spacing w:before="360"/>
      <w:jc w:val="center"/>
    </w:pPr>
    <w:rPr>
      <w:rFonts w:eastAsia="Times New Roman"/>
      <w:caps/>
      <w:lang w:eastAsia="en-GB"/>
    </w:rPr>
  </w:style>
  <w:style w:type="paragraph" w:customStyle="1" w:styleId="Phrasefinale">
    <w:name w:val="Phrase finale"/>
    <w:basedOn w:val="Normal"/>
    <w:next w:val="Normal"/>
    <w:pPr>
      <w:spacing w:before="360" w:after="0"/>
      <w:jc w:val="center"/>
    </w:pPr>
    <w:rPr>
      <w:rFonts w:eastAsia="Times New Roman"/>
      <w:lang w:eastAsia="en-GB"/>
    </w:rPr>
  </w:style>
  <w:style w:type="paragraph" w:customStyle="1" w:styleId="Prliminairetitre">
    <w:name w:val="Préliminaire titre"/>
    <w:basedOn w:val="Normal"/>
    <w:next w:val="Normal"/>
    <w:pPr>
      <w:spacing w:before="360" w:after="360"/>
      <w:jc w:val="center"/>
    </w:pPr>
    <w:rPr>
      <w:rFonts w:eastAsia="Times New Roman"/>
      <w:b/>
      <w:lang w:eastAsia="en-GB"/>
    </w:rPr>
  </w:style>
  <w:style w:type="paragraph" w:customStyle="1" w:styleId="Prliminairetype">
    <w:name w:val="Préliminaire type"/>
    <w:basedOn w:val="Normal"/>
    <w:next w:val="Normal"/>
    <w:pPr>
      <w:spacing w:before="360" w:after="0"/>
      <w:jc w:val="center"/>
    </w:pPr>
    <w:rPr>
      <w:rFonts w:eastAsia="Times New Roman"/>
      <w:b/>
      <w:lang w:eastAsia="en-GB"/>
    </w:rPr>
  </w:style>
  <w:style w:type="paragraph" w:customStyle="1" w:styleId="Rfrenceinstitutionelle">
    <w:name w:val="Référence institutionelle"/>
    <w:basedOn w:val="Normal"/>
    <w:next w:val="Statut"/>
    <w:pPr>
      <w:spacing w:before="0" w:after="240"/>
      <w:ind w:left="5103"/>
      <w:jc w:val="left"/>
    </w:pPr>
    <w:rPr>
      <w:rFonts w:eastAsia="Times New Roman"/>
      <w:lang w:eastAsia="en-GB"/>
    </w:rPr>
  </w:style>
  <w:style w:type="paragraph" w:customStyle="1" w:styleId="Rfrenceinterinstitutionelle">
    <w:name w:val="Référence interinstitutionelle"/>
    <w:basedOn w:val="Normal"/>
    <w:next w:val="Statut"/>
    <w:pPr>
      <w:spacing w:before="0" w:after="0"/>
      <w:ind w:left="5103"/>
      <w:jc w:val="left"/>
    </w:pPr>
    <w:rPr>
      <w:rFonts w:eastAsia="Times New Roman"/>
      <w:lang w:eastAsia="en-GB"/>
    </w:rPr>
  </w:style>
  <w:style w:type="paragraph" w:customStyle="1" w:styleId="Rfrenceinterinstitutionelleprliminaire">
    <w:name w:val="Référence interinstitutionelle (préliminaire)"/>
    <w:basedOn w:val="Normal"/>
    <w:next w:val="Normal"/>
    <w:pPr>
      <w:spacing w:before="0" w:after="0"/>
      <w:ind w:left="5103"/>
      <w:jc w:val="left"/>
    </w:pPr>
    <w:rPr>
      <w:rFonts w:eastAsia="Times New Roman"/>
      <w:lang w:eastAsia="en-GB"/>
    </w:rPr>
  </w:style>
  <w:style w:type="paragraph" w:customStyle="1" w:styleId="Sous-titreobjetprliminaire">
    <w:name w:val="Sous-titre objet (préliminaire)"/>
    <w:basedOn w:val="Normal"/>
    <w:pPr>
      <w:spacing w:before="0" w:after="0"/>
      <w:jc w:val="center"/>
    </w:pPr>
    <w:rPr>
      <w:rFonts w:eastAsia="Times New Roman"/>
      <w:b/>
      <w:lang w:eastAsia="en-GB"/>
    </w:rPr>
  </w:style>
  <w:style w:type="paragraph" w:customStyle="1" w:styleId="Statutprliminaire">
    <w:name w:val="Statut (préliminaire)"/>
    <w:basedOn w:val="Normal"/>
    <w:next w:val="Normal"/>
    <w:pPr>
      <w:spacing w:before="360" w:after="0"/>
      <w:jc w:val="center"/>
    </w:pPr>
    <w:rPr>
      <w:rFonts w:eastAsia="Times New Roman"/>
      <w:lang w:eastAsia="en-GB"/>
    </w:rPr>
  </w:style>
  <w:style w:type="paragraph" w:customStyle="1" w:styleId="Titreobjetprliminaire">
    <w:name w:val="Titre objet (préliminaire)"/>
    <w:basedOn w:val="Normal"/>
    <w:next w:val="Normal"/>
    <w:pPr>
      <w:spacing w:before="360" w:after="360"/>
      <w:jc w:val="center"/>
    </w:pPr>
    <w:rPr>
      <w:rFonts w:eastAsia="Times New Roman"/>
      <w:b/>
      <w:lang w:eastAsia="en-GB"/>
    </w:rPr>
  </w:style>
  <w:style w:type="paragraph" w:customStyle="1" w:styleId="Typedudocumentprliminaire">
    <w:name w:val="Type du document (préliminaire)"/>
    <w:basedOn w:val="Normal"/>
    <w:next w:val="Normal"/>
    <w:pPr>
      <w:spacing w:before="360" w:after="0"/>
      <w:jc w:val="center"/>
    </w:pPr>
    <w:rPr>
      <w:rFonts w:eastAsia="Times New Roman"/>
      <w:b/>
      <w:lang w:eastAsia="en-GB"/>
    </w:rPr>
  </w:style>
  <w:style w:type="paragraph" w:customStyle="1" w:styleId="Fichefinancirestandardtitre">
    <w:name w:val="Fiche financière (standard) titre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Fichefinancirestandardtitreacte">
    <w:name w:val="Fiche financière (standard) titre (act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Fichefinanciretravailtitre">
    <w:name w:val="Fiche financière (travail) titre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Fichefinanciretravailtitreacte">
    <w:name w:val="Fiche financière (travail) titre (act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Fichefinancireattributiontitre">
    <w:name w:val="Fiche financière (attribution) titre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Fichefinancireattributiontitreacte">
    <w:name w:val="Fiche financière (attribution) titre (act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character" w:styleId="PageNumber">
    <w:name w:val="page number"/>
  </w:style>
  <w:style w:type="character" w:customStyle="1" w:styleId="tw4winMark">
    <w:name w:val="tw4winMark"/>
    <w:rPr>
      <w:vanish/>
      <w:color w:val="800080"/>
      <w:vertAlign w:val="subscript"/>
    </w:rPr>
  </w:style>
  <w:style w:type="character" w:customStyle="1" w:styleId="TOCHeadingChar">
    <w:name w:val="TOC Heading Char"/>
    <w:uiPriority w:val="39"/>
    <w:rPr>
      <w:rFonts w:ascii="Times New Roman" w:hAnsi="Times New Roman" w:cs="Times New Roman"/>
      <w:b/>
      <w:sz w:val="28"/>
      <w:lang w:val="mt-MT"/>
    </w:rPr>
  </w:style>
  <w:style w:type="paragraph" w:customStyle="1" w:styleId="Lignefinal">
    <w:name w:val="Ligne final"/>
    <w:basedOn w:val="Normal"/>
    <w:next w:val="Normal"/>
    <w:pPr>
      <w:pBdr>
        <w:bottom w:val="single" w:sz="4" w:space="0" w:color="000000"/>
      </w:pBdr>
      <w:spacing w:before="360" w:line="360" w:lineRule="auto"/>
      <w:ind w:left="3400" w:right="3400"/>
      <w:jc w:val="center"/>
    </w:pPr>
    <w:rPr>
      <w:b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customStyle="1" w:styleId="Normal1">
    <w:name w:val="Normal1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character" w:customStyle="1" w:styleId="super">
    <w:name w:val="super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mt-MT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mt-MT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mt-MT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mt-MT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8"/>
      </w:numPr>
    </w:pPr>
  </w:style>
  <w:style w:type="paragraph" w:customStyle="1" w:styleId="Tiret1">
    <w:name w:val="Tiret 1"/>
    <w:basedOn w:val="Point1"/>
    <w:pPr>
      <w:numPr>
        <w:numId w:val="19"/>
      </w:numPr>
    </w:pPr>
  </w:style>
  <w:style w:type="paragraph" w:customStyle="1" w:styleId="Tiret2">
    <w:name w:val="Tiret 2"/>
    <w:basedOn w:val="Point2"/>
    <w:pPr>
      <w:numPr>
        <w:numId w:val="20"/>
      </w:numPr>
    </w:pPr>
  </w:style>
  <w:style w:type="paragraph" w:customStyle="1" w:styleId="Tiret3">
    <w:name w:val="Tiret 3"/>
    <w:basedOn w:val="Point3"/>
    <w:pPr>
      <w:numPr>
        <w:numId w:val="21"/>
      </w:numPr>
    </w:pPr>
  </w:style>
  <w:style w:type="paragraph" w:customStyle="1" w:styleId="Tiret4">
    <w:name w:val="Tiret 4"/>
    <w:basedOn w:val="Point4"/>
    <w:pPr>
      <w:numPr>
        <w:numId w:val="22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3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3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3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3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5"/>
      </w:numPr>
    </w:pPr>
  </w:style>
  <w:style w:type="paragraph" w:customStyle="1" w:styleId="Point1number">
    <w:name w:val="Point 1 (number)"/>
    <w:basedOn w:val="Normal"/>
    <w:pPr>
      <w:numPr>
        <w:ilvl w:val="2"/>
        <w:numId w:val="25"/>
      </w:numPr>
    </w:pPr>
  </w:style>
  <w:style w:type="paragraph" w:customStyle="1" w:styleId="Point2number">
    <w:name w:val="Point 2 (number)"/>
    <w:basedOn w:val="Normal"/>
    <w:pPr>
      <w:numPr>
        <w:ilvl w:val="4"/>
        <w:numId w:val="25"/>
      </w:numPr>
    </w:pPr>
  </w:style>
  <w:style w:type="paragraph" w:customStyle="1" w:styleId="Point3number">
    <w:name w:val="Point 3 (number)"/>
    <w:basedOn w:val="Normal"/>
    <w:pPr>
      <w:numPr>
        <w:ilvl w:val="6"/>
        <w:numId w:val="25"/>
      </w:numPr>
    </w:pPr>
  </w:style>
  <w:style w:type="paragraph" w:customStyle="1" w:styleId="Point0letter">
    <w:name w:val="Point 0 (letter)"/>
    <w:basedOn w:val="Normal"/>
    <w:pPr>
      <w:numPr>
        <w:ilvl w:val="1"/>
        <w:numId w:val="25"/>
      </w:numPr>
    </w:pPr>
  </w:style>
  <w:style w:type="paragraph" w:customStyle="1" w:styleId="Point1letter">
    <w:name w:val="Point 1 (letter)"/>
    <w:basedOn w:val="Normal"/>
    <w:pPr>
      <w:numPr>
        <w:ilvl w:val="3"/>
        <w:numId w:val="25"/>
      </w:numPr>
    </w:pPr>
  </w:style>
  <w:style w:type="paragraph" w:customStyle="1" w:styleId="Point2letter">
    <w:name w:val="Point 2 (letter)"/>
    <w:basedOn w:val="Normal"/>
    <w:pPr>
      <w:numPr>
        <w:ilvl w:val="5"/>
        <w:numId w:val="25"/>
      </w:numPr>
    </w:pPr>
  </w:style>
  <w:style w:type="paragraph" w:customStyle="1" w:styleId="Point3letter">
    <w:name w:val="Point 3 (letter)"/>
    <w:basedOn w:val="Normal"/>
    <w:pPr>
      <w:numPr>
        <w:ilvl w:val="7"/>
        <w:numId w:val="25"/>
      </w:numPr>
    </w:pPr>
  </w:style>
  <w:style w:type="paragraph" w:customStyle="1" w:styleId="Point4letter">
    <w:name w:val="Point 4 (letter)"/>
    <w:basedOn w:val="Normal"/>
    <w:pPr>
      <w:numPr>
        <w:ilvl w:val="8"/>
        <w:numId w:val="25"/>
      </w:numPr>
    </w:pPr>
  </w:style>
  <w:style w:type="paragraph" w:customStyle="1" w:styleId="Bullet0">
    <w:name w:val="Bullet 0"/>
    <w:basedOn w:val="Normal"/>
    <w:pPr>
      <w:numPr>
        <w:numId w:val="26"/>
      </w:numPr>
    </w:pPr>
  </w:style>
  <w:style w:type="paragraph" w:customStyle="1" w:styleId="Bullet1">
    <w:name w:val="Bullet 1"/>
    <w:basedOn w:val="Normal"/>
    <w:pPr>
      <w:numPr>
        <w:numId w:val="27"/>
      </w:numPr>
    </w:pPr>
  </w:style>
  <w:style w:type="paragraph" w:customStyle="1" w:styleId="Bullet2">
    <w:name w:val="Bullet 2"/>
    <w:basedOn w:val="Normal"/>
    <w:pPr>
      <w:numPr>
        <w:numId w:val="28"/>
      </w:numPr>
    </w:pPr>
  </w:style>
  <w:style w:type="paragraph" w:customStyle="1" w:styleId="Bullet3">
    <w:name w:val="Bullet 3"/>
    <w:basedOn w:val="Normal"/>
    <w:pPr>
      <w:numPr>
        <w:numId w:val="29"/>
      </w:numPr>
    </w:pPr>
  </w:style>
  <w:style w:type="paragraph" w:customStyle="1" w:styleId="Bullet4">
    <w:name w:val="Bullet 4"/>
    <w:basedOn w:val="Normal"/>
    <w:pPr>
      <w:numPr>
        <w:numId w:val="30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1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4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4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4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4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nhideWhenUsed/>
    <w:pPr>
      <w:spacing w:after="0"/>
    </w:pPr>
  </w:style>
  <w:style w:type="paragraph" w:styleId="ListBullet">
    <w:name w:val="List Bullet"/>
    <w:basedOn w:val="Normal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mt-MT"/>
    </w:rPr>
  </w:style>
  <w:style w:type="paragraph" w:styleId="ListParagraph">
    <w:name w:val="List Paragraph"/>
    <w:aliases w:val="Listaszerű bekezdés1,List Paragraph à moi,Colorful List - Accent 11,Medium Grid 1 - Accent 21,Listaszeru bekezdés1,Colorful List - Accent 111,Dot pt,F5 List Paragraph,List Paragraph1,No Spacing1,List Paragraph Char Char Char,Bullets"/>
    <w:basedOn w:val="Normal"/>
    <w:link w:val="ListParagraphChar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ListBullet1">
    <w:name w:val="List Bullet 1"/>
    <w:basedOn w:val="Normal"/>
    <w:pPr>
      <w:numPr>
        <w:numId w:val="9"/>
      </w:numPr>
    </w:pPr>
    <w:rPr>
      <w:rFonts w:eastAsia="Times New Roman"/>
      <w:lang w:eastAsia="en-GB"/>
    </w:rPr>
  </w:style>
  <w:style w:type="paragraph" w:customStyle="1" w:styleId="ListDash">
    <w:name w:val="List Dash"/>
    <w:basedOn w:val="Normal"/>
    <w:pPr>
      <w:numPr>
        <w:numId w:val="10"/>
      </w:numPr>
    </w:pPr>
    <w:rPr>
      <w:rFonts w:eastAsia="Times New Roman"/>
      <w:lang w:eastAsia="en-GB"/>
    </w:rPr>
  </w:style>
  <w:style w:type="paragraph" w:customStyle="1" w:styleId="ListDash1">
    <w:name w:val="List Dash 1"/>
    <w:basedOn w:val="Normal"/>
    <w:pPr>
      <w:numPr>
        <w:numId w:val="11"/>
      </w:numPr>
    </w:pPr>
    <w:rPr>
      <w:rFonts w:eastAsia="Times New Roman"/>
      <w:lang w:eastAsia="en-GB"/>
    </w:rPr>
  </w:style>
  <w:style w:type="paragraph" w:customStyle="1" w:styleId="ListDash2">
    <w:name w:val="List Dash 2"/>
    <w:basedOn w:val="Normal"/>
    <w:pPr>
      <w:numPr>
        <w:numId w:val="12"/>
      </w:numPr>
    </w:pPr>
    <w:rPr>
      <w:rFonts w:eastAsia="Times New Roman"/>
      <w:lang w:eastAsia="en-GB"/>
    </w:rPr>
  </w:style>
  <w:style w:type="paragraph" w:customStyle="1" w:styleId="ListNumberLevel2">
    <w:name w:val="List Number (Level 2)"/>
    <w:basedOn w:val="Normal"/>
    <w:pPr>
      <w:tabs>
        <w:tab w:val="num" w:pos="1417"/>
      </w:tabs>
      <w:ind w:left="1417" w:hanging="708"/>
    </w:pPr>
    <w:rPr>
      <w:rFonts w:eastAsia="Times New Roman"/>
      <w:lang w:eastAsia="en-GB"/>
    </w:rPr>
  </w:style>
  <w:style w:type="paragraph" w:customStyle="1" w:styleId="ListNumberLevel3">
    <w:name w:val="List Number (Level 3)"/>
    <w:basedOn w:val="Normal"/>
    <w:pPr>
      <w:tabs>
        <w:tab w:val="num" w:pos="2126"/>
      </w:tabs>
      <w:ind w:left="2126" w:hanging="709"/>
    </w:pPr>
    <w:rPr>
      <w:rFonts w:eastAsia="Times New Roman"/>
      <w:lang w:eastAsia="en-GB"/>
    </w:rPr>
  </w:style>
  <w:style w:type="paragraph" w:customStyle="1" w:styleId="ListNumberLevel4">
    <w:name w:val="List Number (Level 4)"/>
    <w:basedOn w:val="Normal"/>
    <w:pPr>
      <w:tabs>
        <w:tab w:val="num" w:pos="2835"/>
      </w:tabs>
      <w:ind w:left="2835" w:hanging="709"/>
    </w:pPr>
    <w:rPr>
      <w:rFonts w:eastAsia="Times New Roman"/>
      <w:lang w:eastAsia="en-GB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rFonts w:eastAsia="Times New Roman"/>
      <w:b/>
      <w:lang w:eastAsia="en-GB"/>
    </w:rPr>
  </w:style>
  <w:style w:type="paragraph" w:customStyle="1" w:styleId="Sous-titreobjetPagedecouverture">
    <w:name w:val="Sous-titre objet (Page de couverture)"/>
    <w:basedOn w:val="Sous-titreobjet"/>
  </w:style>
  <w:style w:type="character" w:styleId="FollowedHyperlink">
    <w:name w:val="FollowedHyperlink"/>
    <w:rPr>
      <w:color w:val="800080"/>
      <w:u w:val="single"/>
    </w:rPr>
  </w:style>
  <w:style w:type="character" w:customStyle="1" w:styleId="ListParagraphChar">
    <w:name w:val="List Paragraph Char"/>
    <w:aliases w:val="Listaszerű bekezdés1 Char,List Paragraph à moi Char,Colorful List - Accent 11 Char,Medium Grid 1 - Accent 21 Char,Listaszeru bekezdés1 Char,Colorful List - Accent 111 Char,Dot pt Char,F5 List Paragraph Char,List Paragraph1 Char"/>
    <w:basedOn w:val="DefaultParagraphFont"/>
    <w:link w:val="ListParagraph"/>
    <w:uiPriority w:val="34"/>
    <w:locked/>
    <w:rPr>
      <w:lang w:val="mt-MT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  <w:lang w:val="mt-MT"/>
    </w:rPr>
  </w:style>
  <w:style w:type="character" w:customStyle="1" w:styleId="FooterSensitivityChar">
    <w:name w:val="Footer Sensitivity Char"/>
    <w:basedOn w:val="DefaultParagraphFont"/>
    <w:rPr>
      <w:rFonts w:ascii="Times New Roman" w:hAnsi="Times New Roman" w:cs="Times New Roman"/>
      <w:b/>
      <w:sz w:val="32"/>
      <w:lang w:val="mt-MT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  <w:lang w:val="mt-MT"/>
    </w:rPr>
  </w:style>
  <w:style w:type="character" w:customStyle="1" w:styleId="HeaderSensitivityChar">
    <w:name w:val="Header Sensitivity Char"/>
    <w:basedOn w:val="DefaultParagraphFont"/>
    <w:rPr>
      <w:rFonts w:ascii="Times New Roman" w:hAnsi="Times New Roman" w:cs="Times New Roman"/>
      <w:b/>
      <w:sz w:val="32"/>
      <w:lang w:val="mt-MT"/>
    </w:r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Titrearticle"/>
    <w:rPr>
      <w:lang w:eastAsia="fr-BE"/>
    </w:rPr>
  </w:style>
  <w:style w:type="paragraph" w:customStyle="1" w:styleId="ListDash3">
    <w:name w:val="List Dash 3"/>
    <w:basedOn w:val="Normal"/>
    <w:pPr>
      <w:numPr>
        <w:numId w:val="13"/>
      </w:numPr>
    </w:pPr>
    <w:rPr>
      <w:rFonts w:eastAsia="Times New Roman"/>
      <w:lang w:eastAsia="en-GB"/>
    </w:rPr>
  </w:style>
  <w:style w:type="paragraph" w:customStyle="1" w:styleId="ListDash4">
    <w:name w:val="List Dash 4"/>
    <w:basedOn w:val="Normal"/>
    <w:pPr>
      <w:numPr>
        <w:numId w:val="14"/>
      </w:numPr>
    </w:pPr>
    <w:rPr>
      <w:rFonts w:eastAsia="Times New Roman"/>
      <w:lang w:eastAsia="en-GB"/>
    </w:rPr>
  </w:style>
  <w:style w:type="paragraph" w:customStyle="1" w:styleId="ListNumber1">
    <w:name w:val="List Number 1"/>
    <w:basedOn w:val="Text1"/>
    <w:pPr>
      <w:numPr>
        <w:numId w:val="15"/>
      </w:numPr>
    </w:pPr>
    <w:rPr>
      <w:rFonts w:eastAsia="Times New Roman"/>
      <w:lang w:eastAsia="en-GB"/>
    </w:r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  <w:rPr>
      <w:rFonts w:eastAsia="Times New Roman"/>
      <w:lang w:eastAsia="en-GB"/>
    </w:rPr>
  </w:style>
  <w:style w:type="paragraph" w:customStyle="1" w:styleId="ListNumber2Level2">
    <w:name w:val="List Number 2 (Level 2)"/>
    <w:basedOn w:val="Text2"/>
    <w:pPr>
      <w:tabs>
        <w:tab w:val="num" w:pos="2268"/>
      </w:tabs>
      <w:ind w:left="2268" w:hanging="708"/>
    </w:pPr>
    <w:rPr>
      <w:rFonts w:eastAsia="Times New Roman"/>
      <w:lang w:eastAsia="en-GB"/>
    </w:rPr>
  </w:style>
  <w:style w:type="paragraph" w:customStyle="1" w:styleId="ListNumber3Level2">
    <w:name w:val="List Number 3 (Level 2)"/>
    <w:basedOn w:val="Text3"/>
    <w:pPr>
      <w:tabs>
        <w:tab w:val="num" w:pos="2268"/>
      </w:tabs>
      <w:ind w:left="2268" w:hanging="708"/>
    </w:pPr>
    <w:rPr>
      <w:rFonts w:eastAsia="Times New Roman"/>
      <w:lang w:eastAsia="en-GB"/>
    </w:rPr>
  </w:style>
  <w:style w:type="paragraph" w:customStyle="1" w:styleId="ListNumber4Level2">
    <w:name w:val="List Number 4 (Level 2)"/>
    <w:basedOn w:val="Text4"/>
    <w:pPr>
      <w:tabs>
        <w:tab w:val="num" w:pos="2268"/>
      </w:tabs>
      <w:ind w:left="2268" w:hanging="708"/>
    </w:pPr>
    <w:rPr>
      <w:rFonts w:eastAsia="Times New Roman"/>
      <w:lang w:eastAsia="en-GB"/>
    </w:r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  <w:rPr>
      <w:rFonts w:eastAsia="Times New Roman"/>
      <w:lang w:eastAsia="en-GB"/>
    </w:rPr>
  </w:style>
  <w:style w:type="paragraph" w:customStyle="1" w:styleId="ListNumber2Level3">
    <w:name w:val="List Number 2 (Level 3)"/>
    <w:basedOn w:val="Text2"/>
    <w:pPr>
      <w:tabs>
        <w:tab w:val="num" w:pos="2977"/>
      </w:tabs>
      <w:ind w:left="2977" w:hanging="709"/>
    </w:pPr>
    <w:rPr>
      <w:rFonts w:eastAsia="Times New Roman"/>
      <w:lang w:eastAsia="en-GB"/>
    </w:rPr>
  </w:style>
  <w:style w:type="paragraph" w:customStyle="1" w:styleId="ListNumber3Level3">
    <w:name w:val="List Number 3 (Level 3)"/>
    <w:basedOn w:val="Text3"/>
    <w:pPr>
      <w:tabs>
        <w:tab w:val="num" w:pos="2977"/>
      </w:tabs>
      <w:ind w:left="2977" w:hanging="709"/>
    </w:pPr>
    <w:rPr>
      <w:rFonts w:eastAsia="Times New Roman"/>
      <w:lang w:eastAsia="en-GB"/>
    </w:rPr>
  </w:style>
  <w:style w:type="paragraph" w:customStyle="1" w:styleId="ListNumber4Level3">
    <w:name w:val="List Number 4 (Level 3)"/>
    <w:basedOn w:val="Text4"/>
    <w:pPr>
      <w:tabs>
        <w:tab w:val="num" w:pos="2977"/>
      </w:tabs>
      <w:ind w:left="2977" w:hanging="709"/>
    </w:pPr>
    <w:rPr>
      <w:rFonts w:eastAsia="Times New Roman"/>
      <w:lang w:eastAsia="en-GB"/>
    </w:r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  <w:rPr>
      <w:rFonts w:eastAsia="Times New Roman"/>
      <w:lang w:eastAsia="en-GB"/>
    </w:rPr>
  </w:style>
  <w:style w:type="paragraph" w:customStyle="1" w:styleId="ListNumber2Level4">
    <w:name w:val="List Number 2 (Level 4)"/>
    <w:basedOn w:val="Text2"/>
    <w:pPr>
      <w:tabs>
        <w:tab w:val="num" w:pos="3686"/>
      </w:tabs>
      <w:ind w:left="3686" w:hanging="709"/>
    </w:pPr>
    <w:rPr>
      <w:rFonts w:eastAsia="Times New Roman"/>
      <w:lang w:eastAsia="en-GB"/>
    </w:rPr>
  </w:style>
  <w:style w:type="paragraph" w:customStyle="1" w:styleId="ListNumber3Level4">
    <w:name w:val="List Number 3 (Level 4)"/>
    <w:basedOn w:val="Text3"/>
    <w:pPr>
      <w:tabs>
        <w:tab w:val="num" w:pos="3686"/>
      </w:tabs>
      <w:ind w:left="3686" w:hanging="709"/>
    </w:pPr>
    <w:rPr>
      <w:rFonts w:eastAsia="Times New Roman"/>
      <w:lang w:eastAsia="en-GB"/>
    </w:rPr>
  </w:style>
  <w:style w:type="paragraph" w:customStyle="1" w:styleId="ListNumber4Level4">
    <w:name w:val="List Number 4 (Level 4)"/>
    <w:basedOn w:val="Text4"/>
    <w:pPr>
      <w:tabs>
        <w:tab w:val="num" w:pos="3686"/>
      </w:tabs>
      <w:ind w:left="3686" w:hanging="709"/>
    </w:pPr>
    <w:rPr>
      <w:rFonts w:eastAsia="Times New Roman"/>
      <w:lang w:eastAsia="en-GB"/>
    </w:rPr>
  </w:style>
  <w:style w:type="paragraph" w:customStyle="1" w:styleId="Annexetitreacte">
    <w:name w:val="Annexe titre (act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Annexetitreexposglobal">
    <w:name w:val="Annexe titre (exposé global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Annexetitrefichefinacte">
    <w:name w:val="Annexe titre (fiche fin. act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Annexetitrefichefinglobale">
    <w:name w:val="Annexe titre (fiche fin. global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Annexetitreglobale">
    <w:name w:val="Annexe titre (global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Exposdesmotifstitreglobal">
    <w:name w:val="Exposé des motifs titre (global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Langueoriginale">
    <w:name w:val="Langue originale"/>
    <w:basedOn w:val="Normal"/>
    <w:pPr>
      <w:spacing w:before="360"/>
      <w:jc w:val="center"/>
    </w:pPr>
    <w:rPr>
      <w:rFonts w:eastAsia="Times New Roman"/>
      <w:caps/>
      <w:lang w:eastAsia="en-GB"/>
    </w:rPr>
  </w:style>
  <w:style w:type="paragraph" w:customStyle="1" w:styleId="Phrasefinale">
    <w:name w:val="Phrase finale"/>
    <w:basedOn w:val="Normal"/>
    <w:next w:val="Normal"/>
    <w:pPr>
      <w:spacing w:before="360" w:after="0"/>
      <w:jc w:val="center"/>
    </w:pPr>
    <w:rPr>
      <w:rFonts w:eastAsia="Times New Roman"/>
      <w:lang w:eastAsia="en-GB"/>
    </w:rPr>
  </w:style>
  <w:style w:type="paragraph" w:customStyle="1" w:styleId="Prliminairetitre">
    <w:name w:val="Préliminaire titre"/>
    <w:basedOn w:val="Normal"/>
    <w:next w:val="Normal"/>
    <w:pPr>
      <w:spacing w:before="360" w:after="360"/>
      <w:jc w:val="center"/>
    </w:pPr>
    <w:rPr>
      <w:rFonts w:eastAsia="Times New Roman"/>
      <w:b/>
      <w:lang w:eastAsia="en-GB"/>
    </w:rPr>
  </w:style>
  <w:style w:type="paragraph" w:customStyle="1" w:styleId="Prliminairetype">
    <w:name w:val="Préliminaire type"/>
    <w:basedOn w:val="Normal"/>
    <w:next w:val="Normal"/>
    <w:pPr>
      <w:spacing w:before="360" w:after="0"/>
      <w:jc w:val="center"/>
    </w:pPr>
    <w:rPr>
      <w:rFonts w:eastAsia="Times New Roman"/>
      <w:b/>
      <w:lang w:eastAsia="en-GB"/>
    </w:rPr>
  </w:style>
  <w:style w:type="paragraph" w:customStyle="1" w:styleId="Rfrenceinstitutionelle">
    <w:name w:val="Référence institutionelle"/>
    <w:basedOn w:val="Normal"/>
    <w:next w:val="Statut"/>
    <w:pPr>
      <w:spacing w:before="0" w:after="240"/>
      <w:ind w:left="5103"/>
      <w:jc w:val="left"/>
    </w:pPr>
    <w:rPr>
      <w:rFonts w:eastAsia="Times New Roman"/>
      <w:lang w:eastAsia="en-GB"/>
    </w:rPr>
  </w:style>
  <w:style w:type="paragraph" w:customStyle="1" w:styleId="Rfrenceinterinstitutionelle">
    <w:name w:val="Référence interinstitutionelle"/>
    <w:basedOn w:val="Normal"/>
    <w:next w:val="Statut"/>
    <w:pPr>
      <w:spacing w:before="0" w:after="0"/>
      <w:ind w:left="5103"/>
      <w:jc w:val="left"/>
    </w:pPr>
    <w:rPr>
      <w:rFonts w:eastAsia="Times New Roman"/>
      <w:lang w:eastAsia="en-GB"/>
    </w:rPr>
  </w:style>
  <w:style w:type="paragraph" w:customStyle="1" w:styleId="Rfrenceinterinstitutionelleprliminaire">
    <w:name w:val="Référence interinstitutionelle (préliminaire)"/>
    <w:basedOn w:val="Normal"/>
    <w:next w:val="Normal"/>
    <w:pPr>
      <w:spacing w:before="0" w:after="0"/>
      <w:ind w:left="5103"/>
      <w:jc w:val="left"/>
    </w:pPr>
    <w:rPr>
      <w:rFonts w:eastAsia="Times New Roman"/>
      <w:lang w:eastAsia="en-GB"/>
    </w:rPr>
  </w:style>
  <w:style w:type="paragraph" w:customStyle="1" w:styleId="Sous-titreobjetprliminaire">
    <w:name w:val="Sous-titre objet (préliminaire)"/>
    <w:basedOn w:val="Normal"/>
    <w:pPr>
      <w:spacing w:before="0" w:after="0"/>
      <w:jc w:val="center"/>
    </w:pPr>
    <w:rPr>
      <w:rFonts w:eastAsia="Times New Roman"/>
      <w:b/>
      <w:lang w:eastAsia="en-GB"/>
    </w:rPr>
  </w:style>
  <w:style w:type="paragraph" w:customStyle="1" w:styleId="Statutprliminaire">
    <w:name w:val="Statut (préliminaire)"/>
    <w:basedOn w:val="Normal"/>
    <w:next w:val="Normal"/>
    <w:pPr>
      <w:spacing w:before="360" w:after="0"/>
      <w:jc w:val="center"/>
    </w:pPr>
    <w:rPr>
      <w:rFonts w:eastAsia="Times New Roman"/>
      <w:lang w:eastAsia="en-GB"/>
    </w:rPr>
  </w:style>
  <w:style w:type="paragraph" w:customStyle="1" w:styleId="Titreobjetprliminaire">
    <w:name w:val="Titre objet (préliminaire)"/>
    <w:basedOn w:val="Normal"/>
    <w:next w:val="Normal"/>
    <w:pPr>
      <w:spacing w:before="360" w:after="360"/>
      <w:jc w:val="center"/>
    </w:pPr>
    <w:rPr>
      <w:rFonts w:eastAsia="Times New Roman"/>
      <w:b/>
      <w:lang w:eastAsia="en-GB"/>
    </w:rPr>
  </w:style>
  <w:style w:type="paragraph" w:customStyle="1" w:styleId="Typedudocumentprliminaire">
    <w:name w:val="Type du document (préliminaire)"/>
    <w:basedOn w:val="Normal"/>
    <w:next w:val="Normal"/>
    <w:pPr>
      <w:spacing w:before="360" w:after="0"/>
      <w:jc w:val="center"/>
    </w:pPr>
    <w:rPr>
      <w:rFonts w:eastAsia="Times New Roman"/>
      <w:b/>
      <w:lang w:eastAsia="en-GB"/>
    </w:rPr>
  </w:style>
  <w:style w:type="paragraph" w:customStyle="1" w:styleId="Fichefinancirestandardtitre">
    <w:name w:val="Fiche financière (standard) titre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Fichefinancirestandardtitreacte">
    <w:name w:val="Fiche financière (standard) titre (act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Fichefinanciretravailtitre">
    <w:name w:val="Fiche financière (travail) titre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Fichefinanciretravailtitreacte">
    <w:name w:val="Fiche financière (travail) titre (act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Fichefinancireattributiontitre">
    <w:name w:val="Fiche financière (attribution) titre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Fichefinancireattributiontitreacte">
    <w:name w:val="Fiche financière (attribution) titre (act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character" w:styleId="PageNumber">
    <w:name w:val="page number"/>
  </w:style>
  <w:style w:type="character" w:customStyle="1" w:styleId="tw4winMark">
    <w:name w:val="tw4winMark"/>
    <w:rPr>
      <w:vanish/>
      <w:color w:val="800080"/>
      <w:vertAlign w:val="subscript"/>
    </w:rPr>
  </w:style>
  <w:style w:type="character" w:customStyle="1" w:styleId="TOCHeadingChar">
    <w:name w:val="TOC Heading Char"/>
    <w:uiPriority w:val="39"/>
    <w:rPr>
      <w:rFonts w:ascii="Times New Roman" w:hAnsi="Times New Roman" w:cs="Times New Roman"/>
      <w:b/>
      <w:sz w:val="28"/>
      <w:lang w:val="mt-MT"/>
    </w:rPr>
  </w:style>
  <w:style w:type="paragraph" w:customStyle="1" w:styleId="Lignefinal">
    <w:name w:val="Ligne final"/>
    <w:basedOn w:val="Normal"/>
    <w:next w:val="Normal"/>
    <w:pPr>
      <w:pBdr>
        <w:bottom w:val="single" w:sz="4" w:space="0" w:color="000000"/>
      </w:pBdr>
      <w:spacing w:before="360" w:line="360" w:lineRule="auto"/>
      <w:ind w:left="3400" w:right="3400"/>
      <w:jc w:val="center"/>
    </w:pPr>
    <w:rPr>
      <w:b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customStyle="1" w:styleId="Normal1">
    <w:name w:val="Normal1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character" w:customStyle="1" w:styleId="super">
    <w:name w:val="super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mt-MT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mt-MT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mt-MT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mt-MT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8"/>
      </w:numPr>
    </w:pPr>
  </w:style>
  <w:style w:type="paragraph" w:customStyle="1" w:styleId="Tiret1">
    <w:name w:val="Tiret 1"/>
    <w:basedOn w:val="Point1"/>
    <w:pPr>
      <w:numPr>
        <w:numId w:val="19"/>
      </w:numPr>
    </w:pPr>
  </w:style>
  <w:style w:type="paragraph" w:customStyle="1" w:styleId="Tiret2">
    <w:name w:val="Tiret 2"/>
    <w:basedOn w:val="Point2"/>
    <w:pPr>
      <w:numPr>
        <w:numId w:val="20"/>
      </w:numPr>
    </w:pPr>
  </w:style>
  <w:style w:type="paragraph" w:customStyle="1" w:styleId="Tiret3">
    <w:name w:val="Tiret 3"/>
    <w:basedOn w:val="Point3"/>
    <w:pPr>
      <w:numPr>
        <w:numId w:val="21"/>
      </w:numPr>
    </w:pPr>
  </w:style>
  <w:style w:type="paragraph" w:customStyle="1" w:styleId="Tiret4">
    <w:name w:val="Tiret 4"/>
    <w:basedOn w:val="Point4"/>
    <w:pPr>
      <w:numPr>
        <w:numId w:val="22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3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3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3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3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5"/>
      </w:numPr>
    </w:pPr>
  </w:style>
  <w:style w:type="paragraph" w:customStyle="1" w:styleId="Point1number">
    <w:name w:val="Point 1 (number)"/>
    <w:basedOn w:val="Normal"/>
    <w:pPr>
      <w:numPr>
        <w:ilvl w:val="2"/>
        <w:numId w:val="25"/>
      </w:numPr>
    </w:pPr>
  </w:style>
  <w:style w:type="paragraph" w:customStyle="1" w:styleId="Point2number">
    <w:name w:val="Point 2 (number)"/>
    <w:basedOn w:val="Normal"/>
    <w:pPr>
      <w:numPr>
        <w:ilvl w:val="4"/>
        <w:numId w:val="25"/>
      </w:numPr>
    </w:pPr>
  </w:style>
  <w:style w:type="paragraph" w:customStyle="1" w:styleId="Point3number">
    <w:name w:val="Point 3 (number)"/>
    <w:basedOn w:val="Normal"/>
    <w:pPr>
      <w:numPr>
        <w:ilvl w:val="6"/>
        <w:numId w:val="25"/>
      </w:numPr>
    </w:pPr>
  </w:style>
  <w:style w:type="paragraph" w:customStyle="1" w:styleId="Point0letter">
    <w:name w:val="Point 0 (letter)"/>
    <w:basedOn w:val="Normal"/>
    <w:pPr>
      <w:numPr>
        <w:ilvl w:val="1"/>
        <w:numId w:val="25"/>
      </w:numPr>
    </w:pPr>
  </w:style>
  <w:style w:type="paragraph" w:customStyle="1" w:styleId="Point1letter">
    <w:name w:val="Point 1 (letter)"/>
    <w:basedOn w:val="Normal"/>
    <w:pPr>
      <w:numPr>
        <w:ilvl w:val="3"/>
        <w:numId w:val="25"/>
      </w:numPr>
    </w:pPr>
  </w:style>
  <w:style w:type="paragraph" w:customStyle="1" w:styleId="Point2letter">
    <w:name w:val="Point 2 (letter)"/>
    <w:basedOn w:val="Normal"/>
    <w:pPr>
      <w:numPr>
        <w:ilvl w:val="5"/>
        <w:numId w:val="25"/>
      </w:numPr>
    </w:pPr>
  </w:style>
  <w:style w:type="paragraph" w:customStyle="1" w:styleId="Point3letter">
    <w:name w:val="Point 3 (letter)"/>
    <w:basedOn w:val="Normal"/>
    <w:pPr>
      <w:numPr>
        <w:ilvl w:val="7"/>
        <w:numId w:val="25"/>
      </w:numPr>
    </w:pPr>
  </w:style>
  <w:style w:type="paragraph" w:customStyle="1" w:styleId="Point4letter">
    <w:name w:val="Point 4 (letter)"/>
    <w:basedOn w:val="Normal"/>
    <w:pPr>
      <w:numPr>
        <w:ilvl w:val="8"/>
        <w:numId w:val="25"/>
      </w:numPr>
    </w:pPr>
  </w:style>
  <w:style w:type="paragraph" w:customStyle="1" w:styleId="Bullet0">
    <w:name w:val="Bullet 0"/>
    <w:basedOn w:val="Normal"/>
    <w:pPr>
      <w:numPr>
        <w:numId w:val="26"/>
      </w:numPr>
    </w:pPr>
  </w:style>
  <w:style w:type="paragraph" w:customStyle="1" w:styleId="Bullet1">
    <w:name w:val="Bullet 1"/>
    <w:basedOn w:val="Normal"/>
    <w:pPr>
      <w:numPr>
        <w:numId w:val="27"/>
      </w:numPr>
    </w:pPr>
  </w:style>
  <w:style w:type="paragraph" w:customStyle="1" w:styleId="Bullet2">
    <w:name w:val="Bullet 2"/>
    <w:basedOn w:val="Normal"/>
    <w:pPr>
      <w:numPr>
        <w:numId w:val="28"/>
      </w:numPr>
    </w:pPr>
  </w:style>
  <w:style w:type="paragraph" w:customStyle="1" w:styleId="Bullet3">
    <w:name w:val="Bullet 3"/>
    <w:basedOn w:val="Normal"/>
    <w:pPr>
      <w:numPr>
        <w:numId w:val="29"/>
      </w:numPr>
    </w:pPr>
  </w:style>
  <w:style w:type="paragraph" w:customStyle="1" w:styleId="Bullet4">
    <w:name w:val="Bullet 4"/>
    <w:basedOn w:val="Normal"/>
    <w:pPr>
      <w:numPr>
        <w:numId w:val="30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1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5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6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84063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90697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48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29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35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588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17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1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102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3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7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253905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481595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35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23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01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079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F0E392A-C1EB-4692-BCB5-EA8C7995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6</Pages>
  <Words>775</Words>
  <Characters>5341</Characters>
  <Application>Microsoft Office Word</Application>
  <DocSecurity>0</DocSecurity>
  <Lines>97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DIGIT/C6</cp:lastModifiedBy>
  <cp:revision>19</cp:revision>
  <cp:lastPrinted>2019-10-17T11:12:00Z</cp:lastPrinted>
  <dcterms:created xsi:type="dcterms:W3CDTF">2020-01-17T09:30:00Z</dcterms:created>
  <dcterms:modified xsi:type="dcterms:W3CDTF">2020-01-17T12:34:00Z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