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56BD0DD-225B-4640-8655-31ACEC094B61" style="width:450.35pt;height:352.5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 xml:space="preserve">CONTESTO DELLA PROPOSTA </w:t>
      </w:r>
    </w:p>
    <w:p>
      <w:pPr>
        <w:pStyle w:val="ManualHeading2"/>
        <w:rPr>
          <w:rFonts w:eastAsia="Arial Unicode MS"/>
          <w:noProof/>
        </w:rPr>
      </w:pPr>
      <w:r>
        <w:rPr>
          <w:noProof/>
          <w:u w:color="000000"/>
          <w:bdr w:val="nil"/>
        </w:rPr>
        <w:t>•</w:t>
      </w:r>
      <w:r>
        <w:rPr>
          <w:noProof/>
          <w:u w:color="000000"/>
          <w:bdr w:val="nil"/>
        </w:rPr>
        <w:tab/>
      </w:r>
      <w:r>
        <w:rPr>
          <w:noProof/>
        </w:rPr>
        <w:t>Motivi e obiettivi della proposta</w:t>
      </w:r>
    </w:p>
    <w:p>
      <w:pPr>
        <w:spacing w:before="0" w:after="0"/>
        <w:rPr>
          <w:noProof/>
        </w:rPr>
      </w:pPr>
      <w:r>
        <w:rPr>
          <w:noProof/>
        </w:rPr>
        <w:t>L'accordo di cooperazione scientifica e tecnologica tra la Comunità europea e il governo della Repubblica dell'India</w:t>
      </w:r>
      <w:r>
        <w:rPr>
          <w:rStyle w:val="FootnoteReference"/>
          <w:noProof/>
        </w:rPr>
        <w:footnoteReference w:id="1"/>
      </w:r>
      <w:r>
        <w:rPr>
          <w:noProof/>
        </w:rPr>
        <w:t xml:space="preserve"> ("l'accordo") è stato firmato a Nuova Delhi il 23 novembre 2001 ed è entrato in vigore il 14 ottobre 2002. L'articolo 11, lettera b), dell'accordo stabilisce: "Il presente accordo è concluso per un periodo iniziale di cinque anni e può essere rinnovato su accordo delle parti, previa valutazione da effettuarsi nel corso dell'ultimo anno di ciascun periodo successivo." L'accordo è già stato rinnovato due volte: rispettivamente nel 2009</w:t>
      </w:r>
      <w:r>
        <w:rPr>
          <w:rStyle w:val="FootnoteReference"/>
          <w:noProof/>
        </w:rPr>
        <w:footnoteReference w:id="2"/>
      </w:r>
      <w:r>
        <w:rPr>
          <w:noProof/>
        </w:rPr>
        <w:t xml:space="preserve"> e nel 2015</w:t>
      </w:r>
      <w:r>
        <w:rPr>
          <w:rStyle w:val="FootnoteReference"/>
          <w:noProof/>
        </w:rPr>
        <w:footnoteReference w:id="3"/>
      </w:r>
      <w:r>
        <w:rPr>
          <w:noProof/>
        </w:rPr>
        <w:t xml:space="preserve"> il Consiglio ha approvato il rinnovo per un ulteriore periodo di 5 anni. </w:t>
      </w:r>
    </w:p>
    <w:p>
      <w:pPr>
        <w:spacing w:before="0" w:after="0"/>
        <w:ind w:left="-46"/>
        <w:rPr>
          <w:noProof/>
        </w:rPr>
      </w:pPr>
    </w:p>
    <w:p>
      <w:pPr>
        <w:spacing w:before="0" w:after="0"/>
        <w:ind w:left="-46"/>
        <w:rPr>
          <w:noProof/>
        </w:rPr>
      </w:pPr>
      <w:r>
        <w:rPr>
          <w:noProof/>
        </w:rPr>
        <w:t xml:space="preserve">L'accordo in vigore giungerà a scadenza il 17 maggio 2020. </w:t>
      </w:r>
    </w:p>
    <w:p>
      <w:pPr>
        <w:spacing w:before="0" w:after="0"/>
        <w:ind w:left="-46"/>
        <w:rPr>
          <w:noProof/>
        </w:rPr>
      </w:pPr>
    </w:p>
    <w:p>
      <w:pPr>
        <w:spacing w:before="0" w:after="0"/>
        <w:rPr>
          <w:noProof/>
        </w:rPr>
      </w:pPr>
      <w:r>
        <w:rPr>
          <w:noProof/>
        </w:rPr>
        <w:t>La valutazione condotta dalla Commissione dimostra chiaramente che l'accordo costituisce un quadro importante per attuare e agevolare la cooperazione tra l'UE e l'India in settori prioritari comuni della scienza e della tecnologia che risulta vantaggiosa per le parti. Negli ultimi anni, nell'ambito del programma Orizzonte 2020</w:t>
      </w:r>
      <w:r>
        <w:rPr>
          <w:rStyle w:val="FootnoteReference"/>
          <w:noProof/>
        </w:rPr>
        <w:footnoteReference w:id="4"/>
      </w:r>
      <w:r>
        <w:rPr>
          <w:noProof/>
        </w:rPr>
        <w:t>, un invito congiunto in materia di risorse idriche varato con il Dipartimento di scienza e tecnologia (DST) e il Dipartimento della biotecnologia (DBT) ha portato alla selezione di 7 progetti per un importo totale di 30 milioni di EUR; un invito congiunto sui vaccini di nuova generazione pubblicato in collaborazione con il DBT, per un totale di 30 milioni di EUR, ha portato alla selezione di 3 progetti; sono state avviate due iniziative di innovazione: una rete di incubatori e una piattaforma per l'innovazione, che hanno portato alla costituzione di oltre 20 partenariati per l'innovazione tra i loro partecipanti. Inoltre, è stato firmato un accordo di attuazione tra il SERB (</w:t>
      </w:r>
      <w:r>
        <w:rPr>
          <w:i/>
          <w:iCs/>
          <w:noProof/>
        </w:rPr>
        <w:t>Science and engineering research board</w:t>
      </w:r>
      <w:r>
        <w:rPr>
          <w:noProof/>
        </w:rPr>
        <w:t>) e la Commissione europea per agevolare la mobilità dei ricercatori indiani che desiderino lavorare in seno a équipe di beneficiari di una sovvenzione del Consiglio europeo della ricerca. Infine, il DBT e il ministero della Scienza della Terra (MoES) hanno predisposto due meccanismi di cofinanziamento per finanziare i candidati indiani selezionati a seguito di oltre 50 inviti a presentare proposte nell'ambito di Orizzonte 2020.</w:t>
      </w:r>
    </w:p>
    <w:p>
      <w:pPr>
        <w:spacing w:before="0" w:after="0"/>
        <w:rPr>
          <w:noProof/>
          <w:sz w:val="23"/>
          <w:szCs w:val="23"/>
        </w:rPr>
      </w:pPr>
    </w:p>
    <w:p>
      <w:pPr>
        <w:spacing w:before="0" w:after="0"/>
        <w:rPr>
          <w:noProof/>
        </w:rPr>
      </w:pPr>
      <w:r>
        <w:rPr>
          <w:noProof/>
        </w:rPr>
        <w:t>È nell'interesse dell'UE rinnovare il presente accordo al fine di rafforzare e agevolare la cooperazione scientifica e tecnologica in settori di interesse reciproco, che consentano di realizzare progressi tecnologici a vantaggio della comunità scientifica europea e di aprire ulteriormente l'accesso al mercato indiano mediante la cooperazione congiunta.</w:t>
      </w:r>
    </w:p>
    <w:p>
      <w:pPr>
        <w:spacing w:before="0" w:after="0"/>
        <w:ind w:left="-46"/>
        <w:rPr>
          <w:noProof/>
        </w:rPr>
      </w:pPr>
    </w:p>
    <w:p>
      <w:pPr>
        <w:spacing w:before="0" w:after="0"/>
        <w:ind w:left="-46"/>
        <w:rPr>
          <w:noProof/>
        </w:rPr>
      </w:pPr>
      <w:r>
        <w:rPr>
          <w:noProof/>
        </w:rPr>
        <w:t xml:space="preserve">L'accordo è essenziale per consentire a ciascuna parte di conoscere il panorama scientifico e dell'innovazione dell'altra e definire insieme i settori prioritari di comune interesse per la cooperazione internazionale in materia di ricerca e innovazione. Offre un quadro giuridico e amministrativo che consente di discutere le modalità della cooperazione, garantendo un'assegnazione corretta ed equa dei finanziamenti per la ricerca e l'innovazione in settori in linea con gli interessi e le politiche dell'UE che possono essere adattati agli interessi e alle esigenze dell'India. </w:t>
      </w:r>
    </w:p>
    <w:p>
      <w:pPr>
        <w:spacing w:before="0" w:after="0"/>
        <w:ind w:left="-46"/>
        <w:rPr>
          <w:noProof/>
        </w:rPr>
      </w:pPr>
    </w:p>
    <w:p>
      <w:pPr>
        <w:spacing w:before="0" w:after="0"/>
        <w:ind w:left="-46"/>
        <w:rPr>
          <w:noProof/>
        </w:rPr>
      </w:pPr>
      <w:r>
        <w:rPr>
          <w:noProof/>
        </w:rPr>
        <w:t>L'accordo costituisce inoltre un'utile piattaforma di discussione per valutare le attività di cooperazione passate e stabilire le azioni future, anche su questioni che incidono sull'efficacia della cooperazione come l'accesso aperto e l'innovazione aperta.</w:t>
      </w:r>
    </w:p>
    <w:p>
      <w:pPr>
        <w:spacing w:before="0" w:after="0"/>
        <w:ind w:left="-46"/>
        <w:jc w:val="left"/>
        <w:rPr>
          <w:rFonts w:eastAsia="Times New Roman"/>
          <w:b/>
          <w:i/>
          <w:noProof/>
          <w:sz w:val="20"/>
          <w:szCs w:val="24"/>
        </w:rPr>
      </w:pPr>
    </w:p>
    <w:p>
      <w:pPr>
        <w:spacing w:after="0"/>
        <w:ind w:left="-46"/>
        <w:rPr>
          <w:noProof/>
        </w:rPr>
      </w:pPr>
      <w:r>
        <w:rPr>
          <w:noProof/>
        </w:rPr>
        <w:t>In occasione della riunione del comitato direttivo congiunto UE-India istituito dall'accordo, svoltasi a New Delhi il 1° marzo 2019, entrambe le parti hanno preso atto della reciproca intenzione di rinnovare l'accordo per un ulteriore periodo di cinque anni senza modifiche a seguito di una valutazione ai sensi dell'articolo 11 dell'accordo.</w:t>
      </w:r>
    </w:p>
    <w:p>
      <w:pPr>
        <w:spacing w:after="0"/>
        <w:ind w:left="-46"/>
        <w:rPr>
          <w:noProof/>
          <w:highlight w:val="yellow"/>
        </w:rPr>
      </w:pPr>
    </w:p>
    <w:p>
      <w:pPr>
        <w:spacing w:before="0" w:after="0"/>
        <w:rPr>
          <w:noProof/>
        </w:rPr>
      </w:pPr>
      <w:r>
        <w:rPr>
          <w:noProof/>
        </w:rPr>
        <w:t>La sostanza dell'accordo prorogato sarà identica a quella dell'accordo vigente, come discusso e concordato con le controparti indiane. Non creerà nuovi diritti e obblighi per l'UE, ma si limiterà a prorogare nel tempo il regime giuridico già esistente tra le parti nel campo della cooperazione S&amp;T.</w:t>
      </w:r>
    </w:p>
    <w:p>
      <w:pPr>
        <w:spacing w:before="0" w:after="0"/>
        <w:rPr>
          <w:noProof/>
          <w:color w:val="010202"/>
          <w:szCs w:val="24"/>
        </w:rPr>
      </w:pP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Coerenza con le disposizioni vigenti nel settore normativo interessato</w:t>
      </w:r>
    </w:p>
    <w:p>
      <w:pPr>
        <w:pBdr>
          <w:top w:val="nil"/>
          <w:left w:val="nil"/>
          <w:bottom w:val="nil"/>
          <w:right w:val="nil"/>
          <w:between w:val="nil"/>
          <w:bar w:val="nil"/>
        </w:pBdr>
        <w:spacing w:before="0" w:after="240"/>
        <w:rPr>
          <w:noProof/>
        </w:rPr>
      </w:pPr>
      <w:r>
        <w:rPr>
          <w:noProof/>
        </w:rPr>
        <w:t>Questa iniziativa è pienamente in linea con la strategia di cooperazione internazionale dell'UE per la ricerca e l'innovazione</w:t>
      </w:r>
      <w:r>
        <w:rPr>
          <w:rStyle w:val="FootnoteReference"/>
          <w:noProof/>
        </w:rPr>
        <w:footnoteReference w:id="5"/>
      </w:r>
      <w:r>
        <w:rPr>
          <w:noProof/>
        </w:rPr>
        <w:t xml:space="preserve">. La strategia dell'UE sottolinea chiaramente l'importanza degli accordi in materia di scienza e tecnologia come strumenti per definire e attuare le tabelle di marcia pluriennali per la cooperazione con i paesi terzi. L'accordo è anche un mezzo per attuare la strategia di cooperazione internazionale dell'UE per la ricerca e l'innovazione, che richiede un'internazionalizzazione e un'apertura maggiori nel panorama della ricerca e dell'innovazione dell'UE. </w:t>
      </w:r>
    </w:p>
    <w:p>
      <w:pPr>
        <w:pStyle w:val="ManualHeading2"/>
        <w:rPr>
          <w:rFonts w:eastAsia="Arial Unicode MS"/>
          <w:noProof/>
        </w:rPr>
      </w:pPr>
      <w:r>
        <w:rPr>
          <w:noProof/>
          <w:u w:color="000000"/>
          <w:bdr w:val="nil"/>
        </w:rPr>
        <w:t>•</w:t>
      </w:r>
      <w:r>
        <w:rPr>
          <w:noProof/>
          <w:u w:color="000000"/>
          <w:bdr w:val="nil"/>
        </w:rPr>
        <w:tab/>
      </w:r>
      <w:r>
        <w:rPr>
          <w:noProof/>
        </w:rPr>
        <w:t>Coerenza con le altre normative dell'Unione</w:t>
      </w:r>
    </w:p>
    <w:p>
      <w:pPr>
        <w:spacing w:before="0" w:after="0"/>
        <w:ind w:left="-46"/>
        <w:rPr>
          <w:noProof/>
        </w:rPr>
      </w:pPr>
      <w:r>
        <w:rPr>
          <w:noProof/>
        </w:rPr>
        <w:t>L'accordo è fondamentale per conseguire gli obiettivi della strategia dell'UE sull'India</w:t>
      </w:r>
      <w:r>
        <w:rPr>
          <w:rStyle w:val="FootnoteReference"/>
          <w:noProof/>
        </w:rPr>
        <w:footnoteReference w:id="6"/>
      </w:r>
      <w:r>
        <w:rPr>
          <w:noProof/>
        </w:rPr>
        <w:t xml:space="preserve"> per affrontare insieme le sfide globali, favorire la modernizzazione sostenibile dell'India, creare opportunità commerciali e rafforzare l'eccellenza scientifica e la competitività</w:t>
      </w:r>
      <w:r>
        <w:rPr>
          <w:rStyle w:val="FootnoteReference"/>
          <w:noProof/>
        </w:rPr>
        <w:footnoteReference w:id="7"/>
      </w:r>
      <w:r>
        <w:rPr>
          <w:noProof/>
        </w:rPr>
        <w:t xml:space="preserve">. </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u w:color="000000"/>
          <w:bdr w:val="nil"/>
        </w:rPr>
        <w:t>•</w:t>
      </w:r>
      <w:r>
        <w:rPr>
          <w:noProof/>
          <w:u w:color="000000"/>
          <w:bdr w:val="nil"/>
        </w:rPr>
        <w:tab/>
        <w:t>Base giuridica</w:t>
      </w:r>
    </w:p>
    <w:p>
      <w:pPr>
        <w:pBdr>
          <w:top w:val="nil"/>
          <w:left w:val="nil"/>
          <w:bottom w:val="nil"/>
          <w:right w:val="nil"/>
          <w:between w:val="nil"/>
          <w:bar w:val="nil"/>
        </w:pBdr>
        <w:spacing w:before="0" w:after="240"/>
        <w:rPr>
          <w:noProof/>
        </w:rPr>
      </w:pPr>
      <w:r>
        <w:rPr>
          <w:noProof/>
        </w:rPr>
        <w:t>La facoltà dell'UE di agire a livello internazionale nel campo della ricerca e dello sviluppo tecnologico è stabilita dall'articolo 186 del TFUE. La base giuridica procedurale della proposta è l'articolo 218, paragrafo 6, secondo comma, lettera a), punto v), del TFUE.</w:t>
      </w:r>
    </w:p>
    <w:p>
      <w:pPr>
        <w:pStyle w:val="ManualHeading2"/>
        <w:rPr>
          <w:rFonts w:eastAsia="Arial Unicode MS"/>
          <w:noProof/>
          <w:u w:color="000000"/>
          <w:bdr w:val="nil"/>
        </w:rPr>
      </w:pPr>
      <w:r>
        <w:rPr>
          <w:noProof/>
          <w:u w:color="000000"/>
          <w:bdr w:val="nil"/>
        </w:rPr>
        <w:t>•</w:t>
      </w:r>
      <w:r>
        <w:rPr>
          <w:noProof/>
          <w:u w:color="000000"/>
          <w:bdr w:val="nil"/>
        </w:rPr>
        <w:tab/>
        <w:t xml:space="preserve">Sussidiarietà (per la competenza non esclusiva) </w:t>
      </w:r>
    </w:p>
    <w:p>
      <w:pPr>
        <w:pStyle w:val="Default"/>
        <w:jc w:val="both"/>
        <w:rPr>
          <w:noProof/>
          <w:lang w:val="it-IT"/>
        </w:rPr>
      </w:pPr>
      <w:r>
        <w:rPr>
          <w:noProof/>
          <w:lang w:val="it-IT"/>
        </w:rPr>
        <w:t xml:space="preserve">L'UE e i suoi Stati membri hanno competenze parallele nel settore della ricerca e dello sviluppo tecnologico conformemente all'articolo 4, paragrafo 3, del TFUE. Date le sfide globali che occorre affrontare, gli obiettivi della cooperazione scientifica e tecnologica internazionale possono essere conseguiti più adeguatamente a livello dell'UE. </w:t>
      </w:r>
      <w:r>
        <w:rPr>
          <w:noProof/>
          <w:sz w:val="23"/>
          <w:szCs w:val="23"/>
          <w:lang w:val="it-IT"/>
        </w:rPr>
        <w:t xml:space="preserve">Inoltre, l'Unione è nella posizione migliore per svolgere un ruolo guida nella promozione di principi comuni per lo svolgimento di attività di ricerca e innovazione a livello internazionale, al fine di creare un </w:t>
      </w:r>
      <w:r>
        <w:rPr>
          <w:noProof/>
          <w:sz w:val="23"/>
          <w:szCs w:val="23"/>
          <w:lang w:val="it-IT"/>
        </w:rPr>
        <w:lastRenderedPageBreak/>
        <w:t>contesto concorrenziale equo in cui ricercatori e innovatori di tutto il mondo possano collaborare in piena fiducia. È pertanto preferibile che l'UE intervenga nel settore della ricerca e dello sviluppo tecnologico. Allo stesso tempo le attività di cooperazione internazionale dell'Unione e degli Stati membri devono essere coerenti e completarsi a vicenda</w:t>
      </w:r>
      <w:r>
        <w:rPr>
          <w:noProof/>
          <w:lang w:val="it-IT"/>
        </w:rPr>
        <w:t>.</w:t>
      </w:r>
    </w:p>
    <w:p>
      <w:pPr>
        <w:autoSpaceDE w:val="0"/>
        <w:autoSpaceDN w:val="0"/>
        <w:adjustRightInd w:val="0"/>
        <w:spacing w:before="0" w:after="0"/>
        <w:rPr>
          <w:noProof/>
          <w:color w:val="000000"/>
          <w:sz w:val="23"/>
          <w:szCs w:val="23"/>
        </w:rPr>
      </w:pPr>
    </w:p>
    <w:p>
      <w:pPr>
        <w:autoSpaceDE w:val="0"/>
        <w:autoSpaceDN w:val="0"/>
        <w:adjustRightInd w:val="0"/>
        <w:spacing w:before="0" w:after="0"/>
        <w:rPr>
          <w:noProof/>
          <w:color w:val="000000"/>
          <w:szCs w:val="24"/>
        </w:rPr>
      </w:pPr>
      <w:r>
        <w:rPr>
          <w:noProof/>
          <w:sz w:val="23"/>
          <w:szCs w:val="23"/>
        </w:rPr>
        <w:t>In tale contesto, l'accordo consente di definire i settori di cooperazione in materia di ricerca e innovazione di reciproco interesse e in linea con l'agenda e la strategia dell'UE in materia di cooperazione internazionale. Finora la cooperazione tra l'UE e l'India si è rivelata utile e necessaria, motivo per cui l'Unione intende portarla avanti grazie al rinnovo dell'accordo.</w:t>
      </w:r>
      <w:r>
        <w:rPr>
          <w:noProof/>
        </w:rPr>
        <w:t xml:space="preserve"> </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u w:color="000000"/>
          <w:bdr w:val="nil"/>
        </w:rPr>
        <w:t>•</w:t>
      </w:r>
      <w:r>
        <w:rPr>
          <w:noProof/>
          <w:u w:color="000000"/>
          <w:bdr w:val="nil"/>
        </w:rPr>
        <w:tab/>
        <w:t>Efficienza normativa e semplificazione</w:t>
      </w:r>
    </w:p>
    <w:p>
      <w:pPr>
        <w:pBdr>
          <w:top w:val="nil"/>
          <w:left w:val="nil"/>
          <w:bottom w:val="nil"/>
          <w:right w:val="nil"/>
          <w:between w:val="nil"/>
          <w:bar w:val="nil"/>
        </w:pBdr>
        <w:spacing w:before="0" w:after="240"/>
        <w:rPr>
          <w:noProof/>
          <w:szCs w:val="24"/>
        </w:rPr>
      </w:pPr>
      <w:r>
        <w:rPr>
          <w:noProof/>
        </w:rPr>
        <w:t xml:space="preserve">Questa iniziativa non fa parte del programma REFIT. </w:t>
      </w:r>
    </w:p>
    <w:p>
      <w:pPr>
        <w:pStyle w:val="ManualHeading1"/>
        <w:rPr>
          <w:noProof/>
          <w:szCs w:val="24"/>
        </w:rPr>
      </w:pPr>
      <w:r>
        <w:rPr>
          <w:noProof/>
        </w:rPr>
        <w:t>4.</w:t>
      </w:r>
      <w:r>
        <w:rPr>
          <w:noProof/>
        </w:rPr>
        <w:tab/>
        <w:t>INCIDENZA SUL BILANCIO</w:t>
      </w:r>
    </w:p>
    <w:p>
      <w:pPr>
        <w:pBdr>
          <w:top w:val="nil"/>
          <w:left w:val="nil"/>
          <w:bottom w:val="nil"/>
          <w:right w:val="nil"/>
          <w:between w:val="nil"/>
          <w:bar w:val="nil"/>
        </w:pBdr>
        <w:spacing w:before="0" w:after="240"/>
        <w:rPr>
          <w:noProof/>
        </w:rPr>
      </w:pPr>
      <w:r>
        <w:rPr>
          <w:noProof/>
        </w:rPr>
        <w:t>Sono necessarie solo risorse umane e amministrative, secondo quanto indicato nella scheda finanziaria legislativa.</w:t>
      </w:r>
    </w:p>
    <w:p>
      <w:pPr>
        <w:pBdr>
          <w:top w:val="nil"/>
          <w:left w:val="nil"/>
          <w:bottom w:val="nil"/>
          <w:right w:val="nil"/>
          <w:between w:val="nil"/>
          <w:bar w:val="nil"/>
        </w:pBdr>
        <w:spacing w:before="0" w:after="240"/>
        <w:rPr>
          <w:noProof/>
          <w:szCs w:val="24"/>
        </w:rPr>
      </w:pPr>
      <w:r>
        <w:rPr>
          <w:noProof/>
        </w:rPr>
        <w:t xml:space="preserve">Alla luce delle considerazioni sopra esposte, la Commissione invita il Consiglio: </w:t>
      </w:r>
    </w:p>
    <w:p>
      <w:pPr>
        <w:pBdr>
          <w:top w:val="nil"/>
          <w:left w:val="nil"/>
          <w:bottom w:val="nil"/>
          <w:right w:val="nil"/>
          <w:between w:val="nil"/>
          <w:bar w:val="nil"/>
        </w:pBdr>
        <w:spacing w:before="0" w:after="240"/>
        <w:rPr>
          <w:rFonts w:eastAsia="Arial Unicode MS"/>
          <w:noProof/>
          <w:color w:val="008000"/>
          <w:szCs w:val="24"/>
        </w:rPr>
      </w:pPr>
      <w:r>
        <w:rPr>
          <w:noProof/>
        </w:rPr>
        <w:t>- ad approvare, a nome dell'Unione, e previa approvazione del Parlamento europeo, il rinnovo dell'"Accordo di cooperazione scientifica e tecnologica tra la Comunità europea e il governo della Repubblica dell'India", per un ulteriore periodo di cinque anni (ossia dal 17.5.2020 al 16.5.2025);</w:t>
      </w:r>
    </w:p>
    <w:p>
      <w:pPr>
        <w:rPr>
          <w:noProof/>
          <w:szCs w:val="24"/>
        </w:rPr>
      </w:pPr>
      <w:r>
        <w:rPr>
          <w:noProof/>
        </w:rPr>
        <w:t>- ad autorizzare il presidente del Consiglio a designare la persona o le persone abilitate a notificare al governo della Repubblica dell'India che l'Unione ha completato le procedure interne necessarie per l'entrata in vigore del presente accordo rinnovato.</w:t>
      </w:r>
    </w:p>
    <w:p>
      <w:pPr>
        <w:rPr>
          <w:noProof/>
          <w:szCs w:val="24"/>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2020/0015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 rinnovo dell'accordo di cooperazione scientifica e tecnologica tra la Comunità europea e il governo della Repubblica dell'India</w:t>
      </w:r>
    </w:p>
    <w:p>
      <w:pPr>
        <w:pStyle w:val="Institutionquiagit"/>
        <w:rPr>
          <w:noProof/>
        </w:rPr>
      </w:pPr>
      <w:r>
        <w:rPr>
          <w:noProof/>
        </w:rPr>
        <w:t>IL CONSIGLIO DELL'UNIONE EUROPEA,</w:t>
      </w:r>
    </w:p>
    <w:p>
      <w:pPr>
        <w:rPr>
          <w:noProof/>
          <w:sz w:val="23"/>
          <w:szCs w:val="23"/>
        </w:rPr>
      </w:pPr>
      <w:r>
        <w:rPr>
          <w:noProof/>
        </w:rPr>
        <w:t>visto il trattato sul funzionamento dell'Unione europea, in particolare l'articolo 186, in combinato disposto con l'articolo 218, paragrafo 6, lettera a), punto v),</w:t>
      </w:r>
    </w:p>
    <w:p>
      <w:pPr>
        <w:rPr>
          <w:noProof/>
        </w:rPr>
      </w:pPr>
      <w:r>
        <w:rPr>
          <w:noProof/>
        </w:rPr>
        <w:t>vista la proposta della Commissione europea,</w:t>
      </w:r>
    </w:p>
    <w:p>
      <w:pPr>
        <w:rPr>
          <w:noProof/>
        </w:rPr>
      </w:pPr>
      <w:r>
        <w:rPr>
          <w:noProof/>
        </w:rPr>
        <w:t>vista l'approvazione del Parlamento europeo</w:t>
      </w:r>
      <w:r>
        <w:rPr>
          <w:rStyle w:val="FootnoteReference"/>
          <w:noProof/>
        </w:rPr>
        <w:footnoteReference w:id="8"/>
      </w:r>
      <w:r>
        <w:rPr>
          <w:noProof/>
        </w:rPr>
        <w:t>,</w:t>
      </w:r>
    </w:p>
    <w:p>
      <w:pPr>
        <w:rPr>
          <w:noProof/>
        </w:rPr>
      </w:pPr>
      <w:r>
        <w:rPr>
          <w:noProof/>
        </w:rPr>
        <w:t>considerando quanto segue:</w:t>
      </w:r>
    </w:p>
    <w:p>
      <w:pPr>
        <w:pStyle w:val="ManualConsidrant"/>
        <w:rPr>
          <w:noProof/>
        </w:rPr>
      </w:pPr>
      <w:r>
        <w:rPr>
          <w:noProof/>
        </w:rPr>
        <w:t>(1)</w:t>
      </w:r>
      <w:r>
        <w:rPr>
          <w:noProof/>
        </w:rPr>
        <w:tab/>
        <w:t>Con decisione 2002/648/CE</w:t>
      </w:r>
      <w:r>
        <w:rPr>
          <w:rStyle w:val="FootnoteReference"/>
          <w:noProof/>
        </w:rPr>
        <w:footnoteReference w:id="9"/>
      </w:r>
      <w:r>
        <w:rPr>
          <w:noProof/>
        </w:rPr>
        <w:t xml:space="preserve"> il Consiglio ha approvato la conclusione dell'accordo di cooperazione scientifica e tecnologica tra la Comunità europea e il governo della Repubblica dell'India ("l'accordo")</w:t>
      </w:r>
      <w:r>
        <w:rPr>
          <w:rStyle w:val="FootnoteReference"/>
          <w:noProof/>
        </w:rPr>
        <w:footnoteReference w:id="10"/>
      </w:r>
      <w:r>
        <w:rPr>
          <w:noProof/>
        </w:rPr>
        <w:t>. L'accordo è stato firmato a Nuova Delhi, il 23 novembre 2001 ed è entrato in vigore il 14 ottobre 2002.</w:t>
      </w:r>
    </w:p>
    <w:p>
      <w:pPr>
        <w:pStyle w:val="ManualConsidrant"/>
        <w:rPr>
          <w:noProof/>
        </w:rPr>
      </w:pPr>
      <w:r>
        <w:rPr>
          <w:noProof/>
        </w:rPr>
        <w:t>(2)</w:t>
      </w:r>
      <w:r>
        <w:rPr>
          <w:noProof/>
        </w:rPr>
        <w:tab/>
        <w:t>L'articolo 11, lettera b), dell'accordo prevede che il medesimo accordo sia concluso per un periodo di cinque anni e possa essere rinnovato su accordo delle parti previa valutazione nel corso dell'ultimo anno di ogni quinquennio.</w:t>
      </w:r>
    </w:p>
    <w:p>
      <w:pPr>
        <w:pStyle w:val="ManualConsidrant"/>
        <w:rPr>
          <w:noProof/>
          <w:szCs w:val="24"/>
        </w:rPr>
      </w:pPr>
      <w:r>
        <w:rPr>
          <w:noProof/>
        </w:rPr>
        <w:t>(3)</w:t>
      </w:r>
      <w:r>
        <w:rPr>
          <w:noProof/>
        </w:rPr>
        <w:tab/>
        <w:t>Con decisioni 2009/501/CE</w:t>
      </w:r>
      <w:r>
        <w:rPr>
          <w:rStyle w:val="FootnoteReference"/>
          <w:noProof/>
        </w:rPr>
        <w:footnoteReference w:id="11"/>
      </w:r>
      <w:r>
        <w:rPr>
          <w:noProof/>
        </w:rPr>
        <w:t xml:space="preserve"> e 2015/1788/UE</w:t>
      </w:r>
      <w:r>
        <w:rPr>
          <w:rStyle w:val="FootnoteReference"/>
          <w:noProof/>
        </w:rPr>
        <w:footnoteReference w:id="12"/>
      </w:r>
      <w:r>
        <w:rPr>
          <w:noProof/>
        </w:rPr>
        <w:t xml:space="preserve"> il Consiglio ha approvato il rinnovo dell'accordo per un ulteriore periodo di cinque anni. L'accordo in vigore giungerà a scadenza il 17 maggio 2020. </w:t>
      </w:r>
    </w:p>
    <w:p>
      <w:pPr>
        <w:pStyle w:val="ManualConsidrant"/>
        <w:rPr>
          <w:noProof/>
          <w:szCs w:val="24"/>
        </w:rPr>
      </w:pPr>
      <w:r>
        <w:rPr>
          <w:noProof/>
        </w:rPr>
        <w:t>(4)</w:t>
      </w:r>
      <w:r>
        <w:rPr>
          <w:noProof/>
        </w:rPr>
        <w:tab/>
        <w:t>La valutazione condotta dai servizi della Commissione dimostra che l'accordo costituisce un quadro importante per favorire la cooperazione tra l'Unione e l'India in settori prioritari comuni della scienza e della tecnologia che risulta vantaggiosa per entrambe le parti. È pertanto nell'interesse dell'Unione prorogare l'accordo per un ulteriore periodo di cinque anni.</w:t>
      </w:r>
    </w:p>
    <w:p>
      <w:pPr>
        <w:pStyle w:val="ManualConsidrant"/>
        <w:rPr>
          <w:rFonts w:eastAsia="Times New Roman"/>
          <w:noProof/>
          <w:color w:val="000000"/>
        </w:rPr>
      </w:pPr>
      <w:r>
        <w:rPr>
          <w:noProof/>
        </w:rPr>
        <w:t>(5)</w:t>
      </w:r>
      <w:r>
        <w:rPr>
          <w:noProof/>
        </w:rPr>
        <w:tab/>
        <w:t xml:space="preserve">Entrambe le parti hanno confermato l'intenzione di rinnovare l'accordo per un ulteriore periodo di cinque anni, senza apportarvi modifiche. </w:t>
      </w:r>
    </w:p>
    <w:p>
      <w:pPr>
        <w:pStyle w:val="ManualConsidrant"/>
        <w:rPr>
          <w:noProof/>
        </w:rPr>
      </w:pPr>
      <w:r>
        <w:rPr>
          <w:noProof/>
        </w:rPr>
        <w:t>(6)</w:t>
      </w:r>
      <w:r>
        <w:rPr>
          <w:noProof/>
        </w:rPr>
        <w:tab/>
        <w:t xml:space="preserve">È pertanto opportuno approvare, a nome dell'Unione, il rinnovo dell'accordo, </w:t>
      </w:r>
    </w:p>
    <w:p>
      <w:pPr>
        <w:pStyle w:val="ManualConsidrant"/>
        <w:rPr>
          <w:noProof/>
        </w:rPr>
      </w:pPr>
    </w:p>
    <w:p>
      <w:pPr>
        <w:pStyle w:val="Formuledadoption"/>
        <w:rPr>
          <w:noProof/>
        </w:rPr>
      </w:pPr>
      <w:r>
        <w:rPr>
          <w:noProof/>
        </w:rPr>
        <w:t xml:space="preserve">HA ADOTTATO LA PRESENTE DECISIONE: </w:t>
      </w:r>
    </w:p>
    <w:p>
      <w:pPr>
        <w:pStyle w:val="Titrearticle"/>
        <w:rPr>
          <w:noProof/>
        </w:rPr>
      </w:pPr>
      <w:r>
        <w:rPr>
          <w:noProof/>
        </w:rPr>
        <w:t>Articolo 1</w:t>
      </w:r>
    </w:p>
    <w:p>
      <w:pPr>
        <w:rPr>
          <w:noProof/>
          <w:color w:val="0000FF"/>
          <w:szCs w:val="24"/>
        </w:rPr>
      </w:pPr>
      <w:r>
        <w:rPr>
          <w:noProof/>
        </w:rPr>
        <w:t>È approvato, a nome dell'Unione, il rinnovo dell'accordo di cooperazione scientifica e tecnologica tra la Comunità europea e il governo della Repubblica dell'India per un ulteriore periodo di cinque anni.</w:t>
      </w:r>
    </w:p>
    <w:p>
      <w:pPr>
        <w:pStyle w:val="Titrearticle"/>
        <w:keepNext w:val="0"/>
        <w:rPr>
          <w:noProof/>
          <w:szCs w:val="24"/>
        </w:rPr>
      </w:pPr>
      <w:r>
        <w:rPr>
          <w:noProof/>
        </w:rPr>
        <w:t>Articolo 2</w:t>
      </w:r>
    </w:p>
    <w:p>
      <w:pPr>
        <w:rPr>
          <w:noProof/>
          <w:szCs w:val="24"/>
        </w:rPr>
      </w:pPr>
      <w:r>
        <w:rPr>
          <w:noProof/>
        </w:rPr>
        <w:t xml:space="preserve">Il presidente del Consiglio designa la persona o le persone abilitate, a nome dell'Unione, a notificare al governo della Repubblica dell'India che l'Unione ha completato le sue procedure interne necessarie per il rinnovo dell'accordo a norma dell'articolo 11, lettera b), dello stesso.  </w:t>
      </w:r>
    </w:p>
    <w:p>
      <w:pPr>
        <w:pStyle w:val="Titrearticle"/>
        <w:keepNext w:val="0"/>
        <w:rPr>
          <w:noProof/>
          <w:szCs w:val="24"/>
        </w:rPr>
      </w:pPr>
      <w:r>
        <w:rPr>
          <w:noProof/>
        </w:rPr>
        <w:t>Articolo 3</w:t>
      </w:r>
    </w:p>
    <w:p>
      <w:pPr>
        <w:rPr>
          <w:noProof/>
          <w:szCs w:val="24"/>
        </w:rPr>
      </w:pPr>
      <w:r>
        <w:rPr>
          <w:noProof/>
        </w:rPr>
        <w:t>La presente decisione entra in vigore il giorno dell'adozione.</w:t>
      </w:r>
    </w:p>
    <w:p>
      <w:pPr>
        <w:rPr>
          <w:noProof/>
          <w:szCs w:val="24"/>
        </w:rPr>
      </w:pP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SCHEDA FINANZIARIA LEGISLATIVA</w:t>
      </w:r>
    </w:p>
    <w:p>
      <w:pPr>
        <w:pStyle w:val="ManualHeading1"/>
        <w:rPr>
          <w:noProof/>
        </w:rPr>
      </w:pPr>
      <w:r>
        <w:rPr>
          <w:noProof/>
        </w:rPr>
        <w:t>1.</w:t>
      </w:r>
      <w:r>
        <w:rPr>
          <w:noProof/>
        </w:rPr>
        <w:tab/>
        <w:t xml:space="preserve">CONTESTO DELLA PROPOSTA/INIZIATIVA </w:t>
      </w:r>
    </w:p>
    <w:p>
      <w:pPr>
        <w:pStyle w:val="ManualHeading2"/>
        <w:rPr>
          <w:b w:val="0"/>
          <w:noProof/>
        </w:rPr>
      </w:pPr>
      <w:r>
        <w:rPr>
          <w:noProof/>
        </w:rPr>
        <w:tab/>
      </w:r>
      <w:r>
        <w:rPr>
          <w:b w:val="0"/>
          <w:noProof/>
        </w:rPr>
        <w:t>1.1.</w:t>
      </w:r>
      <w:r>
        <w:rPr>
          <w:b w:val="0"/>
          <w:noProof/>
        </w:rPr>
        <w:tab/>
        <w:t xml:space="preserve">Titolo della proposta/iniziativa </w:t>
      </w:r>
    </w:p>
    <w:p>
      <w:pPr>
        <w:pStyle w:val="ManualHeading2"/>
        <w:rPr>
          <w:b w:val="0"/>
          <w:noProof/>
        </w:rPr>
      </w:pPr>
      <w:r>
        <w:rPr>
          <w:b w:val="0"/>
          <w:noProof/>
        </w:rPr>
        <w:tab/>
        <w:t>1.2.</w:t>
      </w:r>
      <w:r>
        <w:rPr>
          <w:b w:val="0"/>
          <w:noProof/>
        </w:rPr>
        <w:tab/>
        <w:t>Settori interessati nella struttura ABM/ABB</w:t>
      </w:r>
    </w:p>
    <w:p>
      <w:pPr>
        <w:pStyle w:val="ManualHeading2"/>
        <w:rPr>
          <w:b w:val="0"/>
          <w:noProof/>
        </w:rPr>
      </w:pPr>
      <w:r>
        <w:rPr>
          <w:b w:val="0"/>
          <w:noProof/>
        </w:rPr>
        <w:tab/>
        <w:t>1.3.</w:t>
      </w:r>
      <w:r>
        <w:rPr>
          <w:b w:val="0"/>
          <w:noProof/>
        </w:rPr>
        <w:tab/>
        <w:t xml:space="preserve">Natura della proposta/iniziativa </w:t>
      </w:r>
    </w:p>
    <w:p>
      <w:pPr>
        <w:pStyle w:val="ManualHeading2"/>
        <w:rPr>
          <w:b w:val="0"/>
          <w:noProof/>
        </w:rPr>
      </w:pPr>
      <w:r>
        <w:rPr>
          <w:b w:val="0"/>
          <w:noProof/>
        </w:rPr>
        <w:tab/>
        <w:t>1.4.</w:t>
      </w:r>
      <w:r>
        <w:rPr>
          <w:b w:val="0"/>
          <w:noProof/>
        </w:rPr>
        <w:tab/>
        <w:t xml:space="preserve">Obiettivi </w:t>
      </w:r>
    </w:p>
    <w:p>
      <w:pPr>
        <w:pStyle w:val="ManualHeading2"/>
        <w:rPr>
          <w:b w:val="0"/>
          <w:noProof/>
        </w:rPr>
      </w:pPr>
      <w:r>
        <w:rPr>
          <w:b w:val="0"/>
          <w:noProof/>
        </w:rPr>
        <w:tab/>
        <w:t>1.5.</w:t>
      </w:r>
      <w:r>
        <w:rPr>
          <w:b w:val="0"/>
          <w:noProof/>
        </w:rPr>
        <w:tab/>
        <w:t xml:space="preserve">Motivazione della proposta/iniziativa </w:t>
      </w:r>
    </w:p>
    <w:p>
      <w:pPr>
        <w:pStyle w:val="ManualHeading2"/>
        <w:rPr>
          <w:b w:val="0"/>
          <w:noProof/>
        </w:rPr>
      </w:pPr>
      <w:r>
        <w:rPr>
          <w:b w:val="0"/>
          <w:noProof/>
        </w:rPr>
        <w:tab/>
        <w:t>1.6.</w:t>
      </w:r>
      <w:r>
        <w:rPr>
          <w:b w:val="0"/>
          <w:noProof/>
        </w:rPr>
        <w:tab/>
        <w:t xml:space="preserve">Durata e incidenza finanziaria </w:t>
      </w:r>
    </w:p>
    <w:p>
      <w:pPr>
        <w:pStyle w:val="ManualHeading2"/>
        <w:rPr>
          <w:b w:val="0"/>
          <w:noProof/>
        </w:rPr>
      </w:pPr>
      <w:r>
        <w:rPr>
          <w:b w:val="0"/>
          <w:noProof/>
        </w:rPr>
        <w:tab/>
        <w:t>1.7.</w:t>
      </w:r>
      <w:r>
        <w:rPr>
          <w:b w:val="0"/>
          <w:noProof/>
        </w:rPr>
        <w:tab/>
        <w:t xml:space="preserve">Modalità di gestione previste </w:t>
      </w:r>
    </w:p>
    <w:p>
      <w:pPr>
        <w:pStyle w:val="ManualHeading1"/>
        <w:rPr>
          <w:noProof/>
        </w:rPr>
      </w:pPr>
      <w:r>
        <w:rPr>
          <w:noProof/>
        </w:rPr>
        <w:t>2.</w:t>
      </w:r>
      <w:r>
        <w:rPr>
          <w:noProof/>
        </w:rPr>
        <w:tab/>
        <w:t xml:space="preserve">MISURE DI GESTIONE </w:t>
      </w:r>
    </w:p>
    <w:p>
      <w:pPr>
        <w:pStyle w:val="ManualHeading2"/>
        <w:rPr>
          <w:b w:val="0"/>
          <w:noProof/>
        </w:rPr>
      </w:pPr>
      <w:r>
        <w:rPr>
          <w:b w:val="0"/>
          <w:noProof/>
        </w:rPr>
        <w:tab/>
        <w:t>2.1.</w:t>
      </w:r>
      <w:r>
        <w:rPr>
          <w:b w:val="0"/>
          <w:noProof/>
        </w:rPr>
        <w:tab/>
        <w:t xml:space="preserve">Disposizioni in materia di monitoraggio e di relazioni </w:t>
      </w:r>
    </w:p>
    <w:p>
      <w:pPr>
        <w:pStyle w:val="ManualHeading2"/>
        <w:rPr>
          <w:b w:val="0"/>
          <w:noProof/>
        </w:rPr>
      </w:pPr>
      <w:r>
        <w:rPr>
          <w:b w:val="0"/>
          <w:noProof/>
        </w:rPr>
        <w:tab/>
        <w:t>2.2.</w:t>
      </w:r>
      <w:r>
        <w:rPr>
          <w:b w:val="0"/>
          <w:noProof/>
        </w:rPr>
        <w:tab/>
        <w:t xml:space="preserve">Sistema di gestione e di controllo </w:t>
      </w:r>
    </w:p>
    <w:p>
      <w:pPr>
        <w:pStyle w:val="ManualHeading2"/>
        <w:rPr>
          <w:b w:val="0"/>
          <w:noProof/>
        </w:rPr>
      </w:pPr>
      <w:r>
        <w:rPr>
          <w:b w:val="0"/>
          <w:noProof/>
        </w:rPr>
        <w:tab/>
        <w:t>2.3.</w:t>
      </w:r>
      <w:r>
        <w:rPr>
          <w:b w:val="0"/>
          <w:noProof/>
        </w:rPr>
        <w:tab/>
        <w:t xml:space="preserve">Misure di prevenzione delle frodi e delle irregolarità </w:t>
      </w:r>
    </w:p>
    <w:p>
      <w:pPr>
        <w:pStyle w:val="ManualHeading1"/>
        <w:rPr>
          <w:noProof/>
        </w:rPr>
      </w:pPr>
      <w:r>
        <w:rPr>
          <w:noProof/>
        </w:rPr>
        <w:t>3.</w:t>
      </w:r>
      <w:r>
        <w:rPr>
          <w:noProof/>
        </w:rPr>
        <w:tab/>
        <w:t xml:space="preserve">INCIDENZA FINANZIARIA PREVISTA DELLA PROPOSTA/INIZIATIVA </w:t>
      </w:r>
    </w:p>
    <w:p>
      <w:pPr>
        <w:pStyle w:val="ManualHeading2"/>
        <w:rPr>
          <w:b w:val="0"/>
          <w:noProof/>
        </w:rPr>
      </w:pPr>
      <w:r>
        <w:rPr>
          <w:b w:val="0"/>
          <w:noProof/>
        </w:rPr>
        <w:tab/>
        <w:t>3.1.</w:t>
      </w:r>
      <w:r>
        <w:rPr>
          <w:b w:val="0"/>
          <w:noProof/>
        </w:rPr>
        <w:tab/>
        <w:t xml:space="preserve">Rubrica/rubriche del quadro finanziario pluriennale e linea/linee di bilancio di spesa interessate </w:t>
      </w:r>
    </w:p>
    <w:p>
      <w:pPr>
        <w:pStyle w:val="ManualHeading2"/>
        <w:rPr>
          <w:noProof/>
        </w:rPr>
      </w:pPr>
      <w:r>
        <w:rPr>
          <w:b w:val="0"/>
          <w:noProof/>
        </w:rPr>
        <w:tab/>
        <w:t>3.2.</w:t>
      </w:r>
      <w:r>
        <w:rPr>
          <w:b w:val="0"/>
          <w:noProof/>
        </w:rPr>
        <w:tab/>
        <w:t>Incidenza prevista sulle spese</w:t>
      </w:r>
      <w:r>
        <w:rPr>
          <w:noProof/>
        </w:rPr>
        <w:t xml:space="preserve"> </w:t>
      </w:r>
    </w:p>
    <w:p>
      <w:pPr>
        <w:pStyle w:val="ManualHeading3"/>
        <w:rPr>
          <w:noProof/>
        </w:rPr>
      </w:pPr>
      <w:r>
        <w:rPr>
          <w:noProof/>
        </w:rPr>
        <w:tab/>
        <w:t>3.2.1.</w:t>
      </w:r>
      <w:r>
        <w:rPr>
          <w:noProof/>
        </w:rPr>
        <w:tab/>
        <w:t xml:space="preserve">Sintesi dell'incidenza prevista sulle spese </w:t>
      </w:r>
    </w:p>
    <w:p>
      <w:pPr>
        <w:pStyle w:val="ManualHeading3"/>
        <w:rPr>
          <w:noProof/>
        </w:rPr>
      </w:pPr>
      <w:r>
        <w:rPr>
          <w:noProof/>
        </w:rPr>
        <w:tab/>
        <w:t>3.2.2.</w:t>
      </w:r>
      <w:r>
        <w:rPr>
          <w:noProof/>
        </w:rPr>
        <w:tab/>
        <w:t xml:space="preserve">Incidenza prevista sugli stanziamenti operativi </w:t>
      </w:r>
    </w:p>
    <w:p>
      <w:pPr>
        <w:pStyle w:val="ManualHeading3"/>
        <w:rPr>
          <w:noProof/>
        </w:rPr>
      </w:pPr>
      <w:r>
        <w:rPr>
          <w:noProof/>
        </w:rPr>
        <w:tab/>
        <w:t>3.2.3.</w:t>
      </w:r>
      <w:r>
        <w:rPr>
          <w:noProof/>
        </w:rPr>
        <w:tab/>
        <w:t>Incidenza prevista sugli stanziamenti di natura amministrativa</w:t>
      </w:r>
    </w:p>
    <w:p>
      <w:pPr>
        <w:pStyle w:val="ManualHeading3"/>
        <w:rPr>
          <w:noProof/>
        </w:rPr>
      </w:pPr>
      <w:r>
        <w:rPr>
          <w:noProof/>
        </w:rPr>
        <w:tab/>
        <w:t>3.2.4.</w:t>
      </w:r>
      <w:r>
        <w:rPr>
          <w:noProof/>
        </w:rPr>
        <w:tab/>
        <w:t>Compatibilità con il quadro finanziario pluriennale attuale</w:t>
      </w:r>
    </w:p>
    <w:p>
      <w:pPr>
        <w:pStyle w:val="ManualHeading3"/>
        <w:rPr>
          <w:noProof/>
        </w:rPr>
      </w:pPr>
      <w:r>
        <w:rPr>
          <w:noProof/>
        </w:rPr>
        <w:tab/>
        <w:t>3.2.5.</w:t>
      </w:r>
      <w:r>
        <w:rPr>
          <w:noProof/>
        </w:rPr>
        <w:tab/>
        <w:t xml:space="preserve">Partecipazione di terzi al finanziamento </w:t>
      </w:r>
    </w:p>
    <w:p>
      <w:pPr>
        <w:pStyle w:val="ManualHeading2"/>
        <w:jc w:val="left"/>
        <w:rPr>
          <w:b w:val="0"/>
          <w:noProof/>
        </w:rPr>
        <w:sectPr>
          <w:pgSz w:w="11907" w:h="16840" w:code="9"/>
          <w:pgMar w:top="1134" w:right="1418" w:bottom="1134" w:left="1418" w:header="709" w:footer="709" w:gutter="0"/>
          <w:cols w:space="708"/>
          <w:docGrid w:linePitch="360"/>
        </w:sectPr>
      </w:pPr>
      <w:r>
        <w:rPr>
          <w:b w:val="0"/>
          <w:noProof/>
        </w:rPr>
        <w:tab/>
        <w:t>3.3.</w:t>
      </w:r>
      <w:r>
        <w:rPr>
          <w:b w:val="0"/>
          <w:noProof/>
        </w:rPr>
        <w:tab/>
        <w:t>Incidenza prevista sulle entrate</w:t>
      </w:r>
    </w:p>
    <w:p>
      <w:pPr>
        <w:jc w:val="center"/>
        <w:rPr>
          <w:noProof/>
        </w:rPr>
      </w:pPr>
      <w:r>
        <w:rPr>
          <w:b/>
          <w:noProof/>
          <w:u w:val="single"/>
        </w:rPr>
        <w:t>SCHEDA FINANZIARIA LEGISLATIVA</w:t>
      </w:r>
    </w:p>
    <w:p>
      <w:pPr>
        <w:pStyle w:val="ManualHeading1"/>
        <w:rPr>
          <w:noProof/>
        </w:rPr>
      </w:pPr>
      <w:r>
        <w:rPr>
          <w:noProof/>
        </w:rPr>
        <w:t>1.</w:t>
      </w:r>
      <w:r>
        <w:rPr>
          <w:noProof/>
        </w:rPr>
        <w:tab/>
        <w:t xml:space="preserve">CONTESTO DELLA PROPOSTA/INIZIATIVA </w:t>
      </w:r>
    </w:p>
    <w:p>
      <w:pPr>
        <w:pStyle w:val="ManualHeading2"/>
        <w:rPr>
          <w:noProof/>
          <w:szCs w:val="24"/>
        </w:rPr>
      </w:pPr>
      <w:r>
        <w:rPr>
          <w:noProof/>
        </w:rPr>
        <w:t>1.1.</w:t>
      </w:r>
      <w:r>
        <w:rPr>
          <w:noProof/>
        </w:rPr>
        <w:tab/>
        <w:t xml:space="preserve">Titolo della proposta/iniziativa </w:t>
      </w:r>
    </w:p>
    <w:p>
      <w:pPr>
        <w:pStyle w:val="Text1"/>
        <w:pBdr>
          <w:top w:val="single" w:sz="4" w:space="1" w:color="auto"/>
          <w:left w:val="single" w:sz="4" w:space="4" w:color="auto"/>
          <w:bottom w:val="single" w:sz="4" w:space="1" w:color="auto"/>
          <w:right w:val="single" w:sz="4" w:space="4" w:color="auto"/>
        </w:pBdr>
        <w:rPr>
          <w:noProof/>
          <w:szCs w:val="24"/>
        </w:rPr>
      </w:pPr>
      <w:r>
        <w:rPr>
          <w:noProof/>
        </w:rPr>
        <w:t>Proposta di decisione del Consiglio relativa al rinnovo dell'accordo di cooperazione scientifica e tecnologica tra la Comunità europea e il governo della Repubblica dell'India.</w:t>
      </w:r>
    </w:p>
    <w:p>
      <w:pPr>
        <w:pStyle w:val="ManualHeading2"/>
        <w:rPr>
          <w:noProof/>
          <w:szCs w:val="24"/>
        </w:rPr>
      </w:pPr>
      <w:r>
        <w:rPr>
          <w:noProof/>
        </w:rPr>
        <w:t>1.2.</w:t>
      </w:r>
      <w:r>
        <w:rPr>
          <w:noProof/>
        </w:rPr>
        <w:tab/>
        <w:t>Settori interessati nella struttura ABM/ABB</w:t>
      </w:r>
      <w:r>
        <w:rPr>
          <w:rStyle w:val="FootnoteReference"/>
          <w:noProof/>
        </w:rPr>
        <w:footnoteReference w:id="13"/>
      </w:r>
      <w:r>
        <w:rPr>
          <w:i/>
          <w:noProof/>
        </w:rPr>
        <w:t xml:space="preserve"> </w:t>
      </w:r>
    </w:p>
    <w:p>
      <w:pPr>
        <w:pStyle w:val="Text1"/>
        <w:pBdr>
          <w:top w:val="single" w:sz="4" w:space="1" w:color="auto"/>
          <w:left w:val="single" w:sz="4" w:space="4" w:color="auto"/>
          <w:bottom w:val="single" w:sz="4" w:space="1" w:color="auto"/>
          <w:right w:val="single" w:sz="4" w:space="4" w:color="auto"/>
        </w:pBdr>
        <w:rPr>
          <w:noProof/>
          <w:szCs w:val="24"/>
        </w:rPr>
      </w:pPr>
      <w:r>
        <w:rPr>
          <w:noProof/>
        </w:rPr>
        <w:t>Strategia e coordinamento politico, in particolare per le direzioni generali RTD, AGRI, CLIMA, JRC, EAC, ENER, GROW, CNECT, MARE e MOVE.</w:t>
      </w:r>
    </w:p>
    <w:p>
      <w:pPr>
        <w:pStyle w:val="ManualHeading2"/>
        <w:rPr>
          <w:bCs/>
          <w:noProof/>
          <w:szCs w:val="24"/>
        </w:rPr>
      </w:pPr>
      <w:r>
        <w:rPr>
          <w:noProof/>
        </w:rPr>
        <w:t>1.3.</w:t>
      </w:r>
      <w:r>
        <w:rPr>
          <w:noProof/>
        </w:rPr>
        <w:tab/>
        <w:t>Natura della proposta/iniziativa</w:t>
      </w:r>
    </w:p>
    <w:p>
      <w:pPr>
        <w:pStyle w:val="Text1"/>
        <w:rPr>
          <w:noProof/>
          <w:szCs w:val="24"/>
        </w:rPr>
      </w:pPr>
      <w:r>
        <w:rPr>
          <w:noProof/>
        </w:rPr>
        <w:sym w:font="Wingdings" w:char="F0A8"/>
      </w:r>
      <w:r>
        <w:rPr>
          <w:noProof/>
        </w:rPr>
        <w:t xml:space="preserve"> La proposta/iniziativa riguarda </w:t>
      </w:r>
      <w:r>
        <w:rPr>
          <w:b/>
          <w:bCs/>
          <w:noProof/>
        </w:rPr>
        <w:t>una nuova azione</w:t>
      </w:r>
      <w:r>
        <w:rPr>
          <w:noProof/>
        </w:rPr>
        <w:t xml:space="preserve"> </w:t>
      </w:r>
    </w:p>
    <w:p>
      <w:pPr>
        <w:pStyle w:val="Text1"/>
        <w:rPr>
          <w:b/>
          <w:noProof/>
          <w:szCs w:val="24"/>
        </w:rPr>
      </w:pPr>
      <w:r>
        <w:rPr>
          <w:noProof/>
        </w:rPr>
        <w:sym w:font="Wingdings" w:char="F0A8"/>
      </w:r>
      <w:r>
        <w:rPr>
          <w:noProof/>
        </w:rPr>
        <w:t xml:space="preserve"> La proposta/iniziativa riguarda </w:t>
      </w:r>
      <w:r>
        <w:rPr>
          <w:b/>
          <w:bCs/>
          <w:noProof/>
        </w:rPr>
        <w:t>una nuova azione a seguito di un progetto pilota/un'azione preparatoria</w:t>
      </w:r>
      <w:r>
        <w:rPr>
          <w:b/>
          <w:noProof/>
        </w:rPr>
        <w:t xml:space="preserve">  </w:t>
      </w:r>
    </w:p>
    <w:p>
      <w:pPr>
        <w:pStyle w:val="Text1"/>
        <w:rPr>
          <w:noProof/>
          <w:szCs w:val="24"/>
        </w:rPr>
      </w:pPr>
      <w:r>
        <w:rPr>
          <w:noProof/>
        </w:rPr>
        <w:sym w:font="Wingdings" w:char="F0FE"/>
      </w:r>
      <w:r>
        <w:rPr>
          <w:i/>
          <w:noProof/>
        </w:rPr>
        <w:t xml:space="preserve"> </w:t>
      </w:r>
      <w:r>
        <w:rPr>
          <w:noProof/>
        </w:rPr>
        <w:t xml:space="preserve">La proposta/iniziativa riguarda </w:t>
      </w:r>
      <w:r>
        <w:rPr>
          <w:b/>
          <w:bCs/>
          <w:noProof/>
        </w:rPr>
        <w:t>la proroga di un'azione esistente</w:t>
      </w:r>
      <w:r>
        <w:rPr>
          <w:noProof/>
        </w:rPr>
        <w:t xml:space="preserve"> </w:t>
      </w:r>
    </w:p>
    <w:p>
      <w:pPr>
        <w:pStyle w:val="Text1"/>
        <w:rPr>
          <w:noProof/>
          <w:szCs w:val="24"/>
        </w:rPr>
      </w:pPr>
      <w:r>
        <w:rPr>
          <w:noProof/>
        </w:rPr>
        <w:sym w:font="Wingdings" w:char="F0A8"/>
      </w:r>
      <w:r>
        <w:rPr>
          <w:noProof/>
        </w:rPr>
        <w:t xml:space="preserve">La proposta/iniziativa riguarda </w:t>
      </w:r>
      <w:r>
        <w:rPr>
          <w:b/>
          <w:bCs/>
          <w:noProof/>
        </w:rPr>
        <w:t>un'azione riorientata verso una nuova azione</w:t>
      </w:r>
    </w:p>
    <w:p>
      <w:pPr>
        <w:pStyle w:val="ManualHeading2"/>
        <w:rPr>
          <w:bCs/>
          <w:noProof/>
          <w:szCs w:val="24"/>
        </w:rPr>
      </w:pPr>
      <w:r>
        <w:rPr>
          <w:noProof/>
        </w:rPr>
        <w:t>1.4.</w:t>
      </w:r>
      <w:r>
        <w:rPr>
          <w:noProof/>
        </w:rPr>
        <w:tab/>
        <w:t>Obiettivi</w:t>
      </w:r>
    </w:p>
    <w:p>
      <w:pPr>
        <w:pStyle w:val="ManualHeading3"/>
        <w:rPr>
          <w:noProof/>
          <w:szCs w:val="24"/>
        </w:rPr>
      </w:pPr>
      <w:r>
        <w:rPr>
          <w:noProof/>
        </w:rPr>
        <w:t>1.4.1.</w:t>
      </w:r>
      <w:r>
        <w:rPr>
          <w:noProof/>
        </w:rPr>
        <w:tab/>
        <w:t xml:space="preserve">Obiettivi strategici pluriennali della Commissione oggetto della proposta/iniziativa </w:t>
      </w:r>
    </w:p>
    <w:p>
      <w:pPr>
        <w:pStyle w:val="Text1"/>
        <w:pBdr>
          <w:top w:val="single" w:sz="4" w:space="1" w:color="auto"/>
          <w:left w:val="single" w:sz="4" w:space="4" w:color="auto"/>
          <w:bottom w:val="single" w:sz="4" w:space="1" w:color="auto"/>
          <w:right w:val="single" w:sz="4" w:space="4" w:color="auto"/>
        </w:pBdr>
        <w:rPr>
          <w:noProof/>
          <w:szCs w:val="24"/>
        </w:rPr>
      </w:pPr>
      <w:r>
        <w:rPr>
          <w:noProof/>
        </w:rPr>
        <w:t>La presente iniziativa consentirà a entrambe le parti di migliorare e intensificare la loro cooperazione in settori scientifici e tecnologici di interesse comune in linea con la strategia dell'UE sull'India.</w:t>
      </w:r>
    </w:p>
    <w:p>
      <w:pPr>
        <w:pStyle w:val="ManualHeading3"/>
        <w:rPr>
          <w:bCs/>
          <w:noProof/>
          <w:szCs w:val="24"/>
        </w:rPr>
      </w:pPr>
      <w:r>
        <w:rPr>
          <w:noProof/>
        </w:rPr>
        <w:t>1.4.2.</w:t>
      </w:r>
      <w:r>
        <w:rPr>
          <w:noProof/>
        </w:rPr>
        <w:tab/>
        <w:t xml:space="preserve">Obiettivi specifici e attività ABM/ABB interessate </w:t>
      </w:r>
    </w:p>
    <w:p>
      <w:pPr>
        <w:pStyle w:val="Text1"/>
        <w:pBdr>
          <w:top w:val="single" w:sz="4" w:space="1" w:color="auto"/>
          <w:left w:val="single" w:sz="4" w:space="4" w:color="auto"/>
          <w:bottom w:val="single" w:sz="4" w:space="1" w:color="auto"/>
          <w:right w:val="single" w:sz="4" w:space="3" w:color="auto"/>
        </w:pBdr>
        <w:rPr>
          <w:noProof/>
          <w:szCs w:val="24"/>
          <w:u w:val="single"/>
        </w:rPr>
      </w:pPr>
      <w:r>
        <w:rPr>
          <w:noProof/>
          <w:u w:val="single"/>
        </w:rPr>
        <w:t>Obiettivo specifico 4.1</w:t>
      </w:r>
    </w:p>
    <w:p>
      <w:pPr>
        <w:pStyle w:val="Text1"/>
        <w:pBdr>
          <w:top w:val="single" w:sz="4" w:space="1" w:color="auto"/>
          <w:left w:val="single" w:sz="4" w:space="4" w:color="auto"/>
          <w:bottom w:val="single" w:sz="4" w:space="1" w:color="auto"/>
          <w:right w:val="single" w:sz="4" w:space="3" w:color="auto"/>
        </w:pBdr>
        <w:rPr>
          <w:noProof/>
          <w:szCs w:val="24"/>
        </w:rPr>
      </w:pPr>
      <w:r>
        <w:rPr>
          <w:noProof/>
        </w:rPr>
        <w:t>L'iniziativa consentirà uno scambio di conoscenze specifiche e un trasferimento di know-how a vantaggio delle comunità scientifiche, dell'industria e dei cittadini. Continuerà a fornire uno spazio di discussione utile per valutare le attività di cooperazione passate e stabilire le azioni future, anche su questioni che incidono sull'efficacia della cooperazione come l'accesso aperto e l'innovazione aperta.</w:t>
      </w:r>
    </w:p>
    <w:p>
      <w:pPr>
        <w:pStyle w:val="Text1"/>
        <w:pBdr>
          <w:top w:val="single" w:sz="4" w:space="1" w:color="auto"/>
          <w:left w:val="single" w:sz="4" w:space="4" w:color="auto"/>
          <w:bottom w:val="single" w:sz="4" w:space="1" w:color="auto"/>
          <w:right w:val="single" w:sz="4" w:space="3" w:color="auto"/>
        </w:pBdr>
        <w:rPr>
          <w:noProof/>
          <w:szCs w:val="24"/>
          <w:u w:val="single"/>
        </w:rPr>
      </w:pPr>
      <w:r>
        <w:rPr>
          <w:noProof/>
          <w:u w:val="single"/>
        </w:rPr>
        <w:t>Attività ABM/ABB interessate</w:t>
      </w:r>
    </w:p>
    <w:p>
      <w:pPr>
        <w:pStyle w:val="Text1"/>
        <w:pBdr>
          <w:top w:val="single" w:sz="4" w:space="1" w:color="auto"/>
          <w:left w:val="single" w:sz="4" w:space="4" w:color="auto"/>
          <w:bottom w:val="single" w:sz="4" w:space="1" w:color="auto"/>
          <w:right w:val="single" w:sz="4" w:space="3" w:color="auto"/>
        </w:pBdr>
        <w:rPr>
          <w:noProof/>
        </w:rPr>
      </w:pPr>
    </w:p>
    <w:p>
      <w:pPr>
        <w:pStyle w:val="ManualHeading3"/>
        <w:rPr>
          <w:bCs/>
          <w:noProof/>
          <w:szCs w:val="24"/>
        </w:rPr>
      </w:pPr>
      <w:r>
        <w:rPr>
          <w:noProof/>
        </w:rPr>
        <w:br w:type="page"/>
        <w:t>1.4.3.</w:t>
      </w:r>
      <w:r>
        <w:rPr>
          <w:noProof/>
        </w:rPr>
        <w:tab/>
        <w:t>Risultati e incidenza previsti</w:t>
      </w:r>
    </w:p>
    <w:p>
      <w:pPr>
        <w:pStyle w:val="Text1"/>
        <w:rPr>
          <w:i/>
          <w:noProof/>
          <w:sz w:val="20"/>
        </w:rPr>
      </w:pPr>
      <w:r>
        <w:rPr>
          <w:i/>
          <w:noProof/>
          <w:sz w:val="20"/>
        </w:rPr>
        <w:t>Precisare gli effetti che la proposta/iniziativa dovrebbe avere sui beneficiari/gruppi interessati.</w:t>
      </w:r>
    </w:p>
    <w:p>
      <w:pPr>
        <w:pStyle w:val="Text1"/>
        <w:pBdr>
          <w:top w:val="single" w:sz="4" w:space="1" w:color="auto"/>
          <w:left w:val="single" w:sz="4" w:space="4" w:color="auto"/>
          <w:bottom w:val="single" w:sz="4" w:space="1" w:color="auto"/>
          <w:right w:val="single" w:sz="4" w:space="4" w:color="auto"/>
        </w:pBdr>
        <w:rPr>
          <w:noProof/>
        </w:rPr>
      </w:pPr>
      <w:r>
        <w:rPr>
          <w:noProof/>
        </w:rPr>
        <w:t>La presente decisione consentirà tanto all'Unione quanto all'India di trarre benefici reciproci dai progressi scientifici e tecnici conseguiti grazie alle attività di ricerca nell'ambito dei rispettivi programmi di ricerca e di favorire l'ulteriore rafforzamento della cooperazione. Consentirà all'Unione e all'India di affrontare insieme le sfide globali e all'Unione di contribuire alla modernizzazione sostenibile dell'India.</w:t>
      </w:r>
    </w:p>
    <w:p>
      <w:pPr>
        <w:pStyle w:val="ManualHeading3"/>
        <w:rPr>
          <w:bCs/>
          <w:noProof/>
          <w:szCs w:val="24"/>
        </w:rPr>
      </w:pPr>
      <w:r>
        <w:rPr>
          <w:noProof/>
        </w:rPr>
        <w:t>1.4.4.</w:t>
      </w:r>
      <w:r>
        <w:rPr>
          <w:noProof/>
        </w:rPr>
        <w:tab/>
        <w:t xml:space="preserve">Indicatori di risultato e di incidenza </w:t>
      </w:r>
    </w:p>
    <w:p>
      <w:pPr>
        <w:pStyle w:val="Text1"/>
        <w:rPr>
          <w:i/>
          <w:noProof/>
          <w:sz w:val="20"/>
        </w:rPr>
      </w:pPr>
      <w:r>
        <w:rPr>
          <w:i/>
          <w:noProof/>
          <w:sz w:val="20"/>
        </w:rPr>
        <w:t>Precisare gli indicatori che permettono di seguire l'attuazione della proposta/iniziativa.</w:t>
      </w:r>
    </w:p>
    <w:p>
      <w:pPr>
        <w:pStyle w:val="Text1"/>
        <w:pBdr>
          <w:top w:val="single" w:sz="4" w:space="1" w:color="auto"/>
          <w:left w:val="single" w:sz="4" w:space="4" w:color="auto"/>
          <w:bottom w:val="single" w:sz="4" w:space="1" w:color="auto"/>
          <w:right w:val="single" w:sz="4" w:space="4" w:color="auto"/>
        </w:pBdr>
        <w:rPr>
          <w:noProof/>
          <w:szCs w:val="24"/>
        </w:rPr>
      </w:pPr>
      <w:r>
        <w:rPr>
          <w:noProof/>
        </w:rPr>
        <w:t>La Commissione monitorerà regolarmente tutte le azioni svolte nell'ambito dell'accordo; tale monitoraggio prevede anche un controllo da parte dell'Unione. Questo controllo riguarderà, tra l'altro, i seguenti punti:</w:t>
      </w:r>
    </w:p>
    <w:p>
      <w:pPr>
        <w:pStyle w:val="Text1"/>
        <w:pBdr>
          <w:top w:val="single" w:sz="4" w:space="1" w:color="auto"/>
          <w:left w:val="single" w:sz="4" w:space="4" w:color="auto"/>
          <w:bottom w:val="single" w:sz="4" w:space="1" w:color="auto"/>
          <w:right w:val="single" w:sz="4" w:space="4" w:color="auto"/>
        </w:pBdr>
        <w:rPr>
          <w:noProof/>
          <w:szCs w:val="24"/>
        </w:rPr>
      </w:pPr>
      <w:r>
        <w:rPr>
          <w:noProof/>
        </w:rPr>
        <w:t>a) indicatori di cooperazione – analisi del numero e del tipo di partecipazioni di soggetti indiani a programmi finanziati dall'UE (ad esempio, numero di proposte, numero di convenzioni di sovvenzione firmate, principali legami di collaborazione, tematiche principali; risultati ottenuti) e viceversa (laddove i dati siano disponibili);</w:t>
      </w:r>
    </w:p>
    <w:p>
      <w:pPr>
        <w:pStyle w:val="Text1"/>
        <w:pBdr>
          <w:top w:val="single" w:sz="4" w:space="1" w:color="auto"/>
          <w:left w:val="single" w:sz="4" w:space="4" w:color="auto"/>
          <w:bottom w:val="single" w:sz="4" w:space="1" w:color="auto"/>
          <w:right w:val="single" w:sz="4" w:space="4" w:color="auto"/>
        </w:pBdr>
        <w:rPr>
          <w:noProof/>
          <w:szCs w:val="24"/>
        </w:rPr>
      </w:pPr>
      <w:r>
        <w:rPr>
          <w:noProof/>
        </w:rPr>
        <w:t>b) indicatori di prestazione – tasso di successo dei soggetti indiani che partecipano ai programmi quadro dell'UE rispetto ad altri paesi terzi e agli Stati membri/ai paesi associati a un programma quadro di ricerca; analisi della qualità della partecipazione (ad esempio, numero delle università meglio classificate partecipanti al programma, numero di brevetti e pubblicazioni provenienti da progetti collaborativi);</w:t>
      </w:r>
    </w:p>
    <w:p>
      <w:pPr>
        <w:pStyle w:val="Text1"/>
        <w:pBdr>
          <w:top w:val="single" w:sz="4" w:space="1" w:color="auto"/>
          <w:left w:val="single" w:sz="4" w:space="4" w:color="auto"/>
          <w:bottom w:val="single" w:sz="4" w:space="1" w:color="auto"/>
          <w:right w:val="single" w:sz="4" w:space="4" w:color="auto"/>
        </w:pBdr>
        <w:rPr>
          <w:noProof/>
          <w:szCs w:val="24"/>
        </w:rPr>
      </w:pPr>
      <w:r>
        <w:rPr>
          <w:noProof/>
        </w:rPr>
        <w:t>c) raccolta di dati concernenti le attività e i legami di cooperazione che esulano dai rispettivi programmi di finanziamento della ricerca e valutazione dell'incidenza di tali attività, come la partecipazione a iniziative multilaterali e a gruppi di lavoro.</w:t>
      </w:r>
    </w:p>
    <w:p>
      <w:pPr>
        <w:pStyle w:val="ManualHeading2"/>
        <w:rPr>
          <w:bCs/>
          <w:noProof/>
          <w:szCs w:val="24"/>
        </w:rPr>
      </w:pPr>
      <w:r>
        <w:rPr>
          <w:noProof/>
        </w:rPr>
        <w:t>1.5.</w:t>
      </w:r>
      <w:r>
        <w:rPr>
          <w:noProof/>
        </w:rPr>
        <w:tab/>
        <w:t xml:space="preserve">Motivazione della proposta/iniziativa </w:t>
      </w:r>
    </w:p>
    <w:p>
      <w:pPr>
        <w:pStyle w:val="ManualHeading3"/>
        <w:rPr>
          <w:noProof/>
        </w:rPr>
      </w:pPr>
      <w:r>
        <w:rPr>
          <w:noProof/>
        </w:rPr>
        <w:t>1.5.1.</w:t>
      </w:r>
      <w:r>
        <w:rPr>
          <w:noProof/>
        </w:rPr>
        <w:tab/>
        <w:t xml:space="preserve">Necessità nel breve e lungo termine </w:t>
      </w:r>
    </w:p>
    <w:p>
      <w:pPr>
        <w:pStyle w:val="Text1"/>
        <w:pBdr>
          <w:top w:val="single" w:sz="4" w:space="1" w:color="auto"/>
          <w:left w:val="single" w:sz="4" w:space="4" w:color="auto"/>
          <w:bottom w:val="single" w:sz="4" w:space="1" w:color="auto"/>
          <w:right w:val="single" w:sz="4" w:space="4" w:color="auto"/>
        </w:pBdr>
        <w:rPr>
          <w:noProof/>
          <w:szCs w:val="24"/>
        </w:rPr>
      </w:pPr>
      <w:r>
        <w:rPr>
          <w:noProof/>
        </w:rPr>
        <w:t>La presente decisione consentirà a entrambe le parti di continuare a migliorare e intensificare la loro cooperazione in settori scientifici e tecnologici a beneficio di entrambe le parti.</w:t>
      </w:r>
    </w:p>
    <w:p>
      <w:pPr>
        <w:pStyle w:val="ManualHeading3"/>
        <w:rPr>
          <w:bCs/>
          <w:noProof/>
          <w:szCs w:val="24"/>
        </w:rPr>
      </w:pPr>
      <w:r>
        <w:rPr>
          <w:noProof/>
        </w:rPr>
        <w:t>1.5.2.</w:t>
      </w:r>
      <w:r>
        <w:rPr>
          <w:noProof/>
        </w:rPr>
        <w:tab/>
        <w:t>Valore aggiunto dell'intervento dell'Unione europea</w:t>
      </w:r>
    </w:p>
    <w:p>
      <w:pPr>
        <w:pStyle w:val="Text1"/>
        <w:pBdr>
          <w:top w:val="single" w:sz="4" w:space="1" w:color="auto"/>
          <w:left w:val="single" w:sz="4" w:space="4" w:color="auto"/>
          <w:bottom w:val="single" w:sz="4" w:space="1" w:color="auto"/>
          <w:right w:val="single" w:sz="4" w:space="4" w:color="auto"/>
        </w:pBdr>
        <w:rPr>
          <w:noProof/>
          <w:szCs w:val="24"/>
        </w:rPr>
      </w:pPr>
      <w:r>
        <w:rPr>
          <w:noProof/>
        </w:rPr>
        <w:t>L'accordo si basa sui principi del vantaggio reciproco, dell'accesso reciproco ai programmi e alle attività dell'altra parte in relazione all'oggetto dell'accordo, della non discriminazione, dell'effettiva protezione della proprietà intellettuale, dell'equa ripartizione dei diritti di proprietà intellettuale e dell'effettiva valorizzazione dei risultati. Il rinnovo del presente accordo consentirà di rafforzare le conoscenze scientifiche e offrirà opportunità di accesso al mercato.</w:t>
      </w:r>
    </w:p>
    <w:p>
      <w:pPr>
        <w:pStyle w:val="ManualHeading3"/>
        <w:rPr>
          <w:bCs/>
          <w:noProof/>
          <w:szCs w:val="24"/>
        </w:rPr>
      </w:pPr>
      <w:r>
        <w:rPr>
          <w:noProof/>
        </w:rPr>
        <w:t>1.5.3.</w:t>
      </w:r>
      <w:r>
        <w:rPr>
          <w:noProof/>
        </w:rPr>
        <w:tab/>
        <w:t>Insegnamenti tratti da esperienze analoghe</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Sulla base dell'esperienza maturata finora nel campo della cooperazione scientifica e tecnologica, è considerato reciprocamente vantaggioso proseguire la cooperazione in materia di ricerca con l'India rinnovando l'accordo per un ulteriore periodo di cinque anni. </w:t>
      </w:r>
    </w:p>
    <w:p>
      <w:pPr>
        <w:pStyle w:val="ManualHeading3"/>
        <w:rPr>
          <w:bCs/>
          <w:noProof/>
          <w:szCs w:val="24"/>
        </w:rPr>
      </w:pPr>
      <w:r>
        <w:rPr>
          <w:noProof/>
        </w:rPr>
        <w:t>1.5.4.</w:t>
      </w:r>
      <w:r>
        <w:rPr>
          <w:noProof/>
        </w:rPr>
        <w:tab/>
        <w:t>Compatibilità ed eventuali sinergie con altri strumenti pertinenti</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Il rinnovo dell'accordo con l'India è considerato pienamente coerente con il quadro strategico globale per la cooperazione internazionale in materia di ricerca e innovazione (COM(2012) 497). </w:t>
      </w:r>
    </w:p>
    <w:p>
      <w:pPr>
        <w:pStyle w:val="ManualHeading2"/>
        <w:ind w:left="0" w:firstLine="0"/>
        <w:rPr>
          <w:noProof/>
        </w:rPr>
      </w:pPr>
    </w:p>
    <w:p>
      <w:pPr>
        <w:pStyle w:val="ManualHeading2"/>
        <w:ind w:left="0" w:firstLine="0"/>
        <w:rPr>
          <w:bCs/>
          <w:noProof/>
          <w:szCs w:val="24"/>
        </w:rPr>
      </w:pPr>
      <w:r>
        <w:rPr>
          <w:noProof/>
        </w:rPr>
        <w:t>1.6.</w:t>
      </w:r>
      <w:r>
        <w:rPr>
          <w:noProof/>
        </w:rPr>
        <w:tab/>
        <w:t xml:space="preserve">Durata e incidenza finanziaria </w:t>
      </w:r>
    </w:p>
    <w:p>
      <w:pPr>
        <w:pStyle w:val="Text1"/>
        <w:rPr>
          <w:noProof/>
        </w:rPr>
      </w:pPr>
      <w:r>
        <w:rPr>
          <w:noProof/>
        </w:rPr>
        <w:sym w:font="Wingdings" w:char="F0FE"/>
      </w:r>
      <w:r>
        <w:rPr>
          <w:b/>
          <w:i/>
          <w:noProof/>
        </w:rPr>
        <w:t xml:space="preserve"> </w:t>
      </w:r>
      <w:r>
        <w:rPr>
          <w:noProof/>
        </w:rPr>
        <w:t xml:space="preserve">Proposta/iniziativa di </w:t>
      </w:r>
      <w:r>
        <w:rPr>
          <w:b/>
          <w:bCs/>
          <w:noProof/>
        </w:rPr>
        <w:t>durata limitata</w:t>
      </w:r>
      <w:r>
        <w:rPr>
          <w:b/>
          <w:noProof/>
        </w:rPr>
        <w:t xml:space="preserve"> </w:t>
      </w:r>
    </w:p>
    <w:p>
      <w:pPr>
        <w:pStyle w:val="ListDash2"/>
        <w:rPr>
          <w:noProof/>
        </w:rPr>
      </w:pPr>
      <w:r>
        <w:rPr>
          <w:noProof/>
        </w:rPr>
        <w:sym w:font="Wingdings" w:char="F0FE"/>
      </w:r>
      <w:r>
        <w:rPr>
          <w:noProof/>
        </w:rPr>
        <w:t xml:space="preserve"> Proposta/iniziativa in vigore a decorrere dal 17.5.2020 al 16.5.2025</w:t>
      </w:r>
    </w:p>
    <w:p>
      <w:pPr>
        <w:pStyle w:val="ListDash2"/>
        <w:rPr>
          <w:noProof/>
        </w:rPr>
      </w:pPr>
      <w:r>
        <w:rPr>
          <w:noProof/>
        </w:rPr>
        <w:sym w:font="Wingdings" w:char="F0FE"/>
      </w:r>
      <w:r>
        <w:rPr>
          <w:noProof/>
        </w:rPr>
        <w:t xml:space="preserve"> Incidenza finanziaria dal 17.5.2020 al 16.5.2025</w:t>
      </w:r>
    </w:p>
    <w:p>
      <w:pPr>
        <w:pStyle w:val="Text1"/>
        <w:rPr>
          <w:noProof/>
        </w:rPr>
      </w:pPr>
      <w:r>
        <w:rPr>
          <w:noProof/>
        </w:rPr>
        <w:sym w:font="Wingdings" w:char="F0A8"/>
      </w:r>
      <w:r>
        <w:rPr>
          <w:b/>
          <w:i/>
          <w:noProof/>
        </w:rPr>
        <w:t xml:space="preserve"> </w:t>
      </w:r>
      <w:r>
        <w:rPr>
          <w:noProof/>
        </w:rPr>
        <w:t xml:space="preserve">Proposta/iniziativa di </w:t>
      </w:r>
      <w:r>
        <w:rPr>
          <w:b/>
          <w:noProof/>
        </w:rPr>
        <w:t>durata illimitata</w:t>
      </w:r>
    </w:p>
    <w:p>
      <w:pPr>
        <w:pStyle w:val="ListDash1"/>
        <w:rPr>
          <w:noProof/>
        </w:rPr>
      </w:pPr>
      <w:r>
        <w:rPr>
          <w:noProof/>
        </w:rPr>
        <w:t>Attuazione con un periodo di avviamento dal AAAA al AAAA</w:t>
      </w:r>
    </w:p>
    <w:p>
      <w:pPr>
        <w:pStyle w:val="ListDash1"/>
        <w:rPr>
          <w:noProof/>
        </w:rPr>
      </w:pPr>
      <w:r>
        <w:rPr>
          <w:noProof/>
        </w:rPr>
        <w:t>e successivo funzionamento a pieno ritmo.</w:t>
      </w:r>
    </w:p>
    <w:p>
      <w:pPr>
        <w:pStyle w:val="ManualHeading2"/>
        <w:rPr>
          <w:bCs/>
          <w:noProof/>
          <w:szCs w:val="24"/>
        </w:rPr>
      </w:pPr>
      <w:r>
        <w:rPr>
          <w:noProof/>
        </w:rPr>
        <w:t>1.7.</w:t>
      </w:r>
      <w:r>
        <w:rPr>
          <w:noProof/>
        </w:rPr>
        <w:tab/>
        <w:t>Modalità di gestione previste</w:t>
      </w:r>
      <w:r>
        <w:rPr>
          <w:rStyle w:val="FootnoteReference"/>
          <w:noProof/>
        </w:rPr>
        <w:footnoteReference w:id="14"/>
      </w:r>
      <w:r>
        <w:rPr>
          <w:rStyle w:val="FootnoteReference"/>
          <w:noProof/>
        </w:rPr>
        <w:t xml:space="preserve">  </w:t>
      </w:r>
    </w:p>
    <w:p>
      <w:pPr>
        <w:pStyle w:val="Text1"/>
        <w:rPr>
          <w:noProof/>
        </w:rPr>
      </w:pPr>
      <w:r>
        <w:rPr>
          <w:noProof/>
        </w:rPr>
        <w:sym w:font="Wingdings" w:char="F0FE"/>
      </w:r>
      <w:r>
        <w:rPr>
          <w:i/>
          <w:noProof/>
        </w:rPr>
        <w:t xml:space="preserve"> </w:t>
      </w:r>
      <w:r>
        <w:rPr>
          <w:b/>
          <w:bCs/>
          <w:noProof/>
        </w:rPr>
        <w:t>Gestione diretta</w:t>
      </w:r>
      <w:r>
        <w:rPr>
          <w:noProof/>
        </w:rPr>
        <w:t xml:space="preserve"> a opera della Commissione</w:t>
      </w:r>
    </w:p>
    <w:p>
      <w:pPr>
        <w:pStyle w:val="ListDash2"/>
        <w:rPr>
          <w:rFonts w:cs="EUAlbertina"/>
          <w:noProof/>
        </w:rPr>
      </w:pPr>
      <w:r>
        <w:rPr>
          <w:noProof/>
        </w:rPr>
        <w:sym w:font="Wingdings" w:char="F0A8"/>
      </w:r>
      <w:r>
        <w:rPr>
          <w:noProof/>
        </w:rPr>
        <w:t xml:space="preserve"> a opera dei suoi servizi, compreso il personale delle delegazioni dell'Unione; </w:t>
      </w:r>
    </w:p>
    <w:p>
      <w:pPr>
        <w:pStyle w:val="ListDash2"/>
        <w:rPr>
          <w:noProof/>
        </w:rPr>
      </w:pPr>
      <w:r>
        <w:rPr>
          <w:noProof/>
        </w:rPr>
        <w:sym w:font="Wingdings" w:char="F0A8"/>
      </w:r>
      <w:r>
        <w:rPr>
          <w:noProof/>
        </w:rPr>
        <w:t xml:space="preserve"> a opera delle agenzie esecutive. </w:t>
      </w:r>
    </w:p>
    <w:p>
      <w:pPr>
        <w:pStyle w:val="Text1"/>
        <w:rPr>
          <w:noProof/>
        </w:rPr>
      </w:pPr>
      <w:r>
        <w:rPr>
          <w:noProof/>
        </w:rPr>
        <w:sym w:font="Wingdings" w:char="F0A8"/>
      </w:r>
      <w:r>
        <w:rPr>
          <w:b/>
          <w:i/>
          <w:noProof/>
        </w:rPr>
        <w:t xml:space="preserve"> </w:t>
      </w:r>
      <w:r>
        <w:rPr>
          <w:b/>
          <w:noProof/>
        </w:rPr>
        <w:t>Gestione concorrente</w:t>
      </w:r>
      <w:r>
        <w:rPr>
          <w:noProof/>
        </w:rPr>
        <w:t xml:space="preserve"> con gli Stati membri </w:t>
      </w:r>
    </w:p>
    <w:p>
      <w:pPr>
        <w:pStyle w:val="Text1"/>
        <w:rPr>
          <w:noProof/>
        </w:rPr>
      </w:pPr>
      <w:r>
        <w:rPr>
          <w:noProof/>
        </w:rPr>
        <w:sym w:font="Wingdings" w:char="F0A8"/>
      </w:r>
      <w:r>
        <w:rPr>
          <w:i/>
          <w:noProof/>
        </w:rPr>
        <w:t xml:space="preserve"> </w:t>
      </w:r>
      <w:r>
        <w:rPr>
          <w:b/>
          <w:noProof/>
        </w:rPr>
        <w:t>Gestione indiretta</w:t>
      </w:r>
      <w:r>
        <w:rPr>
          <w:noProof/>
        </w:rPr>
        <w:t xml:space="preserve"> con compiti di esecuzione del bilancio affidati:</w:t>
      </w:r>
    </w:p>
    <w:p>
      <w:pPr>
        <w:pStyle w:val="ListDash2"/>
        <w:rPr>
          <w:noProof/>
        </w:rPr>
      </w:pPr>
      <w:r>
        <w:rPr>
          <w:noProof/>
        </w:rPr>
        <w:sym w:font="Wingdings" w:char="F0A8"/>
      </w:r>
      <w:r>
        <w:rPr>
          <w:noProof/>
        </w:rPr>
        <w:t xml:space="preserve"> a paesi terzi o organismi da questi designati;</w:t>
      </w:r>
    </w:p>
    <w:p>
      <w:pPr>
        <w:pStyle w:val="ListDash2"/>
        <w:rPr>
          <w:noProof/>
        </w:rPr>
      </w:pPr>
      <w:r>
        <w:rPr>
          <w:noProof/>
        </w:rPr>
        <w:sym w:font="Wingdings" w:char="F0A8"/>
      </w:r>
      <w:r>
        <w:rPr>
          <w:noProof/>
        </w:rPr>
        <w:t xml:space="preserve"> a organizzazioni internazionali e rispettive agenzie (specificare);</w:t>
      </w:r>
    </w:p>
    <w:p>
      <w:pPr>
        <w:pStyle w:val="ListDash2"/>
        <w:rPr>
          <w:noProof/>
        </w:rPr>
      </w:pPr>
      <w:r>
        <w:rPr>
          <w:noProof/>
        </w:rPr>
        <w:sym w:font="Wingdings" w:char="F0A8"/>
      </w:r>
      <w:r>
        <w:rPr>
          <w:noProof/>
        </w:rPr>
        <w:t xml:space="preserve"> alla BEI e al Fondo europeo per gli investimenti;</w:t>
      </w:r>
    </w:p>
    <w:p>
      <w:pPr>
        <w:pStyle w:val="ListDash2"/>
        <w:rPr>
          <w:noProof/>
        </w:rPr>
      </w:pPr>
      <w:r>
        <w:rPr>
          <w:noProof/>
        </w:rPr>
        <w:sym w:font="Wingdings" w:char="F0A8"/>
      </w:r>
      <w:r>
        <w:rPr>
          <w:noProof/>
        </w:rPr>
        <w:t xml:space="preserve"> agli organismi di cui agli articoli 208 e 209 del regolamento finanziario;</w:t>
      </w:r>
    </w:p>
    <w:p>
      <w:pPr>
        <w:pStyle w:val="ListDash2"/>
        <w:rPr>
          <w:noProof/>
        </w:rPr>
      </w:pPr>
      <w:r>
        <w:rPr>
          <w:noProof/>
        </w:rPr>
        <w:sym w:font="Wingdings" w:char="F0A8"/>
      </w:r>
      <w:r>
        <w:rPr>
          <w:noProof/>
        </w:rPr>
        <w:t xml:space="preserve"> a organismi di diritto pubblico;</w:t>
      </w:r>
    </w:p>
    <w:p>
      <w:pPr>
        <w:pStyle w:val="ListDash2"/>
        <w:rPr>
          <w:noProof/>
        </w:rPr>
      </w:pPr>
      <w:r>
        <w:rPr>
          <w:noProof/>
        </w:rPr>
        <w:sym w:font="Wingdings" w:char="F0A8"/>
      </w:r>
      <w:r>
        <w:rPr>
          <w:noProof/>
        </w:rPr>
        <w:t xml:space="preserve"> a organismi di diritto privato investiti di attribuzioni di servizio pubblico nella misura in cui presentano sufficienti garanzie finanziarie;</w:t>
      </w:r>
    </w:p>
    <w:p>
      <w:pPr>
        <w:pStyle w:val="ListDash2"/>
        <w:rPr>
          <w:noProof/>
        </w:rPr>
      </w:pPr>
      <w:r>
        <w:rPr>
          <w:noProof/>
        </w:rPr>
        <w:sym w:font="Wingdings" w:char="F0A8"/>
      </w:r>
      <w:r>
        <w:rPr>
          <w:noProof/>
        </w:rPr>
        <w:t xml:space="preserve"> a organismi di diritto privato di uno Stato membro preposti all'attuazione di un partenariato pubblico-privato e che presentano sufficienti garanzie finanziarie;</w:t>
      </w:r>
    </w:p>
    <w:p>
      <w:pPr>
        <w:pStyle w:val="ListDash2"/>
        <w:rPr>
          <w:noProof/>
        </w:rPr>
      </w:pPr>
      <w:r>
        <w:rPr>
          <w:noProof/>
        </w:rPr>
        <w:sym w:font="Wingdings" w:char="F0A8"/>
      </w:r>
      <w:r>
        <w:rPr>
          <w:noProof/>
        </w:rPr>
        <w:t xml:space="preserve"> alle persone incaricate di attuare azioni specifiche della PESC a norma del titolo V del TUE che devono essere indicate nel pertinente atto di base.</w:t>
      </w:r>
    </w:p>
    <w:p>
      <w:pPr>
        <w:pStyle w:val="ListDash2"/>
        <w:rPr>
          <w:i/>
          <w:noProof/>
          <w:sz w:val="18"/>
          <w:u w:val="single"/>
        </w:rPr>
      </w:pPr>
      <w:r>
        <w:rPr>
          <w:i/>
          <w:noProof/>
          <w:sz w:val="18"/>
        </w:rPr>
        <w:t>Se è indicata più di una modalità, fornire ulteriori informazioni alla voce "Osservazioni".</w:t>
      </w:r>
    </w:p>
    <w:p>
      <w:pPr>
        <w:rPr>
          <w:noProof/>
        </w:rPr>
      </w:pPr>
      <w:r>
        <w:rPr>
          <w:noProof/>
        </w:rPr>
        <w:t xml:space="preserve">Osservazioni </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MISURE DI GESTIONE </w:t>
      </w:r>
    </w:p>
    <w:p>
      <w:pPr>
        <w:pStyle w:val="ManualHeading2"/>
        <w:rPr>
          <w:noProof/>
        </w:rPr>
      </w:pPr>
      <w:r>
        <w:rPr>
          <w:noProof/>
        </w:rPr>
        <w:t>2.1.</w:t>
      </w:r>
      <w:r>
        <w:rPr>
          <w:noProof/>
        </w:rPr>
        <w:tab/>
        <w:t xml:space="preserve">Disposizioni in materia di monitoraggio e di relazioni </w:t>
      </w:r>
    </w:p>
    <w:p>
      <w:pPr>
        <w:pStyle w:val="Text1"/>
        <w:rPr>
          <w:i/>
          <w:noProof/>
          <w:sz w:val="20"/>
          <w:u w:val="single"/>
        </w:rPr>
      </w:pPr>
      <w:r>
        <w:rPr>
          <w:i/>
          <w:noProof/>
          <w:sz w:val="20"/>
        </w:rPr>
        <w:t>Precisare frequenza e condizioni.</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La partecipazione di soggetti giuridici indiani al programma quadro UE per la ricerca e l'innovazione e ad altre attività di cooperazione in base all'accordo sarà periodicamente monitorata attraverso riunioni del comitato congiunto istituito a norma dell'articolo 6, lettera b), dell'accordo.</w:t>
      </w:r>
    </w:p>
    <w:p>
      <w:pPr>
        <w:pStyle w:val="ManualHeading2"/>
        <w:rPr>
          <w:bCs/>
          <w:noProof/>
          <w:szCs w:val="24"/>
        </w:rPr>
      </w:pPr>
      <w:r>
        <w:rPr>
          <w:noProof/>
        </w:rPr>
        <w:t>2.2.</w:t>
      </w:r>
      <w:r>
        <w:rPr>
          <w:noProof/>
        </w:rPr>
        <w:tab/>
        <w:t xml:space="preserve">Sistema di gestione e di controllo </w:t>
      </w:r>
    </w:p>
    <w:p>
      <w:pPr>
        <w:pStyle w:val="ManualHeading3"/>
        <w:rPr>
          <w:noProof/>
        </w:rPr>
      </w:pPr>
      <w:r>
        <w:rPr>
          <w:noProof/>
        </w:rPr>
        <w:t>2.2.1.</w:t>
      </w:r>
      <w:r>
        <w:rPr>
          <w:noProof/>
        </w:rPr>
        <w:tab/>
        <w:t xml:space="preserve">Rischi individuati </w:t>
      </w:r>
    </w:p>
    <w:p>
      <w:pPr>
        <w:pStyle w:val="Text1"/>
        <w:pBdr>
          <w:top w:val="single" w:sz="4" w:space="1" w:color="auto"/>
          <w:left w:val="single" w:sz="4" w:space="4" w:color="auto"/>
          <w:bottom w:val="single" w:sz="4" w:space="1" w:color="auto"/>
          <w:right w:val="single" w:sz="4" w:space="4" w:color="auto"/>
        </w:pBdr>
        <w:rPr>
          <w:noProof/>
          <w:szCs w:val="24"/>
        </w:rPr>
      </w:pPr>
      <w:r>
        <w:rPr>
          <w:noProof/>
        </w:rPr>
        <w:t>Riunioni e contatti bilaterali hanno luogo a scadenze regolari per consentire la condivisione delle informazioni e il controllo sistematici. Non sono stati individuati rischi nel sistema di controllo.</w:t>
      </w:r>
    </w:p>
    <w:p>
      <w:pPr>
        <w:pStyle w:val="ManualHeading3"/>
        <w:rPr>
          <w:bCs/>
          <w:noProof/>
          <w:szCs w:val="24"/>
        </w:rPr>
      </w:pPr>
      <w:r>
        <w:rPr>
          <w:noProof/>
        </w:rPr>
        <w:t>2.2.2.</w:t>
      </w:r>
      <w:r>
        <w:rPr>
          <w:noProof/>
        </w:rPr>
        <w:tab/>
        <w:t>Informazioni riguardanti il sistema di controllo interno istituito</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2.2.3.</w:t>
      </w:r>
      <w:r>
        <w:rPr>
          <w:noProof/>
        </w:rPr>
        <w:tab/>
        <w:t xml:space="preserve">Stima dei costi e dei benefici dei controlli e valutazione del previsto livello di rischio di errore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2.3.</w:t>
      </w:r>
      <w:r>
        <w:rPr>
          <w:noProof/>
        </w:rPr>
        <w:tab/>
        <w:t xml:space="preserve">Misure di prevenzione delle frodi e delle irregolarità </w:t>
      </w:r>
    </w:p>
    <w:p>
      <w:pPr>
        <w:pStyle w:val="Text1"/>
        <w:rPr>
          <w:i/>
          <w:noProof/>
          <w:sz w:val="20"/>
        </w:rPr>
      </w:pPr>
      <w:r>
        <w:rPr>
          <w:i/>
          <w:noProof/>
          <w:sz w:val="20"/>
        </w:rPr>
        <w:t>Precisare le misure di prevenzione e tutela in vigore o previste</w:t>
      </w:r>
    </w:p>
    <w:p>
      <w:pPr>
        <w:pStyle w:val="Text1"/>
        <w:pBdr>
          <w:top w:val="single" w:sz="4" w:space="1" w:color="auto"/>
          <w:left w:val="single" w:sz="4" w:space="4" w:color="auto"/>
          <w:bottom w:val="single" w:sz="4" w:space="1" w:color="auto"/>
          <w:right w:val="single" w:sz="4" w:space="4" w:color="auto"/>
        </w:pBdr>
        <w:rPr>
          <w:noProof/>
          <w:szCs w:val="24"/>
        </w:rPr>
      </w:pPr>
      <w:r>
        <w:rPr>
          <w:noProof/>
        </w:rPr>
        <w:t>Quando l'attuazione del programma quadro richiede il ricorso a contraenti esterni o comporta la concessione di un contributo finanziario a terzi, la Commissione effettuerà, se del caso, audit finanziari, in particolare se ha motivo di dubitare del carattere realistico dei lavori eseguiti o descritti nelle relazioni di attività.</w:t>
      </w:r>
    </w:p>
    <w:p>
      <w:pPr>
        <w:pStyle w:val="Text1"/>
        <w:pBdr>
          <w:top w:val="single" w:sz="4" w:space="1" w:color="auto"/>
          <w:left w:val="single" w:sz="4" w:space="4" w:color="auto"/>
          <w:bottom w:val="single" w:sz="4" w:space="1" w:color="auto"/>
          <w:right w:val="single" w:sz="4" w:space="4" w:color="auto"/>
        </w:pBdr>
        <w:rPr>
          <w:noProof/>
          <w:szCs w:val="24"/>
        </w:rPr>
      </w:pPr>
      <w:r>
        <w:rPr>
          <w:noProof/>
        </w:rPr>
        <w:t>Gli audit finanziari dell'Unione saranno effettuati dal suo personale o da esperti contabili riconosciuti conformemente alla legislazione della parte sottoposta all'audit. L'Unione sceglierà liberamente questi ultimi, avendo cura di evitare eventuali conflitti di interessi che possano essere segnalati dalla parte oggetto dell'audit. Nello svolgimento delle attività di ricerca, la Commissione garantirà inoltre, attraverso controlli efficaci, la salvaguardia degli interessi finanziari dell'Unione e, qualora dovessero emergere irregolarità, l'adozione di misure e sanzioni dissuasive e proporzionate.</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Per raggiungere questo obiettivo, in tutti i contratti stipulati ai fini dell'attuazione del programma quadro figureranno norme relative a controlli, misure e sanzioni, con riferimento ai regolamenti nn. 2988/95, 2185/96 e 883/2013. </w:t>
      </w:r>
    </w:p>
    <w:p>
      <w:pPr>
        <w:pStyle w:val="Text1"/>
        <w:pBdr>
          <w:top w:val="single" w:sz="4" w:space="1" w:color="auto"/>
          <w:left w:val="single" w:sz="4" w:space="4" w:color="auto"/>
          <w:bottom w:val="single" w:sz="4" w:space="1" w:color="auto"/>
          <w:right w:val="single" w:sz="4" w:space="4" w:color="auto"/>
        </w:pBdr>
        <w:rPr>
          <w:noProof/>
          <w:szCs w:val="24"/>
        </w:rPr>
      </w:pPr>
      <w:r>
        <w:rPr>
          <w:noProof/>
        </w:rPr>
        <w:t>In particolare, i contratti devono prevedere gli elementi seguenti:</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l'introduzione di clausole contrattuali specifiche per tutelare gli interessi finanziari dell'Unione europea attraverso l'esecuzione di verifiche e controlli in relazione ai lavori eseguiti; </w:t>
      </w:r>
    </w:p>
    <w:p>
      <w:pPr>
        <w:pStyle w:val="Text1"/>
        <w:pBdr>
          <w:top w:val="single" w:sz="4" w:space="1" w:color="auto"/>
          <w:left w:val="single" w:sz="4" w:space="4" w:color="auto"/>
          <w:bottom w:val="single" w:sz="4" w:space="1" w:color="auto"/>
          <w:right w:val="single" w:sz="4" w:space="4" w:color="auto"/>
        </w:pBdr>
        <w:rPr>
          <w:noProof/>
          <w:szCs w:val="24"/>
        </w:rPr>
      </w:pPr>
      <w:r>
        <w:rPr>
          <w:noProof/>
        </w:rPr>
        <w:t>- lo svolgimento di controlli amministrativi nell'ambito delle misure antifrode, conformemente ai regolamenti nn. 2185/96 e 883/2013;</w:t>
      </w:r>
    </w:p>
    <w:p>
      <w:pPr>
        <w:pStyle w:val="Text1"/>
        <w:pBdr>
          <w:top w:val="single" w:sz="4" w:space="1" w:color="auto"/>
          <w:left w:val="single" w:sz="4" w:space="4" w:color="auto"/>
          <w:bottom w:val="single" w:sz="4" w:space="1" w:color="auto"/>
          <w:right w:val="single" w:sz="4" w:space="4" w:color="auto"/>
        </w:pBdr>
        <w:rPr>
          <w:noProof/>
          <w:szCs w:val="24"/>
        </w:rPr>
      </w:pPr>
      <w:r>
        <w:rPr>
          <w:noProof/>
        </w:rPr>
        <w:t>- l'applicazione di sanzioni amministrative per tutte le irregolarità intenzionali o causate da negligenza nell'attuazione dei contratti, a norma del regolamento quadro n. 2988/95, incluso un meccanismo di "lista nera";</w:t>
      </w:r>
    </w:p>
    <w:p>
      <w:pPr>
        <w:pStyle w:val="Text1"/>
        <w:pBdr>
          <w:top w:val="single" w:sz="4" w:space="1" w:color="auto"/>
          <w:left w:val="single" w:sz="4" w:space="4" w:color="auto"/>
          <w:bottom w:val="single" w:sz="4" w:space="1" w:color="auto"/>
          <w:right w:val="single" w:sz="4" w:space="4" w:color="auto"/>
        </w:pBdr>
        <w:rPr>
          <w:noProof/>
          <w:szCs w:val="24"/>
        </w:rPr>
      </w:pPr>
      <w:r>
        <w:rPr>
          <w:noProof/>
        </w:rPr>
        <w:t>- il fatto che eventuali ordini di recupero in caso di irregolarità e di frodi devono essere esecutivi a norma dell'articolo 299 del trattato sul funzionamento dell'Unione europea.</w:t>
      </w:r>
    </w:p>
    <w:p>
      <w:pPr>
        <w:pStyle w:val="Text1"/>
        <w:pBdr>
          <w:top w:val="single" w:sz="4" w:space="1" w:color="auto"/>
          <w:left w:val="single" w:sz="4" w:space="4" w:color="auto"/>
          <w:bottom w:val="single" w:sz="4" w:space="1" w:color="auto"/>
          <w:right w:val="single" w:sz="4" w:space="4" w:color="auto"/>
        </w:pBdr>
        <w:rPr>
          <w:noProof/>
          <w:szCs w:val="24"/>
        </w:rPr>
      </w:pPr>
      <w:r>
        <w:rPr>
          <w:noProof/>
        </w:rPr>
        <w:t>Inoltre, e come misura di routine, un programma di controlli concernenti gli aspetti scientifici e di bilancio della cooperazione sarà attuato dal personale responsabile della direzione generale per la Ricerca e l'innovazione (RTD). Un audit interno sarà realizzato dall'unità "Audit interno" della DG RTD e ispezioni in loco saranno condotte dalla Corte dei conti europea.</w:t>
      </w:r>
    </w:p>
    <w:p>
      <w:pPr>
        <w:pStyle w:val="Text1"/>
        <w:pBdr>
          <w:top w:val="single" w:sz="4" w:space="1" w:color="auto"/>
          <w:left w:val="single" w:sz="4" w:space="0"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INCIDENZA FINANZIARIA PREVISTA DELLA PROPOSTA/INIZIATIVA </w:t>
      </w:r>
    </w:p>
    <w:p>
      <w:pPr>
        <w:pStyle w:val="ManualHeading2"/>
        <w:rPr>
          <w:noProof/>
        </w:rPr>
      </w:pPr>
      <w:r>
        <w:rPr>
          <w:noProof/>
        </w:rPr>
        <w:t>3.1.</w:t>
      </w:r>
      <w:r>
        <w:rPr>
          <w:noProof/>
        </w:rPr>
        <w:tab/>
        <w:t xml:space="preserve">Rubrica/rubriche del quadro finanziario pluriennale e linea/linee di bilancio di spesa interessate </w:t>
      </w:r>
    </w:p>
    <w:p>
      <w:pPr>
        <w:pStyle w:val="ListBullet1"/>
        <w:rPr>
          <w:noProof/>
        </w:rPr>
      </w:pPr>
      <w:r>
        <w:rPr>
          <w:noProof/>
        </w:rPr>
        <w:t>Linee di bilancio esistenti</w:t>
      </w:r>
      <w:r>
        <w:rPr>
          <w:rStyle w:val="FootnoteReference"/>
          <w:noProof/>
        </w:rPr>
        <w:footnoteReference w:id="15"/>
      </w:r>
    </w:p>
    <w:p>
      <w:pPr>
        <w:pStyle w:val="Text1"/>
        <w:rPr>
          <w:noProof/>
        </w:rPr>
      </w:pPr>
      <w:r>
        <w:rPr>
          <w:noProof/>
          <w:u w:val="single"/>
        </w:rPr>
        <w:t>Secondo l'ordine</w:t>
      </w:r>
      <w:r>
        <w:rPr>
          <w:noProof/>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Rubrica del quadro finanziario pluriennale</w:t>
            </w:r>
          </w:p>
        </w:tc>
        <w:tc>
          <w:tcPr>
            <w:tcW w:w="3960" w:type="dxa"/>
            <w:vAlign w:val="center"/>
          </w:tcPr>
          <w:p>
            <w:pPr>
              <w:spacing w:before="60" w:after="60"/>
              <w:jc w:val="center"/>
              <w:rPr>
                <w:noProof/>
                <w:sz w:val="22"/>
              </w:rPr>
            </w:pPr>
            <w:r>
              <w:rPr>
                <w:noProof/>
                <w:sz w:val="20"/>
              </w:rPr>
              <w:t>Linea di bilancio</w:t>
            </w:r>
          </w:p>
        </w:tc>
        <w:tc>
          <w:tcPr>
            <w:tcW w:w="1080" w:type="dxa"/>
            <w:vAlign w:val="center"/>
          </w:tcPr>
          <w:p>
            <w:pPr>
              <w:spacing w:before="60" w:after="60"/>
              <w:jc w:val="center"/>
              <w:rPr>
                <w:noProof/>
                <w:sz w:val="18"/>
                <w:szCs w:val="18"/>
              </w:rPr>
            </w:pPr>
            <w:r>
              <w:rPr>
                <w:noProof/>
                <w:sz w:val="18"/>
                <w:szCs w:val="18"/>
              </w:rPr>
              <w:t>Natura della spesa</w:t>
            </w:r>
          </w:p>
        </w:tc>
        <w:tc>
          <w:tcPr>
            <w:tcW w:w="4440" w:type="dxa"/>
            <w:gridSpan w:val="4"/>
            <w:vAlign w:val="center"/>
          </w:tcPr>
          <w:p>
            <w:pPr>
              <w:spacing w:before="60" w:after="60"/>
              <w:jc w:val="center"/>
              <w:rPr>
                <w:noProof/>
                <w:sz w:val="22"/>
              </w:rPr>
            </w:pPr>
            <w:r>
              <w:rPr>
                <w:noProof/>
                <w:sz w:val="20"/>
              </w:rPr>
              <w:t xml:space="preserve">Partecipazione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Rubrica 1a – Competitività per la crescita e l'occupazione</w:t>
            </w:r>
          </w:p>
        </w:tc>
        <w:tc>
          <w:tcPr>
            <w:tcW w:w="1080" w:type="dxa"/>
            <w:vAlign w:val="center"/>
          </w:tcPr>
          <w:p>
            <w:pPr>
              <w:jc w:val="center"/>
              <w:rPr>
                <w:noProof/>
                <w:sz w:val="22"/>
              </w:rPr>
            </w:pPr>
            <w:r>
              <w:rPr>
                <w:noProof/>
                <w:sz w:val="18"/>
              </w:rPr>
              <w:t>Diss./Non diss</w:t>
            </w:r>
            <w:r>
              <w:rPr>
                <w:rStyle w:val="FootnoteReference"/>
                <w:noProof/>
                <w:sz w:val="18"/>
              </w:rPr>
              <w:footnoteReference w:id="16"/>
            </w:r>
            <w:r>
              <w:rPr>
                <w:noProof/>
                <w:sz w:val="18"/>
              </w:rPr>
              <w:t>.</w:t>
            </w:r>
          </w:p>
        </w:tc>
        <w:tc>
          <w:tcPr>
            <w:tcW w:w="956" w:type="dxa"/>
            <w:vAlign w:val="center"/>
          </w:tcPr>
          <w:p>
            <w:pPr>
              <w:jc w:val="center"/>
              <w:rPr>
                <w:noProof/>
                <w:sz w:val="22"/>
              </w:rPr>
            </w:pPr>
            <w:r>
              <w:rPr>
                <w:noProof/>
                <w:sz w:val="18"/>
              </w:rPr>
              <w:t>di paesi EFTA</w:t>
            </w:r>
            <w:r>
              <w:rPr>
                <w:rStyle w:val="FootnoteReference"/>
                <w:noProof/>
                <w:sz w:val="18"/>
              </w:rPr>
              <w:footnoteReference w:id="17"/>
            </w:r>
          </w:p>
          <w:p>
            <w:pPr>
              <w:spacing w:before="0" w:after="0"/>
              <w:jc w:val="center"/>
              <w:rPr>
                <w:b/>
                <w:noProof/>
                <w:sz w:val="18"/>
              </w:rPr>
            </w:pPr>
          </w:p>
        </w:tc>
        <w:tc>
          <w:tcPr>
            <w:tcW w:w="1080" w:type="dxa"/>
            <w:vAlign w:val="center"/>
          </w:tcPr>
          <w:p>
            <w:pPr>
              <w:jc w:val="center"/>
              <w:rPr>
                <w:noProof/>
                <w:sz w:val="22"/>
              </w:rPr>
            </w:pPr>
            <w:r>
              <w:rPr>
                <w:noProof/>
                <w:sz w:val="18"/>
              </w:rPr>
              <w:t>di paesi candidati</w:t>
            </w:r>
            <w:r>
              <w:rPr>
                <w:rStyle w:val="FootnoteReference"/>
                <w:noProof/>
                <w:sz w:val="18"/>
              </w:rPr>
              <w:footnoteReference w:id="18"/>
            </w:r>
          </w:p>
          <w:p>
            <w:pPr>
              <w:spacing w:before="0" w:after="0"/>
              <w:jc w:val="center"/>
              <w:rPr>
                <w:noProof/>
                <w:sz w:val="18"/>
              </w:rPr>
            </w:pPr>
          </w:p>
        </w:tc>
        <w:tc>
          <w:tcPr>
            <w:tcW w:w="956" w:type="dxa"/>
            <w:vAlign w:val="center"/>
          </w:tcPr>
          <w:p>
            <w:pPr>
              <w:jc w:val="center"/>
              <w:rPr>
                <w:noProof/>
                <w:sz w:val="18"/>
              </w:rPr>
            </w:pPr>
            <w:r>
              <w:rPr>
                <w:noProof/>
                <w:sz w:val="18"/>
              </w:rPr>
              <w:t>di paesi terzi</w:t>
            </w:r>
          </w:p>
        </w:tc>
        <w:tc>
          <w:tcPr>
            <w:tcW w:w="1448" w:type="dxa"/>
            <w:vAlign w:val="center"/>
          </w:tcPr>
          <w:p>
            <w:pPr>
              <w:jc w:val="center"/>
              <w:rPr>
                <w:noProof/>
                <w:sz w:val="22"/>
              </w:rPr>
            </w:pPr>
            <w:r>
              <w:rPr>
                <w:noProof/>
                <w:sz w:val="16"/>
              </w:rPr>
              <w:t xml:space="preserve">ai sensi dell'articolo 21, paragrafo 2, lettera b), del regolamento finanziario </w:t>
            </w:r>
          </w:p>
        </w:tc>
      </w:tr>
      <w:tr>
        <w:tc>
          <w:tcPr>
            <w:tcW w:w="1080" w:type="dxa"/>
            <w:vAlign w:val="center"/>
          </w:tcPr>
          <w:p>
            <w:pPr>
              <w:jc w:val="center"/>
              <w:rPr>
                <w:noProof/>
                <w:color w:val="0000FF"/>
                <w:sz w:val="22"/>
              </w:rPr>
            </w:pPr>
            <w:r>
              <w:rPr>
                <w:noProof/>
                <w:sz w:val="20"/>
              </w:rPr>
              <w:t>1a</w:t>
            </w:r>
          </w:p>
        </w:tc>
        <w:tc>
          <w:tcPr>
            <w:tcW w:w="3960" w:type="dxa"/>
            <w:vAlign w:val="center"/>
          </w:tcPr>
          <w:p>
            <w:pPr>
              <w:spacing w:before="60"/>
              <w:jc w:val="center"/>
              <w:rPr>
                <w:b/>
                <w:noProof/>
                <w:sz w:val="22"/>
              </w:rPr>
            </w:pPr>
            <w:r>
              <w:rPr>
                <w:b/>
                <w:noProof/>
                <w:sz w:val="22"/>
              </w:rPr>
              <w:t>08.01.05.01</w:t>
            </w:r>
          </w:p>
        </w:tc>
        <w:tc>
          <w:tcPr>
            <w:tcW w:w="1080" w:type="dxa"/>
            <w:vAlign w:val="center"/>
          </w:tcPr>
          <w:p>
            <w:pPr>
              <w:jc w:val="center"/>
              <w:rPr>
                <w:noProof/>
                <w:color w:val="0000FF"/>
                <w:sz w:val="22"/>
              </w:rPr>
            </w:pPr>
            <w:r>
              <w:rPr>
                <w:noProof/>
                <w:sz w:val="22"/>
              </w:rPr>
              <w:t>Non diss.</w:t>
            </w:r>
          </w:p>
        </w:tc>
        <w:tc>
          <w:tcPr>
            <w:tcW w:w="956" w:type="dxa"/>
            <w:vAlign w:val="center"/>
          </w:tcPr>
          <w:p>
            <w:pPr>
              <w:jc w:val="center"/>
              <w:rPr>
                <w:noProof/>
                <w:sz w:val="22"/>
              </w:rPr>
            </w:pPr>
            <w:r>
              <w:rPr>
                <w:noProof/>
                <w:sz w:val="22"/>
              </w:rPr>
              <w:t>SÌ</w:t>
            </w:r>
          </w:p>
        </w:tc>
        <w:tc>
          <w:tcPr>
            <w:tcW w:w="1080" w:type="dxa"/>
            <w:vAlign w:val="center"/>
          </w:tcPr>
          <w:p>
            <w:pPr>
              <w:jc w:val="center"/>
              <w:rPr>
                <w:noProof/>
                <w:sz w:val="22"/>
              </w:rPr>
            </w:pPr>
            <w:r>
              <w:rPr>
                <w:noProof/>
                <w:sz w:val="22"/>
              </w:rPr>
              <w:t>SÌ</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r>
        <w:tc>
          <w:tcPr>
            <w:tcW w:w="1080" w:type="dxa"/>
            <w:vAlign w:val="center"/>
          </w:tcPr>
          <w:p>
            <w:pPr>
              <w:jc w:val="center"/>
              <w:rPr>
                <w:noProof/>
                <w:color w:val="0000FF"/>
                <w:sz w:val="22"/>
              </w:rPr>
            </w:pPr>
            <w:r>
              <w:rPr>
                <w:noProof/>
                <w:sz w:val="20"/>
              </w:rPr>
              <w:t>1a</w:t>
            </w:r>
          </w:p>
        </w:tc>
        <w:tc>
          <w:tcPr>
            <w:tcW w:w="3960" w:type="dxa"/>
            <w:vAlign w:val="center"/>
          </w:tcPr>
          <w:p>
            <w:pPr>
              <w:spacing w:before="60"/>
              <w:jc w:val="center"/>
              <w:rPr>
                <w:b/>
                <w:noProof/>
                <w:sz w:val="22"/>
              </w:rPr>
            </w:pPr>
            <w:r>
              <w:rPr>
                <w:b/>
                <w:noProof/>
                <w:sz w:val="22"/>
              </w:rPr>
              <w:t>08.01.05.03</w:t>
            </w:r>
          </w:p>
        </w:tc>
        <w:tc>
          <w:tcPr>
            <w:tcW w:w="1080" w:type="dxa"/>
            <w:vAlign w:val="center"/>
          </w:tcPr>
          <w:p>
            <w:pPr>
              <w:jc w:val="center"/>
              <w:rPr>
                <w:noProof/>
                <w:color w:val="0000FF"/>
                <w:sz w:val="22"/>
              </w:rPr>
            </w:pPr>
            <w:r>
              <w:rPr>
                <w:noProof/>
                <w:sz w:val="22"/>
              </w:rPr>
              <w:t>Non diss.</w:t>
            </w:r>
          </w:p>
        </w:tc>
        <w:tc>
          <w:tcPr>
            <w:tcW w:w="956" w:type="dxa"/>
            <w:vAlign w:val="center"/>
          </w:tcPr>
          <w:p>
            <w:pPr>
              <w:jc w:val="center"/>
              <w:rPr>
                <w:noProof/>
                <w:sz w:val="22"/>
              </w:rPr>
            </w:pPr>
            <w:r>
              <w:rPr>
                <w:noProof/>
                <w:sz w:val="22"/>
              </w:rPr>
              <w:t>SÌ</w:t>
            </w:r>
          </w:p>
        </w:tc>
        <w:tc>
          <w:tcPr>
            <w:tcW w:w="1080" w:type="dxa"/>
            <w:vAlign w:val="center"/>
          </w:tcPr>
          <w:p>
            <w:pPr>
              <w:jc w:val="center"/>
              <w:rPr>
                <w:noProof/>
                <w:sz w:val="22"/>
              </w:rPr>
            </w:pPr>
            <w:r>
              <w:rPr>
                <w:noProof/>
                <w:sz w:val="22"/>
              </w:rPr>
              <w:t>SÌ</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bl>
    <w:p>
      <w:pPr>
        <w:pStyle w:val="ListBullet1"/>
        <w:rPr>
          <w:noProof/>
        </w:rPr>
      </w:pPr>
      <w:r>
        <w:rPr>
          <w:noProof/>
        </w:rPr>
        <w:t xml:space="preserve">Nuove linee di bilancio di cui è chiesta la creazione </w:t>
      </w:r>
    </w:p>
    <w:p>
      <w:pPr>
        <w:pStyle w:val="Text1"/>
        <w:rPr>
          <w:i/>
          <w:noProof/>
          <w:sz w:val="20"/>
        </w:rPr>
      </w:pPr>
      <w:r>
        <w:rPr>
          <w:i/>
          <w:noProof/>
          <w:u w:val="single"/>
        </w:rPr>
        <w:t>Secondo l'ordine</w:t>
      </w:r>
      <w:r>
        <w:rPr>
          <w:i/>
          <w:noProof/>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del quadro finanziario pluriennale</w:t>
            </w:r>
          </w:p>
        </w:tc>
        <w:tc>
          <w:tcPr>
            <w:tcW w:w="3960" w:type="dxa"/>
            <w:vAlign w:val="center"/>
          </w:tcPr>
          <w:p>
            <w:pPr>
              <w:spacing w:before="60" w:after="60"/>
              <w:jc w:val="center"/>
              <w:rPr>
                <w:noProof/>
                <w:sz w:val="22"/>
              </w:rPr>
            </w:pPr>
            <w:r>
              <w:rPr>
                <w:noProof/>
                <w:sz w:val="20"/>
              </w:rPr>
              <w:t>Linea di bilancio</w:t>
            </w:r>
          </w:p>
        </w:tc>
        <w:tc>
          <w:tcPr>
            <w:tcW w:w="1080" w:type="dxa"/>
            <w:vAlign w:val="center"/>
          </w:tcPr>
          <w:p>
            <w:pPr>
              <w:spacing w:before="60" w:after="60"/>
              <w:jc w:val="center"/>
              <w:rPr>
                <w:noProof/>
                <w:sz w:val="22"/>
              </w:rPr>
            </w:pPr>
            <w:r>
              <w:rPr>
                <w:noProof/>
                <w:sz w:val="18"/>
              </w:rPr>
              <w:t>Natura</w:t>
            </w:r>
            <w:r>
              <w:rPr>
                <w:noProof/>
                <w:sz w:val="22"/>
              </w:rPr>
              <w:br/>
            </w:r>
            <w:r>
              <w:rPr>
                <w:noProof/>
                <w:sz w:val="18"/>
              </w:rPr>
              <w:t>della spesa</w:t>
            </w:r>
          </w:p>
        </w:tc>
        <w:tc>
          <w:tcPr>
            <w:tcW w:w="4440" w:type="dxa"/>
            <w:gridSpan w:val="4"/>
            <w:vAlign w:val="center"/>
          </w:tcPr>
          <w:p>
            <w:pPr>
              <w:spacing w:before="60" w:after="60"/>
              <w:jc w:val="center"/>
              <w:rPr>
                <w:noProof/>
                <w:sz w:val="22"/>
              </w:rPr>
            </w:pPr>
            <w:r>
              <w:rPr>
                <w:noProof/>
                <w:sz w:val="20"/>
              </w:rPr>
              <w:t xml:space="preserve">Partecipazione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Numero </w:t>
            </w:r>
            <w:r>
              <w:rPr>
                <w:noProof/>
                <w:sz w:val="22"/>
              </w:rPr>
              <w:br/>
            </w:r>
            <w:r>
              <w:rPr>
                <w:noProof/>
                <w:sz w:val="20"/>
              </w:rPr>
              <w:t>[Rubrica……………………………………]</w:t>
            </w:r>
          </w:p>
        </w:tc>
        <w:tc>
          <w:tcPr>
            <w:tcW w:w="1080" w:type="dxa"/>
            <w:vAlign w:val="center"/>
          </w:tcPr>
          <w:p>
            <w:pPr>
              <w:jc w:val="center"/>
              <w:rPr>
                <w:noProof/>
                <w:sz w:val="22"/>
              </w:rPr>
            </w:pPr>
            <w:r>
              <w:rPr>
                <w:noProof/>
                <w:sz w:val="18"/>
              </w:rPr>
              <w:t>Diss./Non diss.</w:t>
            </w:r>
          </w:p>
        </w:tc>
        <w:tc>
          <w:tcPr>
            <w:tcW w:w="956" w:type="dxa"/>
            <w:vAlign w:val="center"/>
          </w:tcPr>
          <w:p>
            <w:pPr>
              <w:jc w:val="center"/>
              <w:rPr>
                <w:noProof/>
                <w:sz w:val="18"/>
              </w:rPr>
            </w:pPr>
            <w:r>
              <w:rPr>
                <w:noProof/>
                <w:sz w:val="18"/>
              </w:rPr>
              <w:t>di paesi EFTA</w:t>
            </w:r>
          </w:p>
        </w:tc>
        <w:tc>
          <w:tcPr>
            <w:tcW w:w="1080" w:type="dxa"/>
            <w:vAlign w:val="center"/>
          </w:tcPr>
          <w:p>
            <w:pPr>
              <w:jc w:val="center"/>
              <w:rPr>
                <w:noProof/>
                <w:sz w:val="18"/>
              </w:rPr>
            </w:pPr>
            <w:r>
              <w:rPr>
                <w:noProof/>
                <w:sz w:val="18"/>
              </w:rPr>
              <w:t>di paesi candidati</w:t>
            </w:r>
          </w:p>
        </w:tc>
        <w:tc>
          <w:tcPr>
            <w:tcW w:w="956" w:type="dxa"/>
            <w:vAlign w:val="center"/>
          </w:tcPr>
          <w:p>
            <w:pPr>
              <w:jc w:val="center"/>
              <w:rPr>
                <w:noProof/>
                <w:sz w:val="18"/>
              </w:rPr>
            </w:pPr>
            <w:r>
              <w:rPr>
                <w:noProof/>
                <w:sz w:val="18"/>
              </w:rPr>
              <w:t>di paesi terzi</w:t>
            </w:r>
          </w:p>
        </w:tc>
        <w:tc>
          <w:tcPr>
            <w:tcW w:w="1448" w:type="dxa"/>
            <w:vAlign w:val="center"/>
          </w:tcPr>
          <w:p>
            <w:pPr>
              <w:jc w:val="center"/>
              <w:rPr>
                <w:noProof/>
                <w:sz w:val="22"/>
              </w:rPr>
            </w:pPr>
            <w:r>
              <w:rPr>
                <w:noProof/>
                <w:sz w:val="16"/>
              </w:rPr>
              <w:t xml:space="preserve">ai sensi dell'articolo 21, paragrafo 2, lettera b), del regolamento finanziario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SÌ/NO</w:t>
            </w:r>
          </w:p>
        </w:tc>
        <w:tc>
          <w:tcPr>
            <w:tcW w:w="1080" w:type="dxa"/>
            <w:vAlign w:val="center"/>
          </w:tcPr>
          <w:p>
            <w:pPr>
              <w:jc w:val="center"/>
              <w:rPr>
                <w:noProof/>
                <w:color w:val="0000FF"/>
                <w:sz w:val="18"/>
              </w:rPr>
            </w:pPr>
            <w:r>
              <w:rPr>
                <w:noProof/>
                <w:sz w:val="22"/>
              </w:rPr>
              <w:t>SÌ/NO</w:t>
            </w:r>
          </w:p>
        </w:tc>
        <w:tc>
          <w:tcPr>
            <w:tcW w:w="956" w:type="dxa"/>
            <w:vAlign w:val="center"/>
          </w:tcPr>
          <w:p>
            <w:pPr>
              <w:jc w:val="center"/>
              <w:rPr>
                <w:noProof/>
                <w:color w:val="0000FF"/>
                <w:sz w:val="18"/>
              </w:rPr>
            </w:pPr>
            <w:r>
              <w:rPr>
                <w:noProof/>
                <w:sz w:val="22"/>
              </w:rPr>
              <w:t>SÌ/NO</w:t>
            </w:r>
          </w:p>
        </w:tc>
        <w:tc>
          <w:tcPr>
            <w:tcW w:w="1448" w:type="dxa"/>
            <w:vAlign w:val="center"/>
          </w:tcPr>
          <w:p>
            <w:pPr>
              <w:jc w:val="center"/>
              <w:rPr>
                <w:noProof/>
                <w:sz w:val="22"/>
              </w:rPr>
            </w:pPr>
            <w:r>
              <w:rPr>
                <w:noProof/>
                <w:sz w:val="22"/>
              </w:rPr>
              <w:t>SÌ/NO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Incidenza prevista sulle spese </w:t>
      </w:r>
    </w:p>
    <w:p>
      <w:pPr>
        <w:pStyle w:val="ManualHeading3"/>
        <w:rPr>
          <w:noProof/>
          <w:u w:val="single"/>
        </w:rPr>
      </w:pPr>
      <w:r>
        <w:rPr>
          <w:noProof/>
        </w:rPr>
        <w:t>3.2.1.</w:t>
      </w:r>
      <w:r>
        <w:rPr>
          <w:noProof/>
        </w:rPr>
        <w:tab/>
        <w:t xml:space="preserve">Sintesi dell'incidenza prevista sulle spese </w:t>
      </w:r>
    </w:p>
    <w:p>
      <w:pPr>
        <w:jc w:val="center"/>
        <w:rPr>
          <w:noProof/>
          <w:sz w:val="20"/>
        </w:rPr>
      </w:pPr>
      <w:r>
        <w:rPr>
          <w:noProof/>
          <w:sz w:val="20"/>
        </w:rPr>
        <w:t>Mio EUR (al terzo decimale)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1"/>
        <w:gridCol w:w="1080"/>
        <w:gridCol w:w="7104"/>
      </w:tblGrid>
      <w:tr>
        <w:tc>
          <w:tcPr>
            <w:tcW w:w="4291" w:type="dxa"/>
            <w:shd w:val="thinDiagStripe" w:color="C0C0C0" w:fill="auto"/>
            <w:vAlign w:val="center"/>
          </w:tcPr>
          <w:p>
            <w:pPr>
              <w:spacing w:before="60" w:after="60"/>
              <w:jc w:val="center"/>
              <w:rPr>
                <w:b/>
                <w:noProof/>
                <w:sz w:val="22"/>
              </w:rPr>
            </w:pPr>
            <w:r>
              <w:rPr>
                <w:b/>
                <w:noProof/>
                <w:sz w:val="22"/>
              </w:rPr>
              <w:t xml:space="preserve">Rubrica del </w:t>
            </w:r>
            <w:r>
              <w:rPr>
                <w:noProof/>
                <w:sz w:val="22"/>
              </w:rPr>
              <w:br/>
            </w:r>
            <w:r>
              <w:rPr>
                <w:b/>
                <w:noProof/>
                <w:sz w:val="22"/>
              </w:rPr>
              <w:t xml:space="preserve">quadro finanziario pluriennale </w:t>
            </w:r>
          </w:p>
        </w:tc>
        <w:tc>
          <w:tcPr>
            <w:tcW w:w="1080" w:type="dxa"/>
            <w:vAlign w:val="center"/>
          </w:tcPr>
          <w:p>
            <w:pPr>
              <w:spacing w:before="60" w:after="60"/>
              <w:jc w:val="center"/>
              <w:rPr>
                <w:noProof/>
                <w:sz w:val="22"/>
              </w:rPr>
            </w:pPr>
            <w:r>
              <w:rPr>
                <w:noProof/>
                <w:sz w:val="22"/>
              </w:rPr>
              <w:t>1a</w:t>
            </w:r>
          </w:p>
        </w:tc>
        <w:tc>
          <w:tcPr>
            <w:tcW w:w="7104" w:type="dxa"/>
            <w:vAlign w:val="center"/>
          </w:tcPr>
          <w:p>
            <w:pPr>
              <w:spacing w:before="60" w:after="60"/>
              <w:rPr>
                <w:noProof/>
                <w:sz w:val="22"/>
              </w:rPr>
            </w:pPr>
            <w:r>
              <w:rPr>
                <w:noProof/>
              </w:rPr>
              <w:t xml:space="preserve">"Competitività per la crescita e l'occupazione" </w:t>
            </w:r>
          </w:p>
        </w:tc>
      </w:tr>
    </w:tbl>
    <w:p>
      <w:pPr>
        <w:rPr>
          <w:noProof/>
          <w:sz w:val="16"/>
        </w:rPr>
      </w:pPr>
    </w:p>
    <w:tbl>
      <w:tblPr>
        <w:tblW w:w="12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794"/>
        <w:gridCol w:w="960"/>
        <w:gridCol w:w="1200"/>
      </w:tblGrid>
      <w:tr>
        <w:tc>
          <w:tcPr>
            <w:tcW w:w="3960" w:type="dxa"/>
            <w:vAlign w:val="center"/>
          </w:tcPr>
          <w:p>
            <w:pPr>
              <w:jc w:val="center"/>
              <w:rPr>
                <w:noProof/>
                <w:sz w:val="22"/>
              </w:rPr>
            </w:pPr>
            <w:r>
              <w:rPr>
                <w:noProof/>
                <w:sz w:val="22"/>
              </w:rPr>
              <w:t>DG: RTD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szCs w:val="20"/>
              </w:rPr>
            </w:pPr>
            <w:r>
              <w:rPr>
                <w:noProof/>
                <w:sz w:val="20"/>
                <w:szCs w:val="20"/>
              </w:rPr>
              <w:t>Anno</w:t>
            </w:r>
            <w:r>
              <w:rPr>
                <w:noProof/>
                <w:sz w:val="20"/>
                <w:szCs w:val="20"/>
              </w:rPr>
              <w:br/>
            </w:r>
            <w:r>
              <w:rPr>
                <w:b/>
                <w:noProof/>
                <w:sz w:val="20"/>
                <w:szCs w:val="20"/>
              </w:rPr>
              <w:t>2020</w:t>
            </w:r>
            <w:r>
              <w:rPr>
                <w:rStyle w:val="FootnoteReference"/>
                <w:b/>
                <w:noProof/>
                <w:sz w:val="20"/>
                <w:szCs w:val="20"/>
              </w:rPr>
              <w:footnoteReference w:id="19"/>
            </w:r>
          </w:p>
        </w:tc>
        <w:tc>
          <w:tcPr>
            <w:tcW w:w="868" w:type="dxa"/>
            <w:vAlign w:val="center"/>
          </w:tcPr>
          <w:p>
            <w:pPr>
              <w:jc w:val="center"/>
              <w:rPr>
                <w:noProof/>
                <w:sz w:val="20"/>
                <w:szCs w:val="20"/>
              </w:rPr>
            </w:pPr>
            <w:r>
              <w:rPr>
                <w:noProof/>
                <w:sz w:val="20"/>
                <w:szCs w:val="20"/>
              </w:rPr>
              <w:t>Anno</w:t>
            </w:r>
            <w:r>
              <w:rPr>
                <w:noProof/>
                <w:sz w:val="20"/>
                <w:szCs w:val="20"/>
              </w:rPr>
              <w:br/>
            </w:r>
            <w:r>
              <w:rPr>
                <w:b/>
                <w:noProof/>
                <w:sz w:val="20"/>
                <w:szCs w:val="20"/>
              </w:rPr>
              <w:t>2021</w:t>
            </w:r>
          </w:p>
        </w:tc>
        <w:tc>
          <w:tcPr>
            <w:tcW w:w="868" w:type="dxa"/>
            <w:vAlign w:val="center"/>
          </w:tcPr>
          <w:p>
            <w:pPr>
              <w:jc w:val="center"/>
              <w:rPr>
                <w:noProof/>
                <w:sz w:val="20"/>
                <w:szCs w:val="20"/>
              </w:rPr>
            </w:pPr>
            <w:r>
              <w:rPr>
                <w:noProof/>
                <w:sz w:val="20"/>
                <w:szCs w:val="20"/>
              </w:rPr>
              <w:t>Anno</w:t>
            </w:r>
            <w:r>
              <w:rPr>
                <w:noProof/>
                <w:sz w:val="20"/>
                <w:szCs w:val="20"/>
              </w:rPr>
              <w:br/>
            </w:r>
            <w:r>
              <w:rPr>
                <w:b/>
                <w:noProof/>
                <w:sz w:val="20"/>
                <w:szCs w:val="20"/>
              </w:rPr>
              <w:t>2022</w:t>
            </w:r>
          </w:p>
        </w:tc>
        <w:tc>
          <w:tcPr>
            <w:tcW w:w="868" w:type="dxa"/>
            <w:vAlign w:val="center"/>
          </w:tcPr>
          <w:p>
            <w:pPr>
              <w:jc w:val="center"/>
              <w:rPr>
                <w:noProof/>
                <w:sz w:val="20"/>
                <w:szCs w:val="20"/>
              </w:rPr>
            </w:pPr>
            <w:r>
              <w:rPr>
                <w:noProof/>
                <w:sz w:val="20"/>
                <w:szCs w:val="20"/>
              </w:rPr>
              <w:t>Anno</w:t>
            </w:r>
            <w:r>
              <w:rPr>
                <w:noProof/>
                <w:sz w:val="20"/>
                <w:szCs w:val="20"/>
              </w:rPr>
              <w:br/>
            </w:r>
            <w:r>
              <w:rPr>
                <w:b/>
                <w:noProof/>
                <w:sz w:val="20"/>
                <w:szCs w:val="20"/>
              </w:rPr>
              <w:t>2023</w:t>
            </w:r>
          </w:p>
        </w:tc>
        <w:tc>
          <w:tcPr>
            <w:tcW w:w="794" w:type="dxa"/>
          </w:tcPr>
          <w:p>
            <w:pPr>
              <w:jc w:val="center"/>
              <w:rPr>
                <w:b/>
                <w:noProof/>
                <w:sz w:val="20"/>
                <w:szCs w:val="20"/>
              </w:rPr>
            </w:pPr>
            <w:r>
              <w:rPr>
                <w:noProof/>
                <w:sz w:val="20"/>
                <w:szCs w:val="20"/>
              </w:rPr>
              <w:t>Anno</w:t>
            </w:r>
            <w:r>
              <w:rPr>
                <w:noProof/>
                <w:sz w:val="20"/>
                <w:szCs w:val="20"/>
              </w:rPr>
              <w:br/>
            </w:r>
            <w:r>
              <w:rPr>
                <w:b/>
                <w:noProof/>
                <w:sz w:val="20"/>
                <w:szCs w:val="20"/>
              </w:rPr>
              <w:t>2024</w:t>
            </w:r>
          </w:p>
        </w:tc>
        <w:tc>
          <w:tcPr>
            <w:tcW w:w="960" w:type="dxa"/>
          </w:tcPr>
          <w:p>
            <w:pPr>
              <w:jc w:val="center"/>
              <w:rPr>
                <w:b/>
                <w:noProof/>
                <w:sz w:val="20"/>
                <w:szCs w:val="20"/>
              </w:rPr>
            </w:pPr>
            <w:r>
              <w:rPr>
                <w:noProof/>
                <w:sz w:val="20"/>
                <w:szCs w:val="20"/>
              </w:rPr>
              <w:t>Anno</w:t>
            </w:r>
            <w:r>
              <w:rPr>
                <w:noProof/>
                <w:sz w:val="20"/>
                <w:szCs w:val="20"/>
              </w:rPr>
              <w:br/>
            </w:r>
            <w:r>
              <w:rPr>
                <w:b/>
                <w:noProof/>
                <w:sz w:val="20"/>
                <w:szCs w:val="20"/>
              </w:rPr>
              <w:t>2025</w:t>
            </w:r>
          </w:p>
        </w:tc>
        <w:tc>
          <w:tcPr>
            <w:tcW w:w="1200" w:type="dxa"/>
            <w:vAlign w:val="center"/>
          </w:tcPr>
          <w:p>
            <w:pPr>
              <w:jc w:val="center"/>
              <w:rPr>
                <w:b/>
                <w:noProof/>
                <w:sz w:val="20"/>
              </w:rPr>
            </w:pPr>
            <w:r>
              <w:rPr>
                <w:b/>
                <w:noProof/>
                <w:sz w:val="20"/>
              </w:rPr>
              <w:t>TOTALE</w:t>
            </w:r>
          </w:p>
        </w:tc>
      </w:tr>
      <w:tr>
        <w:trPr>
          <w:trHeight w:val="213"/>
        </w:trPr>
        <w:tc>
          <w:tcPr>
            <w:tcW w:w="6054" w:type="dxa"/>
            <w:gridSpan w:val="4"/>
            <w:vAlign w:val="center"/>
          </w:tcPr>
          <w:p>
            <w:pPr>
              <w:spacing w:before="20" w:after="20"/>
              <w:rPr>
                <w:noProof/>
                <w:sz w:val="22"/>
              </w:rPr>
            </w:pPr>
            <w:r>
              <w:rPr>
                <w:noProof/>
                <w:sz w:val="21"/>
              </w:rPr>
              <w:t>Stanziamenti di natura amministrativa finanziati dalla dotazione di programmi specifici</w:t>
            </w:r>
            <w:r>
              <w:rPr>
                <w:rStyle w:val="FootnoteReference"/>
                <w:noProof/>
                <w:sz w:val="21"/>
              </w:rPr>
              <w:footnoteReference w:id="20"/>
            </w:r>
            <w:r>
              <w:rPr>
                <w:noProof/>
                <w:sz w:val="21"/>
              </w:rPr>
              <w:t xml:space="preserve"> </w:t>
            </w:r>
          </w:p>
          <w:p>
            <w:pPr>
              <w:spacing w:before="20" w:after="20"/>
              <w:rPr>
                <w:noProof/>
                <w:sz w:val="21"/>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794" w:type="dxa"/>
          </w:tcPr>
          <w:p>
            <w:pPr>
              <w:rPr>
                <w:b/>
                <w:noProof/>
                <w:sz w:val="20"/>
              </w:rPr>
            </w:pPr>
          </w:p>
        </w:tc>
        <w:tc>
          <w:tcPr>
            <w:tcW w:w="960" w:type="dxa"/>
          </w:tcPr>
          <w:p>
            <w:pPr>
              <w:rPr>
                <w:b/>
                <w:noProof/>
                <w:sz w:val="20"/>
              </w:rPr>
            </w:pPr>
          </w:p>
        </w:tc>
        <w:tc>
          <w:tcPr>
            <w:tcW w:w="1200"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 xml:space="preserve">Numero della linea di bilancio: </w:t>
            </w:r>
            <w:r>
              <w:rPr>
                <w:b/>
                <w:bCs/>
                <w:noProof/>
                <w:sz w:val="18"/>
                <w:szCs w:val="18"/>
              </w:rPr>
              <w:t>08.01.05.01</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b/>
                <w:noProof/>
                <w:sz w:val="20"/>
              </w:rPr>
              <w:t>0,040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b/>
                <w:noProof/>
                <w:sz w:val="20"/>
              </w:rPr>
            </w:pPr>
            <w:r>
              <w:rPr>
                <w:b/>
                <w:noProof/>
                <w:sz w:val="20"/>
              </w:rPr>
              <w:t>0,060</w:t>
            </w:r>
          </w:p>
        </w:tc>
        <w:tc>
          <w:tcPr>
            <w:tcW w:w="960" w:type="dxa"/>
            <w:vAlign w:val="center"/>
          </w:tcPr>
          <w:p>
            <w:pPr>
              <w:spacing w:before="20" w:after="20"/>
              <w:jc w:val="right"/>
              <w:rPr>
                <w:b/>
                <w:noProof/>
                <w:sz w:val="20"/>
              </w:rPr>
            </w:pPr>
            <w:r>
              <w:rPr>
                <w:b/>
                <w:noProof/>
                <w:sz w:val="20"/>
              </w:rPr>
              <w:t>0,020</w:t>
            </w:r>
          </w:p>
        </w:tc>
        <w:tc>
          <w:tcPr>
            <w:tcW w:w="1200" w:type="dxa"/>
            <w:vAlign w:val="center"/>
          </w:tcPr>
          <w:p>
            <w:pPr>
              <w:spacing w:before="20" w:after="20"/>
              <w:jc w:val="right"/>
              <w:rPr>
                <w:b/>
                <w:noProof/>
                <w:sz w:val="20"/>
              </w:rPr>
            </w:pPr>
            <w:r>
              <w:rPr>
                <w:b/>
                <w:noProof/>
                <w:sz w:val="20"/>
              </w:rPr>
              <w:t>0,300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b/>
                <w:noProof/>
                <w:sz w:val="20"/>
              </w:rPr>
              <w:t>0,040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b/>
                <w:noProof/>
                <w:sz w:val="20"/>
              </w:rPr>
            </w:pPr>
            <w:r>
              <w:rPr>
                <w:b/>
                <w:noProof/>
                <w:sz w:val="20"/>
              </w:rPr>
              <w:t>0,060</w:t>
            </w:r>
          </w:p>
        </w:tc>
        <w:tc>
          <w:tcPr>
            <w:tcW w:w="960" w:type="dxa"/>
            <w:vAlign w:val="center"/>
          </w:tcPr>
          <w:p>
            <w:pPr>
              <w:spacing w:before="20" w:after="20"/>
              <w:jc w:val="right"/>
              <w:rPr>
                <w:b/>
                <w:noProof/>
                <w:sz w:val="20"/>
              </w:rPr>
            </w:pPr>
            <w:r>
              <w:rPr>
                <w:b/>
                <w:noProof/>
                <w:sz w:val="20"/>
              </w:rPr>
              <w:t>0,020</w:t>
            </w:r>
          </w:p>
        </w:tc>
        <w:tc>
          <w:tcPr>
            <w:tcW w:w="1200" w:type="dxa"/>
            <w:vAlign w:val="center"/>
          </w:tcPr>
          <w:p>
            <w:pPr>
              <w:spacing w:before="20" w:after="20"/>
              <w:jc w:val="right"/>
              <w:rPr>
                <w:b/>
                <w:noProof/>
                <w:sz w:val="20"/>
              </w:rPr>
            </w:pPr>
            <w:r>
              <w:rPr>
                <w:b/>
                <w:noProof/>
                <w:sz w:val="20"/>
              </w:rPr>
              <w:t>0,300</w:t>
            </w:r>
          </w:p>
        </w:tc>
      </w:tr>
      <w:tr>
        <w:trPr>
          <w:trHeight w:val="319"/>
        </w:trPr>
        <w:tc>
          <w:tcPr>
            <w:tcW w:w="3960" w:type="dxa"/>
            <w:vAlign w:val="center"/>
          </w:tcPr>
          <w:p>
            <w:pPr>
              <w:spacing w:before="60" w:after="60"/>
              <w:rPr>
                <w:noProof/>
                <w:sz w:val="22"/>
              </w:rPr>
            </w:pPr>
            <w:r>
              <w:rPr>
                <w:noProof/>
                <w:sz w:val="20"/>
              </w:rPr>
              <w:t xml:space="preserve">Numero della linea di bilancio: </w:t>
            </w:r>
            <w:r>
              <w:rPr>
                <w:b/>
                <w:bCs/>
                <w:noProof/>
                <w:sz w:val="18"/>
                <w:szCs w:val="18"/>
              </w:rPr>
              <w:t>08.01.05.03</w:t>
            </w:r>
          </w:p>
        </w:tc>
        <w:tc>
          <w:tcPr>
            <w:tcW w:w="1440" w:type="dxa"/>
            <w:vAlign w:val="center"/>
          </w:tcPr>
          <w:p>
            <w:pPr>
              <w:pStyle w:val="Default"/>
              <w:jc w:val="right"/>
              <w:rPr>
                <w:noProof/>
                <w:sz w:val="18"/>
                <w:szCs w:val="18"/>
                <w:lang w:val="it-IT"/>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r>
              <w:rPr>
                <w:b/>
                <w:noProof/>
                <w:sz w:val="20"/>
              </w:rPr>
              <w:t>0,008</w:t>
            </w:r>
          </w:p>
        </w:tc>
        <w:tc>
          <w:tcPr>
            <w:tcW w:w="868" w:type="dxa"/>
            <w:vAlign w:val="center"/>
          </w:tcPr>
          <w:p>
            <w:pPr>
              <w:spacing w:before="40" w:after="40"/>
              <w:jc w:val="right"/>
              <w:rPr>
                <w:b/>
                <w:noProof/>
                <w:sz w:val="20"/>
              </w:rPr>
            </w:pPr>
            <w:r>
              <w:rPr>
                <w:b/>
                <w:noProof/>
                <w:sz w:val="20"/>
              </w:rPr>
              <w:t>0,012</w:t>
            </w:r>
          </w:p>
        </w:tc>
        <w:tc>
          <w:tcPr>
            <w:tcW w:w="868" w:type="dxa"/>
            <w:vAlign w:val="center"/>
          </w:tcPr>
          <w:p>
            <w:pPr>
              <w:spacing w:before="40" w:after="40"/>
              <w:jc w:val="right"/>
              <w:rPr>
                <w:b/>
                <w:noProof/>
                <w:sz w:val="20"/>
              </w:rPr>
            </w:pPr>
            <w:r>
              <w:rPr>
                <w:b/>
                <w:noProof/>
                <w:sz w:val="20"/>
              </w:rPr>
              <w:t>0,012</w:t>
            </w:r>
          </w:p>
        </w:tc>
        <w:tc>
          <w:tcPr>
            <w:tcW w:w="868" w:type="dxa"/>
            <w:vAlign w:val="center"/>
          </w:tcPr>
          <w:p>
            <w:pPr>
              <w:spacing w:before="40" w:after="40"/>
              <w:jc w:val="right"/>
              <w:rPr>
                <w:b/>
                <w:noProof/>
                <w:sz w:val="20"/>
              </w:rPr>
            </w:pPr>
            <w:r>
              <w:rPr>
                <w:b/>
                <w:noProof/>
                <w:sz w:val="20"/>
              </w:rPr>
              <w:t>0,012</w:t>
            </w:r>
          </w:p>
        </w:tc>
        <w:tc>
          <w:tcPr>
            <w:tcW w:w="794" w:type="dxa"/>
          </w:tcPr>
          <w:p>
            <w:pPr>
              <w:spacing w:before="40" w:after="40"/>
              <w:jc w:val="right"/>
              <w:rPr>
                <w:b/>
                <w:noProof/>
                <w:sz w:val="20"/>
              </w:rPr>
            </w:pPr>
            <w:r>
              <w:rPr>
                <w:b/>
                <w:noProof/>
                <w:sz w:val="20"/>
              </w:rPr>
              <w:t>0,012</w:t>
            </w:r>
          </w:p>
        </w:tc>
        <w:tc>
          <w:tcPr>
            <w:tcW w:w="960" w:type="dxa"/>
          </w:tcPr>
          <w:p>
            <w:pPr>
              <w:spacing w:before="40" w:after="40"/>
              <w:jc w:val="right"/>
              <w:rPr>
                <w:b/>
                <w:noProof/>
                <w:sz w:val="20"/>
              </w:rPr>
            </w:pPr>
            <w:r>
              <w:rPr>
                <w:b/>
                <w:noProof/>
                <w:sz w:val="20"/>
              </w:rPr>
              <w:t>0,004</w:t>
            </w:r>
          </w:p>
        </w:tc>
        <w:tc>
          <w:tcPr>
            <w:tcW w:w="1200" w:type="dxa"/>
            <w:vAlign w:val="center"/>
          </w:tcPr>
          <w:p>
            <w:pPr>
              <w:spacing w:before="40" w:after="40"/>
              <w:jc w:val="right"/>
              <w:rPr>
                <w:b/>
                <w:noProof/>
                <w:sz w:val="20"/>
              </w:rPr>
            </w:pPr>
            <w:r>
              <w:rPr>
                <w:b/>
                <w:noProof/>
                <w:sz w:val="20"/>
              </w:rPr>
              <w:t>0,060</w:t>
            </w:r>
          </w:p>
        </w:tc>
      </w:tr>
      <w:tr>
        <w:tc>
          <w:tcPr>
            <w:tcW w:w="3960" w:type="dxa"/>
            <w:vMerge w:val="restart"/>
            <w:vAlign w:val="center"/>
          </w:tcPr>
          <w:p>
            <w:pPr>
              <w:jc w:val="center"/>
              <w:rPr>
                <w:b/>
                <w:noProof/>
                <w:sz w:val="22"/>
              </w:rPr>
            </w:pPr>
            <w:r>
              <w:rPr>
                <w:b/>
                <w:noProof/>
                <w:sz w:val="22"/>
              </w:rPr>
              <w:t>TOTALE degli stanziamenti</w:t>
            </w:r>
            <w:r>
              <w:rPr>
                <w:noProof/>
                <w:sz w:val="22"/>
              </w:rPr>
              <w:br/>
            </w:r>
            <w:r>
              <w:rPr>
                <w:b/>
                <w:noProof/>
                <w:sz w:val="22"/>
              </w:rPr>
              <w:t>per la DG RTD</w:t>
            </w:r>
          </w:p>
        </w:tc>
        <w:tc>
          <w:tcPr>
            <w:tcW w:w="1440" w:type="dxa"/>
            <w:vAlign w:val="center"/>
          </w:tcPr>
          <w:p>
            <w:pPr>
              <w:rPr>
                <w:noProof/>
                <w:sz w:val="18"/>
              </w:rPr>
            </w:pPr>
            <w:r>
              <w:rPr>
                <w:noProof/>
                <w:sz w:val="18"/>
              </w:rPr>
              <w:t>Impegni</w:t>
            </w:r>
          </w:p>
        </w:tc>
        <w:tc>
          <w:tcPr>
            <w:tcW w:w="654" w:type="dxa"/>
            <w:gridSpan w:val="2"/>
            <w:vAlign w:val="center"/>
          </w:tcPr>
          <w:p>
            <w:pPr>
              <w:jc w:val="center"/>
              <w:rPr>
                <w:noProof/>
                <w:sz w:val="14"/>
              </w:rPr>
            </w:pPr>
            <w:r>
              <w:rPr>
                <w:noProof/>
                <w:sz w:val="14"/>
              </w:rPr>
              <w:t>=1+1a +3</w:t>
            </w:r>
          </w:p>
        </w:tc>
        <w:tc>
          <w:tcPr>
            <w:tcW w:w="868" w:type="dxa"/>
            <w:vAlign w:val="center"/>
          </w:tcPr>
          <w:p>
            <w:pPr>
              <w:pStyle w:val="Default"/>
              <w:jc w:val="right"/>
              <w:rPr>
                <w:noProof/>
                <w:sz w:val="20"/>
                <w:szCs w:val="20"/>
              </w:rPr>
            </w:pPr>
            <w:r>
              <w:rPr>
                <w:b/>
                <w:noProof/>
                <w:sz w:val="20"/>
              </w:rPr>
              <w:t>0,048</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60" w:type="dxa"/>
            <w:vAlign w:val="center"/>
          </w:tcPr>
          <w:p>
            <w:pPr>
              <w:pStyle w:val="Default"/>
              <w:jc w:val="right"/>
              <w:rPr>
                <w:b/>
                <w:noProof/>
                <w:sz w:val="20"/>
                <w:szCs w:val="20"/>
              </w:rPr>
            </w:pPr>
            <w:r>
              <w:rPr>
                <w:b/>
                <w:noProof/>
                <w:sz w:val="20"/>
              </w:rPr>
              <w:t>0,024</w:t>
            </w:r>
          </w:p>
        </w:tc>
        <w:tc>
          <w:tcPr>
            <w:tcW w:w="1200" w:type="dxa"/>
            <w:vAlign w:val="center"/>
          </w:tcPr>
          <w:p>
            <w:pPr>
              <w:pStyle w:val="Default"/>
              <w:jc w:val="right"/>
              <w:rPr>
                <w:b/>
                <w:noProof/>
                <w:sz w:val="20"/>
                <w:szCs w:val="20"/>
              </w:rPr>
            </w:pPr>
            <w:r>
              <w:rPr>
                <w:b/>
                <w:noProof/>
                <w:sz w:val="20"/>
              </w:rPr>
              <w:t>0,360</w:t>
            </w:r>
          </w:p>
        </w:tc>
      </w:tr>
      <w:tr>
        <w:tc>
          <w:tcPr>
            <w:tcW w:w="3960" w:type="dxa"/>
            <w:vMerge/>
          </w:tcPr>
          <w:p>
            <w:pPr>
              <w:rPr>
                <w:noProof/>
                <w:sz w:val="20"/>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pStyle w:val="Default"/>
              <w:jc w:val="right"/>
              <w:rPr>
                <w:noProof/>
                <w:sz w:val="20"/>
                <w:szCs w:val="20"/>
              </w:rPr>
            </w:pPr>
            <w:r>
              <w:rPr>
                <w:b/>
                <w:noProof/>
                <w:sz w:val="20"/>
              </w:rPr>
              <w:t>0,048</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60" w:type="dxa"/>
            <w:vAlign w:val="center"/>
          </w:tcPr>
          <w:p>
            <w:pPr>
              <w:pStyle w:val="Default"/>
              <w:jc w:val="right"/>
              <w:rPr>
                <w:b/>
                <w:noProof/>
                <w:sz w:val="20"/>
                <w:szCs w:val="20"/>
              </w:rPr>
            </w:pPr>
            <w:r>
              <w:rPr>
                <w:b/>
                <w:noProof/>
                <w:sz w:val="20"/>
              </w:rPr>
              <w:t>0,024</w:t>
            </w:r>
          </w:p>
        </w:tc>
        <w:tc>
          <w:tcPr>
            <w:tcW w:w="1200" w:type="dxa"/>
            <w:vAlign w:val="center"/>
          </w:tcPr>
          <w:p>
            <w:pPr>
              <w:pStyle w:val="Default"/>
              <w:jc w:val="right"/>
              <w:rPr>
                <w:b/>
                <w:noProof/>
                <w:sz w:val="20"/>
                <w:szCs w:val="20"/>
              </w:rPr>
            </w:pPr>
            <w:r>
              <w:rPr>
                <w:b/>
                <w:noProof/>
                <w:sz w:val="20"/>
              </w:rPr>
              <w:t>0,360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794"/>
        <w:gridCol w:w="942"/>
        <w:gridCol w:w="1218"/>
      </w:tblGrid>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w:t>
            </w:r>
            <w:r>
              <w:rPr>
                <w:noProof/>
                <w:sz w:val="21"/>
              </w:rPr>
              <w:t xml:space="preserve">TOTALE degli stanziamenti di natura amministrativa finanziati dalla dotazione di programmi specifici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pStyle w:val="Default"/>
              <w:jc w:val="right"/>
              <w:rPr>
                <w:noProof/>
                <w:sz w:val="20"/>
                <w:szCs w:val="20"/>
              </w:rPr>
            </w:pPr>
            <w:r>
              <w:rPr>
                <w:b/>
                <w:noProof/>
                <w:sz w:val="20"/>
              </w:rPr>
              <w:t>0,048</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42" w:type="dxa"/>
            <w:vAlign w:val="center"/>
          </w:tcPr>
          <w:p>
            <w:pPr>
              <w:pStyle w:val="Default"/>
              <w:jc w:val="right"/>
              <w:rPr>
                <w:b/>
                <w:noProof/>
                <w:sz w:val="20"/>
                <w:szCs w:val="20"/>
              </w:rPr>
            </w:pPr>
            <w:r>
              <w:rPr>
                <w:b/>
                <w:noProof/>
                <w:sz w:val="20"/>
              </w:rPr>
              <w:t>0,024</w:t>
            </w:r>
          </w:p>
        </w:tc>
        <w:tc>
          <w:tcPr>
            <w:tcW w:w="1218" w:type="dxa"/>
            <w:vAlign w:val="center"/>
          </w:tcPr>
          <w:p>
            <w:pPr>
              <w:pStyle w:val="Default"/>
              <w:jc w:val="right"/>
              <w:rPr>
                <w:b/>
                <w:noProof/>
                <w:sz w:val="20"/>
                <w:szCs w:val="20"/>
              </w:rPr>
            </w:pPr>
            <w:r>
              <w:rPr>
                <w:b/>
                <w:noProof/>
                <w:sz w:val="20"/>
              </w:rPr>
              <w:t>0,360</w:t>
            </w:r>
          </w:p>
        </w:tc>
      </w:tr>
      <w:tr>
        <w:tc>
          <w:tcPr>
            <w:tcW w:w="3960" w:type="dxa"/>
            <w:vMerge w:val="restart"/>
            <w:shd w:val="thinDiagStripe" w:color="C0C0C0" w:fill="auto"/>
            <w:vAlign w:val="center"/>
          </w:tcPr>
          <w:p>
            <w:pPr>
              <w:jc w:val="center"/>
              <w:rPr>
                <w:b/>
                <w:noProof/>
                <w:sz w:val="22"/>
              </w:rPr>
            </w:pPr>
            <w:r>
              <w:rPr>
                <w:b/>
                <w:noProof/>
                <w:sz w:val="22"/>
              </w:rPr>
              <w:t xml:space="preserve">TOTALE degli stanziamenti </w:t>
            </w:r>
            <w:r>
              <w:rPr>
                <w:noProof/>
                <w:sz w:val="22"/>
              </w:rPr>
              <w:br/>
            </w:r>
            <w:r>
              <w:rPr>
                <w:b/>
                <w:noProof/>
                <w:sz w:val="22"/>
              </w:rPr>
              <w:t>per la RUBRICA &lt;1a&gt;</w:t>
            </w:r>
            <w:r>
              <w:rPr>
                <w:noProof/>
                <w:sz w:val="22"/>
              </w:rPr>
              <w:t xml:space="preserve"> del quadro finanziario pluriennale</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r>
              <w:rPr>
                <w:noProof/>
                <w:sz w:val="14"/>
              </w:rPr>
              <w:t>=4+ 6</w:t>
            </w:r>
          </w:p>
        </w:tc>
        <w:tc>
          <w:tcPr>
            <w:tcW w:w="868" w:type="dxa"/>
            <w:vAlign w:val="center"/>
          </w:tcPr>
          <w:p>
            <w:pPr>
              <w:pStyle w:val="Default"/>
              <w:jc w:val="right"/>
              <w:rPr>
                <w:noProof/>
                <w:sz w:val="20"/>
                <w:szCs w:val="20"/>
              </w:rPr>
            </w:pPr>
            <w:r>
              <w:rPr>
                <w:b/>
                <w:noProof/>
                <w:sz w:val="20"/>
              </w:rPr>
              <w:t>0,048</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42" w:type="dxa"/>
            <w:vAlign w:val="center"/>
          </w:tcPr>
          <w:p>
            <w:pPr>
              <w:pStyle w:val="Default"/>
              <w:jc w:val="right"/>
              <w:rPr>
                <w:b/>
                <w:noProof/>
                <w:sz w:val="20"/>
                <w:szCs w:val="20"/>
              </w:rPr>
            </w:pPr>
            <w:r>
              <w:rPr>
                <w:b/>
                <w:noProof/>
                <w:sz w:val="20"/>
              </w:rPr>
              <w:t>0,024</w:t>
            </w:r>
          </w:p>
        </w:tc>
        <w:tc>
          <w:tcPr>
            <w:tcW w:w="1218" w:type="dxa"/>
            <w:vAlign w:val="center"/>
          </w:tcPr>
          <w:p>
            <w:pPr>
              <w:pStyle w:val="Default"/>
              <w:jc w:val="right"/>
              <w:rPr>
                <w:b/>
                <w:noProof/>
                <w:sz w:val="20"/>
                <w:szCs w:val="20"/>
              </w:rPr>
            </w:pPr>
            <w:r>
              <w:rPr>
                <w:b/>
                <w:noProof/>
                <w:sz w:val="20"/>
              </w:rPr>
              <w:t>0,360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Pagamenti</w:t>
            </w:r>
          </w:p>
        </w:tc>
        <w:tc>
          <w:tcPr>
            <w:tcW w:w="654" w:type="dxa"/>
            <w:vAlign w:val="center"/>
          </w:tcPr>
          <w:p>
            <w:pPr>
              <w:jc w:val="center"/>
              <w:rPr>
                <w:noProof/>
                <w:sz w:val="14"/>
              </w:rPr>
            </w:pPr>
            <w:r>
              <w:rPr>
                <w:noProof/>
                <w:sz w:val="14"/>
              </w:rPr>
              <w:t>=5+ 6</w:t>
            </w:r>
          </w:p>
        </w:tc>
        <w:tc>
          <w:tcPr>
            <w:tcW w:w="868" w:type="dxa"/>
            <w:vAlign w:val="center"/>
          </w:tcPr>
          <w:p>
            <w:pPr>
              <w:pStyle w:val="Default"/>
              <w:jc w:val="right"/>
              <w:rPr>
                <w:noProof/>
                <w:sz w:val="20"/>
                <w:szCs w:val="20"/>
              </w:rPr>
            </w:pPr>
            <w:r>
              <w:rPr>
                <w:b/>
                <w:noProof/>
                <w:sz w:val="20"/>
              </w:rPr>
              <w:t>0,048</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42" w:type="dxa"/>
            <w:vAlign w:val="center"/>
          </w:tcPr>
          <w:p>
            <w:pPr>
              <w:pStyle w:val="Default"/>
              <w:jc w:val="right"/>
              <w:rPr>
                <w:b/>
                <w:noProof/>
                <w:sz w:val="20"/>
                <w:szCs w:val="20"/>
              </w:rPr>
            </w:pPr>
            <w:r>
              <w:rPr>
                <w:b/>
                <w:noProof/>
                <w:sz w:val="20"/>
              </w:rPr>
              <w:t>0,024</w:t>
            </w:r>
          </w:p>
        </w:tc>
        <w:tc>
          <w:tcPr>
            <w:tcW w:w="1218" w:type="dxa"/>
            <w:vAlign w:val="center"/>
          </w:tcPr>
          <w:p>
            <w:pPr>
              <w:pStyle w:val="Default"/>
              <w:jc w:val="right"/>
              <w:rPr>
                <w:b/>
                <w:noProof/>
                <w:sz w:val="20"/>
                <w:szCs w:val="20"/>
              </w:rPr>
            </w:pPr>
            <w:r>
              <w:rPr>
                <w:b/>
                <w:noProof/>
                <w:sz w:val="20"/>
              </w:rPr>
              <w:t>0,360</w:t>
            </w:r>
          </w:p>
        </w:tc>
      </w:tr>
    </w:tbl>
    <w:p>
      <w:pPr>
        <w:spacing w:after="40"/>
        <w:rPr>
          <w:b/>
          <w:noProof/>
          <w:sz w:val="22"/>
          <w:u w:val="single"/>
        </w:rPr>
      </w:pPr>
      <w:r>
        <w:rPr>
          <w:b/>
          <w:noProof/>
          <w:sz w:val="22"/>
          <w:u w:val="single"/>
        </w:rPr>
        <w:t>Se la proposta/iniziativa incide su più rubriche: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TOTALE degli stanziamenti operativi </w:t>
            </w:r>
          </w:p>
        </w:tc>
        <w:tc>
          <w:tcPr>
            <w:tcW w:w="1440" w:type="dxa"/>
            <w:tcBorders>
              <w:top w:val="single" w:sz="4" w:space="0" w:color="FF0000"/>
            </w:tcBorders>
            <w:vAlign w:val="center"/>
          </w:tcPr>
          <w:p>
            <w:pPr>
              <w:spacing w:beforeLines="20" w:before="48" w:afterLines="20" w:after="48"/>
              <w:rPr>
                <w:noProof/>
                <w:sz w:val="18"/>
              </w:rPr>
            </w:pPr>
            <w:r>
              <w:rPr>
                <w:noProof/>
                <w:sz w:val="18"/>
              </w:rPr>
              <w:t>Impegni</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TOTALE degli stanziamenti di natura amministrativa finanziati dalla dotazione di programmi specifici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TOTALE degli stanziamenti </w:t>
            </w:r>
            <w:r>
              <w:rPr>
                <w:noProof/>
                <w:sz w:val="22"/>
              </w:rPr>
              <w:br/>
            </w:r>
            <w:r>
              <w:rPr>
                <w:b/>
                <w:noProof/>
                <w:sz w:val="22"/>
              </w:rPr>
              <w:t>per le RUBRICHE da 1 a 4</w:t>
            </w:r>
            <w:r>
              <w:rPr>
                <w:noProof/>
                <w:sz w:val="22"/>
              </w:rPr>
              <w:br/>
              <w:t>del quadro finanziario pluriennale</w:t>
            </w:r>
            <w:r>
              <w:rPr>
                <w:noProof/>
                <w:sz w:val="22"/>
              </w:rPr>
              <w:br/>
            </w:r>
            <w:r>
              <w:rPr>
                <w:noProof/>
                <w:sz w:val="20"/>
              </w:rPr>
              <w:t>(importo di riferimento)</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Pagamenti</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Rubrica del </w:t>
            </w:r>
            <w:r>
              <w:rPr>
                <w:noProof/>
                <w:sz w:val="22"/>
              </w:rPr>
              <w:br/>
            </w:r>
            <w:r>
              <w:rPr>
                <w:b/>
                <w:noProof/>
                <w:sz w:val="22"/>
              </w:rPr>
              <w:t xml:space="preserve">quadro finanziario pluriennale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"Spese amministrative"</w:t>
            </w:r>
          </w:p>
        </w:tc>
      </w:tr>
    </w:tbl>
    <w:p>
      <w:pPr>
        <w:jc w:val="right"/>
        <w:rPr>
          <w:noProof/>
          <w:sz w:val="20"/>
        </w:rPr>
      </w:pPr>
      <w:r>
        <w:rPr>
          <w:noProof/>
          <w:sz w:val="20"/>
        </w:rPr>
        <w:t>Mio EUR (al terzo decimale)</w:t>
      </w:r>
    </w:p>
    <w:tbl>
      <w:tblPr>
        <w:tblW w:w="14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707"/>
        <w:gridCol w:w="161"/>
        <w:gridCol w:w="868"/>
        <w:gridCol w:w="757"/>
        <w:gridCol w:w="850"/>
        <w:gridCol w:w="314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szCs w:val="20"/>
              </w:rPr>
            </w:pPr>
            <w:r>
              <w:rPr>
                <w:noProof/>
                <w:sz w:val="20"/>
                <w:szCs w:val="20"/>
              </w:rPr>
              <w:t>Anno</w:t>
            </w:r>
            <w:r>
              <w:rPr>
                <w:noProof/>
                <w:sz w:val="20"/>
                <w:szCs w:val="20"/>
              </w:rPr>
              <w:br/>
            </w:r>
            <w:r>
              <w:rPr>
                <w:b/>
                <w:noProof/>
                <w:sz w:val="20"/>
                <w:szCs w:val="20"/>
              </w:rPr>
              <w:t>2020</w:t>
            </w:r>
          </w:p>
        </w:tc>
        <w:tc>
          <w:tcPr>
            <w:tcW w:w="868" w:type="dxa"/>
            <w:vAlign w:val="center"/>
          </w:tcPr>
          <w:p>
            <w:pPr>
              <w:jc w:val="center"/>
              <w:rPr>
                <w:noProof/>
                <w:sz w:val="20"/>
                <w:szCs w:val="20"/>
              </w:rPr>
            </w:pPr>
            <w:r>
              <w:rPr>
                <w:noProof/>
                <w:sz w:val="20"/>
                <w:szCs w:val="20"/>
              </w:rPr>
              <w:t>Anno</w:t>
            </w:r>
            <w:r>
              <w:rPr>
                <w:noProof/>
                <w:sz w:val="20"/>
                <w:szCs w:val="20"/>
              </w:rPr>
              <w:br/>
            </w:r>
            <w:r>
              <w:rPr>
                <w:b/>
                <w:noProof/>
                <w:sz w:val="20"/>
                <w:szCs w:val="20"/>
              </w:rPr>
              <w:t>2021</w:t>
            </w:r>
          </w:p>
        </w:tc>
        <w:tc>
          <w:tcPr>
            <w:tcW w:w="868" w:type="dxa"/>
            <w:gridSpan w:val="2"/>
            <w:vAlign w:val="center"/>
          </w:tcPr>
          <w:p>
            <w:pPr>
              <w:jc w:val="center"/>
              <w:rPr>
                <w:noProof/>
                <w:sz w:val="20"/>
                <w:szCs w:val="20"/>
              </w:rPr>
            </w:pPr>
            <w:r>
              <w:rPr>
                <w:noProof/>
                <w:sz w:val="20"/>
                <w:szCs w:val="20"/>
              </w:rPr>
              <w:t>Anno</w:t>
            </w:r>
            <w:r>
              <w:rPr>
                <w:noProof/>
                <w:sz w:val="20"/>
                <w:szCs w:val="20"/>
              </w:rPr>
              <w:br/>
            </w:r>
            <w:r>
              <w:rPr>
                <w:b/>
                <w:noProof/>
                <w:sz w:val="20"/>
                <w:szCs w:val="20"/>
              </w:rPr>
              <w:t>2022</w:t>
            </w:r>
          </w:p>
        </w:tc>
        <w:tc>
          <w:tcPr>
            <w:tcW w:w="868" w:type="dxa"/>
            <w:vAlign w:val="center"/>
          </w:tcPr>
          <w:p>
            <w:pPr>
              <w:jc w:val="center"/>
              <w:rPr>
                <w:noProof/>
                <w:sz w:val="20"/>
                <w:szCs w:val="20"/>
              </w:rPr>
            </w:pPr>
            <w:r>
              <w:rPr>
                <w:noProof/>
                <w:sz w:val="20"/>
                <w:szCs w:val="20"/>
              </w:rPr>
              <w:t>Anno</w:t>
            </w:r>
            <w:r>
              <w:rPr>
                <w:noProof/>
                <w:sz w:val="20"/>
                <w:szCs w:val="20"/>
              </w:rPr>
              <w:br/>
            </w:r>
            <w:r>
              <w:rPr>
                <w:b/>
                <w:noProof/>
                <w:sz w:val="20"/>
                <w:szCs w:val="20"/>
              </w:rPr>
              <w:t>2023</w:t>
            </w:r>
          </w:p>
        </w:tc>
        <w:tc>
          <w:tcPr>
            <w:tcW w:w="757" w:type="dxa"/>
          </w:tcPr>
          <w:p>
            <w:pPr>
              <w:jc w:val="center"/>
              <w:rPr>
                <w:b/>
                <w:noProof/>
                <w:sz w:val="20"/>
                <w:szCs w:val="20"/>
              </w:rPr>
            </w:pPr>
            <w:r>
              <w:rPr>
                <w:noProof/>
                <w:sz w:val="20"/>
                <w:szCs w:val="20"/>
              </w:rPr>
              <w:t xml:space="preserve">Anno </w:t>
            </w:r>
            <w:r>
              <w:rPr>
                <w:b/>
                <w:noProof/>
                <w:sz w:val="20"/>
                <w:szCs w:val="20"/>
              </w:rPr>
              <w:t>2024</w:t>
            </w:r>
          </w:p>
        </w:tc>
        <w:tc>
          <w:tcPr>
            <w:tcW w:w="850" w:type="dxa"/>
          </w:tcPr>
          <w:p>
            <w:pPr>
              <w:jc w:val="center"/>
              <w:rPr>
                <w:b/>
                <w:noProof/>
                <w:sz w:val="20"/>
                <w:szCs w:val="20"/>
              </w:rPr>
            </w:pPr>
            <w:r>
              <w:rPr>
                <w:noProof/>
                <w:sz w:val="20"/>
                <w:szCs w:val="20"/>
              </w:rPr>
              <w:t xml:space="preserve">Anno </w:t>
            </w:r>
            <w:r>
              <w:rPr>
                <w:b/>
                <w:noProof/>
                <w:sz w:val="20"/>
                <w:szCs w:val="20"/>
              </w:rPr>
              <w:t>2025</w:t>
            </w:r>
          </w:p>
        </w:tc>
        <w:tc>
          <w:tcPr>
            <w:tcW w:w="3147" w:type="dxa"/>
            <w:vAlign w:val="center"/>
          </w:tcPr>
          <w:p>
            <w:pPr>
              <w:jc w:val="center"/>
              <w:rPr>
                <w:b/>
                <w:noProof/>
                <w:sz w:val="20"/>
              </w:rPr>
            </w:pPr>
            <w:r>
              <w:rPr>
                <w:b/>
                <w:noProof/>
                <w:sz w:val="20"/>
              </w:rPr>
              <w:t>TOTALE</w:t>
            </w:r>
          </w:p>
        </w:tc>
      </w:tr>
      <w:tr>
        <w:trPr>
          <w:gridAfter w:val="5"/>
          <w:wAfter w:w="5783" w:type="dxa"/>
        </w:trPr>
        <w:tc>
          <w:tcPr>
            <w:tcW w:w="3960" w:type="dxa"/>
            <w:vAlign w:val="center"/>
          </w:tcPr>
          <w:p>
            <w:pPr>
              <w:spacing w:before="60" w:after="60"/>
              <w:jc w:val="center"/>
              <w:rPr>
                <w:noProof/>
                <w:sz w:val="22"/>
              </w:rPr>
            </w:pPr>
            <w:r>
              <w:rPr>
                <w:noProof/>
                <w:sz w:val="22"/>
              </w:rPr>
              <w:t>DG: RTD</w:t>
            </w:r>
          </w:p>
        </w:tc>
        <w:tc>
          <w:tcPr>
            <w:tcW w:w="4537" w:type="dxa"/>
            <w:gridSpan w:val="5"/>
            <w:tcBorders>
              <w:right w:val="nil"/>
            </w:tcBorders>
          </w:tcPr>
          <w:p>
            <w:pPr>
              <w:spacing w:before="60" w:after="60"/>
              <w:jc w:val="center"/>
              <w:rPr>
                <w:noProof/>
                <w:sz w:val="22"/>
              </w:rPr>
            </w:pP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Risorse umane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757" w:type="dxa"/>
          </w:tcPr>
          <w:p>
            <w:pPr>
              <w:spacing w:before="20" w:after="20"/>
              <w:jc w:val="right"/>
              <w:rPr>
                <w:b/>
                <w:noProof/>
                <w:sz w:val="20"/>
              </w:rPr>
            </w:pPr>
          </w:p>
        </w:tc>
        <w:tc>
          <w:tcPr>
            <w:tcW w:w="850" w:type="dxa"/>
          </w:tcPr>
          <w:p>
            <w:pPr>
              <w:spacing w:before="20" w:after="20"/>
              <w:jc w:val="right"/>
              <w:rPr>
                <w:b/>
                <w:noProof/>
                <w:sz w:val="20"/>
              </w:rPr>
            </w:pPr>
          </w:p>
        </w:tc>
        <w:tc>
          <w:tcPr>
            <w:tcW w:w="314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Altre spese amministrative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757" w:type="dxa"/>
            <w:vAlign w:val="center"/>
          </w:tcPr>
          <w:p>
            <w:pPr>
              <w:spacing w:before="20" w:after="20"/>
              <w:jc w:val="center"/>
              <w:rPr>
                <w:b/>
                <w:noProof/>
                <w:sz w:val="20"/>
              </w:rPr>
            </w:pPr>
          </w:p>
        </w:tc>
        <w:tc>
          <w:tcPr>
            <w:tcW w:w="850" w:type="dxa"/>
            <w:vAlign w:val="center"/>
          </w:tcPr>
          <w:p>
            <w:pPr>
              <w:spacing w:before="20" w:after="20"/>
              <w:jc w:val="center"/>
              <w:rPr>
                <w:b/>
                <w:noProof/>
                <w:sz w:val="20"/>
              </w:rPr>
            </w:pPr>
          </w:p>
        </w:tc>
        <w:tc>
          <w:tcPr>
            <w:tcW w:w="3147"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TOTALE DG RTD</w:t>
            </w:r>
          </w:p>
        </w:tc>
        <w:tc>
          <w:tcPr>
            <w:tcW w:w="2094" w:type="dxa"/>
            <w:gridSpan w:val="2"/>
            <w:vAlign w:val="center"/>
          </w:tcPr>
          <w:p>
            <w:pPr>
              <w:rPr>
                <w:noProof/>
                <w:sz w:val="14"/>
              </w:rPr>
            </w:pPr>
            <w:r>
              <w:rPr>
                <w:noProof/>
                <w:sz w:val="18"/>
              </w:rPr>
              <w:t xml:space="preserve">Stanziamenti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757" w:type="dxa"/>
            <w:vAlign w:val="center"/>
          </w:tcPr>
          <w:p>
            <w:pPr>
              <w:spacing w:before="20" w:after="20"/>
              <w:jc w:val="center"/>
              <w:rPr>
                <w:b/>
                <w:noProof/>
                <w:sz w:val="20"/>
              </w:rPr>
            </w:pPr>
          </w:p>
        </w:tc>
        <w:tc>
          <w:tcPr>
            <w:tcW w:w="850" w:type="dxa"/>
            <w:vAlign w:val="center"/>
          </w:tcPr>
          <w:p>
            <w:pPr>
              <w:spacing w:before="20" w:after="20"/>
              <w:jc w:val="center"/>
              <w:rPr>
                <w:b/>
                <w:noProof/>
                <w:sz w:val="20"/>
              </w:rPr>
            </w:pPr>
          </w:p>
        </w:tc>
        <w:tc>
          <w:tcPr>
            <w:tcW w:w="314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674"/>
        <w:gridCol w:w="840"/>
        <w:gridCol w:w="3240"/>
      </w:tblGrid>
      <w:tr>
        <w:tc>
          <w:tcPr>
            <w:tcW w:w="3960" w:type="dxa"/>
            <w:shd w:val="thinDiagStripe" w:color="C0C0C0" w:fill="auto"/>
            <w:vAlign w:val="center"/>
          </w:tcPr>
          <w:p>
            <w:pPr>
              <w:jc w:val="center"/>
              <w:rPr>
                <w:b/>
                <w:noProof/>
                <w:sz w:val="22"/>
              </w:rPr>
            </w:pPr>
            <w:r>
              <w:rPr>
                <w:b/>
                <w:noProof/>
                <w:sz w:val="22"/>
              </w:rPr>
              <w:t>TOTALE degli stanziamenti</w:t>
            </w:r>
            <w:r>
              <w:rPr>
                <w:noProof/>
                <w:sz w:val="22"/>
              </w:rPr>
              <w:br/>
            </w:r>
            <w:r>
              <w:rPr>
                <w:b/>
                <w:noProof/>
                <w:sz w:val="22"/>
              </w:rPr>
              <w:t>per la RUBRICA 5</w:t>
            </w:r>
            <w:r>
              <w:rPr>
                <w:noProof/>
                <w:sz w:val="22"/>
              </w:rPr>
              <w:br/>
              <w:t>del quadro finanziario pluriennale</w:t>
            </w:r>
            <w:r>
              <w:rPr>
                <w:b/>
                <w:noProof/>
                <w:sz w:val="22"/>
              </w:rPr>
              <w:t xml:space="preserve"> </w:t>
            </w:r>
          </w:p>
        </w:tc>
        <w:tc>
          <w:tcPr>
            <w:tcW w:w="2094" w:type="dxa"/>
            <w:vAlign w:val="center"/>
          </w:tcPr>
          <w:p>
            <w:pPr>
              <w:spacing w:before="40" w:after="40"/>
              <w:rPr>
                <w:noProof/>
                <w:sz w:val="22"/>
              </w:rPr>
            </w:pPr>
            <w:r>
              <w:rPr>
                <w:noProof/>
                <w:sz w:val="18"/>
              </w:rPr>
              <w:t>(Totale impegni = Totale pagamenti)</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bl>
    <w:p>
      <w:pPr>
        <w:jc w:val="right"/>
        <w:rPr>
          <w:noProof/>
          <w:sz w:val="20"/>
        </w:rPr>
      </w:pPr>
      <w:r>
        <w:rPr>
          <w:noProof/>
          <w:sz w:val="20"/>
        </w:rPr>
        <w:t>Mio EUR (al terzo decimale)</w:t>
      </w:r>
    </w:p>
    <w:tbl>
      <w:tblPr>
        <w:tblW w:w="14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27"/>
        <w:gridCol w:w="909"/>
        <w:gridCol w:w="868"/>
        <w:gridCol w:w="868"/>
        <w:gridCol w:w="899"/>
        <w:gridCol w:w="850"/>
        <w:gridCol w:w="3005"/>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27" w:type="dxa"/>
            <w:vAlign w:val="center"/>
          </w:tcPr>
          <w:p>
            <w:pPr>
              <w:jc w:val="center"/>
              <w:rPr>
                <w:noProof/>
                <w:sz w:val="20"/>
                <w:szCs w:val="20"/>
              </w:rPr>
            </w:pPr>
            <w:r>
              <w:rPr>
                <w:noProof/>
                <w:sz w:val="20"/>
                <w:szCs w:val="20"/>
              </w:rPr>
              <w:t>Anno</w:t>
            </w:r>
            <w:r>
              <w:rPr>
                <w:noProof/>
                <w:sz w:val="20"/>
                <w:szCs w:val="20"/>
              </w:rPr>
              <w:br/>
            </w:r>
            <w:r>
              <w:rPr>
                <w:b/>
                <w:noProof/>
                <w:sz w:val="20"/>
                <w:szCs w:val="20"/>
              </w:rPr>
              <w:t>2020</w:t>
            </w:r>
            <w:r>
              <w:rPr>
                <w:rStyle w:val="FootnoteReference"/>
                <w:b/>
                <w:noProof/>
                <w:sz w:val="20"/>
                <w:szCs w:val="20"/>
              </w:rPr>
              <w:footnoteReference w:id="21"/>
            </w:r>
          </w:p>
        </w:tc>
        <w:tc>
          <w:tcPr>
            <w:tcW w:w="909" w:type="dxa"/>
            <w:vAlign w:val="center"/>
          </w:tcPr>
          <w:p>
            <w:pPr>
              <w:jc w:val="center"/>
              <w:rPr>
                <w:noProof/>
                <w:sz w:val="20"/>
                <w:szCs w:val="20"/>
              </w:rPr>
            </w:pPr>
            <w:r>
              <w:rPr>
                <w:noProof/>
                <w:sz w:val="20"/>
                <w:szCs w:val="20"/>
              </w:rPr>
              <w:t>Anno</w:t>
            </w:r>
            <w:r>
              <w:rPr>
                <w:noProof/>
                <w:sz w:val="20"/>
                <w:szCs w:val="20"/>
              </w:rPr>
              <w:br/>
            </w:r>
            <w:r>
              <w:rPr>
                <w:b/>
                <w:noProof/>
                <w:sz w:val="20"/>
                <w:szCs w:val="20"/>
              </w:rPr>
              <w:t>2021</w:t>
            </w:r>
          </w:p>
        </w:tc>
        <w:tc>
          <w:tcPr>
            <w:tcW w:w="868" w:type="dxa"/>
            <w:vAlign w:val="center"/>
          </w:tcPr>
          <w:p>
            <w:pPr>
              <w:jc w:val="center"/>
              <w:rPr>
                <w:noProof/>
                <w:sz w:val="20"/>
                <w:szCs w:val="20"/>
              </w:rPr>
            </w:pPr>
            <w:r>
              <w:rPr>
                <w:noProof/>
                <w:sz w:val="20"/>
                <w:szCs w:val="20"/>
              </w:rPr>
              <w:t>Anno</w:t>
            </w:r>
            <w:r>
              <w:rPr>
                <w:noProof/>
                <w:sz w:val="20"/>
                <w:szCs w:val="20"/>
              </w:rPr>
              <w:br/>
            </w:r>
            <w:r>
              <w:rPr>
                <w:b/>
                <w:noProof/>
                <w:sz w:val="20"/>
                <w:szCs w:val="20"/>
              </w:rPr>
              <w:t>2022</w:t>
            </w:r>
          </w:p>
        </w:tc>
        <w:tc>
          <w:tcPr>
            <w:tcW w:w="868" w:type="dxa"/>
            <w:vAlign w:val="center"/>
          </w:tcPr>
          <w:p>
            <w:pPr>
              <w:jc w:val="center"/>
              <w:rPr>
                <w:noProof/>
                <w:sz w:val="20"/>
                <w:szCs w:val="20"/>
              </w:rPr>
            </w:pPr>
            <w:r>
              <w:rPr>
                <w:noProof/>
                <w:sz w:val="20"/>
                <w:szCs w:val="20"/>
              </w:rPr>
              <w:t>Anno</w:t>
            </w:r>
            <w:r>
              <w:rPr>
                <w:noProof/>
                <w:sz w:val="20"/>
                <w:szCs w:val="20"/>
              </w:rPr>
              <w:br/>
            </w:r>
            <w:r>
              <w:rPr>
                <w:b/>
                <w:noProof/>
                <w:sz w:val="20"/>
                <w:szCs w:val="20"/>
              </w:rPr>
              <w:t>2023</w:t>
            </w:r>
          </w:p>
        </w:tc>
        <w:tc>
          <w:tcPr>
            <w:tcW w:w="899" w:type="dxa"/>
          </w:tcPr>
          <w:p>
            <w:pPr>
              <w:jc w:val="center"/>
              <w:rPr>
                <w:b/>
                <w:noProof/>
                <w:sz w:val="20"/>
                <w:szCs w:val="20"/>
              </w:rPr>
            </w:pPr>
            <w:r>
              <w:rPr>
                <w:noProof/>
                <w:sz w:val="20"/>
                <w:szCs w:val="20"/>
              </w:rPr>
              <w:t>Anno</w:t>
            </w:r>
            <w:r>
              <w:rPr>
                <w:noProof/>
                <w:sz w:val="20"/>
                <w:szCs w:val="20"/>
              </w:rPr>
              <w:br/>
            </w:r>
            <w:r>
              <w:rPr>
                <w:b/>
                <w:noProof/>
                <w:sz w:val="20"/>
                <w:szCs w:val="20"/>
              </w:rPr>
              <w:t>2024</w:t>
            </w:r>
          </w:p>
        </w:tc>
        <w:tc>
          <w:tcPr>
            <w:tcW w:w="850" w:type="dxa"/>
          </w:tcPr>
          <w:p>
            <w:pPr>
              <w:jc w:val="center"/>
              <w:rPr>
                <w:b/>
                <w:noProof/>
                <w:sz w:val="20"/>
                <w:szCs w:val="20"/>
              </w:rPr>
            </w:pPr>
            <w:r>
              <w:rPr>
                <w:noProof/>
                <w:sz w:val="20"/>
                <w:szCs w:val="20"/>
              </w:rPr>
              <w:t>Anno</w:t>
            </w:r>
            <w:r>
              <w:rPr>
                <w:noProof/>
                <w:sz w:val="20"/>
                <w:szCs w:val="20"/>
              </w:rPr>
              <w:br/>
            </w:r>
            <w:r>
              <w:rPr>
                <w:b/>
                <w:noProof/>
                <w:sz w:val="20"/>
                <w:szCs w:val="20"/>
              </w:rPr>
              <w:t>2025</w:t>
            </w:r>
          </w:p>
        </w:tc>
        <w:tc>
          <w:tcPr>
            <w:tcW w:w="3005" w:type="dxa"/>
            <w:vAlign w:val="center"/>
          </w:tcPr>
          <w:p>
            <w:pPr>
              <w:jc w:val="center"/>
              <w:rPr>
                <w:b/>
                <w:noProof/>
                <w:sz w:val="20"/>
              </w:rPr>
            </w:pPr>
            <w:r>
              <w:rPr>
                <w:b/>
                <w:noProof/>
                <w:sz w:val="20"/>
              </w:rPr>
              <w:t>TOTALE</w:t>
            </w:r>
          </w:p>
        </w:tc>
      </w:tr>
      <w:tr>
        <w:tc>
          <w:tcPr>
            <w:tcW w:w="3960" w:type="dxa"/>
            <w:vMerge w:val="restart"/>
            <w:shd w:val="clear" w:color="auto" w:fill="C0C0C0"/>
            <w:vAlign w:val="center"/>
          </w:tcPr>
          <w:p>
            <w:pPr>
              <w:jc w:val="center"/>
              <w:rPr>
                <w:b/>
                <w:noProof/>
                <w:sz w:val="22"/>
              </w:rPr>
            </w:pPr>
            <w:r>
              <w:rPr>
                <w:b/>
                <w:noProof/>
                <w:sz w:val="22"/>
              </w:rPr>
              <w:t xml:space="preserve">TOTALE degli stanziamenti </w:t>
            </w:r>
            <w:r>
              <w:rPr>
                <w:noProof/>
                <w:sz w:val="22"/>
              </w:rPr>
              <w:br/>
            </w:r>
            <w:r>
              <w:rPr>
                <w:b/>
                <w:noProof/>
                <w:sz w:val="22"/>
              </w:rPr>
              <w:t>per le RUBRICHE da 1 a 5</w:t>
            </w:r>
            <w:r>
              <w:rPr>
                <w:noProof/>
                <w:sz w:val="22"/>
              </w:rPr>
              <w:br/>
              <w:t>del quadro finanziario pluriennale</w:t>
            </w:r>
            <w:r>
              <w:rPr>
                <w:b/>
                <w:noProof/>
                <w:sz w:val="22"/>
              </w:rPr>
              <w:t xml:space="preserve"> </w:t>
            </w:r>
          </w:p>
        </w:tc>
        <w:tc>
          <w:tcPr>
            <w:tcW w:w="2094" w:type="dxa"/>
            <w:gridSpan w:val="2"/>
            <w:vAlign w:val="center"/>
          </w:tcPr>
          <w:p>
            <w:pPr>
              <w:rPr>
                <w:noProof/>
                <w:sz w:val="14"/>
              </w:rPr>
            </w:pPr>
            <w:r>
              <w:rPr>
                <w:noProof/>
                <w:sz w:val="18"/>
              </w:rPr>
              <w:t>Impegni</w:t>
            </w:r>
          </w:p>
        </w:tc>
        <w:tc>
          <w:tcPr>
            <w:tcW w:w="827" w:type="dxa"/>
            <w:vAlign w:val="center"/>
          </w:tcPr>
          <w:p>
            <w:pPr>
              <w:spacing w:before="60" w:after="60"/>
              <w:jc w:val="right"/>
              <w:rPr>
                <w:b/>
                <w:noProof/>
                <w:sz w:val="20"/>
              </w:rPr>
            </w:pPr>
            <w:r>
              <w:rPr>
                <w:b/>
                <w:noProof/>
                <w:sz w:val="20"/>
              </w:rPr>
              <w:t>0,048</w:t>
            </w:r>
          </w:p>
        </w:tc>
        <w:tc>
          <w:tcPr>
            <w:tcW w:w="909"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99" w:type="dxa"/>
            <w:vAlign w:val="center"/>
          </w:tcPr>
          <w:p>
            <w:pPr>
              <w:spacing w:before="60" w:after="60"/>
              <w:jc w:val="right"/>
              <w:rPr>
                <w:b/>
                <w:noProof/>
                <w:sz w:val="20"/>
              </w:rPr>
            </w:pPr>
            <w:r>
              <w:rPr>
                <w:b/>
                <w:noProof/>
                <w:sz w:val="20"/>
              </w:rPr>
              <w:t>0,072</w:t>
            </w:r>
          </w:p>
        </w:tc>
        <w:tc>
          <w:tcPr>
            <w:tcW w:w="850" w:type="dxa"/>
            <w:vAlign w:val="center"/>
          </w:tcPr>
          <w:p>
            <w:pPr>
              <w:spacing w:before="60" w:after="60"/>
              <w:jc w:val="right"/>
              <w:rPr>
                <w:b/>
                <w:noProof/>
                <w:sz w:val="20"/>
              </w:rPr>
            </w:pPr>
            <w:r>
              <w:rPr>
                <w:b/>
                <w:noProof/>
                <w:sz w:val="20"/>
              </w:rPr>
              <w:t>0,024</w:t>
            </w:r>
          </w:p>
        </w:tc>
        <w:tc>
          <w:tcPr>
            <w:tcW w:w="3005" w:type="dxa"/>
            <w:vAlign w:val="center"/>
          </w:tcPr>
          <w:p>
            <w:pPr>
              <w:spacing w:before="60" w:after="60"/>
              <w:jc w:val="right"/>
              <w:rPr>
                <w:b/>
                <w:noProof/>
                <w:sz w:val="20"/>
              </w:rPr>
            </w:pPr>
            <w:r>
              <w:rPr>
                <w:b/>
                <w:noProof/>
                <w:sz w:val="20"/>
              </w:rPr>
              <w:t>0,360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Pagamenti</w:t>
            </w:r>
          </w:p>
        </w:tc>
        <w:tc>
          <w:tcPr>
            <w:tcW w:w="827" w:type="dxa"/>
            <w:vAlign w:val="center"/>
          </w:tcPr>
          <w:p>
            <w:pPr>
              <w:spacing w:before="60" w:after="60"/>
              <w:jc w:val="right"/>
              <w:rPr>
                <w:b/>
                <w:noProof/>
                <w:sz w:val="20"/>
              </w:rPr>
            </w:pPr>
            <w:r>
              <w:rPr>
                <w:b/>
                <w:noProof/>
                <w:sz w:val="20"/>
              </w:rPr>
              <w:t>0,048</w:t>
            </w:r>
          </w:p>
        </w:tc>
        <w:tc>
          <w:tcPr>
            <w:tcW w:w="909"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99" w:type="dxa"/>
            <w:vAlign w:val="center"/>
          </w:tcPr>
          <w:p>
            <w:pPr>
              <w:spacing w:before="60" w:after="60"/>
              <w:jc w:val="right"/>
              <w:rPr>
                <w:b/>
                <w:noProof/>
                <w:sz w:val="20"/>
              </w:rPr>
            </w:pPr>
            <w:r>
              <w:rPr>
                <w:b/>
                <w:noProof/>
                <w:sz w:val="20"/>
              </w:rPr>
              <w:t>0,072</w:t>
            </w:r>
          </w:p>
        </w:tc>
        <w:tc>
          <w:tcPr>
            <w:tcW w:w="850" w:type="dxa"/>
            <w:vAlign w:val="center"/>
          </w:tcPr>
          <w:p>
            <w:pPr>
              <w:spacing w:before="60" w:after="60"/>
              <w:jc w:val="right"/>
              <w:rPr>
                <w:b/>
                <w:noProof/>
                <w:sz w:val="20"/>
              </w:rPr>
            </w:pPr>
            <w:r>
              <w:rPr>
                <w:b/>
                <w:noProof/>
                <w:sz w:val="20"/>
              </w:rPr>
              <w:t>0,024</w:t>
            </w:r>
          </w:p>
        </w:tc>
        <w:tc>
          <w:tcPr>
            <w:tcW w:w="3005" w:type="dxa"/>
            <w:vAlign w:val="center"/>
          </w:tcPr>
          <w:p>
            <w:pPr>
              <w:spacing w:before="60" w:after="60"/>
              <w:jc w:val="right"/>
              <w:rPr>
                <w:b/>
                <w:noProof/>
                <w:sz w:val="20"/>
              </w:rPr>
            </w:pPr>
            <w:r>
              <w:rPr>
                <w:b/>
                <w:noProof/>
                <w:sz w:val="20"/>
              </w:rPr>
              <w:t>0,360</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Incidenza prevista sugli stanziamenti operativi </w:t>
      </w:r>
    </w:p>
    <w:p>
      <w:pPr>
        <w:pStyle w:val="ListDash1"/>
        <w:rPr>
          <w:noProof/>
        </w:rPr>
      </w:pPr>
      <w:r>
        <w:rPr>
          <w:noProof/>
        </w:rPr>
        <w:sym w:font="Wingdings" w:char="F0FE"/>
      </w:r>
      <w:r>
        <w:rPr>
          <w:noProof/>
        </w:rPr>
        <w:tab/>
        <w:t xml:space="preserve">La proposta/iniziativa non comporta l'utilizzo di stanziamenti operativi. </w:t>
      </w:r>
    </w:p>
    <w:p>
      <w:pPr>
        <w:rPr>
          <w:noProof/>
        </w:rPr>
      </w:pPr>
    </w:p>
    <w:p>
      <w:pPr>
        <w:jc w:val="center"/>
        <w:rPr>
          <w:noProof/>
          <w:sz w:val="20"/>
        </w:rPr>
      </w:pPr>
      <w:r>
        <w:rPr>
          <w:noProof/>
          <w:sz w:val="20"/>
        </w:rPr>
        <w:t>Stanziamenti di impegno in Mio EUR (al terzo decimale)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Specificare gli obiettivi e i risultati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20"/>
                <w:szCs w:val="20"/>
              </w:rPr>
            </w:pPr>
            <w:r>
              <w:rPr>
                <w:noProof/>
                <w:sz w:val="20"/>
                <w:szCs w:val="20"/>
              </w:rPr>
              <w:t>Anno</w:t>
            </w:r>
            <w:r>
              <w:rPr>
                <w:noProof/>
                <w:sz w:val="20"/>
                <w:szCs w:val="20"/>
              </w:rPr>
              <w:br/>
            </w:r>
            <w:r>
              <w:rPr>
                <w:b/>
                <w:noProof/>
                <w:sz w:val="20"/>
                <w:szCs w:val="20"/>
              </w:rPr>
              <w:t>N</w:t>
            </w:r>
          </w:p>
        </w:tc>
        <w:tc>
          <w:tcPr>
            <w:tcW w:w="1260" w:type="dxa"/>
            <w:gridSpan w:val="2"/>
            <w:vAlign w:val="center"/>
          </w:tcPr>
          <w:p>
            <w:pPr>
              <w:ind w:right="-29"/>
              <w:jc w:val="center"/>
              <w:rPr>
                <w:noProof/>
                <w:sz w:val="20"/>
                <w:szCs w:val="20"/>
              </w:rPr>
            </w:pPr>
            <w:r>
              <w:rPr>
                <w:noProof/>
                <w:sz w:val="20"/>
                <w:szCs w:val="20"/>
              </w:rPr>
              <w:t>Anno</w:t>
            </w:r>
            <w:r>
              <w:rPr>
                <w:noProof/>
                <w:sz w:val="20"/>
                <w:szCs w:val="20"/>
              </w:rPr>
              <w:br/>
            </w:r>
            <w:r>
              <w:rPr>
                <w:b/>
                <w:noProof/>
                <w:sz w:val="20"/>
                <w:szCs w:val="20"/>
              </w:rPr>
              <w:t>N+1</w:t>
            </w:r>
          </w:p>
        </w:tc>
        <w:tc>
          <w:tcPr>
            <w:tcW w:w="1440" w:type="dxa"/>
            <w:gridSpan w:val="2"/>
            <w:vAlign w:val="center"/>
          </w:tcPr>
          <w:p>
            <w:pPr>
              <w:ind w:right="-29"/>
              <w:jc w:val="center"/>
              <w:rPr>
                <w:noProof/>
                <w:sz w:val="20"/>
                <w:szCs w:val="20"/>
              </w:rPr>
            </w:pPr>
            <w:r>
              <w:rPr>
                <w:noProof/>
                <w:sz w:val="20"/>
                <w:szCs w:val="20"/>
              </w:rPr>
              <w:t>Anno</w:t>
            </w:r>
            <w:r>
              <w:rPr>
                <w:noProof/>
                <w:sz w:val="20"/>
                <w:szCs w:val="20"/>
              </w:rPr>
              <w:br/>
            </w:r>
            <w:r>
              <w:rPr>
                <w:b/>
                <w:noProof/>
                <w:sz w:val="20"/>
                <w:szCs w:val="20"/>
              </w:rPr>
              <w:t>N+2</w:t>
            </w:r>
          </w:p>
        </w:tc>
        <w:tc>
          <w:tcPr>
            <w:tcW w:w="1620" w:type="dxa"/>
            <w:gridSpan w:val="3"/>
            <w:vAlign w:val="center"/>
          </w:tcPr>
          <w:p>
            <w:pPr>
              <w:ind w:right="-29"/>
              <w:jc w:val="center"/>
              <w:rPr>
                <w:noProof/>
                <w:sz w:val="20"/>
                <w:szCs w:val="20"/>
              </w:rPr>
            </w:pPr>
            <w:r>
              <w:rPr>
                <w:noProof/>
                <w:sz w:val="20"/>
                <w:szCs w:val="20"/>
              </w:rPr>
              <w:t>Anno</w:t>
            </w:r>
            <w:r>
              <w:rPr>
                <w:noProof/>
                <w:sz w:val="20"/>
                <w:szCs w:val="20"/>
              </w:rPr>
              <w:br/>
            </w:r>
            <w:r>
              <w:rPr>
                <w:b/>
                <w:noProof/>
                <w:sz w:val="20"/>
                <w:szCs w:val="20"/>
              </w:rPr>
              <w:t>N+3</w:t>
            </w:r>
          </w:p>
        </w:tc>
        <w:tc>
          <w:tcPr>
            <w:tcW w:w="3600" w:type="dxa"/>
            <w:gridSpan w:val="6"/>
            <w:vAlign w:val="center"/>
          </w:tcPr>
          <w:p>
            <w:pPr>
              <w:jc w:val="center"/>
              <w:rPr>
                <w:noProof/>
                <w:sz w:val="18"/>
                <w:szCs w:val="18"/>
              </w:rPr>
            </w:pPr>
            <w:r>
              <w:rPr>
                <w:noProof/>
                <w:sz w:val="18"/>
              </w:rPr>
              <w:t>Inserire gli anni necessari per evidenziare la durata dell'incidenza (cfr. punto 1.6)</w:t>
            </w:r>
          </w:p>
        </w:tc>
        <w:tc>
          <w:tcPr>
            <w:tcW w:w="1620" w:type="dxa"/>
            <w:gridSpan w:val="2"/>
            <w:tcBorders>
              <w:left w:val="nil"/>
              <w:bottom w:val="nil"/>
            </w:tcBorders>
            <w:vAlign w:val="center"/>
          </w:tcPr>
          <w:p>
            <w:pPr>
              <w:ind w:right="-29"/>
              <w:jc w:val="center"/>
              <w:rPr>
                <w:noProof/>
                <w:sz w:val="18"/>
                <w:szCs w:val="18"/>
              </w:rPr>
            </w:pPr>
            <w:r>
              <w:rPr>
                <w:b/>
                <w:noProof/>
                <w:sz w:val="18"/>
              </w:rPr>
              <w:t>TOTALE</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RISULTATI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Tipo</w:t>
            </w:r>
            <w:r>
              <w:rPr>
                <w:rStyle w:val="FootnoteReference"/>
                <w:noProof/>
                <w:sz w:val="18"/>
              </w:rPr>
              <w:footnoteReference w:id="22"/>
            </w:r>
          </w:p>
          <w:p>
            <w:pPr>
              <w:spacing w:before="0" w:after="0"/>
              <w:jc w:val="center"/>
              <w:rPr>
                <w:noProof/>
                <w:sz w:val="18"/>
                <w:szCs w:val="18"/>
              </w:rPr>
            </w:pPr>
          </w:p>
        </w:tc>
        <w:tc>
          <w:tcPr>
            <w:tcW w:w="701" w:type="dxa"/>
            <w:vAlign w:val="center"/>
          </w:tcPr>
          <w:p>
            <w:pPr>
              <w:jc w:val="center"/>
              <w:rPr>
                <w:noProof/>
                <w:sz w:val="18"/>
                <w:szCs w:val="18"/>
              </w:rPr>
            </w:pPr>
            <w:r>
              <w:rPr>
                <w:noProof/>
                <w:sz w:val="18"/>
              </w:rPr>
              <w:t>Costo medio</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N. totale</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Costo totale</w:t>
            </w:r>
          </w:p>
        </w:tc>
      </w:tr>
      <w:tr>
        <w:trPr>
          <w:jc w:val="center"/>
        </w:trPr>
        <w:tc>
          <w:tcPr>
            <w:tcW w:w="2844" w:type="dxa"/>
            <w:gridSpan w:val="3"/>
            <w:vAlign w:val="center"/>
          </w:tcPr>
          <w:p>
            <w:pPr>
              <w:spacing w:before="60" w:after="60"/>
              <w:ind w:right="-29"/>
              <w:jc w:val="center"/>
              <w:rPr>
                <w:noProof/>
                <w:sz w:val="18"/>
                <w:szCs w:val="18"/>
              </w:rPr>
            </w:pPr>
            <w:r>
              <w:rPr>
                <w:noProof/>
                <w:sz w:val="18"/>
              </w:rPr>
              <w:t>OBIETTIVO SPECIFICO 1</w:t>
            </w:r>
            <w:r>
              <w:rPr>
                <w:rStyle w:val="FootnoteReference"/>
                <w:noProof/>
                <w:sz w:val="18"/>
              </w:rPr>
              <w:footnoteReference w:id="23"/>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Risultato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Risultato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Risultato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Totale parziale dell'obiettivo specifico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OBIETTIVO SPECIFICO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Risultato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Totale parziale dell'obiettivo specifico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COSTO TOTALE</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Incidenza prevista sugli stanziamenti di natura amministrativa</w:t>
      </w:r>
    </w:p>
    <w:p>
      <w:pPr>
        <w:pStyle w:val="ManualHeading4"/>
        <w:rPr>
          <w:noProof/>
        </w:rPr>
      </w:pPr>
      <w:r>
        <w:rPr>
          <w:noProof/>
        </w:rPr>
        <w:t>3.2.3.1.</w:t>
      </w:r>
      <w:r>
        <w:rPr>
          <w:noProof/>
        </w:rPr>
        <w:tab/>
        <w:t xml:space="preserve">Sintesi </w:t>
      </w:r>
    </w:p>
    <w:p>
      <w:pPr>
        <w:pStyle w:val="ListDash1"/>
        <w:rPr>
          <w:noProof/>
        </w:rPr>
      </w:pPr>
      <w:r>
        <w:rPr>
          <w:noProof/>
        </w:rPr>
        <w:sym w:font="Wingdings" w:char="F0A8"/>
      </w:r>
      <w:r>
        <w:rPr>
          <w:noProof/>
        </w:rPr>
        <w:tab/>
        <w:t xml:space="preserve">La proposta/iniziativa non comporta l'utilizzo di stanziamenti di natura amministrativa. </w:t>
      </w:r>
    </w:p>
    <w:p>
      <w:pPr>
        <w:pStyle w:val="ListDash1"/>
        <w:rPr>
          <w:noProof/>
        </w:rPr>
      </w:pPr>
      <w:r>
        <w:rPr>
          <w:noProof/>
        </w:rPr>
        <w:sym w:font="Wingdings" w:char="F0FE"/>
      </w:r>
      <w:r>
        <w:rPr>
          <w:noProof/>
        </w:rPr>
        <w:tab/>
        <w:t>La proposta/iniziativa comporta l'utilizzo di stanziamenti di natura amministrativa, come spiegato di seguito:</w:t>
      </w:r>
    </w:p>
    <w:p>
      <w:pPr>
        <w:pStyle w:val="Text1"/>
        <w:rPr>
          <w:noProof/>
        </w:rPr>
      </w:pPr>
    </w:p>
    <w:p>
      <w:pPr>
        <w:jc w:val="center"/>
        <w:rPr>
          <w:noProof/>
          <w:sz w:val="20"/>
        </w:rPr>
      </w:pPr>
      <w:r>
        <w:rPr>
          <w:noProof/>
          <w:sz w:val="20"/>
        </w:rPr>
        <w:t>Mio EUR (al terzo decimale)</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20"/>
                <w:szCs w:val="20"/>
              </w:rPr>
            </w:pPr>
            <w:r>
              <w:rPr>
                <w:noProof/>
                <w:sz w:val="20"/>
                <w:szCs w:val="20"/>
              </w:rPr>
              <w:t>Anno</w:t>
            </w:r>
            <w:r>
              <w:rPr>
                <w:noProof/>
                <w:sz w:val="20"/>
                <w:szCs w:val="20"/>
              </w:rPr>
              <w:br/>
            </w:r>
            <w:r>
              <w:rPr>
                <w:b/>
                <w:noProof/>
                <w:sz w:val="20"/>
                <w:szCs w:val="20"/>
              </w:rPr>
              <w:t>2020</w:t>
            </w:r>
            <w:r>
              <w:rPr>
                <w:rStyle w:val="FootnoteReference"/>
                <w:b/>
                <w:noProof/>
                <w:sz w:val="20"/>
                <w:szCs w:val="20"/>
              </w:rPr>
              <w:footnoteReference w:id="24"/>
            </w:r>
          </w:p>
        </w:tc>
        <w:tc>
          <w:tcPr>
            <w:tcW w:w="1080" w:type="dxa"/>
            <w:vAlign w:val="center"/>
          </w:tcPr>
          <w:p>
            <w:pPr>
              <w:spacing w:before="60" w:after="60" w:line="200" w:lineRule="exact"/>
              <w:jc w:val="center"/>
              <w:rPr>
                <w:noProof/>
                <w:sz w:val="20"/>
                <w:szCs w:val="20"/>
              </w:rPr>
            </w:pPr>
            <w:r>
              <w:rPr>
                <w:noProof/>
                <w:sz w:val="20"/>
                <w:szCs w:val="20"/>
              </w:rPr>
              <w:t>Anno</w:t>
            </w:r>
            <w:r>
              <w:rPr>
                <w:noProof/>
                <w:sz w:val="20"/>
                <w:szCs w:val="20"/>
              </w:rPr>
              <w:br/>
            </w:r>
            <w:r>
              <w:rPr>
                <w:b/>
                <w:noProof/>
                <w:sz w:val="20"/>
                <w:szCs w:val="20"/>
              </w:rPr>
              <w:t>2021</w:t>
            </w:r>
          </w:p>
        </w:tc>
        <w:tc>
          <w:tcPr>
            <w:tcW w:w="1080" w:type="dxa"/>
            <w:vAlign w:val="center"/>
          </w:tcPr>
          <w:p>
            <w:pPr>
              <w:spacing w:before="60" w:after="60" w:line="200" w:lineRule="exact"/>
              <w:jc w:val="center"/>
              <w:rPr>
                <w:noProof/>
                <w:sz w:val="20"/>
                <w:szCs w:val="20"/>
              </w:rPr>
            </w:pPr>
            <w:r>
              <w:rPr>
                <w:noProof/>
                <w:sz w:val="20"/>
                <w:szCs w:val="20"/>
              </w:rPr>
              <w:t>Anno</w:t>
            </w:r>
            <w:r>
              <w:rPr>
                <w:noProof/>
                <w:sz w:val="20"/>
                <w:szCs w:val="20"/>
              </w:rPr>
              <w:br/>
            </w:r>
            <w:r>
              <w:rPr>
                <w:b/>
                <w:noProof/>
                <w:sz w:val="20"/>
                <w:szCs w:val="20"/>
              </w:rPr>
              <w:t>2022</w:t>
            </w:r>
          </w:p>
        </w:tc>
        <w:tc>
          <w:tcPr>
            <w:tcW w:w="1080" w:type="dxa"/>
            <w:vAlign w:val="center"/>
          </w:tcPr>
          <w:p>
            <w:pPr>
              <w:spacing w:before="60" w:after="60" w:line="200" w:lineRule="exact"/>
              <w:jc w:val="center"/>
              <w:rPr>
                <w:noProof/>
                <w:sz w:val="20"/>
                <w:szCs w:val="20"/>
              </w:rPr>
            </w:pPr>
            <w:r>
              <w:rPr>
                <w:noProof/>
                <w:sz w:val="20"/>
                <w:szCs w:val="20"/>
              </w:rPr>
              <w:t>Anno</w:t>
            </w:r>
            <w:r>
              <w:rPr>
                <w:noProof/>
                <w:sz w:val="20"/>
                <w:szCs w:val="20"/>
              </w:rPr>
              <w:br/>
            </w:r>
            <w:r>
              <w:rPr>
                <w:b/>
                <w:noProof/>
                <w:sz w:val="20"/>
                <w:szCs w:val="20"/>
              </w:rPr>
              <w:t>2023</w:t>
            </w:r>
          </w:p>
        </w:tc>
        <w:tc>
          <w:tcPr>
            <w:tcW w:w="1080" w:type="dxa"/>
          </w:tcPr>
          <w:p>
            <w:pPr>
              <w:spacing w:before="60" w:after="60" w:line="200" w:lineRule="exact"/>
              <w:jc w:val="center"/>
              <w:rPr>
                <w:b/>
                <w:noProof/>
                <w:sz w:val="20"/>
                <w:szCs w:val="20"/>
              </w:rPr>
            </w:pPr>
            <w:r>
              <w:rPr>
                <w:noProof/>
                <w:sz w:val="20"/>
                <w:szCs w:val="20"/>
              </w:rPr>
              <w:t>Anno</w:t>
            </w:r>
            <w:r>
              <w:rPr>
                <w:noProof/>
                <w:sz w:val="20"/>
                <w:szCs w:val="20"/>
              </w:rPr>
              <w:br/>
            </w:r>
            <w:r>
              <w:rPr>
                <w:b/>
                <w:noProof/>
                <w:sz w:val="20"/>
                <w:szCs w:val="20"/>
              </w:rPr>
              <w:t>2024</w:t>
            </w:r>
          </w:p>
        </w:tc>
        <w:tc>
          <w:tcPr>
            <w:tcW w:w="1080" w:type="dxa"/>
          </w:tcPr>
          <w:p>
            <w:pPr>
              <w:spacing w:before="60" w:after="60" w:line="200" w:lineRule="exact"/>
              <w:jc w:val="center"/>
              <w:rPr>
                <w:b/>
                <w:noProof/>
                <w:sz w:val="20"/>
                <w:szCs w:val="20"/>
              </w:rPr>
            </w:pPr>
            <w:r>
              <w:rPr>
                <w:noProof/>
                <w:sz w:val="20"/>
                <w:szCs w:val="20"/>
              </w:rPr>
              <w:t>Anno</w:t>
            </w:r>
            <w:r>
              <w:rPr>
                <w:noProof/>
                <w:sz w:val="20"/>
                <w:szCs w:val="20"/>
              </w:rPr>
              <w:br/>
            </w:r>
            <w:r>
              <w:rPr>
                <w:b/>
                <w:noProof/>
                <w:sz w:val="20"/>
                <w:szCs w:val="20"/>
              </w:rPr>
              <w:t>2025</w:t>
            </w:r>
          </w:p>
        </w:tc>
        <w:tc>
          <w:tcPr>
            <w:tcW w:w="1080" w:type="dxa"/>
            <w:vAlign w:val="center"/>
          </w:tcPr>
          <w:p>
            <w:pPr>
              <w:spacing w:before="60" w:after="60" w:line="200" w:lineRule="exact"/>
              <w:jc w:val="center"/>
              <w:rPr>
                <w:b/>
                <w:noProof/>
                <w:sz w:val="16"/>
                <w:szCs w:val="16"/>
              </w:rPr>
            </w:pPr>
            <w:r>
              <w:rPr>
                <w:b/>
                <w:noProof/>
                <w:sz w:val="16"/>
              </w:rPr>
              <w:t>TOTALE</w:t>
            </w: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w:t>
            </w:r>
            <w:r>
              <w:rPr>
                <w:noProof/>
                <w:sz w:val="22"/>
              </w:rPr>
              <w:br/>
            </w:r>
            <w:r>
              <w:rPr>
                <w:b/>
                <w:noProof/>
                <w:sz w:val="16"/>
              </w:rPr>
              <w:t>del quadro finanziario pluriennale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Altre spese amministrative </w:t>
            </w: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Totale parziale della RUBRICA 5</w:t>
            </w:r>
            <w:r>
              <w:rPr>
                <w:noProof/>
                <w:sz w:val="22"/>
              </w:rPr>
              <w:br/>
            </w:r>
            <w:r>
              <w:rPr>
                <w:b/>
                <w:noProof/>
                <w:sz w:val="16"/>
              </w:rPr>
              <w:t xml:space="preserve">del quadro finanziario pluriennale </w:t>
            </w: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Esclusa la RUBRICA 5</w:t>
            </w:r>
            <w:r>
              <w:rPr>
                <w:rStyle w:val="FootnoteReference"/>
                <w:b/>
                <w:noProof/>
                <w:sz w:val="16"/>
              </w:rPr>
              <w:footnoteReference w:id="25"/>
            </w:r>
            <w:r>
              <w:rPr>
                <w:noProof/>
                <w:sz w:val="22"/>
              </w:rPr>
              <w:br/>
            </w:r>
            <w:r>
              <w:rPr>
                <w:b/>
                <w:noProof/>
                <w:sz w:val="16"/>
              </w:rPr>
              <w:t xml:space="preserve">del quadro finanziario pluriennale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080" w:type="dxa"/>
            <w:vAlign w:val="center"/>
          </w:tcPr>
          <w:p>
            <w:pPr>
              <w:pStyle w:val="Default"/>
              <w:jc w:val="right"/>
              <w:rPr>
                <w:noProof/>
                <w:sz w:val="20"/>
                <w:szCs w:val="20"/>
              </w:rPr>
            </w:pPr>
            <w:r>
              <w:rPr>
                <w:b/>
                <w:bCs/>
                <w:noProof/>
                <w:sz w:val="20"/>
                <w:szCs w:val="20"/>
              </w:rPr>
              <w:t>0,040</w:t>
            </w:r>
          </w:p>
        </w:tc>
        <w:tc>
          <w:tcPr>
            <w:tcW w:w="1080" w:type="dxa"/>
            <w:vAlign w:val="center"/>
          </w:tcPr>
          <w:p>
            <w:pPr>
              <w:pStyle w:val="Default"/>
              <w:jc w:val="right"/>
              <w:rPr>
                <w:noProof/>
                <w:sz w:val="20"/>
                <w:szCs w:val="20"/>
              </w:rPr>
            </w:pPr>
            <w:r>
              <w:rPr>
                <w:b/>
                <w:bCs/>
                <w:noProof/>
                <w:sz w:val="20"/>
                <w:szCs w:val="20"/>
              </w:rPr>
              <w:t>0,060</w:t>
            </w:r>
          </w:p>
        </w:tc>
        <w:tc>
          <w:tcPr>
            <w:tcW w:w="1080" w:type="dxa"/>
            <w:vAlign w:val="center"/>
          </w:tcPr>
          <w:p>
            <w:pPr>
              <w:pStyle w:val="Default"/>
              <w:jc w:val="right"/>
              <w:rPr>
                <w:noProof/>
                <w:sz w:val="20"/>
                <w:szCs w:val="20"/>
              </w:rPr>
            </w:pPr>
            <w:r>
              <w:rPr>
                <w:b/>
                <w:bCs/>
                <w:noProof/>
                <w:sz w:val="20"/>
                <w:szCs w:val="20"/>
              </w:rPr>
              <w:t>0,060</w:t>
            </w:r>
          </w:p>
        </w:tc>
        <w:tc>
          <w:tcPr>
            <w:tcW w:w="1080" w:type="dxa"/>
            <w:vAlign w:val="center"/>
          </w:tcPr>
          <w:p>
            <w:pPr>
              <w:pStyle w:val="Default"/>
              <w:jc w:val="right"/>
              <w:rPr>
                <w:b/>
                <w:bCs/>
                <w:noProof/>
                <w:sz w:val="20"/>
                <w:szCs w:val="20"/>
              </w:rPr>
            </w:pPr>
            <w:r>
              <w:rPr>
                <w:b/>
                <w:bCs/>
                <w:noProof/>
                <w:sz w:val="20"/>
                <w:szCs w:val="20"/>
              </w:rPr>
              <w:t>0,060</w:t>
            </w:r>
          </w:p>
        </w:tc>
        <w:tc>
          <w:tcPr>
            <w:tcW w:w="1080" w:type="dxa"/>
            <w:vAlign w:val="center"/>
          </w:tcPr>
          <w:p>
            <w:pPr>
              <w:pStyle w:val="Default"/>
              <w:jc w:val="right"/>
              <w:rPr>
                <w:b/>
                <w:noProof/>
                <w:sz w:val="20"/>
                <w:szCs w:val="20"/>
              </w:rPr>
            </w:pPr>
            <w:r>
              <w:rPr>
                <w:b/>
                <w:noProof/>
                <w:sz w:val="20"/>
                <w:szCs w:val="20"/>
              </w:rPr>
              <w:t>0,060</w:t>
            </w:r>
          </w:p>
        </w:tc>
        <w:tc>
          <w:tcPr>
            <w:tcW w:w="1080" w:type="dxa"/>
            <w:vAlign w:val="center"/>
          </w:tcPr>
          <w:p>
            <w:pPr>
              <w:pStyle w:val="Default"/>
              <w:jc w:val="right"/>
              <w:rPr>
                <w:b/>
                <w:noProof/>
                <w:sz w:val="20"/>
                <w:szCs w:val="20"/>
              </w:rPr>
            </w:pPr>
            <w:r>
              <w:rPr>
                <w:b/>
                <w:noProof/>
                <w:sz w:val="20"/>
                <w:szCs w:val="20"/>
              </w:rPr>
              <w:t>0,020</w:t>
            </w:r>
          </w:p>
        </w:tc>
        <w:tc>
          <w:tcPr>
            <w:tcW w:w="1080" w:type="dxa"/>
            <w:vAlign w:val="center"/>
          </w:tcPr>
          <w:p>
            <w:pPr>
              <w:pStyle w:val="Default"/>
              <w:jc w:val="right"/>
              <w:rPr>
                <w:b/>
                <w:noProof/>
                <w:sz w:val="20"/>
                <w:szCs w:val="20"/>
              </w:rPr>
            </w:pPr>
            <w:r>
              <w:rPr>
                <w:b/>
                <w:noProof/>
                <w:sz w:val="20"/>
                <w:szCs w:val="20"/>
              </w:rPr>
              <w:t>0,300</w:t>
            </w:r>
          </w:p>
        </w:tc>
      </w:tr>
      <w:tr>
        <w:trPr>
          <w:trHeight w:val="585"/>
        </w:trPr>
        <w:tc>
          <w:tcPr>
            <w:tcW w:w="1980" w:type="dxa"/>
            <w:vAlign w:val="center"/>
          </w:tcPr>
          <w:p>
            <w:pPr>
              <w:spacing w:before="60" w:after="60" w:line="200" w:lineRule="exact"/>
              <w:ind w:left="72"/>
              <w:jc w:val="left"/>
              <w:rPr>
                <w:noProof/>
                <w:sz w:val="16"/>
                <w:szCs w:val="16"/>
              </w:rPr>
            </w:pPr>
            <w:r>
              <w:rPr>
                <w:noProof/>
                <w:sz w:val="16"/>
              </w:rPr>
              <w:t>Altre spese</w:t>
            </w:r>
            <w:r>
              <w:rPr>
                <w:noProof/>
                <w:sz w:val="22"/>
              </w:rPr>
              <w:br/>
            </w:r>
            <w:r>
              <w:rPr>
                <w:noProof/>
                <w:sz w:val="16"/>
              </w:rPr>
              <w:t>di natura amministrativa</w:t>
            </w:r>
          </w:p>
        </w:tc>
        <w:tc>
          <w:tcPr>
            <w:tcW w:w="1080" w:type="dxa"/>
            <w:vAlign w:val="center"/>
          </w:tcPr>
          <w:p>
            <w:pPr>
              <w:spacing w:before="60" w:after="60" w:line="200" w:lineRule="exact"/>
              <w:jc w:val="right"/>
              <w:rPr>
                <w:noProof/>
                <w:sz w:val="16"/>
                <w:szCs w:val="16"/>
              </w:rPr>
            </w:pPr>
            <w:r>
              <w:rPr>
                <w:b/>
                <w:noProof/>
                <w:sz w:val="20"/>
              </w:rPr>
              <w:t>0,008</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0,004</w:t>
            </w:r>
          </w:p>
        </w:tc>
        <w:tc>
          <w:tcPr>
            <w:tcW w:w="1080" w:type="dxa"/>
            <w:vAlign w:val="center"/>
          </w:tcPr>
          <w:p>
            <w:pPr>
              <w:spacing w:before="60" w:after="60" w:line="200" w:lineRule="exact"/>
              <w:jc w:val="right"/>
              <w:rPr>
                <w:b/>
                <w:noProof/>
                <w:sz w:val="16"/>
                <w:szCs w:val="16"/>
              </w:rPr>
            </w:pPr>
            <w:r>
              <w:rPr>
                <w:b/>
                <w:noProof/>
                <w:sz w:val="20"/>
              </w:rPr>
              <w:t>0,060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Totale parziale esclusa la RUBRICA 5</w:t>
            </w:r>
            <w:r>
              <w:rPr>
                <w:noProof/>
                <w:sz w:val="22"/>
              </w:rPr>
              <w:br/>
            </w:r>
            <w:r>
              <w:rPr>
                <w:b/>
                <w:noProof/>
                <w:sz w:val="16"/>
              </w:rPr>
              <w:t xml:space="preserve">del quadro finanziario pluriennale </w:t>
            </w:r>
          </w:p>
        </w:tc>
        <w:tc>
          <w:tcPr>
            <w:tcW w:w="1080" w:type="dxa"/>
            <w:vAlign w:val="center"/>
          </w:tcPr>
          <w:p>
            <w:pPr>
              <w:pStyle w:val="Default"/>
              <w:jc w:val="right"/>
              <w:rPr>
                <w:noProof/>
                <w:sz w:val="20"/>
                <w:szCs w:val="20"/>
              </w:rPr>
            </w:pPr>
            <w:r>
              <w:rPr>
                <w:b/>
                <w:noProof/>
                <w:sz w:val="20"/>
              </w:rPr>
              <w:t>0,048</w:t>
            </w:r>
          </w:p>
        </w:tc>
        <w:tc>
          <w:tcPr>
            <w:tcW w:w="1080" w:type="dxa"/>
            <w:vAlign w:val="center"/>
          </w:tcPr>
          <w:p>
            <w:pPr>
              <w:pStyle w:val="Default"/>
              <w:jc w:val="right"/>
              <w:rPr>
                <w:noProof/>
                <w:sz w:val="20"/>
                <w:szCs w:val="20"/>
              </w:rPr>
            </w:pPr>
            <w:r>
              <w:rPr>
                <w:b/>
                <w:noProof/>
                <w:sz w:val="20"/>
              </w:rPr>
              <w:t>0,072</w:t>
            </w:r>
          </w:p>
        </w:tc>
        <w:tc>
          <w:tcPr>
            <w:tcW w:w="1080" w:type="dxa"/>
            <w:vAlign w:val="center"/>
          </w:tcPr>
          <w:p>
            <w:pPr>
              <w:pStyle w:val="Default"/>
              <w:jc w:val="right"/>
              <w:rPr>
                <w:noProof/>
                <w:sz w:val="20"/>
                <w:szCs w:val="20"/>
              </w:rPr>
            </w:pPr>
            <w:r>
              <w:rPr>
                <w:b/>
                <w:noProof/>
                <w:sz w:val="20"/>
              </w:rPr>
              <w:t>0,072</w:t>
            </w:r>
          </w:p>
        </w:tc>
        <w:tc>
          <w:tcPr>
            <w:tcW w:w="1080" w:type="dxa"/>
            <w:vAlign w:val="center"/>
          </w:tcPr>
          <w:p>
            <w:pPr>
              <w:pStyle w:val="Default"/>
              <w:jc w:val="right"/>
              <w:rPr>
                <w:b/>
                <w:bCs/>
                <w:noProof/>
                <w:sz w:val="20"/>
                <w:szCs w:val="20"/>
              </w:rPr>
            </w:pPr>
            <w:r>
              <w:rPr>
                <w:b/>
                <w:noProof/>
                <w:sz w:val="20"/>
              </w:rPr>
              <w:t>0,072</w:t>
            </w:r>
          </w:p>
        </w:tc>
        <w:tc>
          <w:tcPr>
            <w:tcW w:w="1080" w:type="dxa"/>
            <w:vAlign w:val="center"/>
          </w:tcPr>
          <w:p>
            <w:pPr>
              <w:pStyle w:val="Default"/>
              <w:jc w:val="right"/>
              <w:rPr>
                <w:b/>
                <w:noProof/>
                <w:sz w:val="20"/>
                <w:szCs w:val="20"/>
              </w:rPr>
            </w:pPr>
            <w:r>
              <w:rPr>
                <w:b/>
                <w:noProof/>
                <w:sz w:val="20"/>
              </w:rPr>
              <w:t>0,072</w:t>
            </w:r>
          </w:p>
        </w:tc>
        <w:tc>
          <w:tcPr>
            <w:tcW w:w="1080" w:type="dxa"/>
            <w:vAlign w:val="center"/>
          </w:tcPr>
          <w:p>
            <w:pPr>
              <w:pStyle w:val="Default"/>
              <w:jc w:val="right"/>
              <w:rPr>
                <w:b/>
                <w:noProof/>
                <w:sz w:val="20"/>
                <w:szCs w:val="20"/>
              </w:rPr>
            </w:pPr>
            <w:r>
              <w:rPr>
                <w:b/>
                <w:noProof/>
                <w:sz w:val="20"/>
              </w:rPr>
              <w:t>0,024</w:t>
            </w:r>
          </w:p>
        </w:tc>
        <w:tc>
          <w:tcPr>
            <w:tcW w:w="1080" w:type="dxa"/>
            <w:vAlign w:val="center"/>
          </w:tcPr>
          <w:p>
            <w:pPr>
              <w:pStyle w:val="Default"/>
              <w:jc w:val="right"/>
              <w:rPr>
                <w:b/>
                <w:noProof/>
                <w:sz w:val="20"/>
                <w:szCs w:val="20"/>
              </w:rPr>
            </w:pPr>
            <w:r>
              <w:rPr>
                <w:b/>
                <w:noProof/>
                <w:sz w:val="20"/>
              </w:rPr>
              <w:t>0,360</w:t>
            </w:r>
          </w:p>
        </w:tc>
      </w:tr>
    </w:tbl>
    <w:p>
      <w:pPr>
        <w:spacing w:line="200" w:lineRule="exact"/>
        <w:rPr>
          <w:noProof/>
          <w:sz w:val="16"/>
          <w:szCs w:val="16"/>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TOTALE</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0,048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highlight w:val="yellow"/>
              </w:rPr>
            </w:pPr>
            <w:r>
              <w:rPr>
                <w:b/>
                <w:noProof/>
                <w:sz w:val="20"/>
              </w:rPr>
              <w:t>0,360</w:t>
            </w:r>
          </w:p>
        </w:tc>
      </w:tr>
    </w:tbl>
    <w:p>
      <w:pPr>
        <w:rPr>
          <w:noProof/>
          <w:sz w:val="18"/>
        </w:rPr>
      </w:pPr>
      <w:r>
        <w:rPr>
          <w:noProof/>
          <w:sz w:val="18"/>
        </w:rPr>
        <w:t>Il fabbisogno di stanziamenti relativi alle risorse umane e alle altre spese di natura amministrativa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rPr>
          <w:noProof/>
        </w:rPr>
        <w:t>3.2.3.2.</w:t>
      </w:r>
      <w:r>
        <w:rPr>
          <w:noProof/>
        </w:rPr>
        <w:tab/>
        <w:t>Fabbisogno previsto di risorse umane</w:t>
      </w:r>
    </w:p>
    <w:p>
      <w:pPr>
        <w:pStyle w:val="ListDash1"/>
        <w:rPr>
          <w:noProof/>
        </w:rPr>
      </w:pPr>
      <w:r>
        <w:rPr>
          <w:noProof/>
        </w:rPr>
        <w:sym w:font="Wingdings" w:char="F0A8"/>
      </w:r>
      <w:r>
        <w:rPr>
          <w:noProof/>
        </w:rPr>
        <w:tab/>
        <w:t xml:space="preserve">La proposta/iniziativa non comporta l'utilizzo di risorse umane. </w:t>
      </w:r>
    </w:p>
    <w:p>
      <w:pPr>
        <w:pStyle w:val="ListDash1"/>
        <w:rPr>
          <w:noProof/>
        </w:rPr>
      </w:pPr>
      <w:r>
        <w:rPr>
          <w:noProof/>
        </w:rPr>
        <w:sym w:font="Wingdings" w:char="F0FE"/>
      </w:r>
      <w:r>
        <w:rPr>
          <w:noProof/>
        </w:rPr>
        <w:tab/>
        <w:t>La proposta/iniziativa comporta l'utilizzo di risorse umane, come spiegato di seguito:</w:t>
      </w:r>
    </w:p>
    <w:p>
      <w:pPr>
        <w:spacing w:after="60"/>
        <w:jc w:val="right"/>
        <w:rPr>
          <w:i/>
          <w:noProof/>
          <w:sz w:val="20"/>
        </w:rPr>
      </w:pPr>
      <w:r>
        <w:rPr>
          <w:i/>
          <w:noProof/>
          <w:sz w:val="20"/>
        </w:rPr>
        <w:t>Stima da esprimere in equivalenti a tempo pieno</w:t>
      </w:r>
    </w:p>
    <w:tbl>
      <w:tblPr>
        <w:tblW w:w="467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72"/>
        <w:gridCol w:w="2002"/>
        <w:gridCol w:w="601"/>
        <w:gridCol w:w="839"/>
        <w:gridCol w:w="841"/>
        <w:gridCol w:w="721"/>
        <w:gridCol w:w="636"/>
        <w:gridCol w:w="321"/>
        <w:gridCol w:w="956"/>
      </w:tblGrid>
      <w:tr>
        <w:trPr>
          <w:trHeight w:val="289"/>
          <w:jc w:val="center"/>
        </w:trPr>
        <w:tc>
          <w:tcPr>
            <w:tcW w:w="2171" w:type="pct"/>
            <w:gridSpan w:val="2"/>
            <w:shd w:val="clear" w:color="auto" w:fill="auto"/>
          </w:tcPr>
          <w:p>
            <w:pPr>
              <w:pStyle w:val="Text1"/>
              <w:spacing w:before="40" w:after="40"/>
              <w:ind w:left="0"/>
              <w:jc w:val="center"/>
              <w:rPr>
                <w:i/>
                <w:noProof/>
                <w:sz w:val="16"/>
                <w:szCs w:val="16"/>
              </w:rPr>
            </w:pPr>
          </w:p>
        </w:tc>
        <w:tc>
          <w:tcPr>
            <w:tcW w:w="346" w:type="pct"/>
            <w:shd w:val="clear" w:color="auto" w:fill="auto"/>
            <w:vAlign w:val="center"/>
          </w:tcPr>
          <w:p>
            <w:pPr>
              <w:spacing w:before="20" w:after="20"/>
              <w:jc w:val="center"/>
              <w:rPr>
                <w:noProof/>
                <w:sz w:val="16"/>
                <w:szCs w:val="16"/>
              </w:rPr>
            </w:pPr>
            <w:r>
              <w:rPr>
                <w:noProof/>
                <w:sz w:val="16"/>
                <w:szCs w:val="16"/>
              </w:rPr>
              <w:t>Anno</w:t>
            </w:r>
            <w:r>
              <w:rPr>
                <w:noProof/>
                <w:sz w:val="16"/>
                <w:szCs w:val="16"/>
              </w:rPr>
              <w:br/>
            </w:r>
            <w:r>
              <w:rPr>
                <w:b/>
                <w:noProof/>
                <w:sz w:val="16"/>
                <w:szCs w:val="16"/>
              </w:rPr>
              <w:t>2020</w:t>
            </w:r>
          </w:p>
        </w:tc>
        <w:tc>
          <w:tcPr>
            <w:tcW w:w="483" w:type="pct"/>
            <w:shd w:val="clear" w:color="auto" w:fill="auto"/>
            <w:vAlign w:val="center"/>
          </w:tcPr>
          <w:p>
            <w:pPr>
              <w:spacing w:before="20" w:after="20"/>
              <w:jc w:val="center"/>
              <w:rPr>
                <w:noProof/>
                <w:sz w:val="16"/>
                <w:szCs w:val="16"/>
              </w:rPr>
            </w:pPr>
            <w:r>
              <w:rPr>
                <w:noProof/>
                <w:sz w:val="16"/>
                <w:szCs w:val="16"/>
              </w:rPr>
              <w:t>Anno</w:t>
            </w:r>
            <w:r>
              <w:rPr>
                <w:noProof/>
                <w:sz w:val="16"/>
                <w:szCs w:val="16"/>
              </w:rPr>
              <w:br/>
            </w:r>
            <w:r>
              <w:rPr>
                <w:b/>
                <w:noProof/>
                <w:sz w:val="16"/>
                <w:szCs w:val="16"/>
              </w:rPr>
              <w:t>2021</w:t>
            </w:r>
          </w:p>
        </w:tc>
        <w:tc>
          <w:tcPr>
            <w:tcW w:w="484" w:type="pct"/>
            <w:shd w:val="clear" w:color="auto" w:fill="auto"/>
            <w:vAlign w:val="center"/>
          </w:tcPr>
          <w:p>
            <w:pPr>
              <w:spacing w:before="20" w:after="20"/>
              <w:jc w:val="center"/>
              <w:rPr>
                <w:noProof/>
                <w:sz w:val="16"/>
                <w:szCs w:val="16"/>
              </w:rPr>
            </w:pPr>
            <w:r>
              <w:rPr>
                <w:noProof/>
                <w:sz w:val="16"/>
                <w:szCs w:val="16"/>
              </w:rPr>
              <w:t>Anno</w:t>
            </w:r>
          </w:p>
          <w:p>
            <w:pPr>
              <w:spacing w:before="20" w:after="20"/>
              <w:jc w:val="center"/>
              <w:rPr>
                <w:noProof/>
                <w:sz w:val="16"/>
                <w:szCs w:val="16"/>
              </w:rPr>
            </w:pPr>
            <w:r>
              <w:rPr>
                <w:b/>
                <w:noProof/>
                <w:sz w:val="16"/>
                <w:szCs w:val="16"/>
              </w:rPr>
              <w:t>2022</w:t>
            </w:r>
          </w:p>
        </w:tc>
        <w:tc>
          <w:tcPr>
            <w:tcW w:w="415" w:type="pct"/>
            <w:shd w:val="clear" w:color="auto" w:fill="auto"/>
            <w:vAlign w:val="center"/>
          </w:tcPr>
          <w:p>
            <w:pPr>
              <w:spacing w:before="20" w:after="20"/>
              <w:jc w:val="center"/>
              <w:rPr>
                <w:noProof/>
                <w:sz w:val="16"/>
                <w:szCs w:val="16"/>
              </w:rPr>
            </w:pPr>
            <w:r>
              <w:rPr>
                <w:noProof/>
                <w:sz w:val="16"/>
                <w:szCs w:val="16"/>
              </w:rPr>
              <w:t>Anno</w:t>
            </w:r>
          </w:p>
          <w:p>
            <w:pPr>
              <w:spacing w:before="20" w:after="20"/>
              <w:jc w:val="center"/>
              <w:rPr>
                <w:noProof/>
                <w:sz w:val="16"/>
                <w:szCs w:val="16"/>
              </w:rPr>
            </w:pPr>
            <w:r>
              <w:rPr>
                <w:b/>
                <w:noProof/>
                <w:sz w:val="16"/>
                <w:szCs w:val="16"/>
              </w:rPr>
              <w:t>2023</w:t>
            </w:r>
          </w:p>
        </w:tc>
        <w:tc>
          <w:tcPr>
            <w:tcW w:w="551" w:type="pct"/>
            <w:gridSpan w:val="2"/>
            <w:vAlign w:val="center"/>
          </w:tcPr>
          <w:p>
            <w:pPr>
              <w:spacing w:before="20" w:after="20"/>
              <w:jc w:val="center"/>
              <w:rPr>
                <w:noProof/>
                <w:sz w:val="16"/>
                <w:szCs w:val="16"/>
              </w:rPr>
            </w:pPr>
            <w:r>
              <w:rPr>
                <w:noProof/>
                <w:sz w:val="16"/>
                <w:szCs w:val="16"/>
              </w:rPr>
              <w:t>Anno</w:t>
            </w:r>
          </w:p>
          <w:p>
            <w:pPr>
              <w:spacing w:before="20" w:after="20"/>
              <w:jc w:val="center"/>
              <w:rPr>
                <w:b/>
                <w:noProof/>
                <w:sz w:val="16"/>
                <w:szCs w:val="16"/>
              </w:rPr>
            </w:pPr>
            <w:r>
              <w:rPr>
                <w:b/>
                <w:noProof/>
                <w:sz w:val="16"/>
                <w:szCs w:val="16"/>
              </w:rPr>
              <w:t>2024</w:t>
            </w:r>
          </w:p>
        </w:tc>
        <w:tc>
          <w:tcPr>
            <w:tcW w:w="551" w:type="pct"/>
            <w:shd w:val="clear" w:color="auto" w:fill="auto"/>
            <w:vAlign w:val="center"/>
          </w:tcPr>
          <w:p>
            <w:pPr>
              <w:spacing w:before="20" w:after="20"/>
              <w:jc w:val="center"/>
              <w:rPr>
                <w:noProof/>
                <w:sz w:val="16"/>
                <w:szCs w:val="16"/>
              </w:rPr>
            </w:pPr>
            <w:r>
              <w:rPr>
                <w:noProof/>
                <w:sz w:val="16"/>
                <w:szCs w:val="16"/>
              </w:rPr>
              <w:t>Anno</w:t>
            </w:r>
          </w:p>
          <w:p>
            <w:pPr>
              <w:spacing w:before="20" w:after="20"/>
              <w:jc w:val="center"/>
              <w:rPr>
                <w:b/>
                <w:noProof/>
                <w:sz w:val="16"/>
                <w:szCs w:val="16"/>
              </w:rPr>
            </w:pPr>
            <w:r>
              <w:rPr>
                <w:b/>
                <w:noProof/>
                <w:sz w:val="16"/>
                <w:szCs w:val="16"/>
              </w:rPr>
              <w:t>2025</w:t>
            </w:r>
          </w:p>
        </w:tc>
      </w:tr>
      <w:tr>
        <w:trPr>
          <w:trHeight w:val="289"/>
          <w:jc w:val="center"/>
        </w:trPr>
        <w:tc>
          <w:tcPr>
            <w:tcW w:w="3483" w:type="pct"/>
            <w:gridSpan w:val="5"/>
            <w:shd w:val="clear" w:color="auto" w:fill="auto"/>
          </w:tcPr>
          <w:p>
            <w:pPr>
              <w:spacing w:before="20" w:after="20"/>
              <w:rPr>
                <w:noProof/>
                <w:sz w:val="16"/>
                <w:szCs w:val="16"/>
              </w:rPr>
            </w:pPr>
            <w:r>
              <w:rPr>
                <w:b/>
                <w:noProof/>
                <w:sz w:val="16"/>
              </w:rPr>
              <w:sym w:font="Wingdings" w:char="F09F"/>
            </w:r>
            <w:r>
              <w:rPr>
                <w:b/>
                <w:noProof/>
                <w:sz w:val="16"/>
              </w:rPr>
              <w:t>Posti della tabella dell'organico (funzionari e agenti temporanei)</w:t>
            </w:r>
          </w:p>
        </w:tc>
        <w:tc>
          <w:tcPr>
            <w:tcW w:w="415" w:type="pct"/>
            <w:shd w:val="clear" w:color="auto" w:fill="auto"/>
            <w:vAlign w:val="center"/>
          </w:tcPr>
          <w:p>
            <w:pPr>
              <w:spacing w:before="20" w:after="20"/>
              <w:jc w:val="center"/>
              <w:rPr>
                <w:noProof/>
                <w:sz w:val="16"/>
                <w:szCs w:val="16"/>
              </w:rPr>
            </w:pPr>
          </w:p>
        </w:tc>
        <w:tc>
          <w:tcPr>
            <w:tcW w:w="551" w:type="pct"/>
            <w:gridSpan w:val="2"/>
          </w:tcPr>
          <w:p>
            <w:pPr>
              <w:jc w:val="center"/>
              <w:rPr>
                <w:noProof/>
                <w:sz w:val="16"/>
                <w:szCs w:val="16"/>
              </w:rPr>
            </w:pPr>
          </w:p>
        </w:tc>
        <w:tc>
          <w:tcPr>
            <w:tcW w:w="551" w:type="pct"/>
            <w:shd w:val="clear" w:color="auto" w:fill="auto"/>
            <w:vAlign w:val="center"/>
          </w:tcPr>
          <w:p>
            <w:pPr>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(in sede e negli uffici di rappresentanza della Commissione)</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(nelle delegazioni)</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08 01 05 01 (ricerca indiretta)</w:t>
            </w:r>
          </w:p>
        </w:tc>
        <w:tc>
          <w:tcPr>
            <w:tcW w:w="346" w:type="pct"/>
            <w:shd w:val="clear" w:color="auto" w:fill="auto"/>
            <w:vAlign w:val="center"/>
          </w:tcPr>
          <w:p>
            <w:pPr>
              <w:spacing w:beforeLines="20" w:before="48" w:afterLines="20" w:after="48"/>
              <w:jc w:val="center"/>
              <w:rPr>
                <w:noProof/>
                <w:sz w:val="16"/>
                <w:szCs w:val="16"/>
              </w:rPr>
            </w:pPr>
            <w:r>
              <w:rPr>
                <w:noProof/>
                <w:sz w:val="16"/>
                <w:szCs w:val="16"/>
              </w:rPr>
              <w:t>0,3</w:t>
            </w:r>
          </w:p>
        </w:tc>
        <w:tc>
          <w:tcPr>
            <w:tcW w:w="483" w:type="pct"/>
            <w:shd w:val="clear" w:color="auto" w:fill="auto"/>
            <w:vAlign w:val="center"/>
          </w:tcPr>
          <w:p>
            <w:pPr>
              <w:spacing w:beforeLines="20" w:before="48" w:afterLines="20" w:after="48"/>
              <w:jc w:val="center"/>
              <w:rPr>
                <w:noProof/>
                <w:sz w:val="16"/>
                <w:szCs w:val="16"/>
              </w:rPr>
            </w:pPr>
            <w:r>
              <w:rPr>
                <w:noProof/>
                <w:sz w:val="16"/>
                <w:szCs w:val="16"/>
              </w:rPr>
              <w:t>0,5</w:t>
            </w:r>
          </w:p>
        </w:tc>
        <w:tc>
          <w:tcPr>
            <w:tcW w:w="484" w:type="pct"/>
            <w:shd w:val="clear" w:color="auto" w:fill="auto"/>
            <w:vAlign w:val="center"/>
          </w:tcPr>
          <w:p>
            <w:pPr>
              <w:spacing w:beforeLines="20" w:before="48" w:afterLines="20" w:after="48"/>
              <w:jc w:val="center"/>
              <w:rPr>
                <w:noProof/>
                <w:sz w:val="16"/>
                <w:szCs w:val="16"/>
              </w:rPr>
            </w:pPr>
            <w:r>
              <w:rPr>
                <w:noProof/>
                <w:sz w:val="16"/>
                <w:szCs w:val="16"/>
              </w:rPr>
              <w:t>0,5</w:t>
            </w:r>
          </w:p>
        </w:tc>
        <w:tc>
          <w:tcPr>
            <w:tcW w:w="415" w:type="pct"/>
            <w:shd w:val="clear" w:color="auto" w:fill="auto"/>
            <w:vAlign w:val="center"/>
          </w:tcPr>
          <w:p>
            <w:pPr>
              <w:spacing w:beforeLines="20" w:before="48" w:afterLines="20" w:after="48"/>
              <w:jc w:val="center"/>
              <w:rPr>
                <w:noProof/>
                <w:sz w:val="16"/>
                <w:szCs w:val="16"/>
              </w:rPr>
            </w:pPr>
            <w:r>
              <w:rPr>
                <w:noProof/>
                <w:sz w:val="16"/>
                <w:szCs w:val="16"/>
              </w:rPr>
              <w:t>0,5</w:t>
            </w:r>
          </w:p>
        </w:tc>
        <w:tc>
          <w:tcPr>
            <w:tcW w:w="551" w:type="pct"/>
            <w:gridSpan w:val="2"/>
          </w:tcPr>
          <w:p>
            <w:pPr>
              <w:spacing w:beforeLines="20" w:before="48" w:afterLines="20" w:after="48"/>
              <w:jc w:val="center"/>
              <w:rPr>
                <w:noProof/>
                <w:sz w:val="16"/>
                <w:szCs w:val="16"/>
              </w:rPr>
            </w:pPr>
            <w:r>
              <w:rPr>
                <w:noProof/>
                <w:sz w:val="16"/>
                <w:szCs w:val="16"/>
              </w:rPr>
              <w:t>0,5</w:t>
            </w:r>
          </w:p>
        </w:tc>
        <w:tc>
          <w:tcPr>
            <w:tcW w:w="551" w:type="pct"/>
            <w:shd w:val="clear" w:color="auto" w:fill="auto"/>
            <w:vAlign w:val="center"/>
          </w:tcPr>
          <w:p>
            <w:pPr>
              <w:spacing w:beforeLines="20" w:before="48" w:afterLines="20" w:after="48"/>
              <w:jc w:val="center"/>
              <w:rPr>
                <w:noProof/>
                <w:sz w:val="16"/>
                <w:szCs w:val="16"/>
              </w:rPr>
            </w:pPr>
            <w:r>
              <w:rPr>
                <w:noProof/>
                <w:sz w:val="16"/>
                <w:szCs w:val="16"/>
              </w:rPr>
              <w:t>0,2</w:t>
            </w: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(ricerca diretta)</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gridAfter w:val="2"/>
          <w:wAfter w:w="736" w:type="pct"/>
          <w:trHeight w:val="248"/>
          <w:jc w:val="center"/>
        </w:trPr>
        <w:tc>
          <w:tcPr>
            <w:tcW w:w="3483"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Personale esterno (in equivalenti a tempo pieno: ETP)</w:t>
            </w:r>
            <w:r>
              <w:rPr>
                <w:rStyle w:val="FootnoteReference"/>
                <w:b/>
                <w:noProof/>
                <w:sz w:val="16"/>
              </w:rPr>
              <w:footnoteReference w:id="26"/>
            </w:r>
          </w:p>
          <w:p>
            <w:pPr>
              <w:pStyle w:val="Text1"/>
              <w:spacing w:before="0" w:after="0"/>
              <w:ind w:left="0"/>
              <w:jc w:val="left"/>
              <w:rPr>
                <w:noProof/>
                <w:sz w:val="16"/>
                <w:szCs w:val="16"/>
              </w:rPr>
            </w:pPr>
          </w:p>
        </w:tc>
        <w:tc>
          <w:tcPr>
            <w:tcW w:w="781" w:type="pct"/>
            <w:gridSpan w:val="2"/>
          </w:tcPr>
          <w:p>
            <w:pPr>
              <w:pStyle w:val="Text1"/>
              <w:spacing w:before="60" w:after="60"/>
              <w:ind w:left="0"/>
              <w:jc w:val="left"/>
              <w:rPr>
                <w:b/>
                <w:noProof/>
                <w:sz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e INT della dotazione globale)</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e JED nelle delegazioni)</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1019"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27"/>
            </w:r>
          </w:p>
          <w:p>
            <w:pPr>
              <w:pStyle w:val="Text1"/>
              <w:spacing w:beforeLines="20" w:before="48" w:afterLines="20" w:after="48"/>
              <w:ind w:left="136"/>
              <w:jc w:val="left"/>
              <w:rPr>
                <w:b/>
                <w:noProof/>
                <w:sz w:val="16"/>
                <w:szCs w:val="16"/>
              </w:rPr>
            </w:pPr>
          </w:p>
        </w:tc>
        <w:tc>
          <w:tcPr>
            <w:tcW w:w="1151" w:type="pct"/>
            <w:shd w:val="clear" w:color="auto" w:fill="auto"/>
            <w:vAlign w:val="center"/>
          </w:tcPr>
          <w:p>
            <w:pPr>
              <w:pStyle w:val="Text1"/>
              <w:spacing w:beforeLines="20" w:before="48" w:afterLines="20" w:after="48"/>
              <w:ind w:left="136"/>
              <w:jc w:val="left"/>
              <w:rPr>
                <w:b/>
                <w:noProof/>
                <w:sz w:val="16"/>
                <w:szCs w:val="16"/>
              </w:rPr>
            </w:pPr>
            <w:r>
              <w:rPr>
                <w:noProof/>
                <w:sz w:val="16"/>
              </w:rPr>
              <w:t>- in sede</w:t>
            </w:r>
          </w:p>
          <w:p>
            <w:pPr>
              <w:pStyle w:val="Text1"/>
              <w:spacing w:beforeLines="20" w:before="48" w:afterLines="20" w:after="48"/>
              <w:ind w:left="136"/>
              <w:jc w:val="left"/>
              <w:rPr>
                <w:b/>
                <w:noProof/>
                <w:sz w:val="16"/>
                <w:szCs w:val="16"/>
              </w:rPr>
            </w:pPr>
          </w:p>
        </w:tc>
        <w:tc>
          <w:tcPr>
            <w:tcW w:w="346" w:type="pct"/>
            <w:shd w:val="clear" w:color="auto" w:fill="auto"/>
            <w:vAlign w:val="center"/>
          </w:tcPr>
          <w:p>
            <w:pPr>
              <w:pStyle w:val="Text1"/>
              <w:spacing w:beforeLines="20" w:before="48" w:afterLines="20" w:after="48"/>
              <w:ind w:left="0"/>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1019" w:type="pct"/>
            <w:vMerge/>
            <w:shd w:val="clear" w:color="auto" w:fill="auto"/>
            <w:vAlign w:val="center"/>
          </w:tcPr>
          <w:p>
            <w:pPr>
              <w:pStyle w:val="Text1"/>
              <w:spacing w:beforeLines="20" w:before="48" w:afterLines="20" w:after="48"/>
              <w:ind w:left="136"/>
              <w:jc w:val="left"/>
              <w:rPr>
                <w:b/>
                <w:noProof/>
                <w:sz w:val="16"/>
                <w:szCs w:val="16"/>
              </w:rPr>
            </w:pPr>
          </w:p>
        </w:tc>
        <w:tc>
          <w:tcPr>
            <w:tcW w:w="115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nelle delegazioni </w:t>
            </w:r>
          </w:p>
        </w:tc>
        <w:tc>
          <w:tcPr>
            <w:tcW w:w="346" w:type="pct"/>
            <w:shd w:val="clear" w:color="auto" w:fill="auto"/>
            <w:vAlign w:val="center"/>
          </w:tcPr>
          <w:p>
            <w:pPr>
              <w:pStyle w:val="Text1"/>
              <w:spacing w:beforeLines="20" w:before="48" w:afterLines="20" w:after="48"/>
              <w:ind w:left="0"/>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(AC, END, INT – ricerca indiretta)</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e INT – ricerca diretta)</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Altre linee di bilancio (specificare)</w:t>
            </w:r>
          </w:p>
        </w:tc>
        <w:tc>
          <w:tcPr>
            <w:tcW w:w="34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51" w:type="pct"/>
            <w:gridSpan w:val="2"/>
            <w:tcBorders>
              <w:bottom w:val="double" w:sz="4" w:space="0" w:color="auto"/>
            </w:tcBorders>
          </w:tcPr>
          <w:p>
            <w:pPr>
              <w:spacing w:beforeLines="20" w:before="48" w:afterLines="20" w:after="48"/>
              <w:jc w:val="center"/>
              <w:rPr>
                <w:noProof/>
                <w:sz w:val="16"/>
                <w:szCs w:val="16"/>
              </w:rPr>
            </w:pPr>
          </w:p>
        </w:tc>
        <w:tc>
          <w:tcPr>
            <w:tcW w:w="551"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TOTALE</w:t>
            </w:r>
          </w:p>
        </w:tc>
        <w:tc>
          <w:tcPr>
            <w:tcW w:w="346"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0,3</w:t>
            </w:r>
          </w:p>
        </w:tc>
        <w:tc>
          <w:tcPr>
            <w:tcW w:w="483"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0,5</w:t>
            </w:r>
          </w:p>
        </w:tc>
        <w:tc>
          <w:tcPr>
            <w:tcW w:w="484"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0,5</w:t>
            </w:r>
          </w:p>
        </w:tc>
        <w:tc>
          <w:tcPr>
            <w:tcW w:w="415"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0,5</w:t>
            </w:r>
          </w:p>
        </w:tc>
        <w:tc>
          <w:tcPr>
            <w:tcW w:w="551" w:type="pct"/>
            <w:gridSpan w:val="2"/>
            <w:tcBorders>
              <w:top w:val="double" w:sz="4" w:space="0" w:color="auto"/>
            </w:tcBorders>
          </w:tcPr>
          <w:p>
            <w:pPr>
              <w:spacing w:beforeLines="20" w:before="48" w:afterLines="20" w:after="48"/>
              <w:jc w:val="center"/>
              <w:rPr>
                <w:b/>
                <w:noProof/>
                <w:sz w:val="16"/>
                <w:szCs w:val="16"/>
              </w:rPr>
            </w:pPr>
            <w:r>
              <w:rPr>
                <w:noProof/>
                <w:sz w:val="16"/>
                <w:szCs w:val="16"/>
              </w:rPr>
              <w:t>0,5</w:t>
            </w:r>
          </w:p>
        </w:tc>
        <w:tc>
          <w:tcPr>
            <w:tcW w:w="551"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0,2</w:t>
            </w:r>
          </w:p>
        </w:tc>
      </w:tr>
    </w:tbl>
    <w:p>
      <w:pPr>
        <w:pStyle w:val="Text1"/>
        <w:spacing w:before="60" w:after="60"/>
        <w:ind w:left="851"/>
        <w:rPr>
          <w:noProof/>
          <w:sz w:val="18"/>
          <w:szCs w:val="18"/>
        </w:rPr>
      </w:pPr>
      <w:r>
        <w:rPr>
          <w:b/>
          <w:noProof/>
          <w:sz w:val="18"/>
          <w:szCs w:val="18"/>
        </w:rPr>
        <w:t>XX</w:t>
      </w:r>
      <w:r>
        <w:rPr>
          <w:noProof/>
          <w:sz w:val="18"/>
          <w:szCs w:val="18"/>
        </w:rPr>
        <w:t xml:space="preserve"> è il settore o il titolo di bilancio interessato.</w:t>
      </w:r>
    </w:p>
    <w:p>
      <w:pPr>
        <w:pStyle w:val="Text1"/>
        <w:rPr>
          <w:noProof/>
          <w:sz w:val="18"/>
          <w:szCs w:val="18"/>
        </w:rPr>
      </w:pPr>
      <w:r>
        <w:rPr>
          <w:noProof/>
          <w:sz w:val="18"/>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rPr>
          <w:noProof/>
          <w:sz w:val="20"/>
        </w:rPr>
      </w:pPr>
      <w:r>
        <w:rPr>
          <w:noProof/>
          <w:sz w:val="20"/>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Funzionari e agenti temporanei</w:t>
            </w:r>
          </w:p>
        </w:tc>
        <w:tc>
          <w:tcPr>
            <w:tcW w:w="7200" w:type="dxa"/>
          </w:tcPr>
          <w:p>
            <w:pPr>
              <w:rPr>
                <w:noProof/>
                <w:sz w:val="20"/>
              </w:rPr>
            </w:pPr>
            <w:r>
              <w:rPr>
                <w:noProof/>
                <w:sz w:val="20"/>
              </w:rPr>
              <w:t>Preparazione e gestione delle riunioni del gruppo consultivo paritetico istituito a norma dell'articolo 6, lettera b), dell'accordo, nonché follow-up del funzionamento e dell'attuazione dell'accordo.</w:t>
            </w:r>
          </w:p>
          <w:p>
            <w:pPr>
              <w:rPr>
                <w:noProof/>
                <w:sz w:val="20"/>
              </w:rPr>
            </w:pPr>
            <w:r>
              <w:rPr>
                <w:noProof/>
                <w:sz w:val="20"/>
              </w:rPr>
              <w:t>I calcoli sono effettuati in modo proporzionale tenendo conto della durata dell'accordo.</w:t>
            </w:r>
          </w:p>
        </w:tc>
      </w:tr>
      <w:tr>
        <w:tc>
          <w:tcPr>
            <w:tcW w:w="3240" w:type="dxa"/>
          </w:tcPr>
          <w:p>
            <w:pPr>
              <w:spacing w:before="60" w:after="60"/>
              <w:rPr>
                <w:noProof/>
                <w:sz w:val="20"/>
              </w:rPr>
            </w:pPr>
            <w:r>
              <w:rPr>
                <w:noProof/>
                <w:sz w:val="20"/>
              </w:rPr>
              <w:t>Personale esterno</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Compatibilità con il quadro finanziario pluriennale attuale </w:t>
      </w:r>
    </w:p>
    <w:p>
      <w:pPr>
        <w:pStyle w:val="ListDash1"/>
        <w:rPr>
          <w:noProof/>
        </w:rPr>
      </w:pPr>
      <w:r>
        <w:rPr>
          <w:noProof/>
        </w:rPr>
        <w:sym w:font="Wingdings" w:char="F0FE"/>
      </w:r>
      <w:r>
        <w:rPr>
          <w:noProof/>
        </w:rPr>
        <w:t xml:space="preserve"> La proposta/iniziativa è compatibile con il quadro finanziario pluriennale attuale.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Il quadro finanziario pluriennale per il periodo 2021-2027 è ancora in attesa di adozione da parte del Parlamento europeo e del Consiglio.</w:t>
      </w:r>
    </w:p>
    <w:p>
      <w:pPr>
        <w:rPr>
          <w:noProof/>
        </w:rPr>
      </w:pPr>
    </w:p>
    <w:p>
      <w:pPr>
        <w:pStyle w:val="ManualHeading3"/>
        <w:rPr>
          <w:bCs/>
          <w:noProof/>
          <w:szCs w:val="24"/>
        </w:rPr>
      </w:pPr>
      <w:r>
        <w:rPr>
          <w:noProof/>
        </w:rPr>
        <w:t>3.2.5.</w:t>
      </w:r>
      <w:r>
        <w:rPr>
          <w:noProof/>
        </w:rPr>
        <w:tab/>
        <w:t xml:space="preserve">Partecipazione di terzi al finanziamento </w:t>
      </w:r>
    </w:p>
    <w:p>
      <w:pPr>
        <w:pStyle w:val="ListDash1"/>
        <w:rPr>
          <w:noProof/>
        </w:rPr>
      </w:pPr>
      <w:r>
        <w:rPr>
          <w:noProof/>
        </w:rPr>
        <w:sym w:font="Wingdings" w:char="F0FE"/>
      </w:r>
      <w:r>
        <w:rPr>
          <w:noProof/>
        </w:rPr>
        <w:tab/>
        <w:t xml:space="preserve">La proposta/iniziativa non prevede cofinanziamenti da terzi. </w:t>
      </w:r>
    </w:p>
    <w:p>
      <w:pPr>
        <w:rPr>
          <w:noProof/>
        </w:rPr>
      </w:pPr>
    </w:p>
    <w:p>
      <w:pPr>
        <w:jc w:val="right"/>
        <w:rPr>
          <w:noProof/>
          <w:sz w:val="20"/>
        </w:rPr>
      </w:pPr>
      <w:r>
        <w:rPr>
          <w:noProof/>
          <w:sz w:val="20"/>
        </w:rPr>
        <w:t>Stanziamenti in Mio di EUR (al terzo decimale)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szCs w:val="20"/>
              </w:rPr>
            </w:pPr>
            <w:r>
              <w:rPr>
                <w:noProof/>
                <w:sz w:val="20"/>
                <w:szCs w:val="20"/>
              </w:rPr>
              <w:t>Anno</w:t>
            </w:r>
            <w:r>
              <w:rPr>
                <w:noProof/>
                <w:sz w:val="20"/>
                <w:szCs w:val="20"/>
              </w:rPr>
              <w:br/>
            </w:r>
            <w:r>
              <w:rPr>
                <w:b/>
                <w:noProof/>
                <w:sz w:val="20"/>
                <w:szCs w:val="20"/>
              </w:rPr>
              <w:t>N</w:t>
            </w:r>
          </w:p>
        </w:tc>
        <w:tc>
          <w:tcPr>
            <w:tcW w:w="964" w:type="dxa"/>
            <w:vAlign w:val="center"/>
          </w:tcPr>
          <w:p>
            <w:pPr>
              <w:jc w:val="center"/>
              <w:rPr>
                <w:noProof/>
                <w:sz w:val="20"/>
                <w:szCs w:val="20"/>
              </w:rPr>
            </w:pPr>
            <w:r>
              <w:rPr>
                <w:noProof/>
                <w:sz w:val="20"/>
                <w:szCs w:val="20"/>
              </w:rPr>
              <w:t>Anno</w:t>
            </w:r>
            <w:r>
              <w:rPr>
                <w:noProof/>
                <w:sz w:val="20"/>
                <w:szCs w:val="20"/>
              </w:rPr>
              <w:br/>
            </w:r>
            <w:r>
              <w:rPr>
                <w:b/>
                <w:noProof/>
                <w:sz w:val="20"/>
                <w:szCs w:val="20"/>
              </w:rPr>
              <w:t>N+1</w:t>
            </w:r>
          </w:p>
        </w:tc>
        <w:tc>
          <w:tcPr>
            <w:tcW w:w="964" w:type="dxa"/>
            <w:vAlign w:val="center"/>
          </w:tcPr>
          <w:p>
            <w:pPr>
              <w:jc w:val="center"/>
              <w:rPr>
                <w:noProof/>
                <w:sz w:val="20"/>
                <w:szCs w:val="20"/>
              </w:rPr>
            </w:pPr>
            <w:r>
              <w:rPr>
                <w:noProof/>
                <w:sz w:val="20"/>
                <w:szCs w:val="20"/>
              </w:rPr>
              <w:t>Anno</w:t>
            </w:r>
            <w:r>
              <w:rPr>
                <w:noProof/>
                <w:sz w:val="20"/>
                <w:szCs w:val="20"/>
              </w:rPr>
              <w:br/>
            </w:r>
            <w:r>
              <w:rPr>
                <w:b/>
                <w:noProof/>
                <w:sz w:val="20"/>
                <w:szCs w:val="20"/>
              </w:rPr>
              <w:t>N+2</w:t>
            </w:r>
          </w:p>
        </w:tc>
        <w:tc>
          <w:tcPr>
            <w:tcW w:w="964" w:type="dxa"/>
            <w:vAlign w:val="center"/>
          </w:tcPr>
          <w:p>
            <w:pPr>
              <w:jc w:val="center"/>
              <w:rPr>
                <w:noProof/>
                <w:sz w:val="20"/>
                <w:szCs w:val="20"/>
              </w:rPr>
            </w:pPr>
            <w:r>
              <w:rPr>
                <w:noProof/>
                <w:sz w:val="20"/>
                <w:szCs w:val="20"/>
              </w:rPr>
              <w:t>Anno</w:t>
            </w:r>
            <w:r>
              <w:rPr>
                <w:noProof/>
                <w:sz w:val="20"/>
                <w:szCs w:val="20"/>
              </w:rPr>
              <w:br/>
            </w:r>
            <w:r>
              <w:rPr>
                <w:b/>
                <w:noProof/>
                <w:sz w:val="20"/>
                <w:szCs w:val="20"/>
              </w:rPr>
              <w:t>N+3</w:t>
            </w:r>
          </w:p>
        </w:tc>
        <w:tc>
          <w:tcPr>
            <w:tcW w:w="2892" w:type="dxa"/>
            <w:gridSpan w:val="3"/>
            <w:vAlign w:val="center"/>
          </w:tcPr>
          <w:p>
            <w:pPr>
              <w:jc w:val="center"/>
              <w:rPr>
                <w:b/>
                <w:noProof/>
                <w:sz w:val="20"/>
                <w:szCs w:val="20"/>
              </w:rPr>
            </w:pPr>
            <w:r>
              <w:rPr>
                <w:noProof/>
                <w:sz w:val="20"/>
                <w:szCs w:val="20"/>
              </w:rPr>
              <w:t>Inserire gli anni necessari per evidenziare la durata dell'incidenza (cfr. punto 1.6)</w:t>
            </w:r>
          </w:p>
        </w:tc>
        <w:tc>
          <w:tcPr>
            <w:tcW w:w="1158" w:type="dxa"/>
            <w:vAlign w:val="center"/>
          </w:tcPr>
          <w:p>
            <w:pPr>
              <w:spacing w:before="60" w:after="60"/>
              <w:jc w:val="center"/>
              <w:rPr>
                <w:noProof/>
                <w:sz w:val="20"/>
              </w:rPr>
            </w:pPr>
            <w:r>
              <w:rPr>
                <w:noProof/>
                <w:sz w:val="20"/>
              </w:rPr>
              <w:t>Totale</w:t>
            </w:r>
          </w:p>
        </w:tc>
      </w:tr>
      <w:tr>
        <w:trPr>
          <w:cantSplit/>
        </w:trPr>
        <w:tc>
          <w:tcPr>
            <w:tcW w:w="2340" w:type="dxa"/>
          </w:tcPr>
          <w:p>
            <w:pPr>
              <w:rPr>
                <w:noProof/>
                <w:sz w:val="22"/>
              </w:rPr>
            </w:pPr>
            <w:r>
              <w:rPr>
                <w:noProof/>
                <w:sz w:val="20"/>
              </w:rPr>
              <w:t>Specificare l'organismo di cofinanziamento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TOTALE degli stanziamenti cofinanziati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t>3.3.</w:t>
      </w:r>
      <w:r>
        <w:rPr>
          <w:noProof/>
        </w:rPr>
        <w:tab/>
        <w:t xml:space="preserve">Incidenza prevista sulle entrate </w:t>
      </w:r>
    </w:p>
    <w:p>
      <w:pPr>
        <w:pStyle w:val="ListDash1"/>
        <w:rPr>
          <w:noProof/>
        </w:rPr>
      </w:pPr>
      <w:r>
        <w:rPr>
          <w:noProof/>
        </w:rPr>
        <w:sym w:font="Wingdings" w:char="F0FE"/>
      </w:r>
      <w:r>
        <w:rPr>
          <w:noProof/>
        </w:rPr>
        <w:tab/>
        <w:t>La proposta/iniziativa non ha incidenza finanziaria sulle entrate.</w:t>
      </w:r>
    </w:p>
    <w:p>
      <w:pPr>
        <w:rPr>
          <w:noProof/>
        </w:rPr>
      </w:pPr>
    </w:p>
    <w:p>
      <w:pPr>
        <w:jc w:val="center"/>
        <w:rPr>
          <w:i/>
          <w:noProof/>
          <w:sz w:val="20"/>
        </w:rPr>
      </w:pPr>
      <w:r>
        <w:rPr>
          <w:noProof/>
        </w:rPr>
        <w:t>Mio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Linea di bilancio delle entrate:</w:t>
            </w:r>
          </w:p>
        </w:tc>
        <w:tc>
          <w:tcPr>
            <w:tcW w:w="1276" w:type="dxa"/>
            <w:vMerge w:val="restart"/>
            <w:vAlign w:val="center"/>
          </w:tcPr>
          <w:p>
            <w:pPr>
              <w:jc w:val="center"/>
              <w:rPr>
                <w:noProof/>
                <w:sz w:val="18"/>
              </w:rPr>
            </w:pPr>
            <w:r>
              <w:rPr>
                <w:noProof/>
                <w:sz w:val="18"/>
              </w:rPr>
              <w:t>Stanziamenti disponibili per l'esercizio in corso</w:t>
            </w:r>
          </w:p>
        </w:tc>
        <w:tc>
          <w:tcPr>
            <w:tcW w:w="7200" w:type="dxa"/>
            <w:gridSpan w:val="7"/>
            <w:vAlign w:val="center"/>
          </w:tcPr>
          <w:p>
            <w:pPr>
              <w:jc w:val="center"/>
              <w:rPr>
                <w:noProof/>
                <w:sz w:val="18"/>
              </w:rPr>
            </w:pPr>
            <w:r>
              <w:rPr>
                <w:noProof/>
                <w:sz w:val="18"/>
              </w:rPr>
              <w:t>Incidenza della proposta/iniziativa</w:t>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szCs w:val="18"/>
              </w:rPr>
            </w:pPr>
            <w:r>
              <w:rPr>
                <w:noProof/>
                <w:sz w:val="18"/>
                <w:szCs w:val="18"/>
              </w:rPr>
              <w:t>Anno</w:t>
            </w:r>
            <w:r>
              <w:rPr>
                <w:noProof/>
                <w:sz w:val="18"/>
                <w:szCs w:val="18"/>
              </w:rPr>
              <w:br/>
            </w:r>
            <w:r>
              <w:rPr>
                <w:b/>
                <w:noProof/>
                <w:sz w:val="18"/>
                <w:szCs w:val="18"/>
              </w:rPr>
              <w:t>N</w:t>
            </w:r>
          </w:p>
        </w:tc>
        <w:tc>
          <w:tcPr>
            <w:tcW w:w="900" w:type="dxa"/>
            <w:vAlign w:val="center"/>
          </w:tcPr>
          <w:p>
            <w:pPr>
              <w:jc w:val="center"/>
              <w:rPr>
                <w:noProof/>
                <w:sz w:val="18"/>
                <w:szCs w:val="18"/>
              </w:rPr>
            </w:pPr>
            <w:r>
              <w:rPr>
                <w:noProof/>
                <w:sz w:val="18"/>
                <w:szCs w:val="18"/>
              </w:rPr>
              <w:t>Anno</w:t>
            </w:r>
            <w:r>
              <w:rPr>
                <w:noProof/>
                <w:sz w:val="18"/>
                <w:szCs w:val="18"/>
              </w:rPr>
              <w:br/>
            </w:r>
            <w:r>
              <w:rPr>
                <w:b/>
                <w:noProof/>
                <w:sz w:val="18"/>
                <w:szCs w:val="18"/>
              </w:rPr>
              <w:t>N+1</w:t>
            </w:r>
          </w:p>
        </w:tc>
        <w:tc>
          <w:tcPr>
            <w:tcW w:w="900" w:type="dxa"/>
            <w:vAlign w:val="center"/>
          </w:tcPr>
          <w:p>
            <w:pPr>
              <w:jc w:val="center"/>
              <w:rPr>
                <w:noProof/>
                <w:sz w:val="18"/>
                <w:szCs w:val="18"/>
              </w:rPr>
            </w:pPr>
            <w:r>
              <w:rPr>
                <w:noProof/>
                <w:sz w:val="18"/>
                <w:szCs w:val="18"/>
              </w:rPr>
              <w:t>Anno</w:t>
            </w:r>
            <w:r>
              <w:rPr>
                <w:noProof/>
                <w:sz w:val="18"/>
                <w:szCs w:val="18"/>
              </w:rPr>
              <w:br/>
            </w:r>
            <w:r>
              <w:rPr>
                <w:b/>
                <w:noProof/>
                <w:sz w:val="18"/>
                <w:szCs w:val="18"/>
              </w:rPr>
              <w:t>N+2</w:t>
            </w:r>
          </w:p>
        </w:tc>
        <w:tc>
          <w:tcPr>
            <w:tcW w:w="1080" w:type="dxa"/>
            <w:vAlign w:val="center"/>
          </w:tcPr>
          <w:p>
            <w:pPr>
              <w:jc w:val="center"/>
              <w:rPr>
                <w:noProof/>
                <w:sz w:val="18"/>
                <w:szCs w:val="18"/>
              </w:rPr>
            </w:pPr>
            <w:r>
              <w:rPr>
                <w:noProof/>
                <w:sz w:val="18"/>
                <w:szCs w:val="18"/>
              </w:rPr>
              <w:t>Anno</w:t>
            </w:r>
            <w:r>
              <w:rPr>
                <w:noProof/>
                <w:sz w:val="18"/>
                <w:szCs w:val="18"/>
              </w:rPr>
              <w:br/>
            </w:r>
            <w:r>
              <w:rPr>
                <w:b/>
                <w:noProof/>
                <w:sz w:val="18"/>
                <w:szCs w:val="18"/>
              </w:rPr>
              <w:t>N+3</w:t>
            </w:r>
          </w:p>
        </w:tc>
        <w:tc>
          <w:tcPr>
            <w:tcW w:w="3240" w:type="dxa"/>
            <w:gridSpan w:val="3"/>
            <w:vAlign w:val="center"/>
          </w:tcPr>
          <w:p>
            <w:pPr>
              <w:jc w:val="center"/>
              <w:rPr>
                <w:b/>
                <w:noProof/>
                <w:sz w:val="18"/>
              </w:rPr>
            </w:pPr>
            <w:r>
              <w:rPr>
                <w:noProof/>
                <w:sz w:val="18"/>
              </w:rPr>
              <w:t>Inserire gli anni necessari per evidenziare la durata dell'incidenza (cfr. punto 1.6)</w:t>
            </w:r>
          </w:p>
        </w:tc>
      </w:tr>
      <w:tr>
        <w:trPr>
          <w:trHeight w:val="388"/>
        </w:trPr>
        <w:tc>
          <w:tcPr>
            <w:tcW w:w="2144" w:type="dxa"/>
            <w:vAlign w:val="center"/>
          </w:tcPr>
          <w:p>
            <w:pPr>
              <w:spacing w:before="40" w:after="40"/>
              <w:rPr>
                <w:noProof/>
                <w:sz w:val="18"/>
              </w:rPr>
            </w:pPr>
            <w:r>
              <w:rPr>
                <w:noProof/>
                <w:sz w:val="18"/>
              </w:rPr>
              <w:t>Articolo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Per quanto riguarda le entrate varie con destinazione specifica, precisare la linea o le linee di spesa interessate.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Precisare il metodo di calcolo dell'incidenza sulle entrate.</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GU L 213 del 9.8.2002, pag. 30.</w:t>
      </w:r>
    </w:p>
  </w:footnote>
  <w:footnote w:id="2">
    <w:p>
      <w:pPr>
        <w:pStyle w:val="FootnoteText"/>
      </w:pPr>
      <w:r>
        <w:rPr>
          <w:rStyle w:val="FootnoteReference"/>
        </w:rPr>
        <w:footnoteRef/>
      </w:r>
      <w:r>
        <w:tab/>
        <w:t>Decisione 2009/501/CE del Consiglio (GU L 171 dell'1.7.2009, pag. 17).</w:t>
      </w:r>
    </w:p>
  </w:footnote>
  <w:footnote w:id="3">
    <w:p>
      <w:pPr>
        <w:pStyle w:val="FootnoteText"/>
      </w:pPr>
      <w:r>
        <w:rPr>
          <w:rStyle w:val="FootnoteReference"/>
        </w:rPr>
        <w:footnoteRef/>
      </w:r>
      <w:r>
        <w:tab/>
        <w:t>Decisione 2015/1788/UE del Consiglio (GU L 260 del 7.10.2015, pag. 18).</w:t>
      </w:r>
    </w:p>
  </w:footnote>
  <w:footnote w:id="4">
    <w:p>
      <w:pPr>
        <w:pStyle w:val="FootnoteText"/>
      </w:pPr>
      <w:r>
        <w:rPr>
          <w:rStyle w:val="FootnoteReference"/>
        </w:rPr>
        <w:footnoteRef/>
      </w:r>
      <w:r>
        <w:tab/>
        <w:t>Regolamento (UE) n. 1291/2013 del Parlamento europeo e del Consiglio, dell'11 dicembre 2013, che istituisce il programma quadro di ricerca e innovazione (2014-2020) - Orizzonte 2020 e abroga la decisione n. 1982/2006/CE (GU L 347 del 20.12.2013, pag. 104).</w:t>
      </w:r>
    </w:p>
  </w:footnote>
  <w:footnote w:id="5">
    <w:p>
      <w:pPr>
        <w:pStyle w:val="FootnoteText"/>
        <w:ind w:left="142" w:hanging="142"/>
        <w:jc w:val="left"/>
      </w:pPr>
      <w:r>
        <w:rPr>
          <w:rStyle w:val="FootnoteReference"/>
        </w:rPr>
        <w:footnoteRef/>
      </w:r>
      <w:r>
        <w:tab/>
        <w:t>"</w:t>
      </w:r>
      <w:r>
        <w:rPr>
          <w:iCs/>
        </w:rPr>
        <w:t>Potenziare e concentrare la cooperazione internazionale dell'UE nelle attività di ricerca e innovazione</w:t>
      </w:r>
      <w:r>
        <w:t>:</w:t>
      </w:r>
      <w:r>
        <w:rPr>
          <w:iCs/>
        </w:rPr>
        <w:t xml:space="preserve"> un approccio strategico"</w:t>
      </w:r>
      <w:r>
        <w:t xml:space="preserve">, COM(2012) 497. </w:t>
      </w:r>
    </w:p>
  </w:footnote>
  <w:footnote w:id="6">
    <w:p>
      <w:pPr>
        <w:pStyle w:val="FootnoteText"/>
        <w:ind w:left="142" w:hanging="142"/>
      </w:pPr>
      <w:r>
        <w:rPr>
          <w:rStyle w:val="FootnoteReference"/>
        </w:rPr>
        <w:footnoteRef/>
      </w:r>
      <w:r>
        <w:tab/>
        <w:t>Comunicazione congiunta al Parlamento europeo e al Consiglio – "Elementi per una strategia dell'UE sull'India", JOIN(2018) 28.</w:t>
      </w:r>
    </w:p>
  </w:footnote>
  <w:footnote w:id="7">
    <w:p>
      <w:pPr>
        <w:pStyle w:val="FootnoteText"/>
        <w:ind w:left="142" w:hanging="142"/>
      </w:pPr>
      <w:r>
        <w:rPr>
          <w:rStyle w:val="FootnoteReference"/>
        </w:rPr>
        <w:footnoteRef/>
      </w:r>
      <w:r>
        <w:tab/>
        <w:t>Strategia dell'UE sull'India – Conclusioni del Consiglio 14634/18 (10 dicembre 2018, pag. 3).</w:t>
      </w:r>
    </w:p>
  </w:footnote>
  <w:footnote w:id="8">
    <w:p>
      <w:pPr>
        <w:pStyle w:val="FootnoteText"/>
      </w:pPr>
      <w:r>
        <w:rPr>
          <w:rStyle w:val="FootnoteReference"/>
        </w:rPr>
        <w:footnoteRef/>
      </w:r>
      <w:r>
        <w:tab/>
        <w:t>GU C , del , pag. .</w:t>
      </w:r>
    </w:p>
  </w:footnote>
  <w:footnote w:id="9">
    <w:p>
      <w:pPr>
        <w:pStyle w:val="FootnoteText"/>
      </w:pPr>
      <w:r>
        <w:rPr>
          <w:rStyle w:val="FootnoteReference"/>
        </w:rPr>
        <w:footnoteRef/>
      </w:r>
      <w:r>
        <w:tab/>
        <w:t>Decisione 2002/648/CE del Consiglio, del 25 giugno 2002, relativa alla conclusione dell'accordo di cooperazione scientifica e tecnologica tra la Comunità europea e il governo della Repubblica dell'India (GU L 213 del 9.8.2002, pag. 29).</w:t>
      </w:r>
    </w:p>
  </w:footnote>
  <w:footnote w:id="10">
    <w:p>
      <w:pPr>
        <w:pStyle w:val="FootnoteText"/>
      </w:pPr>
      <w:r>
        <w:rPr>
          <w:rStyle w:val="FootnoteReference"/>
        </w:rPr>
        <w:footnoteRef/>
      </w:r>
      <w:r>
        <w:tab/>
        <w:t>Accordo di cooperazione scientifica e tecnologica tra la Comunità europea e il governo della Repubblica dell'India (GU L 213 del 9.8.2002, pag. 30).</w:t>
      </w:r>
    </w:p>
  </w:footnote>
  <w:footnote w:id="11">
    <w:p>
      <w:pPr>
        <w:pStyle w:val="FootnoteText"/>
      </w:pPr>
      <w:r>
        <w:rPr>
          <w:rStyle w:val="FootnoteReference"/>
        </w:rPr>
        <w:footnoteRef/>
      </w:r>
      <w:r>
        <w:tab/>
        <w:t>Decisione 2009/501/CE del Consiglio, del 19 gennaio 2009, relativa alla conclusione di un accordo che rinnova l'accordo di cooperazione scientifica e tecnologica tra la Comunità europea e il governo della Repubblica dell'India (GU L 171 dell'1.7.2009, pag. 17).</w:t>
      </w:r>
    </w:p>
  </w:footnote>
  <w:footnote w:id="12">
    <w:p>
      <w:pPr>
        <w:pStyle w:val="FootnoteText"/>
      </w:pPr>
      <w:r>
        <w:rPr>
          <w:rStyle w:val="FootnoteReference"/>
        </w:rPr>
        <w:footnoteRef/>
      </w:r>
      <w:r>
        <w:tab/>
        <w:t>Decisione (UE) 2015/1788 del Consiglio, del 1° ottobre 2015, relativa al rinnovo dell'accordo di cooperazione scientifica e tecnologica tra la Comunità europea e il governo della Repubblica dell'India (GU L 260 del 7.10.2015, pag. 18).</w:t>
      </w:r>
    </w:p>
  </w:footnote>
  <w:footnote w:id="13">
    <w:p>
      <w:pPr>
        <w:pStyle w:val="FootnoteText"/>
        <w:rPr>
          <w:szCs w:val="24"/>
          <w:lang w:val="en-US"/>
        </w:rPr>
      </w:pPr>
      <w:r>
        <w:rPr>
          <w:rStyle w:val="FootnoteReference"/>
        </w:rPr>
        <w:footnoteRef/>
      </w:r>
      <w:r>
        <w:rPr>
          <w:lang w:val="en-US"/>
        </w:rPr>
        <w:tab/>
        <w:t xml:space="preserve">ABM: </w:t>
      </w:r>
      <w:r>
        <w:rPr>
          <w:i/>
          <w:iCs/>
          <w:lang w:val="en-US"/>
        </w:rPr>
        <w:t>activity-based management</w:t>
      </w:r>
      <w:r>
        <w:rPr>
          <w:lang w:val="en-US"/>
        </w:rPr>
        <w:t xml:space="preserve"> (gestione per attività) - ABB: </w:t>
      </w:r>
      <w:r>
        <w:rPr>
          <w:i/>
          <w:iCs/>
          <w:lang w:val="en-US"/>
        </w:rPr>
        <w:t>activity-based budgeting</w:t>
      </w:r>
      <w:r>
        <w:rPr>
          <w:lang w:val="en-US"/>
        </w:rPr>
        <w:t xml:space="preserve"> (bilancio per attività).</w:t>
      </w:r>
    </w:p>
  </w:footnote>
  <w:footnote w:id="14">
    <w:p>
      <w:pPr>
        <w:pStyle w:val="FootnoteText"/>
        <w:rPr>
          <w:szCs w:val="24"/>
        </w:rPr>
      </w:pPr>
      <w:r>
        <w:rPr>
          <w:rStyle w:val="FootnoteReference"/>
        </w:rPr>
        <w:footnoteRef/>
      </w:r>
      <w:r>
        <w:tab/>
        <w:t xml:space="preserve">Le spiegazioni sulle modalità di gestione e i riferimenti al regolamento finanziario sono disponibili sul sito BudgWeb: </w:t>
      </w:r>
      <w:hyperlink r:id="rId1" w:history="1">
        <w:r>
          <w:rPr>
            <w:rStyle w:val="Hyperlink"/>
            <w:sz w:val="18"/>
          </w:rPr>
          <w:t>http://www.cc.cec/budg/man/budgmanag/budgmanag_en.html</w:t>
        </w:r>
      </w:hyperlink>
    </w:p>
  </w:footnote>
  <w:footnote w:id="15">
    <w:p>
      <w:pPr>
        <w:pStyle w:val="FootnoteText"/>
        <w:ind w:left="709" w:hanging="709"/>
      </w:pPr>
      <w:r>
        <w:rPr>
          <w:rStyle w:val="FootnoteReference"/>
        </w:rPr>
        <w:footnoteRef/>
      </w:r>
      <w:r>
        <w:tab/>
        <w:t xml:space="preserve">Gli stanziamenti per il periodo 2021-2024 (quadro finanziario pluriennale 2021-2027) e la relativa base giuridica devono ancora essere adottati dal Parlamento europeo e dal Consiglio. </w:t>
      </w:r>
    </w:p>
  </w:footnote>
  <w:footnote w:id="16">
    <w:p>
      <w:pPr>
        <w:pStyle w:val="FootnoteText"/>
        <w:rPr>
          <w:szCs w:val="24"/>
        </w:rPr>
      </w:pPr>
      <w:r>
        <w:rPr>
          <w:rStyle w:val="FootnoteReference"/>
        </w:rPr>
        <w:footnoteRef/>
      </w:r>
      <w:r>
        <w:tab/>
        <w:t>Diss. = stanziamenti dissociati / Non diss. = stanziamenti non dissociati.</w:t>
      </w:r>
    </w:p>
  </w:footnote>
  <w:footnote w:id="17">
    <w:p>
      <w:pPr>
        <w:pStyle w:val="FootnoteText"/>
        <w:rPr>
          <w:szCs w:val="24"/>
        </w:rPr>
      </w:pPr>
      <w:r>
        <w:rPr>
          <w:rStyle w:val="FootnoteReference"/>
        </w:rPr>
        <w:footnoteRef/>
      </w:r>
      <w:r>
        <w:tab/>
        <w:t xml:space="preserve">EFTA: Associazione europea di libero scambio. </w:t>
      </w:r>
    </w:p>
  </w:footnote>
  <w:footnote w:id="18">
    <w:p>
      <w:pPr>
        <w:pStyle w:val="FootnoteText"/>
        <w:rPr>
          <w:szCs w:val="24"/>
        </w:rPr>
      </w:pPr>
      <w:r>
        <w:rPr>
          <w:rStyle w:val="FootnoteReference"/>
        </w:rPr>
        <w:footnoteRef/>
      </w:r>
      <w:r>
        <w:tab/>
        <w:t>Paesi candidati e, se del caso, paesi potenziali candidati dei Balcani occidentali.</w:t>
      </w:r>
    </w:p>
  </w:footnote>
  <w:footnote w:id="19">
    <w:p>
      <w:pPr>
        <w:pStyle w:val="FootnoteText"/>
        <w:rPr>
          <w:szCs w:val="24"/>
        </w:rPr>
      </w:pPr>
      <w:r>
        <w:rPr>
          <w:rStyle w:val="FootnoteReference"/>
        </w:rPr>
        <w:footnoteRef/>
      </w:r>
      <w:r>
        <w:tab/>
        <w:t>L'anno 2020 è l'anno in cui inizia a essere attuata la proposta/iniziativa. Gli importi per il 2020 e il 2025 corrispondono, rispettivamente, a sette mesi e cinque mesi.</w:t>
      </w:r>
    </w:p>
  </w:footnote>
  <w:footnote w:id="20">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21">
    <w:p>
      <w:pPr>
        <w:pStyle w:val="FootnoteText"/>
        <w:rPr>
          <w:szCs w:val="24"/>
        </w:rPr>
      </w:pPr>
      <w:r>
        <w:rPr>
          <w:rStyle w:val="FootnoteReference"/>
        </w:rPr>
        <w:footnoteRef/>
      </w:r>
      <w:r>
        <w:tab/>
        <w:t>L'anno 2020 è l'anno in cui inizia a essere attuata la proposta/iniziativa. Gli importi per il 2020 e il 2025 corrispondono, rispettivamente, a sette mesi e cinque mesi.</w:t>
      </w:r>
    </w:p>
  </w:footnote>
  <w:footnote w:id="22">
    <w:p>
      <w:pPr>
        <w:pStyle w:val="FootnoteText"/>
        <w:rPr>
          <w:szCs w:val="24"/>
        </w:rPr>
      </w:pPr>
      <w:r>
        <w:rPr>
          <w:rStyle w:val="FootnoteReference"/>
        </w:rPr>
        <w:footnoteRef/>
      </w:r>
      <w:r>
        <w:tab/>
        <w:t>I risultati sono i prodotti e i servizi da fornire (ad esempio, numero di scambi di studenti finanziati, numero di km di strada costruiti ecc.).</w:t>
      </w:r>
    </w:p>
  </w:footnote>
  <w:footnote w:id="23">
    <w:p>
      <w:pPr>
        <w:pStyle w:val="FootnoteText"/>
        <w:rPr>
          <w:szCs w:val="24"/>
        </w:rPr>
      </w:pPr>
      <w:r>
        <w:rPr>
          <w:rStyle w:val="FootnoteReference"/>
        </w:rPr>
        <w:footnoteRef/>
      </w:r>
      <w:r>
        <w:tab/>
        <w:t xml:space="preserve">Come descritto nella sezione 1.4.2. "Obiettivi specifici..." </w:t>
      </w:r>
    </w:p>
  </w:footnote>
  <w:footnote w:id="24">
    <w:p>
      <w:pPr>
        <w:pStyle w:val="FootnoteText"/>
        <w:rPr>
          <w:szCs w:val="24"/>
        </w:rPr>
      </w:pPr>
      <w:r>
        <w:rPr>
          <w:rStyle w:val="FootnoteReference"/>
        </w:rPr>
        <w:footnoteRef/>
      </w:r>
      <w:r>
        <w:tab/>
        <w:t>L'anno 2020 è l'anno in cui inizia a essere attuata la proposta/iniziativa. Gli importi per il 2020 e il 2025 corrispondono, rispettivamente, a sette mesi e cinque mesi.</w:t>
      </w:r>
    </w:p>
  </w:footnote>
  <w:footnote w:id="25">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26">
    <w:p>
      <w:pPr>
        <w:pStyle w:val="FootnoteText"/>
        <w:rPr>
          <w:szCs w:val="24"/>
        </w:rPr>
      </w:pPr>
      <w:r>
        <w:rPr>
          <w:rStyle w:val="FootnoteReference"/>
        </w:rPr>
        <w:footnoteRef/>
      </w:r>
      <w:r>
        <w:tab/>
        <w:t>AC = agente contrattuale; AL = agente locale; END = esperto nazionale distaccato; INT = personale interinale (</w:t>
      </w:r>
      <w:r>
        <w:rPr>
          <w:i/>
          <w:iCs/>
        </w:rPr>
        <w:t>intérimaire</w:t>
      </w:r>
      <w:r>
        <w:t>); JED = giovane esperto in delegazione (</w:t>
      </w:r>
      <w:r>
        <w:rPr>
          <w:i/>
          <w:iCs/>
        </w:rPr>
        <w:t>Junior Experts in Delegations</w:t>
      </w:r>
      <w:r>
        <w:t xml:space="preserve">). </w:t>
      </w:r>
    </w:p>
  </w:footnote>
  <w:footnote w:id="27">
    <w:p>
      <w:pPr>
        <w:pStyle w:val="FootnoteText"/>
        <w:rPr>
          <w:szCs w:val="24"/>
        </w:rPr>
      </w:pPr>
      <w:r>
        <w:rPr>
          <w:rStyle w:val="FootnoteReference"/>
        </w:rPr>
        <w:footnoteRef/>
      </w:r>
      <w:r>
        <w:tab/>
        <w:t>Sottomassimale per il personale esterno previsto dagli stanziamenti operativi (ex linee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B40A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5623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D4C29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DBC70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54A2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012C2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5"/>
  </w:num>
  <w:num w:numId="7">
    <w:abstractNumId w:val="4"/>
  </w:num>
  <w:num w:numId="8">
    <w:abstractNumId w:val="3"/>
  </w:num>
  <w:num w:numId="9">
    <w:abstractNumId w:val="2"/>
  </w:num>
  <w:num w:numId="10">
    <w:abstractNumId w:val="1"/>
  </w:num>
  <w:num w:numId="11">
    <w:abstractNumId w:val="0"/>
  </w:num>
  <w:num w:numId="12">
    <w:abstractNumId w:val="19"/>
  </w:num>
  <w:num w:numId="13">
    <w:abstractNumId w:val="11"/>
  </w:num>
  <w:num w:numId="14">
    <w:abstractNumId w:val="22"/>
  </w:num>
  <w:num w:numId="15">
    <w:abstractNumId w:val="10"/>
  </w:num>
  <w:num w:numId="16">
    <w:abstractNumId w:val="12"/>
  </w:num>
  <w:num w:numId="17">
    <w:abstractNumId w:val="8"/>
  </w:num>
  <w:num w:numId="18">
    <w:abstractNumId w:val="21"/>
  </w:num>
  <w:num w:numId="19">
    <w:abstractNumId w:val="7"/>
  </w:num>
  <w:num w:numId="20">
    <w:abstractNumId w:val="13"/>
  </w:num>
  <w:num w:numId="21">
    <w:abstractNumId w:val="17"/>
  </w:num>
  <w:num w:numId="22">
    <w:abstractNumId w:val="18"/>
  </w:num>
  <w:num w:numId="23">
    <w:abstractNumId w:val="9"/>
  </w:num>
  <w:num w:numId="24">
    <w:abstractNumId w:val="16"/>
  </w:num>
  <w:num w:numId="25">
    <w:abstractNumId w:val="24"/>
  </w:num>
  <w:num w:numId="26">
    <w:abstractNumId w:val="19"/>
  </w:num>
  <w:num w:numId="27">
    <w:abstractNumId w:val="11"/>
  </w:num>
  <w:num w:numId="28">
    <w:abstractNumId w:val="22"/>
  </w:num>
  <w:num w:numId="29">
    <w:abstractNumId w:val="10"/>
  </w:num>
  <w:num w:numId="30">
    <w:abstractNumId w:val="12"/>
  </w:num>
  <w:num w:numId="31">
    <w:abstractNumId w:val="8"/>
  </w:num>
  <w:num w:numId="32">
    <w:abstractNumId w:val="21"/>
  </w:num>
  <w:num w:numId="33">
    <w:abstractNumId w:val="7"/>
  </w:num>
  <w:num w:numId="34">
    <w:abstractNumId w:val="13"/>
  </w:num>
  <w:num w:numId="35">
    <w:abstractNumId w:val="17"/>
  </w:num>
  <w:num w:numId="36">
    <w:abstractNumId w:val="18"/>
  </w:num>
  <w:num w:numId="37">
    <w:abstractNumId w:val="9"/>
  </w:num>
  <w:num w:numId="38">
    <w:abstractNumId w:val="16"/>
  </w:num>
  <w:num w:numId="3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1-23 15:33:5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756BD0DD-225B-4640-8655-31ACEC094B61"/>
    <w:docVar w:name="LW_COVERPAGE_TYPE" w:val="1"/>
    <w:docVar w:name="LW_CROSSREFERENCE" w:val="&lt;UNUSED&gt;"/>
    <w:docVar w:name="LW_DocType" w:val="COM"/>
    <w:docVar w:name="LW_EMISSION" w:val="30.1.2020"/>
    <w:docVar w:name="LW_EMISSION_ISODATE" w:val="2020-01-30"/>
    <w:docVar w:name="LW_EMISSION_LOCATION" w:val="BRX"/>
    <w:docVar w:name="LW_EMISSION_PREFIX" w:val="Bruxelle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015"/>
    <w:docVar w:name="LW_REF.II.NEW.CP_YEAR" w:val="2020"/>
    <w:docVar w:name="LW_REF.INST.NEW" w:val="COM"/>
    <w:docVar w:name="LW_REF.INST.NEW_ADOPTED" w:val="final"/>
    <w:docVar w:name="LW_REF.INST.NEW_TEXT" w:val="(2020) 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relativa al rinnovo dell'accordo di cooperazione scientifica e tecnologica tra la Comunità europea e il governo della Repubblica dell'India"/>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1178">
      <w:bodyDiv w:val="1"/>
      <w:marLeft w:val="0"/>
      <w:marRight w:val="0"/>
      <w:marTop w:val="0"/>
      <w:marBottom w:val="0"/>
      <w:divBdr>
        <w:top w:val="none" w:sz="0" w:space="0" w:color="auto"/>
        <w:left w:val="none" w:sz="0" w:space="0" w:color="auto"/>
        <w:bottom w:val="none" w:sz="0" w:space="0" w:color="auto"/>
        <w:right w:val="none" w:sz="0" w:space="0" w:color="auto"/>
      </w:divBdr>
      <w:divsChild>
        <w:div w:id="1120030894">
          <w:marLeft w:val="0"/>
          <w:marRight w:val="0"/>
          <w:marTop w:val="0"/>
          <w:marBottom w:val="0"/>
          <w:divBdr>
            <w:top w:val="none" w:sz="0" w:space="0" w:color="auto"/>
            <w:left w:val="none" w:sz="0" w:space="0" w:color="auto"/>
            <w:bottom w:val="none" w:sz="0" w:space="0" w:color="auto"/>
            <w:right w:val="none" w:sz="0" w:space="0" w:color="auto"/>
          </w:divBdr>
          <w:divsChild>
            <w:div w:id="1186215024">
              <w:marLeft w:val="0"/>
              <w:marRight w:val="0"/>
              <w:marTop w:val="0"/>
              <w:marBottom w:val="0"/>
              <w:divBdr>
                <w:top w:val="none" w:sz="0" w:space="0" w:color="auto"/>
                <w:left w:val="none" w:sz="0" w:space="0" w:color="auto"/>
                <w:bottom w:val="none" w:sz="0" w:space="0" w:color="auto"/>
                <w:right w:val="none" w:sz="0" w:space="0" w:color="auto"/>
              </w:divBdr>
              <w:divsChild>
                <w:div w:id="1346325678">
                  <w:marLeft w:val="0"/>
                  <w:marRight w:val="0"/>
                  <w:marTop w:val="0"/>
                  <w:marBottom w:val="0"/>
                  <w:divBdr>
                    <w:top w:val="none" w:sz="0" w:space="0" w:color="auto"/>
                    <w:left w:val="none" w:sz="0" w:space="0" w:color="auto"/>
                    <w:bottom w:val="none" w:sz="0" w:space="0" w:color="auto"/>
                    <w:right w:val="none" w:sz="0" w:space="0" w:color="auto"/>
                  </w:divBdr>
                  <w:divsChild>
                    <w:div w:id="2143842657">
                      <w:marLeft w:val="-150"/>
                      <w:marRight w:val="-150"/>
                      <w:marTop w:val="0"/>
                      <w:marBottom w:val="0"/>
                      <w:divBdr>
                        <w:top w:val="none" w:sz="0" w:space="0" w:color="auto"/>
                        <w:left w:val="none" w:sz="0" w:space="0" w:color="auto"/>
                        <w:bottom w:val="none" w:sz="0" w:space="0" w:color="auto"/>
                        <w:right w:val="none" w:sz="0" w:space="0" w:color="auto"/>
                      </w:divBdr>
                      <w:divsChild>
                        <w:div w:id="1626623261">
                          <w:marLeft w:val="0"/>
                          <w:marRight w:val="0"/>
                          <w:marTop w:val="0"/>
                          <w:marBottom w:val="0"/>
                          <w:divBdr>
                            <w:top w:val="none" w:sz="0" w:space="0" w:color="auto"/>
                            <w:left w:val="none" w:sz="0" w:space="0" w:color="auto"/>
                            <w:bottom w:val="none" w:sz="0" w:space="0" w:color="auto"/>
                            <w:right w:val="none" w:sz="0" w:space="0" w:color="auto"/>
                          </w:divBdr>
                          <w:divsChild>
                            <w:div w:id="1792240737">
                              <w:marLeft w:val="0"/>
                              <w:marRight w:val="0"/>
                              <w:marTop w:val="0"/>
                              <w:marBottom w:val="0"/>
                              <w:divBdr>
                                <w:top w:val="none" w:sz="0" w:space="0" w:color="auto"/>
                                <w:left w:val="none" w:sz="0" w:space="0" w:color="auto"/>
                                <w:bottom w:val="none" w:sz="0" w:space="0" w:color="auto"/>
                                <w:right w:val="none" w:sz="0" w:space="0" w:color="auto"/>
                              </w:divBdr>
                              <w:divsChild>
                                <w:div w:id="582835216">
                                  <w:marLeft w:val="0"/>
                                  <w:marRight w:val="0"/>
                                  <w:marTop w:val="0"/>
                                  <w:marBottom w:val="300"/>
                                  <w:divBdr>
                                    <w:top w:val="none" w:sz="0" w:space="0" w:color="auto"/>
                                    <w:left w:val="none" w:sz="0" w:space="0" w:color="auto"/>
                                    <w:bottom w:val="none" w:sz="0" w:space="0" w:color="auto"/>
                                    <w:right w:val="none" w:sz="0" w:space="0" w:color="auto"/>
                                  </w:divBdr>
                                  <w:divsChild>
                                    <w:div w:id="1452018803">
                                      <w:marLeft w:val="0"/>
                                      <w:marRight w:val="0"/>
                                      <w:marTop w:val="0"/>
                                      <w:marBottom w:val="0"/>
                                      <w:divBdr>
                                        <w:top w:val="none" w:sz="0" w:space="0" w:color="auto"/>
                                        <w:left w:val="none" w:sz="0" w:space="0" w:color="auto"/>
                                        <w:bottom w:val="none" w:sz="0" w:space="0" w:color="auto"/>
                                        <w:right w:val="none" w:sz="0" w:space="0" w:color="auto"/>
                                      </w:divBdr>
                                      <w:divsChild>
                                        <w:div w:id="1772044905">
                                          <w:marLeft w:val="0"/>
                                          <w:marRight w:val="0"/>
                                          <w:marTop w:val="0"/>
                                          <w:marBottom w:val="0"/>
                                          <w:divBdr>
                                            <w:top w:val="none" w:sz="0" w:space="0" w:color="auto"/>
                                            <w:left w:val="none" w:sz="0" w:space="0" w:color="auto"/>
                                            <w:bottom w:val="none" w:sz="0" w:space="0" w:color="auto"/>
                                            <w:right w:val="none" w:sz="0" w:space="0" w:color="auto"/>
                                          </w:divBdr>
                                          <w:divsChild>
                                            <w:div w:id="11999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F0D93-56DA-4D9A-88AC-B0E9EA33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20</Pages>
  <Words>4216</Words>
  <Characters>25639</Characters>
  <Application>Microsoft Office Word</Application>
  <DocSecurity>0</DocSecurity>
  <Lines>1281</Lines>
  <Paragraphs>609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cp:lastPrinted>2019-12-12T13:29:00Z</cp:lastPrinted>
  <dcterms:created xsi:type="dcterms:W3CDTF">2020-01-15T14:18:00Z</dcterms:created>
  <dcterms:modified xsi:type="dcterms:W3CDTF">2020-01-23T14:33:00Z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7.0.1, Build 20190916</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