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F570C8C-76D3-44AC-9AD3-D15B07FD6A19" style="width:450.5pt;height:3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 xml:space="preserve">BAKGRUND TILL FÖRSLAGET </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spacing w:before="0" w:after="0"/>
        <w:rPr>
          <w:noProof/>
        </w:rPr>
      </w:pPr>
      <w:r>
        <w:rPr>
          <w:noProof/>
        </w:rPr>
        <w:t xml:space="preserve">Avtalet om vetenskapligt och tekniskt samarbete mellan Europeiska gemenskapen och Republiken Indiens regering </w:t>
      </w:r>
      <w:r>
        <w:rPr>
          <w:rStyle w:val="FootnoteReference"/>
          <w:noProof/>
        </w:rPr>
        <w:footnoteReference w:id="1"/>
      </w:r>
      <w:r>
        <w:rPr>
          <w:noProof/>
        </w:rPr>
        <w:t xml:space="preserve">, (nedan kallat </w:t>
      </w:r>
      <w:r>
        <w:rPr>
          <w:i/>
          <w:iCs/>
          <w:noProof/>
        </w:rPr>
        <w:t>avtalet</w:t>
      </w:r>
      <w:r>
        <w:rPr>
          <w:noProof/>
        </w:rPr>
        <w:t>), undertecknades i Bryssel den 23 november 2001 och trädde i kraft den 14 oktober 2002. I artikel 11 b i avtalet fastställs att ”Detta avtal ingås för en period på fem år och kan därefter förlängas genom ömsesidig överenskommelse mellan parterna efter utvärdering under det sista året av den nämnda perioden”. Avtalet har hittills förlängts två gånger. Rådet godkände 2009</w:t>
      </w:r>
      <w:r>
        <w:rPr>
          <w:rStyle w:val="FootnoteReference"/>
          <w:noProof/>
        </w:rPr>
        <w:footnoteReference w:id="2"/>
      </w:r>
      <w:r>
        <w:rPr>
          <w:noProof/>
        </w:rPr>
        <w:t xml:space="preserve"> och 2015</w:t>
      </w:r>
      <w:r>
        <w:rPr>
          <w:rStyle w:val="FootnoteReference"/>
          <w:noProof/>
        </w:rPr>
        <w:footnoteReference w:id="3"/>
      </w:r>
      <w:r>
        <w:rPr>
          <w:noProof/>
        </w:rPr>
        <w:t xml:space="preserve"> förlängningar för ytterligare femårsperioder. </w:t>
      </w:r>
    </w:p>
    <w:p>
      <w:pPr>
        <w:spacing w:before="0" w:after="0"/>
        <w:ind w:left="-46"/>
        <w:rPr>
          <w:noProof/>
        </w:rPr>
      </w:pPr>
    </w:p>
    <w:p>
      <w:pPr>
        <w:spacing w:before="0" w:after="0"/>
        <w:ind w:left="-46"/>
        <w:rPr>
          <w:noProof/>
        </w:rPr>
      </w:pPr>
      <w:r>
        <w:rPr>
          <w:noProof/>
        </w:rPr>
        <w:t xml:space="preserve">Det nuvarande avtalet löper ut den 17 maj 2020. </w:t>
      </w:r>
    </w:p>
    <w:p>
      <w:pPr>
        <w:spacing w:before="0" w:after="0"/>
        <w:ind w:left="-46"/>
        <w:rPr>
          <w:noProof/>
        </w:rPr>
      </w:pPr>
    </w:p>
    <w:p>
      <w:pPr>
        <w:spacing w:before="0" w:after="0"/>
        <w:rPr>
          <w:noProof/>
        </w:rPr>
      </w:pPr>
      <w:r>
        <w:rPr>
          <w:noProof/>
        </w:rPr>
        <w:t>Den utvärdering som gjorts av kommissionen visar tydligt att avtalet utgör en viktig ram för genomförandet och främjandet av samarbete mellan EU och Indien på gemensamma prioriterade vetenskapliga och tekniska områden, vilket leder till ömsesidiga fördelar. Under de senaste åren har man inom ramen för programmet Horisont 2020</w:t>
      </w:r>
      <w:r>
        <w:rPr>
          <w:rStyle w:val="FootnoteReference"/>
          <w:noProof/>
        </w:rPr>
        <w:footnoteReference w:id="4"/>
      </w:r>
      <w:r>
        <w:rPr>
          <w:noProof/>
        </w:rPr>
        <w:t xml:space="preserve"> genomfört en gemensam ansökningsomgång om vatten, som resulterade i sju utvalda projekt på totalt 30 miljoner euro, tillsammans med Department of Science and Technology (DST) och Department of Biotechnology (DBT), samt en gemensam ansökningsomgång avseende nya generationer av vaccin tillsammans med DBT, som omfattade totalt 30 miljoner euro, och resulterade i tre utvalda projekt. Man har också lanserat två innovationsinitiativ och startat ett nätverk för företagsinkubatorer och en innovationsplattform, som resulterat i över 20 innovationspartnerskap bland deltagarna. Dessutom har genomförandebestämmelser, som ingåtts mellan Science and Engineering Research Board (Serb) och Europeiska kommissionen, undertecknats för att främja rörlighet för indiska forskare till forskarlag som stöds av Europeiska forskningsrådet. Slutligen har två samfinansieringsmekanismer inrättats av DBT och Ministry of Earth Science (MoES) för att finansiera utvalda indiska deltagare i fler än 50 ansökningsomgångar inom Horisont 2020.</w:t>
      </w:r>
    </w:p>
    <w:p>
      <w:pPr>
        <w:spacing w:before="0" w:after="0"/>
        <w:rPr>
          <w:noProof/>
          <w:sz w:val="23"/>
          <w:szCs w:val="23"/>
        </w:rPr>
      </w:pPr>
    </w:p>
    <w:p>
      <w:pPr>
        <w:spacing w:before="0" w:after="0"/>
        <w:rPr>
          <w:noProof/>
        </w:rPr>
      </w:pPr>
      <w:r>
        <w:rPr>
          <w:noProof/>
        </w:rPr>
        <w:t>Det ligger i EU:s intresse att förlänga detta avtal för att fortsätta att utöka deltagandet i och främjandet av vetenskapligt och tekniskt samarbete, inom områden som är av gemensamt intresse och leder till teknisk utveckling som gagnar det europeiska vetenskapssamhället och ökar tillgången till indiska marknader genom gemensamma samarbetsprojekt.</w:t>
      </w:r>
    </w:p>
    <w:p>
      <w:pPr>
        <w:spacing w:before="0" w:after="0"/>
        <w:ind w:left="-46"/>
        <w:rPr>
          <w:noProof/>
        </w:rPr>
      </w:pPr>
    </w:p>
    <w:p>
      <w:pPr>
        <w:spacing w:before="0" w:after="0"/>
        <w:ind w:left="-46"/>
        <w:rPr>
          <w:noProof/>
        </w:rPr>
      </w:pPr>
      <w:r>
        <w:rPr>
          <w:noProof/>
        </w:rPr>
        <w:t xml:space="preserve">Avtalet är mycket viktigt för att parterna ska kunna förstå varandras vetenskaps- och innovationslandskap och tillsammans fastställa prioriterade områden av gemensamt intresse för internationellt samarbete inom forskning och innovation. Det ger en rättslig och administrativ ram inom vilken formerna för samarbeten kan diskuteras för att säkerställa en vettig och rättvis tilldelning av forsknings- och innovationsmedel på områden som är i linje med EU:s intressen och politiska strategier och som kan anpassas och justeras till Indiens intressen och behov. </w:t>
      </w:r>
    </w:p>
    <w:p>
      <w:pPr>
        <w:spacing w:before="0" w:after="0"/>
        <w:ind w:left="-46"/>
        <w:rPr>
          <w:noProof/>
        </w:rPr>
      </w:pPr>
    </w:p>
    <w:p>
      <w:pPr>
        <w:spacing w:before="0" w:after="0"/>
        <w:ind w:left="-46"/>
        <w:rPr>
          <w:noProof/>
        </w:rPr>
      </w:pPr>
      <w:r>
        <w:rPr>
          <w:noProof/>
        </w:rPr>
        <w:t>Det ger också ett användbart forum för utvärdering av tidigare samarbeten och fastställande av framtida åtgärder, även om ämnen som effektiviserar samarbetet, såsom principer för öppen tillgång och öppen innovation.</w:t>
      </w:r>
    </w:p>
    <w:p>
      <w:pPr>
        <w:spacing w:before="0" w:after="0"/>
        <w:ind w:left="-46"/>
        <w:jc w:val="left"/>
        <w:rPr>
          <w:rFonts w:eastAsia="Times New Roman"/>
          <w:b/>
          <w:i/>
          <w:noProof/>
          <w:sz w:val="20"/>
          <w:szCs w:val="24"/>
        </w:rPr>
      </w:pPr>
    </w:p>
    <w:p>
      <w:pPr>
        <w:spacing w:after="0"/>
        <w:ind w:left="-46"/>
        <w:rPr>
          <w:noProof/>
        </w:rPr>
      </w:pPr>
      <w:r>
        <w:rPr>
          <w:noProof/>
        </w:rPr>
        <w:t>Ett möte i styrkommittén för Indien och EU, som inrättades genom avtalet, hölls i New Delhi den 1 mars 2019. Där noterade båda parter, efter en utvärdering i enlighet med artikel 11, sin avsikt att förlänga avtalet i ytterligare en femårsperiod utan några ändringar.</w:t>
      </w:r>
    </w:p>
    <w:p>
      <w:pPr>
        <w:spacing w:after="0"/>
        <w:ind w:left="-46"/>
        <w:rPr>
          <w:noProof/>
          <w:highlight w:val="yellow"/>
        </w:rPr>
      </w:pPr>
    </w:p>
    <w:p>
      <w:pPr>
        <w:spacing w:before="0" w:after="0"/>
        <w:rPr>
          <w:noProof/>
        </w:rPr>
      </w:pPr>
      <w:r>
        <w:rPr>
          <w:noProof/>
        </w:rPr>
        <w:t>Innehållet i det förlängda avtalet kommer att vara identiskt med innehållet i det nuvarande avtalet, i enlighet med diskussionerna och överenskommelsen med de indiska motparterna. Avtalet kommer inte att skapa några nya rättigheter eller skyldigheter för EU, utan kommer i stället att förlänga den rättsliga ordning som redan finns mellan parterna i fråga om tekniskt och vetenskapligt samarbete.</w:t>
      </w:r>
    </w:p>
    <w:p>
      <w:pPr>
        <w:spacing w:before="0" w:after="0"/>
        <w:rPr>
          <w:noProof/>
          <w:color w:val="010202"/>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noProof/>
        </w:rPr>
      </w:pPr>
      <w:r>
        <w:rPr>
          <w:noProof/>
        </w:rPr>
        <w:t>Initiativet är helt i linje med EU:s strategi för internationellt samarbete inom forskning och innovation</w:t>
      </w:r>
      <w:r>
        <w:rPr>
          <w:rStyle w:val="FootnoteReference"/>
          <w:noProof/>
        </w:rPr>
        <w:footnoteReference w:id="5"/>
      </w:r>
      <w:r>
        <w:rPr>
          <w:noProof/>
        </w:rPr>
        <w:t xml:space="preserve">. EU-strategin slår tydligt fast att avtal inom forskning och teknik är viktiga instrument för att utforma och genomföra fleråriga planer för samarbete med länder utanför EU. Avtalet bidrar också till att genomföra EU:s strategi för internationellt samarbete inom forskning och innovation när det gäller ökad internationalisering och öppenhet i EU:s forsknings- och innovationsmiljö. </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spacing w:before="0" w:after="0"/>
        <w:ind w:left="-46"/>
        <w:rPr>
          <w:noProof/>
        </w:rPr>
      </w:pPr>
      <w:r>
        <w:rPr>
          <w:noProof/>
        </w:rPr>
        <w:t>Avtalet bidrar till uppfyllandet av målen för EU:s strategi för Indian,</w:t>
      </w:r>
      <w:r>
        <w:rPr>
          <w:rStyle w:val="FootnoteReference"/>
          <w:noProof/>
        </w:rPr>
        <w:footnoteReference w:id="6"/>
      </w:r>
      <w:r>
        <w:rPr>
          <w:noProof/>
        </w:rPr>
        <w:t xml:space="preserve"> så att man gemensamt kan hantera globala utmaningar, stödja en hållbar modernisering av Indien, öppna affärsmöjligheter och öka den vetenskapliga spetskompetensen och konkurrenskraften</w:t>
      </w:r>
      <w:r>
        <w:rPr>
          <w:rStyle w:val="FootnoteReference"/>
          <w:noProof/>
        </w:rPr>
        <w:footnoteReference w:id="7"/>
      </w:r>
      <w:r>
        <w:rPr>
          <w:noProof/>
        </w:rPr>
        <w:t xml:space="preserve">.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noProof/>
        </w:rPr>
      </w:pPr>
      <w:r>
        <w:rPr>
          <w:noProof/>
        </w:rPr>
        <w:t>EU:s behörighet att agera internationellt inom forskning och teknisk utveckling grundar sig på artikel 186 i EUF-fördraget. Den förfarandemässiga rättsliga grunden för förslaget är artikel 218.6 a v andra stycket i EUF-fördraget.</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Style w:val="Default"/>
        <w:jc w:val="both"/>
        <w:rPr>
          <w:noProof/>
          <w:lang w:val="sv-SE"/>
        </w:rPr>
      </w:pPr>
      <w:r>
        <w:rPr>
          <w:noProof/>
          <w:lang w:val="sv-SE"/>
        </w:rPr>
        <w:t xml:space="preserve">EU och dess medlemsstater har parallell befogenhet på området forskning och teknisk utveckling i enlighet med artikel 4.3 i EUF-fördraget. Syftena för internationellt samarbete på området vetenskap och teknik kan bättre uppnås på EU-nivå med tanke på de globala utmaningarna. </w:t>
      </w:r>
      <w:r>
        <w:rPr>
          <w:noProof/>
          <w:sz w:val="23"/>
          <w:szCs w:val="23"/>
          <w:lang w:val="sv-SE"/>
        </w:rPr>
        <w:t xml:space="preserve">Unionen är också mest lämpad för att inta en ledande roll när det gäller att främja gemensamma principer för hur internationell forsknings- och innovationsverksamhet ska genomföras för att skapa rättvisa spelregler så att forskare och innovatörer från hela världen har förtroende för varandra. </w:t>
      </w:r>
      <w:r>
        <w:rPr>
          <w:noProof/>
          <w:lang w:val="sv-SE"/>
        </w:rPr>
        <w:t xml:space="preserve">Därför är det önskvärt att EU vidtar åtgärder på området forskning och </w:t>
      </w:r>
      <w:r>
        <w:rPr>
          <w:noProof/>
          <w:lang w:val="sv-SE"/>
        </w:rPr>
        <w:lastRenderedPageBreak/>
        <w:t>teknisk utveckling. Samtidigt måste unionens och medlemsstaternas internationella samarbeten vara i samklang och komplettera varandra.</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Cs w:val="24"/>
        </w:rPr>
      </w:pPr>
      <w:r>
        <w:rPr>
          <w:noProof/>
          <w:sz w:val="23"/>
          <w:szCs w:val="23"/>
        </w:rPr>
        <w:t>I detta sammanhang ger avtalet en ram inom vilken man kan identifiera områden för forsknings- och innovationssamarbete som är av gemensamt intresse och i linje med EU:s agenda och strategi för internationellt samarbete. Det hittillsvarande samarbetet mellan EU och Indien har visat sig fruktbart och nödvändigt och därför vill vi se till att det fortsätter genom att förlänga avtalet.</w:t>
      </w:r>
      <w:r>
        <w:rPr>
          <w:noProof/>
        </w:rPr>
        <w:t xml:space="preserve">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pPr>
        <w:pBdr>
          <w:top w:val="nil"/>
          <w:left w:val="nil"/>
          <w:bottom w:val="nil"/>
          <w:right w:val="nil"/>
          <w:between w:val="nil"/>
          <w:bar w:val="nil"/>
        </w:pBdr>
        <w:spacing w:before="0" w:after="240"/>
        <w:rPr>
          <w:noProof/>
          <w:szCs w:val="24"/>
        </w:rPr>
      </w:pPr>
      <w:r>
        <w:rPr>
          <w:noProof/>
        </w:rPr>
        <w:t xml:space="preserve">Initiativet ingår inte i Refitagendan. </w:t>
      </w:r>
    </w:p>
    <w:p>
      <w:pPr>
        <w:pStyle w:val="ManualHeading1"/>
        <w:rPr>
          <w:noProof/>
          <w:szCs w:val="24"/>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Det krävs endast mänskliga och administrativa resurser. En redogörelse för dessa finns i rättaktens finansieringsöversikt.</w:t>
      </w:r>
    </w:p>
    <w:p>
      <w:pPr>
        <w:pBdr>
          <w:top w:val="nil"/>
          <w:left w:val="nil"/>
          <w:bottom w:val="nil"/>
          <w:right w:val="nil"/>
          <w:between w:val="nil"/>
          <w:bar w:val="nil"/>
        </w:pBdr>
        <w:spacing w:before="0" w:after="240"/>
        <w:rPr>
          <w:noProof/>
          <w:szCs w:val="24"/>
        </w:rPr>
      </w:pPr>
      <w:r>
        <w:rPr>
          <w:noProof/>
        </w:rPr>
        <w:t xml:space="preserve">Mot bakgrund av ovanstående föreslår kommissionen att rådet </w:t>
      </w:r>
    </w:p>
    <w:p>
      <w:pPr>
        <w:pBdr>
          <w:top w:val="nil"/>
          <w:left w:val="nil"/>
          <w:bottom w:val="nil"/>
          <w:right w:val="nil"/>
          <w:between w:val="nil"/>
          <w:bar w:val="nil"/>
        </w:pBdr>
        <w:spacing w:before="0" w:after="240"/>
        <w:rPr>
          <w:rFonts w:eastAsia="Arial Unicode MS"/>
          <w:noProof/>
          <w:color w:val="008000"/>
          <w:szCs w:val="24"/>
        </w:rPr>
      </w:pPr>
      <w:r>
        <w:rPr>
          <w:noProof/>
        </w:rPr>
        <w:t>- på unionens vägnar och efter Europaparlamentets godkännande, godkänner att</w:t>
      </w:r>
      <w:r>
        <w:rPr>
          <w:noProof/>
          <w:color w:val="008000"/>
        </w:rPr>
        <w:t xml:space="preserve"> </w:t>
      </w:r>
      <w:r>
        <w:rPr>
          <w:i/>
          <w:iCs/>
          <w:noProof/>
        </w:rPr>
        <w:t>avtalet om vetenskapligt och tekniskt samarbete mellan Europeiska gemenskapen och Republiken Indiens regering</w:t>
      </w:r>
      <w:r>
        <w:rPr>
          <w:noProof/>
        </w:rPr>
        <w:t xml:space="preserve"> förlängs med ytterligare fem år (alltså för perioden 17.5.2020–16.5.2025), och</w:t>
      </w:r>
    </w:p>
    <w:p>
      <w:pPr>
        <w:rPr>
          <w:noProof/>
          <w:szCs w:val="24"/>
        </w:rPr>
      </w:pPr>
      <w:r>
        <w:rPr>
          <w:noProof/>
        </w:rPr>
        <w:t>- bemyndigar rådets ordförande att utse den eller de personer som ska ha befogenhet att meddela Republiken Indiens regering att unionen har slutfört de interna förfaranden som är nödvändiga för att det förlängda avtalet ska kunna träda i kraft.</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förlängning av avtalet om vetenskapligt och tekniskt samarbete mellan Europeiska gemenskapen och Republiken Indiens regering</w:t>
      </w:r>
    </w:p>
    <w:p>
      <w:pPr>
        <w:pStyle w:val="Institutionquiagit"/>
        <w:rPr>
          <w:noProof/>
        </w:rPr>
      </w:pPr>
      <w:r>
        <w:rPr>
          <w:noProof/>
        </w:rPr>
        <w:t>EUROPEISKA UNIONENS RÅD HAR ANTAGIT DETTA BESLUT</w:t>
      </w:r>
    </w:p>
    <w:p>
      <w:pPr>
        <w:rPr>
          <w:noProof/>
          <w:sz w:val="23"/>
          <w:szCs w:val="23"/>
        </w:rPr>
      </w:pPr>
      <w:r>
        <w:rPr>
          <w:noProof/>
        </w:rPr>
        <w:t xml:space="preserve">med beaktande av fördraget om Europeiska unionens funktionssätt, särskilt artikel </w:t>
      </w:r>
      <w:r>
        <w:rPr>
          <w:noProof/>
          <w:sz w:val="23"/>
          <w:szCs w:val="23"/>
        </w:rPr>
        <w:t>186</w:t>
      </w:r>
      <w:r>
        <w:rPr>
          <w:noProof/>
        </w:rPr>
        <w:t xml:space="preserve"> jämförd med </w:t>
      </w:r>
      <w:r>
        <w:rPr>
          <w:noProof/>
          <w:sz w:val="23"/>
          <w:szCs w:val="23"/>
        </w:rPr>
        <w:t>artikel 218.6 a v</w:t>
      </w:r>
      <w:r>
        <w:rPr>
          <w:noProof/>
        </w:rPr>
        <w:t>,</w:t>
      </w:r>
    </w:p>
    <w:p>
      <w:pPr>
        <w:rPr>
          <w:noProof/>
        </w:rPr>
      </w:pPr>
      <w:r>
        <w:rPr>
          <w:noProof/>
        </w:rPr>
        <w:t>med beaktande av Europeiska kommissionens förslag,</w:t>
      </w:r>
    </w:p>
    <w:p>
      <w:pPr>
        <w:rPr>
          <w:noProof/>
        </w:rPr>
      </w:pPr>
      <w:r>
        <w:rPr>
          <w:noProof/>
        </w:rPr>
        <w:t>med beaktande av Europaparlamentets godkännande</w:t>
      </w:r>
      <w:r>
        <w:rPr>
          <w:rStyle w:val="FootnoteReference"/>
          <w:noProof/>
        </w:rPr>
        <w:footnoteReference w:id="8"/>
      </w:r>
      <w:r>
        <w:rPr>
          <w:noProof/>
        </w:rPr>
        <w:t>, och</w:t>
      </w:r>
    </w:p>
    <w:p>
      <w:pPr>
        <w:rPr>
          <w:noProof/>
        </w:rPr>
      </w:pPr>
      <w:r>
        <w:rPr>
          <w:noProof/>
        </w:rPr>
        <w:t>av följande skäl:</w:t>
      </w:r>
    </w:p>
    <w:p>
      <w:pPr>
        <w:pStyle w:val="ManualConsidrant"/>
        <w:rPr>
          <w:noProof/>
        </w:rPr>
      </w:pPr>
      <w:r>
        <w:rPr>
          <w:noProof/>
        </w:rPr>
        <w:t>(1)</w:t>
      </w:r>
      <w:r>
        <w:rPr>
          <w:noProof/>
        </w:rPr>
        <w:tab/>
        <w:t>Genom beslut 2002/648/EG</w:t>
      </w:r>
      <w:r>
        <w:rPr>
          <w:rStyle w:val="FootnoteReference"/>
          <w:noProof/>
        </w:rPr>
        <w:footnoteReference w:id="9"/>
      </w:r>
      <w:r>
        <w:rPr>
          <w:noProof/>
        </w:rPr>
        <w:t xml:space="preserve"> godkände rådet ingåendet av avtalet om vetenskapligt och tekniskt samarbete mellan Europeiska gemenskapen och Republiken Indiens regering</w:t>
      </w:r>
      <w:r>
        <w:rPr>
          <w:rStyle w:val="FootnoteReference"/>
          <w:noProof/>
        </w:rPr>
        <w:footnoteReference w:id="10"/>
      </w:r>
      <w:r>
        <w:rPr>
          <w:noProof/>
        </w:rPr>
        <w:t xml:space="preserve"> (nedan kallat </w:t>
      </w:r>
      <w:r>
        <w:rPr>
          <w:i/>
          <w:iCs/>
          <w:noProof/>
        </w:rPr>
        <w:t>avtalet</w:t>
      </w:r>
      <w:r>
        <w:rPr>
          <w:noProof/>
        </w:rPr>
        <w:t>). Avtalet undertecknades i New Delhi den 23 november 2001 och trädde i kraft den 14 oktober 2002.</w:t>
      </w:r>
    </w:p>
    <w:p>
      <w:pPr>
        <w:pStyle w:val="ManualConsidrant"/>
        <w:rPr>
          <w:noProof/>
        </w:rPr>
      </w:pPr>
      <w:r>
        <w:rPr>
          <w:noProof/>
        </w:rPr>
        <w:t>(2)</w:t>
      </w:r>
      <w:r>
        <w:rPr>
          <w:noProof/>
        </w:rPr>
        <w:tab/>
        <w:t>I enlighet med artikel 11 b i avtalet bör avtalet ingås för en period av fem år och kan därefter förlängas genom ömsesidig överenskommelse mellan parterna efter utvärdering under det sista året av den nämnda perioden.</w:t>
      </w:r>
    </w:p>
    <w:p>
      <w:pPr>
        <w:pStyle w:val="ManualConsidrant"/>
        <w:rPr>
          <w:noProof/>
          <w:szCs w:val="24"/>
        </w:rPr>
      </w:pPr>
      <w:r>
        <w:rPr>
          <w:noProof/>
        </w:rPr>
        <w:t>(3)</w:t>
      </w:r>
      <w:r>
        <w:rPr>
          <w:noProof/>
        </w:rPr>
        <w:tab/>
        <w:t>Genom besluten 2009/501/EG</w:t>
      </w:r>
      <w:r>
        <w:rPr>
          <w:rStyle w:val="FootnoteReference"/>
          <w:noProof/>
        </w:rPr>
        <w:footnoteReference w:id="11"/>
      </w:r>
      <w:r>
        <w:rPr>
          <w:noProof/>
        </w:rPr>
        <w:t xml:space="preserve"> respektive 2015/1788/EU</w:t>
      </w:r>
      <w:r>
        <w:rPr>
          <w:rStyle w:val="FootnoteReference"/>
          <w:noProof/>
        </w:rPr>
        <w:footnoteReference w:id="12"/>
      </w:r>
      <w:r>
        <w:rPr>
          <w:noProof/>
        </w:rPr>
        <w:t xml:space="preserve"> godkände rådet att avtalet förlängdes med ytterligare femårsperioder. Det nuvarande avtalet löper ut den 17 maj 2020. </w:t>
      </w:r>
    </w:p>
    <w:p>
      <w:pPr>
        <w:pStyle w:val="ManualConsidrant"/>
        <w:rPr>
          <w:noProof/>
          <w:szCs w:val="24"/>
        </w:rPr>
      </w:pPr>
      <w:r>
        <w:rPr>
          <w:noProof/>
        </w:rPr>
        <w:t>(4)</w:t>
      </w:r>
      <w:r>
        <w:rPr>
          <w:noProof/>
        </w:rPr>
        <w:tab/>
        <w:t>Av den utvärdering som gjorts av kommissionens avdelningar framgår det tydligt att avtalet utgör en viktig ram för att underlätta samarbetet mellan unionen och Indien på gemensamma prioriterade vetenskapliga och tekniska områden, vilket leder till ömsesidiga fördelar. Det ligger därför i unionens intresse att förlänga avtalet för en ny period av fem år.</w:t>
      </w:r>
    </w:p>
    <w:p>
      <w:pPr>
        <w:pStyle w:val="ManualConsidrant"/>
        <w:rPr>
          <w:rFonts w:eastAsia="Times New Roman"/>
          <w:noProof/>
          <w:color w:val="000000"/>
        </w:rPr>
      </w:pPr>
      <w:r>
        <w:rPr>
          <w:noProof/>
        </w:rPr>
        <w:t xml:space="preserve">(5)  </w:t>
      </w:r>
      <w:r>
        <w:rPr>
          <w:noProof/>
        </w:rPr>
        <w:tab/>
        <w:t xml:space="preserve">Båda parter har bekräftat sina avsikter att förlänga avtalet med ytterligare en period av fem år utan att ändra avtalet. </w:t>
      </w:r>
    </w:p>
    <w:p>
      <w:pPr>
        <w:pStyle w:val="ManualConsidrant"/>
        <w:rPr>
          <w:noProof/>
        </w:rPr>
      </w:pPr>
      <w:r>
        <w:rPr>
          <w:noProof/>
        </w:rPr>
        <w:t>(6)</w:t>
      </w:r>
      <w:r>
        <w:rPr>
          <w:noProof/>
        </w:rPr>
        <w:tab/>
        <w:t xml:space="preserve">Förlängningen av avtalet bör godkännas på unionens vägnar. </w:t>
      </w:r>
    </w:p>
    <w:p>
      <w:pPr>
        <w:pStyle w:val="ManualConsidrant"/>
        <w:rPr>
          <w:noProof/>
        </w:rPr>
      </w:pPr>
    </w:p>
    <w:p>
      <w:pPr>
        <w:pStyle w:val="Formuledadoption"/>
        <w:rPr>
          <w:noProof/>
        </w:rPr>
      </w:pPr>
      <w:r>
        <w:rPr>
          <w:noProof/>
        </w:rPr>
        <w:t xml:space="preserve">HÄRIGENOM FÖRESKRIVS FÖLJANDE. </w:t>
      </w:r>
    </w:p>
    <w:p>
      <w:pPr>
        <w:pStyle w:val="Titrearticle"/>
        <w:rPr>
          <w:noProof/>
        </w:rPr>
      </w:pPr>
      <w:r>
        <w:rPr>
          <w:noProof/>
        </w:rPr>
        <w:t>Artikel 1</w:t>
      </w:r>
    </w:p>
    <w:p>
      <w:pPr>
        <w:rPr>
          <w:noProof/>
          <w:color w:val="0000FF"/>
          <w:szCs w:val="24"/>
        </w:rPr>
      </w:pPr>
      <w:r>
        <w:rPr>
          <w:noProof/>
        </w:rPr>
        <w:t>Förlängningen av avtalet om vetenskapligt och tekniskt samarbete mellan Europeiska gemenskapen och Republiken Indiens regering med ytterligare en period av fem år godkänns härmed på unionens vägnar.</w:t>
      </w:r>
    </w:p>
    <w:p>
      <w:pPr>
        <w:pStyle w:val="Titrearticle"/>
        <w:keepNext w:val="0"/>
        <w:rPr>
          <w:noProof/>
          <w:szCs w:val="24"/>
        </w:rPr>
      </w:pPr>
      <w:r>
        <w:rPr>
          <w:noProof/>
        </w:rPr>
        <w:t>Artikel 2</w:t>
      </w:r>
    </w:p>
    <w:p>
      <w:pPr>
        <w:rPr>
          <w:noProof/>
          <w:szCs w:val="24"/>
        </w:rPr>
      </w:pPr>
      <w:r>
        <w:rPr>
          <w:noProof/>
        </w:rPr>
        <w:t xml:space="preserve">Rådets ordförande ska utse den eller de personer som ska ha befogenhet att, på unionens vägnar, meddela Republiken Indiens regering att unionen har slutfört de interna förfaranden som är nödvändiga för att förlänga avtalet, i enlighet med artikel 11 b i avtalet. </w:t>
      </w:r>
    </w:p>
    <w:p>
      <w:pPr>
        <w:pStyle w:val="Titrearticle"/>
        <w:keepNext w:val="0"/>
        <w:rPr>
          <w:noProof/>
          <w:szCs w:val="24"/>
        </w:rPr>
      </w:pPr>
      <w:r>
        <w:rPr>
          <w:noProof/>
        </w:rPr>
        <w:t>Artikel 3</w:t>
      </w:r>
    </w:p>
    <w:p>
      <w:pPr>
        <w:rPr>
          <w:noProof/>
          <w:szCs w:val="24"/>
        </w:rPr>
      </w:pPr>
      <w:r>
        <w:rPr>
          <w:noProof/>
        </w:rPr>
        <w:t>Detta beslut får verkan samma dag som det antas.</w:t>
      </w:r>
    </w:p>
    <w:p>
      <w:pPr>
        <w:rPr>
          <w:noProof/>
          <w:szCs w:val="24"/>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b w:val="0"/>
          <w:noProof/>
        </w:rPr>
        <w:tab/>
        <w:t xml:space="preserve">Förslagets eller initiativets titel </w:t>
      </w:r>
    </w:p>
    <w:p>
      <w:pPr>
        <w:pStyle w:val="ManualHeading2"/>
        <w:rPr>
          <w:b w:val="0"/>
          <w:noProof/>
        </w:rPr>
      </w:pPr>
      <w:r>
        <w:rPr>
          <w:b w:val="0"/>
          <w:noProof/>
        </w:rPr>
        <w:tab/>
        <w:t>1.2.</w:t>
      </w:r>
      <w:r>
        <w:rPr>
          <w:b w:val="0"/>
          <w:noProof/>
        </w:rPr>
        <w:tab/>
        <w:t>Berörda politikområden i den verksamhetsbaserade förvaltningen och budgeteringen</w:t>
      </w:r>
    </w:p>
    <w:p>
      <w:pPr>
        <w:pStyle w:val="ManualHeading2"/>
        <w:rPr>
          <w:b w:val="0"/>
          <w:noProof/>
        </w:rPr>
      </w:pPr>
      <w:r>
        <w:rPr>
          <w:b w:val="0"/>
          <w:noProof/>
        </w:rPr>
        <w:tab/>
        <w:t>1.3.</w:t>
      </w:r>
      <w:r>
        <w:rPr>
          <w:b w:val="0"/>
          <w:noProof/>
        </w:rPr>
        <w:tab/>
        <w:t xml:space="preserve">Typ av förslag eller initiativ </w:t>
      </w:r>
    </w:p>
    <w:p>
      <w:pPr>
        <w:pStyle w:val="ManualHeading2"/>
        <w:rPr>
          <w:b w:val="0"/>
          <w:noProof/>
        </w:rPr>
      </w:pPr>
      <w:r>
        <w:rPr>
          <w:b w:val="0"/>
          <w:noProof/>
        </w:rPr>
        <w:tab/>
        <w:t>1.4.</w:t>
      </w:r>
      <w:r>
        <w:rPr>
          <w:b w:val="0"/>
          <w:noProof/>
        </w:rPr>
        <w:tab/>
        <w:t xml:space="preserve">Mål </w:t>
      </w:r>
    </w:p>
    <w:p>
      <w:pPr>
        <w:pStyle w:val="ManualHeading2"/>
        <w:rPr>
          <w:b w:val="0"/>
          <w:noProof/>
        </w:rPr>
      </w:pPr>
      <w:r>
        <w:rPr>
          <w:b w:val="0"/>
          <w:noProof/>
        </w:rPr>
        <w:tab/>
        <w:t>1.5.</w:t>
      </w:r>
      <w:r>
        <w:rPr>
          <w:b w:val="0"/>
          <w:noProof/>
        </w:rPr>
        <w:tab/>
        <w:t xml:space="preserve">Grunder för förslaget eller initiativet </w:t>
      </w:r>
    </w:p>
    <w:p>
      <w:pPr>
        <w:pStyle w:val="ManualHeading2"/>
        <w:rPr>
          <w:b w:val="0"/>
          <w:noProof/>
        </w:rPr>
      </w:pPr>
      <w:r>
        <w:rPr>
          <w:b w:val="0"/>
          <w:noProof/>
        </w:rPr>
        <w:tab/>
        <w:t>1.6.</w:t>
      </w:r>
      <w:r>
        <w:rPr>
          <w:b w:val="0"/>
          <w:noProof/>
        </w:rPr>
        <w:tab/>
        <w:t xml:space="preserve">Varaktighet och budgetkonsekvenser </w:t>
      </w:r>
    </w:p>
    <w:p>
      <w:pPr>
        <w:pStyle w:val="ManualHeading2"/>
        <w:rPr>
          <w:b w:val="0"/>
          <w:noProof/>
        </w:rPr>
      </w:pPr>
      <w:r>
        <w:rPr>
          <w:b w:val="0"/>
          <w:noProof/>
        </w:rPr>
        <w:tab/>
        <w:t>1.7.</w:t>
      </w:r>
      <w:r>
        <w:rPr>
          <w:b w:val="0"/>
          <w:noProof/>
        </w:rPr>
        <w:tab/>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b w:val="0"/>
          <w:noProof/>
        </w:rPr>
        <w:tab/>
        <w:t>2.1.</w:t>
      </w:r>
      <w:r>
        <w:rPr>
          <w:b w:val="0"/>
          <w:noProof/>
        </w:rPr>
        <w:tab/>
        <w:t xml:space="preserve">Regler om uppföljning och rapportering </w:t>
      </w:r>
    </w:p>
    <w:p>
      <w:pPr>
        <w:pStyle w:val="ManualHeading2"/>
        <w:rPr>
          <w:b w:val="0"/>
          <w:noProof/>
        </w:rPr>
      </w:pPr>
      <w:r>
        <w:rPr>
          <w:b w:val="0"/>
          <w:noProof/>
        </w:rPr>
        <w:tab/>
        <w:t>2.2.</w:t>
      </w:r>
      <w:r>
        <w:rPr>
          <w:b w:val="0"/>
          <w:noProof/>
        </w:rPr>
        <w:tab/>
        <w:t xml:space="preserve">Förvaltnings- och kontrollsystem </w:t>
      </w:r>
    </w:p>
    <w:p>
      <w:pPr>
        <w:pStyle w:val="ManualHeading2"/>
        <w:rPr>
          <w:b w:val="0"/>
          <w:noProof/>
        </w:rPr>
      </w:pPr>
      <w:r>
        <w:rPr>
          <w:b w:val="0"/>
          <w:noProof/>
        </w:rPr>
        <w:tab/>
        <w:t>2.3.</w:t>
      </w:r>
      <w:r>
        <w:rPr>
          <w:b w:val="0"/>
          <w:noProof/>
        </w:rPr>
        <w:tab/>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b w:val="0"/>
          <w:noProof/>
        </w:rPr>
        <w:tab/>
        <w:t>3.1.</w:t>
      </w:r>
      <w:r>
        <w:rPr>
          <w:b w:val="0"/>
          <w:noProof/>
        </w:rPr>
        <w:tab/>
        <w:t xml:space="preserve">Berörda rubriker i den fleråriga budgetramen och budgetrubriker i den årliga budgetens utgiftsdel </w:t>
      </w:r>
    </w:p>
    <w:p>
      <w:pPr>
        <w:pStyle w:val="ManualHeading2"/>
        <w:rPr>
          <w:noProof/>
        </w:rPr>
      </w:pPr>
      <w:r>
        <w:rPr>
          <w:b w:val="0"/>
          <w:noProof/>
        </w:rPr>
        <w:tab/>
        <w:t>3.2.</w:t>
      </w:r>
      <w:r>
        <w:rPr>
          <w:b w:val="0"/>
          <w:noProof/>
        </w:rPr>
        <w:tab/>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Beräknad inverkan på inkomsterna</w:t>
      </w:r>
    </w:p>
    <w:p>
      <w:pPr>
        <w:jc w:val="center"/>
        <w:rPr>
          <w:noProof/>
        </w:rPr>
      </w:pPr>
      <w:r>
        <w:rPr>
          <w:b/>
          <w:noProof/>
          <w:u w:val="single"/>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noProof/>
          <w:szCs w:val="24"/>
        </w:rPr>
      </w:pPr>
      <w:r>
        <w:rPr>
          <w:noProof/>
        </w:rPr>
        <w:t>1.1.</w:t>
      </w:r>
      <w:r>
        <w:rPr>
          <w:noProof/>
        </w:rPr>
        <w:tab/>
        <w:t xml:space="preserve">Förslagets eller initiativets titel </w:t>
      </w:r>
    </w:p>
    <w:p>
      <w:pPr>
        <w:pStyle w:val="Text1"/>
        <w:pBdr>
          <w:top w:val="single" w:sz="4" w:space="1" w:color="auto"/>
          <w:left w:val="single" w:sz="4" w:space="4" w:color="auto"/>
          <w:bottom w:val="single" w:sz="4" w:space="1" w:color="auto"/>
          <w:right w:val="single" w:sz="4" w:space="4" w:color="auto"/>
        </w:pBdr>
        <w:rPr>
          <w:noProof/>
          <w:szCs w:val="24"/>
        </w:rPr>
      </w:pPr>
      <w:r>
        <w:rPr>
          <w:noProof/>
        </w:rPr>
        <w:t>Förslag till rådets beslut om förlängning av avtalet om vetenskapligt och tekniskt samarbete mellan Europeiska gemenskapen och Republiken Indiens regering.</w:t>
      </w:r>
    </w:p>
    <w:p>
      <w:pPr>
        <w:pStyle w:val="ManualHeading2"/>
        <w:rPr>
          <w:noProof/>
          <w:szCs w:val="24"/>
        </w:rPr>
      </w:pPr>
      <w:r>
        <w:rPr>
          <w:noProof/>
        </w:rPr>
        <w:t>1.2.</w:t>
      </w:r>
      <w:r>
        <w:rPr>
          <w:noProof/>
        </w:rPr>
        <w:tab/>
        <w:t>Berörda politikområden i den verksamhetsbaserade förvaltningen och budgeteringen</w:t>
      </w:r>
      <w:r>
        <w:rPr>
          <w:rStyle w:val="FootnoteReference"/>
          <w:noProof/>
        </w:rPr>
        <w:footnoteReference w:id="13"/>
      </w:r>
      <w:r>
        <w:rPr>
          <w:i/>
          <w:noProof/>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rPr>
        <w:t>Politisk strategi och samordning där främst följande generaldirektorat är berörda: RTD, Miljö, Klimatpolitik, JRC, Utbildning och kultur, Energi, Inre marknaden, industri, entreprenörskap samt små och medelstora företag, Kommunikationsnät, Havsfrågor och fiske samt Transport och rörlighet.</w:t>
      </w:r>
    </w:p>
    <w:p>
      <w:pPr>
        <w:pStyle w:val="ManualHeading2"/>
        <w:rPr>
          <w:bCs/>
          <w:noProof/>
          <w:szCs w:val="24"/>
        </w:rPr>
      </w:pPr>
      <w:r>
        <w:rPr>
          <w:noProof/>
        </w:rPr>
        <w:t>1.3.</w:t>
      </w:r>
      <w:r>
        <w:rPr>
          <w:noProof/>
        </w:rPr>
        <w:tab/>
        <w:t>Typ av förslag eller initiativ</w:t>
      </w:r>
    </w:p>
    <w:p>
      <w:pPr>
        <w:pStyle w:val="Text1"/>
        <w:rPr>
          <w:noProof/>
          <w:szCs w:val="24"/>
        </w:rPr>
      </w:pPr>
      <w:r>
        <w:rPr>
          <w:noProof/>
        </w:rPr>
        <w:sym w:font="Wingdings" w:char="F0A8"/>
      </w:r>
      <w:r>
        <w:rPr>
          <w:noProof/>
        </w:rPr>
        <w:t xml:space="preserve"> </w:t>
      </w:r>
      <w:r>
        <w:rPr>
          <w:b/>
          <w:noProof/>
        </w:rPr>
        <w:t>en ny åtgärd</w:t>
      </w:r>
      <w:r>
        <w:rPr>
          <w:noProof/>
        </w:rPr>
        <w:t xml:space="preserve"> </w:t>
      </w:r>
    </w:p>
    <w:p>
      <w:pPr>
        <w:pStyle w:val="Text1"/>
        <w:rPr>
          <w:b/>
          <w:noProof/>
          <w:szCs w:val="24"/>
        </w:rPr>
      </w:pPr>
      <w:r>
        <w:rPr>
          <w:noProof/>
        </w:rPr>
        <w:sym w:font="Wingdings" w:char="F0A8"/>
      </w:r>
      <w:r>
        <w:rPr>
          <w:noProof/>
        </w:rPr>
        <w:t xml:space="preserve"> </w:t>
      </w:r>
      <w:r>
        <w:rPr>
          <w:b/>
          <w:bCs/>
          <w:noProof/>
        </w:rPr>
        <w:t>en ny åtgärd som bygger på ett pilotprojekt eller en förberedande åtgärd</w:t>
      </w:r>
      <w:r>
        <w:rPr>
          <w:b/>
          <w:noProof/>
        </w:rPr>
        <w:t xml:space="preserve"> </w:t>
      </w:r>
    </w:p>
    <w:p>
      <w:pPr>
        <w:pStyle w:val="Text1"/>
        <w:rPr>
          <w:noProof/>
          <w:szCs w:val="24"/>
        </w:rPr>
      </w:pPr>
      <w:r>
        <w:rPr>
          <w:noProof/>
        </w:rPr>
        <w:sym w:font="Wingdings" w:char="F0FE"/>
      </w:r>
      <w:r>
        <w:rPr>
          <w:i/>
          <w:noProof/>
        </w:rPr>
        <w:t xml:space="preserve"> </w:t>
      </w:r>
      <w:r>
        <w:rPr>
          <w:b/>
          <w:bCs/>
          <w:noProof/>
        </w:rPr>
        <w:t>en förlängning av en befintlig åtgärd</w:t>
      </w:r>
      <w:r>
        <w:rPr>
          <w:noProof/>
        </w:rPr>
        <w:t xml:space="preserve"> </w:t>
      </w:r>
    </w:p>
    <w:p>
      <w:pPr>
        <w:pStyle w:val="Text1"/>
        <w:rPr>
          <w:noProof/>
          <w:szCs w:val="24"/>
        </w:rPr>
      </w:pPr>
      <w:r>
        <w:rPr>
          <w:noProof/>
        </w:rPr>
        <w:sym w:font="Wingdings" w:char="F0A8"/>
      </w:r>
      <w:r>
        <w:rPr>
          <w:b/>
          <w:bCs/>
          <w:noProof/>
        </w:rPr>
        <w:t>en tidigare åtgärd som omformas till eller ersätts av en ny</w:t>
      </w:r>
    </w:p>
    <w:p>
      <w:pPr>
        <w:pStyle w:val="ManualHeading2"/>
        <w:rPr>
          <w:bCs/>
          <w:noProof/>
          <w:szCs w:val="24"/>
        </w:rPr>
      </w:pPr>
      <w:r>
        <w:rPr>
          <w:noProof/>
        </w:rPr>
        <w:t>1.4.</w:t>
      </w:r>
      <w:r>
        <w:rPr>
          <w:noProof/>
        </w:rPr>
        <w:tab/>
        <w:t>Mål</w:t>
      </w:r>
    </w:p>
    <w:p>
      <w:pPr>
        <w:pStyle w:val="ManualHeading3"/>
        <w:rPr>
          <w:noProof/>
          <w:szCs w:val="24"/>
        </w:rPr>
      </w:pPr>
      <w:r>
        <w:rPr>
          <w:noProof/>
        </w:rPr>
        <w:t>1.4.1.</w:t>
      </w:r>
      <w:r>
        <w:rPr>
          <w:noProof/>
        </w:rPr>
        <w:tab/>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szCs w:val="24"/>
        </w:rPr>
      </w:pPr>
      <w:r>
        <w:rPr>
          <w:noProof/>
        </w:rPr>
        <w:t>Detta initiativ kommer att ge båda parter möjlighet att förbättra och intensifiera samverkan inom områden av gemensamt vetenskapligt och tekniskt intresse i linje med EU:s strategi för Indien.</w:t>
      </w:r>
    </w:p>
    <w:p>
      <w:pPr>
        <w:pStyle w:val="ManualHeading3"/>
        <w:rPr>
          <w:bCs/>
          <w:noProof/>
          <w:szCs w:val="24"/>
        </w:rPr>
      </w:pPr>
      <w:r>
        <w:rPr>
          <w:noProof/>
        </w:rPr>
        <w:t>1.4.2.</w:t>
      </w:r>
      <w:r>
        <w:rPr>
          <w:noProof/>
        </w:rPr>
        <w:tab/>
        <w:t xml:space="preserve">Specifikt/specifika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Specifikt mål nr 4.1</w:t>
      </w:r>
    </w:p>
    <w:p>
      <w:pPr>
        <w:pStyle w:val="Text1"/>
        <w:pBdr>
          <w:top w:val="single" w:sz="4" w:space="1" w:color="auto"/>
          <w:left w:val="single" w:sz="4" w:space="4" w:color="auto"/>
          <w:bottom w:val="single" w:sz="4" w:space="1" w:color="auto"/>
          <w:right w:val="single" w:sz="4" w:space="3" w:color="auto"/>
        </w:pBdr>
        <w:rPr>
          <w:noProof/>
          <w:szCs w:val="24"/>
        </w:rPr>
      </w:pPr>
      <w:r>
        <w:rPr>
          <w:noProof/>
        </w:rPr>
        <w:t>Det kommer att möjliggöra ytterligare utbyte och överföring av sakkunskap till nytta för forskarsamhällena, industrin och medborgarna. Det kommer att fortsätta att tillhandahålla ett användbart forum för utvärdering av tidigare samarbeten och fastställande av framtida åtgärder, även om ämnen som effektiviserar samarbetet, såsom principer för öppen tillgång och öppen innovation.</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Detta beslut kommer att göra det möjligt för såväl unionen som Indien att dra ömsesidig nytta av de vetenskapliga och tekniska framsteg som görs genom forskningssamarbetet inom parternas respektive forskningsprogram, och ska främja ytterligare förstärkt samarbete. Det kommer att ge unionen och Indien möjlighet att gemensamt hantera globala utmaningar och ge unionen möjlighet att bidra till en hållbar modernisering av Indien.</w:t>
      </w:r>
    </w:p>
    <w:p>
      <w:pPr>
        <w:pStyle w:val="ManualHeading3"/>
        <w:rPr>
          <w:bCs/>
          <w:noProof/>
          <w:szCs w:val="24"/>
        </w:rPr>
      </w:pPr>
      <w:r>
        <w:rPr>
          <w:noProof/>
        </w:rPr>
        <w:t>1.4.4.</w:t>
      </w:r>
      <w:r>
        <w:rPr>
          <w:noProof/>
        </w:rPr>
        <w:tab/>
        <w:t xml:space="preserve">Indikatorer för bedömning av resultat eller verkan </w:t>
      </w:r>
    </w:p>
    <w:p>
      <w:pPr>
        <w:pStyle w:val="Text1"/>
        <w:rPr>
          <w:i/>
          <w:noProof/>
          <w:sz w:val="20"/>
        </w:rPr>
      </w:pPr>
      <w:r>
        <w:rPr>
          <w:i/>
          <w:noProof/>
          <w:sz w:val="20"/>
        </w:rPr>
        <w:t>Ange indikatorer för övervakning av framsteg och resultat.</w:t>
      </w:r>
    </w:p>
    <w:p>
      <w:pPr>
        <w:pStyle w:val="Text1"/>
        <w:pBdr>
          <w:top w:val="single" w:sz="4" w:space="1" w:color="auto"/>
          <w:left w:val="single" w:sz="4" w:space="4" w:color="auto"/>
          <w:bottom w:val="single" w:sz="4" w:space="1" w:color="auto"/>
          <w:right w:val="single" w:sz="4" w:space="4" w:color="auto"/>
        </w:pBdr>
        <w:rPr>
          <w:noProof/>
          <w:szCs w:val="24"/>
        </w:rPr>
      </w:pPr>
      <w:r>
        <w:rPr>
          <w:noProof/>
        </w:rPr>
        <w:t>Kommissionen kommer regelbundet att övervaka samtliga insatser som genomförs enligt avtalet, vilket också inbegriper en översyn utförd av unionen. Denna översyn ska bland annat omfatta följande punkter:</w:t>
      </w:r>
    </w:p>
    <w:p>
      <w:pPr>
        <w:pStyle w:val="Text1"/>
        <w:pBdr>
          <w:top w:val="single" w:sz="4" w:space="1" w:color="auto"/>
          <w:left w:val="single" w:sz="4" w:space="4" w:color="auto"/>
          <w:bottom w:val="single" w:sz="4" w:space="1" w:color="auto"/>
          <w:right w:val="single" w:sz="4" w:space="4" w:color="auto"/>
        </w:pBdr>
        <w:rPr>
          <w:noProof/>
          <w:szCs w:val="24"/>
        </w:rPr>
      </w:pPr>
      <w:r>
        <w:rPr>
          <w:noProof/>
        </w:rPr>
        <w:t>a) Samarbetsindikatorer – analys av indiska enheters deltagande (typ och omfattning) i EU-finansierade program (t.ex. antal ansökningar, antal undertecknade bidragsöverenskommelser, viktiga samarbetskopplingar, huvudområden, resultat) och vice versa (i den mån det finns tillgängliga uppgifter).</w:t>
      </w:r>
    </w:p>
    <w:p>
      <w:pPr>
        <w:pStyle w:val="Text1"/>
        <w:pBdr>
          <w:top w:val="single" w:sz="4" w:space="1" w:color="auto"/>
          <w:left w:val="single" w:sz="4" w:space="4" w:color="auto"/>
          <w:bottom w:val="single" w:sz="4" w:space="1" w:color="auto"/>
          <w:right w:val="single" w:sz="4" w:space="4" w:color="auto"/>
        </w:pBdr>
        <w:rPr>
          <w:noProof/>
          <w:szCs w:val="24"/>
        </w:rPr>
      </w:pPr>
      <w:r>
        <w:rPr>
          <w:noProof/>
        </w:rPr>
        <w:t>b) Resultatindikatorer – resultaten för indiska företag som deltar i EU:s ramprogram jämfört med andra länder utanför EU och medlemsstater/länder som är associerade till ramprogrammet för forskning. Analys av kvaliteten på deltagandet (t.ex. antal högst rankade universitet som deltar i programmet, antal patent och antal publicerade forskningsartiklar från samarbetsprojekt).</w:t>
      </w:r>
    </w:p>
    <w:p>
      <w:pPr>
        <w:pStyle w:val="Text1"/>
        <w:pBdr>
          <w:top w:val="single" w:sz="4" w:space="1" w:color="auto"/>
          <w:left w:val="single" w:sz="4" w:space="4" w:color="auto"/>
          <w:bottom w:val="single" w:sz="4" w:space="1" w:color="auto"/>
          <w:right w:val="single" w:sz="4" w:space="4" w:color="auto"/>
        </w:pBdr>
        <w:rPr>
          <w:noProof/>
          <w:szCs w:val="24"/>
        </w:rPr>
      </w:pPr>
      <w:r>
        <w:rPr>
          <w:noProof/>
        </w:rPr>
        <w:t>c) Insamling av data avseende samarbetsprojekt och kopplingar utanför respektive forskningsprogram, samt bedömning av effekterna av dessa aktiviteter, till exempel deltagande i multilaterala initiativ och arbetsgrupper.</w:t>
      </w:r>
    </w:p>
    <w:p>
      <w:pPr>
        <w:pStyle w:val="ManualHeading2"/>
        <w:rPr>
          <w:bCs/>
          <w:noProof/>
          <w:szCs w:val="24"/>
        </w:rPr>
      </w:pPr>
      <w:r>
        <w:rPr>
          <w:noProof/>
        </w:rPr>
        <w:t>1.5.</w:t>
      </w:r>
      <w:r>
        <w:rPr>
          <w:noProof/>
        </w:rPr>
        <w:tab/>
        <w:t xml:space="preserve">Grunder för förslaget eller initiativet </w:t>
      </w:r>
    </w:p>
    <w:p>
      <w:pPr>
        <w:pStyle w:val="ManualHeading3"/>
        <w:rPr>
          <w:noProof/>
        </w:rPr>
      </w:pPr>
      <w:r>
        <w:rPr>
          <w:noProof/>
        </w:rPr>
        <w:t>1.5.1.</w:t>
      </w:r>
      <w:r>
        <w:rPr>
          <w:noProof/>
        </w:rPr>
        <w:tab/>
        <w:t xml:space="preserve">Krav som ska uppfyllas på kort eller lång sikt </w:t>
      </w:r>
    </w:p>
    <w:p>
      <w:pPr>
        <w:pStyle w:val="Text1"/>
        <w:pBdr>
          <w:top w:val="single" w:sz="4" w:space="1" w:color="auto"/>
          <w:left w:val="single" w:sz="4" w:space="4" w:color="auto"/>
          <w:bottom w:val="single" w:sz="4" w:space="1" w:color="auto"/>
          <w:right w:val="single" w:sz="4" w:space="4" w:color="auto"/>
        </w:pBdr>
        <w:rPr>
          <w:noProof/>
          <w:szCs w:val="24"/>
        </w:rPr>
      </w:pPr>
      <w:r>
        <w:rPr>
          <w:noProof/>
        </w:rPr>
        <w:t>Detta beslut kommer att ge båda parter möjlighet att fortsätta att förbättra och intensifiera sin samverkan inom vetenskapliga och tekniska områden till ömsesidig nytta.</w:t>
      </w:r>
    </w:p>
    <w:p>
      <w:pPr>
        <w:pStyle w:val="ManualHeading3"/>
        <w:rPr>
          <w:bCs/>
          <w:noProof/>
          <w:szCs w:val="24"/>
        </w:rPr>
      </w:pPr>
      <w:r>
        <w:rPr>
          <w:noProof/>
        </w:rPr>
        <w:t>1.5.2.</w:t>
      </w:r>
      <w:r>
        <w:rPr>
          <w:noProof/>
        </w:rPr>
        <w:tab/>
        <w:t>Mervärdet i unionens intervention</w:t>
      </w:r>
    </w:p>
    <w:p>
      <w:pPr>
        <w:pStyle w:val="Text1"/>
        <w:pBdr>
          <w:top w:val="single" w:sz="4" w:space="1" w:color="auto"/>
          <w:left w:val="single" w:sz="4" w:space="4" w:color="auto"/>
          <w:bottom w:val="single" w:sz="4" w:space="1" w:color="auto"/>
          <w:right w:val="single" w:sz="4" w:space="4" w:color="auto"/>
        </w:pBdr>
        <w:rPr>
          <w:noProof/>
          <w:szCs w:val="24"/>
        </w:rPr>
      </w:pPr>
      <w:r>
        <w:rPr>
          <w:noProof/>
        </w:rPr>
        <w:t>Avtalet grundar sig på principerna om ömsesidig nytta, möjligheter för båda parter att delta i den andra partens program och projekt inom ramen för avtalets tillämpningsområde, icke-diskriminering samt ett välfungerande skydd och en rättvis fördelning av immateriella rättigheter. Förlängningen av avtalet kommer att bidra till ökade vetenskapliga kunskaper och nya marknadstillträdesmöjligheter.</w:t>
      </w:r>
    </w:p>
    <w:p>
      <w:pPr>
        <w:pStyle w:val="ManualHeading3"/>
        <w:rPr>
          <w:bCs/>
          <w:noProof/>
          <w:szCs w:val="24"/>
        </w:rPr>
      </w:pPr>
      <w:r>
        <w:rPr>
          <w:noProof/>
        </w:rPr>
        <w:t>1.5.3.</w:t>
      </w:r>
      <w:r>
        <w:rPr>
          <w:noProof/>
        </w:rPr>
        <w:tab/>
        <w:t>Erfarenheter från tidigare liknande åtgärder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Mot bakgrund av erfarenheterna från vetenskapligt och tekniskt samarbete anses det vara av ömsesidig nytta att fortsätta forskningssamarbetet med Indien genom att förlänga avtalet med ytterligare fem år. </w:t>
      </w:r>
    </w:p>
    <w:p>
      <w:pPr>
        <w:pStyle w:val="ManualHeading3"/>
        <w:rPr>
          <w:bCs/>
          <w:noProof/>
          <w:szCs w:val="24"/>
        </w:rPr>
      </w:pPr>
      <w:r>
        <w:rPr>
          <w:noProof/>
        </w:rPr>
        <w:t>1.5.4.</w:t>
      </w:r>
      <w:r>
        <w:rPr>
          <w:noProof/>
        </w:rPr>
        <w:tab/>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En förlängning av avtalet med Indien är helt i överensstämmelse med den övergripande politiska ramen för internationellt samarbete inom forskning och innovation (COM(2012) 497). </w:t>
      </w:r>
    </w:p>
    <w:p>
      <w:pPr>
        <w:pStyle w:val="ManualHeading2"/>
        <w:ind w:left="0" w:firstLine="0"/>
        <w:rPr>
          <w:noProof/>
        </w:rPr>
      </w:pPr>
    </w:p>
    <w:p>
      <w:pPr>
        <w:pStyle w:val="ManualHeading2"/>
        <w:ind w:left="0" w:firstLine="0"/>
        <w:rPr>
          <w:bCs/>
          <w:noProof/>
          <w:szCs w:val="24"/>
        </w:rPr>
      </w:pPr>
      <w:r>
        <w:rPr>
          <w:noProof/>
        </w:rPr>
        <w:t>1.6.</w:t>
      </w:r>
      <w:r>
        <w:rPr>
          <w:noProof/>
        </w:rPr>
        <w:tab/>
        <w:t xml:space="preserve">Varaktighet och budgetkonsekvenser </w:t>
      </w:r>
    </w:p>
    <w:p>
      <w:pPr>
        <w:pStyle w:val="Text1"/>
        <w:rPr>
          <w:noProof/>
        </w:rPr>
      </w:pPr>
      <w:r>
        <w:rPr>
          <w:noProof/>
        </w:rPr>
        <w:sym w:font="Wingdings" w:char="F0FE"/>
      </w:r>
      <w:r>
        <w:rPr>
          <w:b/>
          <w:i/>
          <w:noProof/>
        </w:rPr>
        <w:t xml:space="preserve"> </w:t>
      </w:r>
      <w:r>
        <w:rPr>
          <w:noProof/>
        </w:rPr>
        <w:t xml:space="preserve">Förslag eller initiativ som pågår under en </w:t>
      </w:r>
      <w:r>
        <w:rPr>
          <w:b/>
          <w:bCs/>
          <w:noProof/>
        </w:rPr>
        <w:t>begränsad tid</w:t>
      </w:r>
      <w:r>
        <w:rPr>
          <w:b/>
          <w:noProof/>
        </w:rPr>
        <w:t xml:space="preserve"> </w:t>
      </w:r>
    </w:p>
    <w:p>
      <w:pPr>
        <w:pStyle w:val="ListDash2"/>
        <w:rPr>
          <w:noProof/>
        </w:rPr>
      </w:pPr>
      <w:r>
        <w:rPr>
          <w:noProof/>
        </w:rPr>
        <w:sym w:font="Wingdings" w:char="F0FE"/>
      </w:r>
      <w:r>
        <w:rPr>
          <w:noProof/>
        </w:rPr>
        <w:tab/>
        <w:t>Förslaget eller initiativet ska gälla under perioden 17.5.2020–16.5.2025.</w:t>
      </w:r>
    </w:p>
    <w:p>
      <w:pPr>
        <w:pStyle w:val="ListDash2"/>
        <w:rPr>
          <w:noProof/>
        </w:rPr>
      </w:pPr>
      <w:r>
        <w:rPr>
          <w:noProof/>
        </w:rPr>
        <w:sym w:font="Wingdings" w:char="F0FE"/>
      </w:r>
      <w:r>
        <w:rPr>
          <w:noProof/>
        </w:rPr>
        <w:tab/>
        <w:t>Det påverkar resursanvändningen under perioden 17.5.2020–16.5.2025,</w:t>
      </w:r>
    </w:p>
    <w:p>
      <w:pPr>
        <w:pStyle w:val="Text1"/>
        <w:rPr>
          <w:noProof/>
        </w:rPr>
      </w:pPr>
      <w:r>
        <w:rPr>
          <w:noProof/>
        </w:rPr>
        <w:sym w:font="Wingdings" w:char="F0A8"/>
      </w:r>
      <w:r>
        <w:rPr>
          <w:b/>
          <w:i/>
          <w:noProof/>
        </w:rPr>
        <w:t xml:space="preserve"> </w:t>
      </w:r>
      <w:r>
        <w:rPr>
          <w:noProof/>
        </w:rPr>
        <w:t xml:space="preserve">Förslag eller initiativ som pågår under en </w:t>
      </w:r>
      <w:r>
        <w:rPr>
          <w:b/>
          <w:bCs/>
          <w:noProof/>
        </w:rPr>
        <w:t>obegränsad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rPr>
          <w:noProof/>
        </w:rPr>
        <w:t>1.7.</w:t>
      </w:r>
      <w:r>
        <w:rPr>
          <w:noProof/>
        </w:rPr>
        <w:tab/>
        <w:t>Planerad metod för genomförandet</w:t>
      </w:r>
      <w:r>
        <w:rPr>
          <w:rStyle w:val="FootnoteReference"/>
          <w:noProof/>
        </w:rPr>
        <w:footnoteReference w:id="14"/>
      </w:r>
      <w:r>
        <w:rPr>
          <w:rStyle w:val="FootnoteReference"/>
          <w:noProof/>
        </w:rPr>
        <w:t xml:space="preserve"> </w:t>
      </w:r>
    </w:p>
    <w:p>
      <w:pPr>
        <w:pStyle w:val="Text1"/>
        <w:rPr>
          <w:noProof/>
        </w:rPr>
      </w:pPr>
      <w:r>
        <w:rPr>
          <w:noProof/>
        </w:rPr>
        <w:sym w:font="Wingdings" w:char="F0FE"/>
      </w:r>
      <w:r>
        <w:rPr>
          <w:i/>
          <w:noProof/>
        </w:rPr>
        <w:t xml:space="preserve"> </w:t>
      </w:r>
      <w:r>
        <w:rPr>
          <w:b/>
          <w:bCs/>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av dess avdelningar, vilket också inbegriper personalen vid unionens delegationer; </w:t>
      </w:r>
    </w:p>
    <w:p>
      <w:pPr>
        <w:pStyle w:val="ListDash2"/>
        <w:rPr>
          <w:noProof/>
        </w:rPr>
      </w:pPr>
      <w:r>
        <w:rPr>
          <w:noProof/>
        </w:rPr>
        <w:sym w:font="Wingdings" w:char="F0A8"/>
      </w:r>
      <w:r>
        <w:rPr>
          <w:noProof/>
        </w:rPr>
        <w:tab/>
        <w:t xml:space="preserve">av genomförandeorgan </w:t>
      </w:r>
    </w:p>
    <w:p>
      <w:pPr>
        <w:pStyle w:val="Text1"/>
        <w:rPr>
          <w:noProof/>
        </w:rPr>
      </w:pPr>
      <w:r>
        <w:rPr>
          <w:noProof/>
        </w:rPr>
        <w:sym w:font="Wingdings" w:char="F0A8"/>
      </w:r>
      <w:r>
        <w:rPr>
          <w:b/>
          <w:i/>
          <w:noProof/>
        </w:rPr>
        <w:t xml:space="preserve"> </w:t>
      </w:r>
      <w:r>
        <w:rPr>
          <w:b/>
          <w:bCs/>
          <w:noProof/>
        </w:rPr>
        <w:t>Delad förvaltning</w:t>
      </w:r>
      <w:r>
        <w:rPr>
          <w:noProof/>
        </w:rPr>
        <w:t xml:space="preserve"> med medlemsstaterna </w:t>
      </w:r>
    </w:p>
    <w:p>
      <w:pPr>
        <w:pStyle w:val="Text1"/>
        <w:rPr>
          <w:noProof/>
        </w:rPr>
      </w:pPr>
      <w:r>
        <w:rPr>
          <w:noProof/>
        </w:rPr>
        <w:sym w:font="Wingdings" w:char="F0A8"/>
      </w:r>
      <w:r>
        <w:rPr>
          <w:i/>
          <w:noProof/>
        </w:rPr>
        <w:t xml:space="preserve"> </w:t>
      </w:r>
      <w:r>
        <w:rPr>
          <w:b/>
          <w:bCs/>
          <w:noProof/>
        </w:rPr>
        <w:t>Indirekt förvaltning</w:t>
      </w:r>
      <w:r>
        <w:rPr>
          <w:noProof/>
        </w:rPr>
        <w:t xml:space="preserve"> genom att uppgifter som ingår i budgetgenomförandet anförtros</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har anförtrotts offentliga förvaltningsuppgifter i den utsträckning som de lämnar tillräckliga ekonomiska garantier</w:t>
      </w:r>
    </w:p>
    <w:p>
      <w:pPr>
        <w:pStyle w:val="ListDash2"/>
        <w:rPr>
          <w:noProof/>
        </w:rPr>
      </w:pPr>
      <w:r>
        <w:rPr>
          <w:noProof/>
        </w:rPr>
        <w:sym w:font="Wingdings" w:char="F0A8"/>
      </w:r>
      <w:r>
        <w:rPr>
          <w:noProof/>
        </w:rPr>
        <w:t xml:space="preserve"> organ som omfattas av privaträtten i en medlemsstat, som anförtrotts genomförandeuppgifter inom ramen för ett offentlig-privat partnerskap och som lämnar tillräckliga ekonomiska garantier</w:t>
      </w:r>
    </w:p>
    <w:p>
      <w:pPr>
        <w:pStyle w:val="ListDash2"/>
        <w:rPr>
          <w:noProof/>
        </w:rPr>
      </w:pPr>
      <w:r>
        <w:rPr>
          <w:noProof/>
        </w:rPr>
        <w:sym w:font="Wingdings" w:char="F0A8"/>
      </w:r>
      <w:r>
        <w:rPr>
          <w:noProof/>
        </w:rPr>
        <w:t xml:space="preserve"> personer som anförtrotts genomförandet av särskilda åtgärder inom Gusp enligt avdelning V i fördraget om Europeiska unionen och som fastställs i den relevanta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FÖRVALTNING </w:t>
      </w:r>
    </w:p>
    <w:p>
      <w:pPr>
        <w:pStyle w:val="ManualHeading2"/>
        <w:rPr>
          <w:noProof/>
        </w:rPr>
      </w:pPr>
      <w:r>
        <w:rPr>
          <w:noProof/>
        </w:rPr>
        <w:t>2.1.</w:t>
      </w:r>
      <w:r>
        <w:rPr>
          <w:noProof/>
        </w:rPr>
        <w:tab/>
        <w:t xml:space="preserve">Regler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Indiska rättssubjekts deltagande i ramprogrammet för forskning och innovation och andra samarbetsåtgärder enligt avtalet kommer regelbundet att följas upp vid möten i den gemensamma kommitté som inrättats enligt artikel 6 b i avtalet.</w:t>
      </w:r>
    </w:p>
    <w:p>
      <w:pPr>
        <w:pStyle w:val="ManualHeading2"/>
        <w:rPr>
          <w:bCs/>
          <w:noProof/>
          <w:szCs w:val="24"/>
        </w:rPr>
      </w:pPr>
      <w:r>
        <w:rPr>
          <w:noProof/>
        </w:rPr>
        <w:t>2.2.</w:t>
      </w:r>
      <w:r>
        <w:rPr>
          <w:noProof/>
        </w:rPr>
        <w:tab/>
        <w:t xml:space="preserve">Förvaltnings- och kontrollsystem </w:t>
      </w:r>
    </w:p>
    <w:p>
      <w:pPr>
        <w:pStyle w:val="ManualHeading3"/>
        <w:rPr>
          <w:noProof/>
        </w:rPr>
      </w:pPr>
      <w:r>
        <w:rPr>
          <w:noProof/>
        </w:rPr>
        <w:t>2.2.1.</w:t>
      </w:r>
      <w:r>
        <w:rPr>
          <w:noProof/>
        </w:rPr>
        <w:tab/>
        <w:t xml:space="preserve">Risker som identifierats </w:t>
      </w:r>
    </w:p>
    <w:p>
      <w:pPr>
        <w:pStyle w:val="Text1"/>
        <w:pBdr>
          <w:top w:val="single" w:sz="4" w:space="1" w:color="auto"/>
          <w:left w:val="single" w:sz="4" w:space="4" w:color="auto"/>
          <w:bottom w:val="single" w:sz="4" w:space="1" w:color="auto"/>
          <w:right w:val="single" w:sz="4" w:space="4" w:color="auto"/>
        </w:pBdr>
        <w:rPr>
          <w:noProof/>
          <w:szCs w:val="24"/>
        </w:rPr>
      </w:pPr>
      <w:r>
        <w:rPr>
          <w:noProof/>
        </w:rPr>
        <w:t>Möten och bilaterala kontakter sker regelbundet och möjliggör systematisk informationsdelning och kontroll. Inga risker har identifierats i kontrollsystemet.</w:t>
      </w:r>
    </w:p>
    <w:p>
      <w:pPr>
        <w:pStyle w:val="ManualHeading3"/>
        <w:rPr>
          <w:bCs/>
          <w:noProof/>
          <w:szCs w:val="24"/>
        </w:rPr>
      </w:pPr>
      <w:r>
        <w:rPr>
          <w:noProof/>
        </w:rPr>
        <w:t>2.2.2.</w:t>
      </w:r>
      <w:r>
        <w:rPr>
          <w:noProof/>
        </w:rPr>
        <w:tab/>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Åtgärder för att förebygga bedrägeri och 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szCs w:val="24"/>
        </w:rPr>
      </w:pPr>
      <w:r>
        <w:rPr>
          <w:noProof/>
        </w:rPr>
        <w:t>Om det för ramprogrammets genomförande behövs externa uppdragstagare eller om finansiellt stöd ges till tredje part, ska kommissionen när så är lämpligt genomföra finansiella revisioner, särskilt om det finns anledning att ifrågasätta huruvida det arbete som utförts eller beskrivs i verksamhetsrapporterna är realistiskt.</w:t>
      </w:r>
    </w:p>
    <w:p>
      <w:pPr>
        <w:pStyle w:val="Text1"/>
        <w:pBdr>
          <w:top w:val="single" w:sz="4" w:space="1" w:color="auto"/>
          <w:left w:val="single" w:sz="4" w:space="4" w:color="auto"/>
          <w:bottom w:val="single" w:sz="4" w:space="1" w:color="auto"/>
          <w:right w:val="single" w:sz="4" w:space="4" w:color="auto"/>
        </w:pBdr>
        <w:rPr>
          <w:noProof/>
          <w:szCs w:val="24"/>
        </w:rPr>
      </w:pPr>
      <w:r>
        <w:rPr>
          <w:noProof/>
        </w:rPr>
        <w:t>Unionens finansiella revisioner kommer antingen att genomföras av unionens egen personal eller av revisorer som godkänts enligt lag i det land där den ifrågavarande parten är etablerad. Unionen väljer fritt revisorer och ska sträva efter att undvika intressekonflikter som den granskade parten gjort unionen uppmärksam på. Vid genomförandet av forskningsverksamheten ska kommissionen dessutom skydda unionens ekonomiska intressen genom effektiva kontroller och, vid upptäckt av oriktigheter, avskräckande och proportionerliga åtgärder och påföljder.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För detta ändamål kommer regler om kontroller, åtgärder och påföljder i enlighet med förordningarna nr 2988/95, nr 2185/96 och nr 883/2013 att införas i alla kontrakt som används vid ramprogrammens genomförande. </w:t>
      </w:r>
    </w:p>
    <w:p>
      <w:pPr>
        <w:pStyle w:val="Text1"/>
        <w:pBdr>
          <w:top w:val="single" w:sz="4" w:space="1" w:color="auto"/>
          <w:left w:val="single" w:sz="4" w:space="4" w:color="auto"/>
          <w:bottom w:val="single" w:sz="4" w:space="1" w:color="auto"/>
          <w:right w:val="single" w:sz="4" w:space="4" w:color="auto"/>
        </w:pBdr>
        <w:rPr>
          <w:noProof/>
          <w:szCs w:val="24"/>
        </w:rPr>
      </w:pPr>
      <w:r>
        <w:rPr>
          <w:noProof/>
        </w:rPr>
        <w:t>Kontrakten ska bland annat innehålla följande: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Särskilda klausuler om skydd av EU:s ekonomiska intressen genom granskningar och kontroller av det utförda arbetet. </w:t>
      </w:r>
    </w:p>
    <w:p>
      <w:pPr>
        <w:pStyle w:val="Text1"/>
        <w:pBdr>
          <w:top w:val="single" w:sz="4" w:space="1" w:color="auto"/>
          <w:left w:val="single" w:sz="4" w:space="4" w:color="auto"/>
          <w:bottom w:val="single" w:sz="4" w:space="1" w:color="auto"/>
          <w:right w:val="single" w:sz="4" w:space="4" w:color="auto"/>
        </w:pBdr>
        <w:rPr>
          <w:noProof/>
          <w:szCs w:val="24"/>
        </w:rPr>
      </w:pPr>
      <w:r>
        <w:rPr>
          <w:noProof/>
        </w:rPr>
        <w:t>- Genomförande av administrativa granskningar avseende bedrägeribekämpning i enlighet med förordningarna nr 2185/96 och 883/2013.</w:t>
      </w:r>
    </w:p>
    <w:p>
      <w:pPr>
        <w:pStyle w:val="Text1"/>
        <w:pBdr>
          <w:top w:val="single" w:sz="4" w:space="1" w:color="auto"/>
          <w:left w:val="single" w:sz="4" w:space="4" w:color="auto"/>
          <w:bottom w:val="single" w:sz="4" w:space="1" w:color="auto"/>
          <w:right w:val="single" w:sz="4" w:space="4" w:color="auto"/>
        </w:pBdr>
        <w:rPr>
          <w:noProof/>
          <w:szCs w:val="24"/>
        </w:rPr>
      </w:pPr>
      <w:r>
        <w:rPr>
          <w:noProof/>
          <w:sz w:val="23"/>
          <w:szCs w:val="23"/>
        </w:rPr>
        <w:t xml:space="preserve">- </w:t>
      </w:r>
      <w:r>
        <w:rPr>
          <w:noProof/>
        </w:rPr>
        <w:t>Tillämpning av administrativa påföljder i enlighet med ramförordning nr 2988/95, inklusive svartlistning, för alla oriktigheter som uppsåtligen eller till följd av oaktsamhet begås vid kontraktens genomförande.</w:t>
      </w:r>
    </w:p>
    <w:p>
      <w:pPr>
        <w:pStyle w:val="Text1"/>
        <w:pBdr>
          <w:top w:val="single" w:sz="4" w:space="1" w:color="auto"/>
          <w:left w:val="single" w:sz="4" w:space="4" w:color="auto"/>
          <w:bottom w:val="single" w:sz="4" w:space="1" w:color="auto"/>
          <w:right w:val="single" w:sz="4" w:space="4" w:color="auto"/>
        </w:pBdr>
        <w:rPr>
          <w:noProof/>
          <w:szCs w:val="24"/>
        </w:rPr>
      </w:pPr>
      <w:r>
        <w:rPr>
          <w:noProof/>
        </w:rPr>
        <w:t>- Bestämmelse om att alla betalningskrav i samband med oriktigheter och bedrägeri ska vara verkställbara i enlighet med artikel 299 i fördraget om Europeiska unionens funktionssätt.</w:t>
      </w:r>
    </w:p>
    <w:p>
      <w:pPr>
        <w:pStyle w:val="Text1"/>
        <w:pBdr>
          <w:top w:val="single" w:sz="4" w:space="1" w:color="auto"/>
          <w:left w:val="single" w:sz="4" w:space="4" w:color="auto"/>
          <w:bottom w:val="single" w:sz="4" w:space="1" w:color="auto"/>
          <w:right w:val="single" w:sz="4" w:space="4" w:color="auto"/>
        </w:pBdr>
        <w:rPr>
          <w:noProof/>
          <w:szCs w:val="24"/>
        </w:rPr>
      </w:pPr>
      <w:r>
        <w:rPr>
          <w:noProof/>
        </w:rPr>
        <w:t>Som en rutinåtgärd kommer ansvarig personal vid GD Forskning och innovation (GD RTD) dessutom att genomföra ett kontrollprogram med avseende på samarbetets vetenskapliga och budgetrelaterade aspekter. Internrevision kommer att utföras av enheten för internrevision vid GD RTD och lokala kontroller kommer att genomföras av Europeiska revisionsrätten.</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BERÄKNADE BUDGETKONSEKVENSER AV FÖRSLAGET ELLER INITIATIVET </w:t>
      </w:r>
    </w:p>
    <w:p>
      <w:pPr>
        <w:pStyle w:val="ManualHeading2"/>
        <w:rPr>
          <w:noProof/>
        </w:rPr>
      </w:pPr>
      <w:r>
        <w:rPr>
          <w:noProof/>
        </w:rPr>
        <w:t>3.1.</w:t>
      </w:r>
      <w:r>
        <w:rPr>
          <w:noProof/>
        </w:rPr>
        <w:tab/>
        <w:t xml:space="preserve">Berörda rubriker i den fleråriga budgetramen och budgetrubriker i den årliga budgetens utgiftsdel </w:t>
      </w:r>
    </w:p>
    <w:p>
      <w:pPr>
        <w:pStyle w:val="ListBullet1"/>
        <w:rPr>
          <w:noProof/>
        </w:rPr>
      </w:pPr>
      <w:r>
        <w:rPr>
          <w:noProof/>
        </w:rPr>
        <w:t>Befintliga budgetrubriker (även kallade ”budgetposter”)</w:t>
      </w:r>
      <w:r>
        <w:rPr>
          <w:rStyle w:val="FootnoteReference"/>
          <w:noProof/>
        </w:rPr>
        <w:footnoteReference w:id="15"/>
      </w:r>
    </w:p>
    <w:p>
      <w:pPr>
        <w:pStyle w:val="Text1"/>
        <w:rPr>
          <w:noProof/>
        </w:rPr>
      </w:pPr>
      <w:r>
        <w:rPr>
          <w:noProof/>
        </w:rPr>
        <w:t xml:space="preserve">Redovisa enligt de berörda rubrikerna i den fleråriga budgetramen i </w:t>
      </w:r>
      <w:r>
        <w:rPr>
          <w:noProof/>
          <w:u w:val="single"/>
        </w:rPr>
        <w:t>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Rubrik 1a – Konkurrenskraft för tillväxt och sysselsättning</w:t>
            </w:r>
          </w:p>
        </w:tc>
        <w:tc>
          <w:tcPr>
            <w:tcW w:w="1080" w:type="dxa"/>
            <w:vAlign w:val="center"/>
          </w:tcPr>
          <w:p>
            <w:pPr>
              <w:jc w:val="center"/>
              <w:rPr>
                <w:noProof/>
                <w:sz w:val="22"/>
              </w:rPr>
            </w:pPr>
            <w:r>
              <w:rPr>
                <w:noProof/>
                <w:sz w:val="18"/>
              </w:rPr>
              <w:t>Diff./Icke-diff</w:t>
            </w:r>
            <w:r>
              <w:rPr>
                <w:rStyle w:val="FootnoteReference"/>
                <w:noProof/>
                <w:sz w:val="18"/>
              </w:rPr>
              <w:footnoteReference w:id="16"/>
            </w:r>
            <w:r>
              <w:rPr>
                <w:noProof/>
              </w:rPr>
              <w:t>.</w:t>
            </w:r>
          </w:p>
        </w:tc>
        <w:tc>
          <w:tcPr>
            <w:tcW w:w="956" w:type="dxa"/>
            <w:vAlign w:val="center"/>
          </w:tcPr>
          <w:p>
            <w:pPr>
              <w:jc w:val="center"/>
              <w:rPr>
                <w:noProof/>
                <w:sz w:val="22"/>
              </w:rPr>
            </w:pPr>
            <w:r>
              <w:rPr>
                <w:noProof/>
                <w:sz w:val="18"/>
              </w:rPr>
              <w:t>från Efta-länder</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sz w:val="22"/>
              </w:rPr>
            </w:pPr>
            <w:r>
              <w:rPr>
                <w:noProof/>
                <w:sz w:val="18"/>
              </w:rPr>
              <w:t>från kandidat-länder</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Icke-diff.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Icke-diff.</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pStyle w:val="ListBullet1"/>
        <w:rPr>
          <w:noProof/>
        </w:rPr>
      </w:pPr>
      <w:r>
        <w:rPr>
          <w:noProof/>
        </w:rPr>
        <w:t xml:space="preserve">Nya budgetrubriker som föreslås </w:t>
      </w:r>
    </w:p>
    <w:p>
      <w:pPr>
        <w:pStyle w:val="Text1"/>
        <w:rPr>
          <w:i/>
          <w:noProof/>
          <w:sz w:val="20"/>
        </w:rPr>
      </w:pPr>
      <w:r>
        <w:rPr>
          <w:i/>
          <w:noProof/>
        </w:rPr>
        <w:t xml:space="preserve">Redovisa enligt de berörda rubrikerna i den fleråriga budgetramen i </w:t>
      </w:r>
      <w:r>
        <w:rPr>
          <w:i/>
          <w:noProof/>
          <w:u w:val="single"/>
        </w:rPr>
        <w:t>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sz w:val="22"/>
              </w:rPr>
            </w:pPr>
            <w:r>
              <w:rPr>
                <w:noProof/>
                <w:sz w:val="20"/>
              </w:rPr>
              <w:t>Budgetrubrik</w:t>
            </w:r>
          </w:p>
        </w:tc>
        <w:tc>
          <w:tcPr>
            <w:tcW w:w="1080" w:type="dxa"/>
            <w:vAlign w:val="center"/>
          </w:tcPr>
          <w:p>
            <w:pPr>
              <w:spacing w:before="60" w:after="60"/>
              <w:jc w:val="center"/>
              <w:rPr>
                <w:noProof/>
                <w:sz w:val="22"/>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[Rubrik………………………………………]</w:t>
            </w:r>
          </w:p>
        </w:tc>
        <w:tc>
          <w:tcPr>
            <w:tcW w:w="1080" w:type="dxa"/>
            <w:vAlign w:val="center"/>
          </w:tcPr>
          <w:p>
            <w:pPr>
              <w:jc w:val="center"/>
              <w:rPr>
                <w:noProof/>
                <w:sz w:val="22"/>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sz w:val="22"/>
              </w:rPr>
            </w:pPr>
            <w:r>
              <w:rPr>
                <w:noProof/>
                <w:sz w:val="16"/>
              </w:rPr>
              <w:t xml:space="preserve">enligt artikel 21.2 b i budgetförordningen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JA/NEJ</w:t>
            </w:r>
          </w:p>
        </w:tc>
        <w:tc>
          <w:tcPr>
            <w:tcW w:w="1080" w:type="dxa"/>
            <w:vAlign w:val="center"/>
          </w:tcPr>
          <w:p>
            <w:pPr>
              <w:jc w:val="center"/>
              <w:rPr>
                <w:noProof/>
                <w:color w:val="0000FF"/>
                <w:sz w:val="18"/>
              </w:rPr>
            </w:pPr>
            <w:r>
              <w:rPr>
                <w:noProof/>
                <w:sz w:val="22"/>
              </w:rPr>
              <w:t>JA/NEJ</w:t>
            </w:r>
          </w:p>
        </w:tc>
        <w:tc>
          <w:tcPr>
            <w:tcW w:w="956" w:type="dxa"/>
            <w:vAlign w:val="center"/>
          </w:tcPr>
          <w:p>
            <w:pPr>
              <w:jc w:val="center"/>
              <w:rPr>
                <w:noProof/>
                <w:color w:val="0000FF"/>
                <w:sz w:val="18"/>
              </w:rPr>
            </w:pPr>
            <w:r>
              <w:rPr>
                <w:noProof/>
                <w:sz w:val="22"/>
              </w:rPr>
              <w:t>JA/NEJ</w:t>
            </w:r>
          </w:p>
        </w:tc>
        <w:tc>
          <w:tcPr>
            <w:tcW w:w="1448" w:type="dxa"/>
            <w:vAlign w:val="center"/>
          </w:tcPr>
          <w:p>
            <w:pPr>
              <w:jc w:val="center"/>
              <w:rPr>
                <w:noProof/>
                <w:sz w:val="22"/>
              </w:rPr>
            </w:pPr>
            <w:r>
              <w:rPr>
                <w:noProof/>
                <w:sz w:val="22"/>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Beräknad inverkan på utgifterna </w:t>
      </w:r>
    </w:p>
    <w:p>
      <w:pPr>
        <w:pStyle w:val="ManualHeading3"/>
        <w:rPr>
          <w:noProof/>
          <w:u w:val="single"/>
        </w:rPr>
      </w:pPr>
      <w:r>
        <w:rPr>
          <w:noProof/>
        </w:rPr>
        <w:t>3.2.1.</w:t>
      </w:r>
      <w:r>
        <w:rPr>
          <w:noProof/>
        </w:rPr>
        <w:tab/>
        <w:t xml:space="preserve">Sammanfattning av den beräknade inverkan på utgifterna </w:t>
      </w:r>
    </w:p>
    <w:p>
      <w:pPr>
        <w:jc w:val="center"/>
        <w:rPr>
          <w:noProof/>
          <w:sz w:val="20"/>
        </w:rPr>
      </w:pPr>
      <w:r>
        <w:rPr>
          <w:noProof/>
          <w:sz w:val="20"/>
        </w:rPr>
        <w:t>Miljoner euro (avrundat till tre decimaler)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”Konkurrenskraft för tillväxt och sysselsättning”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GD: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r>
              <w:rPr>
                <w:rStyle w:val="FootnoteReference"/>
                <w:b/>
                <w:noProof/>
                <w:sz w:val="20"/>
              </w:rPr>
              <w:footnoteReference w:id="19"/>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794" w:type="dxa"/>
          </w:tcPr>
          <w:p>
            <w:pPr>
              <w:jc w:val="center"/>
              <w:rPr>
                <w:b/>
                <w:noProof/>
                <w:sz w:val="20"/>
              </w:rPr>
            </w:pPr>
            <w:r>
              <w:rPr>
                <w:noProof/>
                <w:sz w:val="20"/>
              </w:rPr>
              <w:t>År</w:t>
            </w:r>
            <w:r>
              <w:rPr>
                <w:noProof/>
                <w:sz w:val="22"/>
              </w:rPr>
              <w:br/>
            </w:r>
            <w:r>
              <w:rPr>
                <w:b/>
                <w:noProof/>
                <w:sz w:val="20"/>
              </w:rPr>
              <w:t>2024</w:t>
            </w:r>
          </w:p>
        </w:tc>
        <w:tc>
          <w:tcPr>
            <w:tcW w:w="960" w:type="dxa"/>
          </w:tcPr>
          <w:p>
            <w:pPr>
              <w:jc w:val="center"/>
              <w:rPr>
                <w:b/>
                <w:noProof/>
                <w:sz w:val="20"/>
              </w:rPr>
            </w:pPr>
            <w:r>
              <w:rPr>
                <w:noProof/>
                <w:sz w:val="20"/>
              </w:rPr>
              <w:t>År</w:t>
            </w:r>
            <w:r>
              <w:rPr>
                <w:noProof/>
                <w:sz w:val="22"/>
              </w:rPr>
              <w:br/>
            </w:r>
            <w:r>
              <w:rPr>
                <w:b/>
                <w:noProof/>
                <w:sz w:val="20"/>
              </w:rPr>
              <w:t>2025</w:t>
            </w:r>
          </w:p>
        </w:tc>
        <w:tc>
          <w:tcPr>
            <w:tcW w:w="1200"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2"/>
              </w:rPr>
            </w:pPr>
            <w:r>
              <w:rPr>
                <w:noProof/>
                <w:sz w:val="21"/>
              </w:rPr>
              <w:t>Anslag av administrativ natur som finansieras genom ramanslagen för särskilda program</w:t>
            </w:r>
            <w:r>
              <w:rPr>
                <w:rStyle w:val="FootnoteReference"/>
                <w:noProof/>
                <w:sz w:val="21"/>
              </w:rPr>
              <w:footnoteReference w:id="20"/>
            </w:r>
            <w:r>
              <w:rPr>
                <w:noProof/>
                <w:sz w:val="21"/>
              </w:rPr>
              <w:t xml:space="preserve"> </w:t>
            </w:r>
          </w:p>
          <w:p>
            <w:pPr>
              <w:spacing w:before="20" w:after="20"/>
              <w:rPr>
                <w:noProof/>
                <w:sz w:val="21"/>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Budgetrubrik (nr) </w:t>
            </w:r>
            <w:r>
              <w:rPr>
                <w:b/>
                <w:bCs/>
                <w:noProof/>
                <w:sz w:val="18"/>
                <w:szCs w:val="18"/>
              </w:rPr>
              <w:t>08.01.05.01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Budgetrubrik (nr) </w:t>
            </w:r>
            <w:r>
              <w:rPr>
                <w:b/>
                <w:bCs/>
                <w:noProof/>
                <w:sz w:val="18"/>
                <w:szCs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0.008</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0.004</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TOTALA anslag</w:t>
            </w:r>
            <w:r>
              <w:rPr>
                <w:noProof/>
                <w:sz w:val="22"/>
              </w:rPr>
              <w:br/>
            </w:r>
            <w:r>
              <w:rPr>
                <w:b/>
                <w:noProof/>
                <w:sz w:val="22"/>
              </w:rPr>
              <w:t>för GD RTD</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särskilda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val="restart"/>
            <w:shd w:val="thinDiagStripe" w:color="C0C0C0" w:fill="auto"/>
            <w:vAlign w:val="center"/>
          </w:tcPr>
          <w:p>
            <w:pPr>
              <w:jc w:val="center"/>
              <w:rPr>
                <w:b/>
                <w:noProof/>
                <w:sz w:val="22"/>
              </w:rPr>
            </w:pPr>
            <w:r>
              <w:rPr>
                <w:b/>
                <w:noProof/>
                <w:sz w:val="22"/>
              </w:rPr>
              <w:t xml:space="preserve">TOTALA anslag </w:t>
            </w:r>
            <w:r>
              <w:rPr>
                <w:noProof/>
                <w:sz w:val="22"/>
              </w:rPr>
              <w:br/>
            </w:r>
            <w:r>
              <w:rPr>
                <w:b/>
                <w:noProof/>
                <w:sz w:val="22"/>
              </w:rPr>
              <w:t>för RUBRIK &lt;1a&gt;</w:t>
            </w:r>
            <w:r>
              <w:rPr>
                <w:noProof/>
                <w:sz w:val="22"/>
              </w:rPr>
              <w:t xml:space="preserve"> 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TOTALA driftsanslag </w:t>
            </w:r>
          </w:p>
        </w:tc>
        <w:tc>
          <w:tcPr>
            <w:tcW w:w="1440" w:type="dxa"/>
            <w:tcBorders>
              <w:top w:val="single" w:sz="4" w:space="0" w:color="FF0000"/>
            </w:tcBorders>
            <w:vAlign w:val="center"/>
          </w:tcPr>
          <w:p>
            <w:pPr>
              <w:spacing w:beforeLines="20" w:before="48" w:afterLines="20" w:after="48"/>
              <w:rPr>
                <w:noProof/>
                <w:sz w:val="18"/>
              </w:rPr>
            </w:pPr>
            <w:r>
              <w:rPr>
                <w:noProof/>
                <w:sz w:val="18"/>
              </w:rPr>
              <w:t>Åtaganden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särskilda program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TOTALA anslag </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Betalningar</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”Administrativa utgifter”</w:t>
            </w:r>
          </w:p>
        </w:tc>
      </w:tr>
    </w:tbl>
    <w:p>
      <w:pPr>
        <w:jc w:val="right"/>
        <w:rPr>
          <w:noProof/>
          <w:sz w:val="20"/>
        </w:rPr>
      </w:pPr>
      <w:r>
        <w:rPr>
          <w:noProof/>
          <w:sz w:val="20"/>
        </w:rPr>
        <w:t>Miljoner euro (avrundat till tre decimaler)</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gridSpan w:val="2"/>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674" w:type="dxa"/>
          </w:tcPr>
          <w:p>
            <w:pPr>
              <w:jc w:val="center"/>
              <w:rPr>
                <w:b/>
                <w:noProof/>
                <w:sz w:val="20"/>
              </w:rPr>
            </w:pPr>
            <w:r>
              <w:rPr>
                <w:noProof/>
                <w:sz w:val="20"/>
              </w:rPr>
              <w:t>År</w:t>
            </w:r>
            <w:r>
              <w:rPr>
                <w:b/>
                <w:noProof/>
                <w:sz w:val="20"/>
              </w:rPr>
              <w:t xml:space="preserve"> 2024</w:t>
            </w:r>
          </w:p>
        </w:tc>
        <w:tc>
          <w:tcPr>
            <w:tcW w:w="840" w:type="dxa"/>
          </w:tcPr>
          <w:p>
            <w:pPr>
              <w:jc w:val="center"/>
              <w:rPr>
                <w:b/>
                <w:noProof/>
                <w:sz w:val="20"/>
              </w:rPr>
            </w:pPr>
            <w:r>
              <w:rPr>
                <w:noProof/>
                <w:sz w:val="20"/>
              </w:rPr>
              <w:t xml:space="preserve">År </w:t>
            </w:r>
            <w:r>
              <w:rPr>
                <w:b/>
                <w:noProof/>
                <w:sz w:val="20"/>
              </w:rPr>
              <w:t>2025</w:t>
            </w:r>
          </w:p>
        </w:tc>
        <w:tc>
          <w:tcPr>
            <w:tcW w:w="3240" w:type="dxa"/>
            <w:vAlign w:val="center"/>
          </w:tcPr>
          <w:p>
            <w:pPr>
              <w:jc w:val="center"/>
              <w:rPr>
                <w:b/>
                <w:noProof/>
                <w:sz w:val="20"/>
              </w:rPr>
            </w:pPr>
            <w:r>
              <w:rPr>
                <w:b/>
                <w:noProof/>
                <w:sz w:val="20"/>
              </w:rPr>
              <w:t>TOTALT</w:t>
            </w:r>
          </w:p>
        </w:tc>
      </w:tr>
      <w:tr>
        <w:trPr>
          <w:gridAfter w:val="5"/>
          <w:wAfter w:w="5783" w:type="dxa"/>
        </w:trPr>
        <w:tc>
          <w:tcPr>
            <w:tcW w:w="3960" w:type="dxa"/>
            <w:vAlign w:val="center"/>
          </w:tcPr>
          <w:p>
            <w:pPr>
              <w:spacing w:before="60" w:after="60"/>
              <w:jc w:val="center"/>
              <w:rPr>
                <w:noProof/>
                <w:sz w:val="22"/>
              </w:rPr>
            </w:pPr>
            <w:r>
              <w:rPr>
                <w:noProof/>
                <w:sz w:val="22"/>
              </w:rPr>
              <w:t>GD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Personalresurser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Övriga administrativa utgifter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TOTALT GD RTD</w:t>
            </w:r>
          </w:p>
        </w:tc>
        <w:tc>
          <w:tcPr>
            <w:tcW w:w="2094" w:type="dxa"/>
            <w:gridSpan w:val="2"/>
            <w:vAlign w:val="center"/>
          </w:tcPr>
          <w:p>
            <w:pPr>
              <w:rPr>
                <w:noProof/>
                <w:sz w:val="14"/>
              </w:rPr>
            </w:pPr>
            <w:r>
              <w:rPr>
                <w:noProof/>
                <w:sz w:val="18"/>
              </w:rPr>
              <w:t xml:space="preserve">Anslag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pPr>
              <w:spacing w:before="40" w:after="40"/>
              <w:rPr>
                <w:noProof/>
                <w:sz w:val="22"/>
              </w:rPr>
            </w:pPr>
            <w:r>
              <w:rPr>
                <w:noProof/>
                <w:sz w:val="18"/>
              </w:rPr>
              <w:t>(summa åtaganden = summa betalningar)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Miljoner euro (avrundat till tre decimaler)</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År</w:t>
            </w:r>
            <w:r>
              <w:rPr>
                <w:noProof/>
                <w:sz w:val="22"/>
              </w:rPr>
              <w:br/>
            </w:r>
            <w:r>
              <w:rPr>
                <w:b/>
                <w:noProof/>
                <w:sz w:val="20"/>
              </w:rPr>
              <w:t>2020</w:t>
            </w:r>
            <w:r>
              <w:rPr>
                <w:rStyle w:val="FootnoteReference"/>
                <w:b/>
                <w:noProof/>
                <w:sz w:val="20"/>
              </w:rPr>
              <w:footnoteReference w:id="21"/>
            </w:r>
          </w:p>
        </w:tc>
        <w:tc>
          <w:tcPr>
            <w:tcW w:w="909"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899" w:type="dxa"/>
          </w:tcPr>
          <w:p>
            <w:pPr>
              <w:jc w:val="center"/>
              <w:rPr>
                <w:b/>
                <w:noProof/>
                <w:sz w:val="20"/>
              </w:rPr>
            </w:pPr>
            <w:r>
              <w:rPr>
                <w:noProof/>
                <w:sz w:val="20"/>
              </w:rPr>
              <w:t>År</w:t>
            </w:r>
            <w:r>
              <w:rPr>
                <w:noProof/>
                <w:sz w:val="22"/>
              </w:rPr>
              <w:br/>
            </w:r>
            <w:r>
              <w:rPr>
                <w:b/>
                <w:noProof/>
                <w:sz w:val="20"/>
              </w:rPr>
              <w:t>2024</w:t>
            </w:r>
          </w:p>
        </w:tc>
        <w:tc>
          <w:tcPr>
            <w:tcW w:w="850" w:type="dxa"/>
          </w:tcPr>
          <w:p>
            <w:pPr>
              <w:jc w:val="center"/>
              <w:rPr>
                <w:b/>
                <w:noProof/>
                <w:sz w:val="20"/>
              </w:rPr>
            </w:pPr>
            <w:r>
              <w:rPr>
                <w:noProof/>
                <w:sz w:val="20"/>
              </w:rPr>
              <w:t>År</w:t>
            </w:r>
            <w:r>
              <w:rPr>
                <w:noProof/>
                <w:sz w:val="22"/>
              </w:rPr>
              <w:br/>
            </w:r>
            <w:r>
              <w:rPr>
                <w:b/>
                <w:noProof/>
                <w:sz w:val="20"/>
              </w:rPr>
              <w:t>2025</w:t>
            </w:r>
          </w:p>
        </w:tc>
        <w:tc>
          <w:tcPr>
            <w:tcW w:w="3005"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sz w:val="22"/>
              </w:rPr>
            </w:pPr>
            <w:r>
              <w:rPr>
                <w:b/>
                <w:noProof/>
                <w:sz w:val="22"/>
              </w:rPr>
              <w:t xml:space="preserve">TOTALA anslag </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Beräknad inverkan på driftsanslagen </w:t>
      </w:r>
    </w:p>
    <w:p>
      <w:pPr>
        <w:pStyle w:val="ListDash1"/>
        <w:rPr>
          <w:noProof/>
        </w:rPr>
      </w:pPr>
      <w:r>
        <w:rPr>
          <w:noProof/>
        </w:rPr>
        <w:sym w:font="Wingdings" w:char="F0FE"/>
      </w:r>
      <w:r>
        <w:rPr>
          <w:noProof/>
        </w:rPr>
        <w:tab/>
        <w:t xml:space="preserve">Förslaget/initiativet kräver inte att driftsanslag tas i anspråk </w:t>
      </w:r>
    </w:p>
    <w:p>
      <w:pPr>
        <w:rPr>
          <w:noProof/>
        </w:rPr>
      </w:pPr>
    </w:p>
    <w:p>
      <w:pPr>
        <w:jc w:val="center"/>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Ange mål och output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År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År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År</w:t>
            </w:r>
            <w:r>
              <w:rPr>
                <w:noProof/>
                <w:sz w:val="22"/>
              </w:rPr>
              <w:br/>
            </w:r>
            <w:r>
              <w:rPr>
                <w:b/>
                <w:noProof/>
                <w:sz w:val="18"/>
              </w:rPr>
              <w:t>n+3</w:t>
            </w:r>
          </w:p>
        </w:tc>
        <w:tc>
          <w:tcPr>
            <w:tcW w:w="3600" w:type="dxa"/>
            <w:gridSpan w:val="6"/>
            <w:vAlign w:val="center"/>
          </w:tcPr>
          <w:p>
            <w:pPr>
              <w:jc w:val="center"/>
              <w:rPr>
                <w:noProof/>
                <w:sz w:val="18"/>
                <w:szCs w:val="18"/>
              </w:rPr>
            </w:pPr>
            <w:r>
              <w:rPr>
                <w:noProof/>
                <w:sz w:val="18"/>
              </w:rPr>
              <w:t>För in så många år som behövs för att redovisa varaktigheten för inverkan på resursanvändningen (jfr punkt 1.6)</w:t>
            </w:r>
          </w:p>
        </w:tc>
        <w:tc>
          <w:tcPr>
            <w:tcW w:w="1620" w:type="dxa"/>
            <w:gridSpan w:val="2"/>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22"/>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2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KOSTNAD</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Beräknad inverkan på anslag av administrativ natur</w:t>
      </w:r>
    </w:p>
    <w:p>
      <w:pPr>
        <w:pStyle w:val="ManualHeading4"/>
        <w:rPr>
          <w:noProof/>
        </w:rPr>
      </w:pPr>
      <w:r>
        <w:rPr>
          <w:noProof/>
        </w:rPr>
        <w:t>3.2.3.1.</w:t>
      </w:r>
      <w:r>
        <w:rPr>
          <w:noProof/>
        </w:rPr>
        <w:tab/>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E"/>
      </w:r>
      <w:r>
        <w:rPr>
          <w:noProof/>
        </w:rPr>
        <w:tab/>
        <w:t>Förslaget/initiativet kräver att anslag av administrativ natur tas i anspråk enligt följande:</w:t>
      </w:r>
    </w:p>
    <w:p>
      <w:pPr>
        <w:pStyle w:val="Text1"/>
        <w:rPr>
          <w:noProof/>
        </w:rPr>
      </w:pPr>
    </w:p>
    <w:p>
      <w:pPr>
        <w:jc w:val="center"/>
        <w:rPr>
          <w:noProof/>
          <w:sz w:val="20"/>
        </w:rPr>
      </w:pPr>
      <w:r>
        <w:rPr>
          <w:noProof/>
          <w:sz w:val="20"/>
        </w:rPr>
        <w:t>Miljoner euro (avrundat till tre decimaler)</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2020</w:t>
            </w:r>
            <w:r>
              <w:rPr>
                <w:rStyle w:val="FootnoteReference"/>
                <w:b/>
                <w:noProof/>
                <w:sz w:val="16"/>
              </w:rPr>
              <w:footnoteReference w:id="24"/>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År</w:t>
            </w:r>
            <w:r>
              <w:rPr>
                <w:noProof/>
                <w:sz w:val="22"/>
              </w:rPr>
              <w:br/>
            </w:r>
            <w:r>
              <w:rPr>
                <w:b/>
                <w:noProof/>
                <w:sz w:val="16"/>
              </w:rPr>
              <w:t>2024</w:t>
            </w:r>
          </w:p>
        </w:tc>
        <w:tc>
          <w:tcPr>
            <w:tcW w:w="1080" w:type="dxa"/>
          </w:tcPr>
          <w:p>
            <w:pPr>
              <w:spacing w:before="60" w:after="60" w:line="200" w:lineRule="exact"/>
              <w:jc w:val="center"/>
              <w:rPr>
                <w:b/>
                <w:noProof/>
                <w:sz w:val="16"/>
              </w:rPr>
            </w:pPr>
            <w:r>
              <w:rPr>
                <w:noProof/>
                <w:sz w:val="16"/>
              </w:rPr>
              <w:t>År</w:t>
            </w:r>
            <w:r>
              <w:rPr>
                <w:noProof/>
                <w:sz w:val="22"/>
              </w:rPr>
              <w:br/>
            </w:r>
            <w:r>
              <w:rPr>
                <w:b/>
                <w:noProof/>
                <w:sz w:val="16"/>
              </w:rPr>
              <w:t>2025</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sz w:val="22"/>
              </w:rPr>
              <w:br/>
            </w:r>
            <w:r>
              <w:rPr>
                <w:b/>
                <w:noProof/>
                <w:sz w:val="16"/>
              </w:rPr>
              <w:t>i den fleråriga budgetramen</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Utanför RUBRIK 5</w:t>
            </w:r>
            <w:r>
              <w:rPr>
                <w:rStyle w:val="FootnoteReference"/>
                <w:b/>
                <w:noProof/>
                <w:sz w:val="16"/>
              </w:rPr>
              <w:footnoteReference w:id="25"/>
            </w:r>
            <w:r>
              <w:rPr>
                <w:noProof/>
                <w:sz w:val="22"/>
              </w:rPr>
              <w:br/>
            </w:r>
            <w:r>
              <w:rPr>
                <w:b/>
                <w:noProof/>
                <w:sz w:val="16"/>
              </w:rPr>
              <w:t>i den fleråriga budgetramen</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pStyle w:val="Default"/>
              <w:jc w:val="right"/>
              <w:rPr>
                <w:noProof/>
                <w:sz w:val="20"/>
                <w:szCs w:val="20"/>
              </w:rPr>
            </w:pPr>
            <w:r>
              <w:rPr>
                <w:b/>
                <w:bCs/>
                <w:noProof/>
                <w:sz w:val="20"/>
                <w:szCs w:val="20"/>
              </w:rPr>
              <w:t>0.040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b/>
                <w:bCs/>
                <w:noProof/>
                <w:sz w:val="20"/>
                <w:szCs w:val="20"/>
              </w:rPr>
            </w:pPr>
            <w:r>
              <w:rPr>
                <w:b/>
                <w:bCs/>
                <w:noProof/>
                <w:sz w:val="20"/>
                <w:szCs w:val="20"/>
              </w:rPr>
              <w:t>0.060</w:t>
            </w:r>
          </w:p>
        </w:tc>
        <w:tc>
          <w:tcPr>
            <w:tcW w:w="1080" w:type="dxa"/>
            <w:vAlign w:val="center"/>
          </w:tcPr>
          <w:p>
            <w:pPr>
              <w:pStyle w:val="Default"/>
              <w:jc w:val="right"/>
              <w:rPr>
                <w:b/>
                <w:noProof/>
                <w:sz w:val="20"/>
                <w:szCs w:val="20"/>
              </w:rPr>
            </w:pPr>
            <w:r>
              <w:rPr>
                <w:b/>
                <w:noProof/>
                <w:sz w:val="20"/>
                <w:szCs w:val="20"/>
              </w:rPr>
              <w:t>0.060</w:t>
            </w:r>
          </w:p>
        </w:tc>
        <w:tc>
          <w:tcPr>
            <w:tcW w:w="1080" w:type="dxa"/>
            <w:vAlign w:val="center"/>
          </w:tcPr>
          <w:p>
            <w:pPr>
              <w:pStyle w:val="Default"/>
              <w:jc w:val="right"/>
              <w:rPr>
                <w:b/>
                <w:noProof/>
                <w:sz w:val="20"/>
                <w:szCs w:val="20"/>
              </w:rPr>
            </w:pPr>
            <w:r>
              <w:rPr>
                <w:b/>
                <w:noProof/>
                <w:sz w:val="20"/>
                <w:szCs w:val="20"/>
              </w:rPr>
              <w:t>0.020</w:t>
            </w:r>
          </w:p>
        </w:tc>
        <w:tc>
          <w:tcPr>
            <w:tcW w:w="1080" w:type="dxa"/>
            <w:vAlign w:val="center"/>
          </w:tcPr>
          <w:p>
            <w:pPr>
              <w:pStyle w:val="Default"/>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utgifter </w:t>
            </w:r>
            <w:r>
              <w:rPr>
                <w:noProof/>
                <w:sz w:val="22"/>
              </w:rPr>
              <w:br/>
            </w:r>
            <w:r>
              <w:rPr>
                <w:noProof/>
                <w:sz w:val="16"/>
              </w:rPr>
              <w:t>av administrativ natur</w:t>
            </w:r>
          </w:p>
        </w:tc>
        <w:tc>
          <w:tcPr>
            <w:tcW w:w="1080" w:type="dxa"/>
            <w:vAlign w:val="center"/>
          </w:tcPr>
          <w:p>
            <w:pPr>
              <w:spacing w:before="60" w:after="60" w:line="200" w:lineRule="exact"/>
              <w:jc w:val="right"/>
              <w:rPr>
                <w:noProof/>
                <w:sz w:val="16"/>
                <w:szCs w:val="16"/>
              </w:rPr>
            </w:pPr>
            <w:r>
              <w:rPr>
                <w:b/>
                <w:noProof/>
                <w:sz w:val="20"/>
              </w:rPr>
              <w:t>0.008</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0.004</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w:t>
            </w:r>
            <w:r>
              <w:rPr>
                <w:noProof/>
                <w:sz w:val="22"/>
              </w:rPr>
              <w:br/>
            </w:r>
            <w:r>
              <w:rPr>
                <w:b/>
                <w:noProof/>
                <w:sz w:val="16"/>
              </w:rPr>
              <w:t>Utanför RUBRIK 5</w:t>
            </w:r>
            <w:r>
              <w:rPr>
                <w:noProof/>
                <w:sz w:val="22"/>
              </w:rPr>
              <w:br/>
            </w:r>
            <w:r>
              <w:rPr>
                <w:b/>
                <w:noProof/>
                <w:sz w:val="16"/>
              </w:rPr>
              <w:t>i den fleråriga budgetramen</w:t>
            </w:r>
          </w:p>
        </w:tc>
        <w:tc>
          <w:tcPr>
            <w:tcW w:w="1080" w:type="dxa"/>
            <w:vAlign w:val="center"/>
          </w:tcPr>
          <w:p>
            <w:pPr>
              <w:pStyle w:val="Default"/>
              <w:jc w:val="right"/>
              <w:rPr>
                <w:noProof/>
                <w:sz w:val="20"/>
                <w:szCs w:val="20"/>
              </w:rPr>
            </w:pPr>
            <w:r>
              <w:rPr>
                <w:b/>
                <w:noProof/>
                <w:sz w:val="20"/>
              </w:rPr>
              <w:t>0.048</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0.024</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Personalbehov och andra administrativa kostnader ska täckas genom anslag inom generaldirektoratet vilka redan har avdelats för förvaltningen av åtgärden i fråga, eller genom en omfördelning av anslag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E"/>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2020</w:t>
            </w:r>
          </w:p>
        </w:tc>
        <w:tc>
          <w:tcPr>
            <w:tcW w:w="483"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2021</w:t>
            </w:r>
          </w:p>
        </w:tc>
        <w:tc>
          <w:tcPr>
            <w:tcW w:w="484" w:type="pct"/>
            <w:shd w:val="clear" w:color="auto" w:fill="auto"/>
            <w:vAlign w:val="center"/>
          </w:tcPr>
          <w:p>
            <w:pPr>
              <w:spacing w:before="20" w:after="20"/>
              <w:jc w:val="center"/>
              <w:rPr>
                <w:noProof/>
                <w:sz w:val="16"/>
                <w:szCs w:val="16"/>
              </w:rPr>
            </w:pPr>
            <w:r>
              <w:rPr>
                <w:noProof/>
                <w:sz w:val="16"/>
                <w:szCs w:val="16"/>
              </w:rPr>
              <w:t>År</w:t>
            </w:r>
          </w:p>
          <w:p>
            <w:pPr>
              <w:spacing w:before="20" w:after="20"/>
              <w:jc w:val="center"/>
              <w:rPr>
                <w:noProof/>
                <w:sz w:val="16"/>
                <w:szCs w:val="16"/>
              </w:rPr>
            </w:pPr>
            <w:r>
              <w:rPr>
                <w:b/>
                <w:noProof/>
                <w:sz w:val="16"/>
                <w:szCs w:val="16"/>
              </w:rPr>
              <w:t>2022</w:t>
            </w:r>
          </w:p>
        </w:tc>
        <w:tc>
          <w:tcPr>
            <w:tcW w:w="415" w:type="pct"/>
            <w:shd w:val="clear" w:color="auto" w:fill="auto"/>
            <w:vAlign w:val="center"/>
          </w:tcPr>
          <w:p>
            <w:pPr>
              <w:spacing w:before="20" w:after="20"/>
              <w:jc w:val="center"/>
              <w:rPr>
                <w:noProof/>
                <w:sz w:val="16"/>
                <w:szCs w:val="16"/>
              </w:rPr>
            </w:pPr>
            <w:r>
              <w:rPr>
                <w:noProof/>
                <w:sz w:val="16"/>
                <w:szCs w:val="16"/>
              </w:rPr>
              <w:t>År</w:t>
            </w:r>
          </w:p>
          <w:p>
            <w:pPr>
              <w:spacing w:before="20" w:after="20"/>
              <w:jc w:val="center"/>
              <w:rPr>
                <w:noProof/>
                <w:sz w:val="16"/>
                <w:szCs w:val="16"/>
              </w:rPr>
            </w:pPr>
            <w:r>
              <w:rPr>
                <w:b/>
                <w:noProof/>
                <w:sz w:val="16"/>
                <w:szCs w:val="16"/>
              </w:rPr>
              <w:t>2023</w:t>
            </w:r>
          </w:p>
        </w:tc>
        <w:tc>
          <w:tcPr>
            <w:tcW w:w="551" w:type="pct"/>
            <w:gridSpan w:val="2"/>
            <w:vAlign w:val="center"/>
          </w:tcPr>
          <w:p>
            <w:pPr>
              <w:spacing w:before="20" w:after="20"/>
              <w:jc w:val="center"/>
              <w:rPr>
                <w:noProof/>
                <w:sz w:val="16"/>
                <w:szCs w:val="16"/>
              </w:rPr>
            </w:pPr>
            <w:r>
              <w:rPr>
                <w:noProof/>
                <w:sz w:val="16"/>
                <w:szCs w:val="16"/>
              </w:rPr>
              <w:t>År</w:t>
            </w:r>
          </w:p>
          <w:p>
            <w:pPr>
              <w:jc w:val="center"/>
              <w:rPr>
                <w:b/>
                <w:noProof/>
                <w:sz w:val="16"/>
              </w:rPr>
            </w:pPr>
            <w:r>
              <w:rPr>
                <w:b/>
                <w:noProof/>
                <w:sz w:val="16"/>
                <w:szCs w:val="16"/>
              </w:rPr>
              <w:t>2024</w:t>
            </w:r>
          </w:p>
        </w:tc>
        <w:tc>
          <w:tcPr>
            <w:tcW w:w="551" w:type="pct"/>
            <w:shd w:val="clear" w:color="auto" w:fill="auto"/>
            <w:vAlign w:val="center"/>
          </w:tcPr>
          <w:p>
            <w:pPr>
              <w:spacing w:before="20" w:after="20"/>
              <w:jc w:val="center"/>
              <w:rPr>
                <w:noProof/>
                <w:sz w:val="16"/>
                <w:szCs w:val="16"/>
              </w:rPr>
            </w:pPr>
            <w:r>
              <w:rPr>
                <w:noProof/>
                <w:sz w:val="16"/>
                <w:szCs w:val="16"/>
              </w:rPr>
              <w:t>År</w:t>
            </w:r>
          </w:p>
          <w:p>
            <w:pPr>
              <w:jc w:val="center"/>
              <w:rPr>
                <w:b/>
                <w:noProof/>
                <w:sz w:val="16"/>
                <w:szCs w:val="16"/>
              </w:rPr>
            </w:pPr>
            <w:r>
              <w:rPr>
                <w:b/>
                <w:noProof/>
                <w:sz w:val="16"/>
                <w:szCs w:val="16"/>
              </w:rPr>
              <w:t>2025</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(indirekta forskningsåtgärder)</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0.3</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0.2</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26"/>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7"/>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(kontraktsanställda, nationella experter och vikarier som arbetar med indirekta forskningsåtgärder)</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0.3</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0.2</w:t>
            </w:r>
          </w:p>
        </w:tc>
      </w:tr>
    </w:tbl>
    <w:p>
      <w:pPr>
        <w:pStyle w:val="Text1"/>
        <w:spacing w:before="60" w:after="60"/>
        <w:ind w:left="851"/>
        <w:rPr>
          <w:noProof/>
          <w:sz w:val="18"/>
          <w:szCs w:val="18"/>
        </w:rPr>
      </w:pPr>
      <w:r>
        <w:rPr>
          <w:b/>
          <w:bCs/>
          <w:noProof/>
          <w:sz w:val="18"/>
          <w:szCs w:val="18"/>
        </w:rPr>
        <w:t>XX</w:t>
      </w:r>
      <w:r>
        <w:rPr>
          <w:noProof/>
          <w:sz w:val="18"/>
          <w:szCs w:val="18"/>
        </w:rPr>
        <w:t xml:space="preserve"> motsvarar det politikområde eller den avdelning i budgeten som avses.</w:t>
      </w:r>
    </w:p>
    <w:p>
      <w:pPr>
        <w:pStyle w:val="Text1"/>
        <w:rPr>
          <w:noProof/>
          <w:sz w:val="18"/>
          <w:szCs w:val="18"/>
        </w:rPr>
      </w:pPr>
      <w:r>
        <w:rPr>
          <w:noProof/>
          <w:sz w:val="18"/>
        </w:rPr>
        <w:t>Personalbehoven ska täckas med personal inom generaldirektoratet vilka redan har avdelats för förvaltningen av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noProof/>
                <w:sz w:val="20"/>
              </w:rPr>
              <w:t>Förbereda och ansvara för möten i den gemensamma rådgivande grupp som inrättats enligt artikel 6 b i avtalet, samt följa upp hur avtalet fungerar och genomförs.</w:t>
            </w:r>
          </w:p>
          <w:p>
            <w:pPr>
              <w:rPr>
                <w:noProof/>
                <w:sz w:val="20"/>
              </w:rPr>
            </w:pPr>
            <w:r>
              <w:rPr>
                <w:noProof/>
                <w:sz w:val="20"/>
              </w:rPr>
              <w:t>Beräkningarna görs proportionellt med hänsyn till avtalets varaktighet.</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Förenlighet med den gällande fleråriga budgetramen </w:t>
      </w:r>
    </w:p>
    <w:p>
      <w:pPr>
        <w:pStyle w:val="ListDash1"/>
        <w:rPr>
          <w:noProof/>
        </w:rPr>
      </w:pPr>
      <w:r>
        <w:rPr>
          <w:noProof/>
        </w:rPr>
        <w:sym w:font="Wingdings" w:char="F0FE"/>
      </w:r>
      <w:r>
        <w:rPr>
          <w:noProof/>
        </w:rPr>
        <w:tab/>
        <w:t>Förslaget/initiativet är förenligt med den gällande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Den fleråriga budgetramen 2021–2027 har ännu inte antagits av Europaparlamentet och rådet.</w:t>
      </w:r>
    </w:p>
    <w:p>
      <w:pPr>
        <w:rPr>
          <w:noProof/>
        </w:rPr>
      </w:pPr>
    </w:p>
    <w:p>
      <w:pPr>
        <w:pStyle w:val="ManualHeading3"/>
        <w:rPr>
          <w:bCs/>
          <w:noProof/>
          <w:szCs w:val="24"/>
        </w:rPr>
      </w:pPr>
      <w:r>
        <w:rPr>
          <w:noProof/>
        </w:rPr>
        <w:t>3.2.5.</w:t>
      </w:r>
      <w:r>
        <w:rPr>
          <w:noProof/>
        </w:rPr>
        <w:tab/>
        <w:t xml:space="preserve">Bidrag från tredje part </w:t>
      </w:r>
    </w:p>
    <w:p>
      <w:pPr>
        <w:pStyle w:val="ListDash1"/>
        <w:rPr>
          <w:noProof/>
        </w:rPr>
      </w:pPr>
      <w:r>
        <w:rPr>
          <w:noProof/>
        </w:rPr>
        <w:sym w:font="Wingdings" w:char="F0FE"/>
      </w:r>
      <w:r>
        <w:rPr>
          <w:noProof/>
        </w:rPr>
        <w:t xml:space="preserve"> Det ingår inga bidrag från tredje part i det aktuella förslaget eller initiativet. </w:t>
      </w:r>
    </w:p>
    <w:p>
      <w:pPr>
        <w:rPr>
          <w:noProof/>
        </w:rPr>
      </w:pP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n</w:t>
            </w:r>
          </w:p>
        </w:tc>
        <w:tc>
          <w:tcPr>
            <w:tcW w:w="964" w:type="dxa"/>
            <w:vAlign w:val="center"/>
          </w:tcPr>
          <w:p>
            <w:pPr>
              <w:jc w:val="center"/>
              <w:rPr>
                <w:noProof/>
                <w:sz w:val="20"/>
              </w:rPr>
            </w:pPr>
            <w:r>
              <w:rPr>
                <w:noProof/>
                <w:sz w:val="20"/>
              </w:rPr>
              <w:t>År</w:t>
            </w:r>
            <w:r>
              <w:rPr>
                <w:noProof/>
                <w:sz w:val="22"/>
              </w:rPr>
              <w:br/>
            </w:r>
            <w:r>
              <w:rPr>
                <w:b/>
                <w:noProof/>
                <w:sz w:val="20"/>
              </w:rPr>
              <w:t>n+1</w:t>
            </w:r>
          </w:p>
        </w:tc>
        <w:tc>
          <w:tcPr>
            <w:tcW w:w="964" w:type="dxa"/>
            <w:vAlign w:val="center"/>
          </w:tcPr>
          <w:p>
            <w:pPr>
              <w:jc w:val="center"/>
              <w:rPr>
                <w:noProof/>
                <w:sz w:val="20"/>
              </w:rPr>
            </w:pPr>
            <w:r>
              <w:rPr>
                <w:noProof/>
                <w:sz w:val="20"/>
              </w:rPr>
              <w:t>År</w:t>
            </w:r>
            <w:r>
              <w:rPr>
                <w:noProof/>
                <w:sz w:val="22"/>
              </w:rPr>
              <w:br/>
            </w:r>
            <w:r>
              <w:rPr>
                <w:b/>
                <w:noProof/>
                <w:sz w:val="20"/>
              </w:rPr>
              <w:t>n+2</w:t>
            </w:r>
          </w:p>
        </w:tc>
        <w:tc>
          <w:tcPr>
            <w:tcW w:w="964" w:type="dxa"/>
            <w:vAlign w:val="center"/>
          </w:tcPr>
          <w:p>
            <w:pPr>
              <w:jc w:val="center"/>
              <w:rPr>
                <w:noProof/>
                <w:sz w:val="20"/>
              </w:rPr>
            </w:pPr>
            <w:r>
              <w:rPr>
                <w:noProof/>
                <w:sz w:val="20"/>
              </w:rPr>
              <w:t>År</w:t>
            </w:r>
            <w:r>
              <w:rPr>
                <w:noProof/>
                <w:sz w:val="22"/>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varaktigheten för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sz w:val="22"/>
              </w:rPr>
            </w:pPr>
            <w:r>
              <w:rPr>
                <w:noProof/>
                <w:sz w:val="20"/>
              </w:rPr>
              <w:t>Ange vilket organ som deltar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samfinansiering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Beräknad inverkan på inkomsterna </w:t>
      </w:r>
    </w:p>
    <w:p>
      <w:pPr>
        <w:pStyle w:val="ListDash1"/>
        <w:rPr>
          <w:noProof/>
        </w:rPr>
      </w:pPr>
      <w:r>
        <w:rPr>
          <w:noProof/>
        </w:rPr>
        <w:sym w:font="Wingdings" w:char="F0FE"/>
      </w:r>
      <w:r>
        <w:rPr>
          <w:noProof/>
        </w:rPr>
        <w:tab/>
        <w:t>Förslaget/initiativet påverkar inte budgetens inkomstsida.</w:t>
      </w:r>
    </w:p>
    <w:p>
      <w:pPr>
        <w:rPr>
          <w:noProof/>
        </w:rPr>
      </w:pPr>
    </w:p>
    <w:p>
      <w:pPr>
        <w:jc w:val="center"/>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Förslagets/initiativets inverkan på inkomsterna</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varaktigheten för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För diverse inkomster avsatta för särskilda ändamål, ange vilka budgetrubriker i utgiftsdelen som berörs.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EGT L 213, 9.8.2002, s. 30.</w:t>
      </w:r>
    </w:p>
  </w:footnote>
  <w:footnote w:id="2">
    <w:p>
      <w:pPr>
        <w:pStyle w:val="FootnoteText"/>
      </w:pPr>
      <w:r>
        <w:rPr>
          <w:rStyle w:val="FootnoteReference"/>
        </w:rPr>
        <w:footnoteRef/>
      </w:r>
      <w:r>
        <w:tab/>
        <w:t>Rådets beslut 2009/501/EG (EUT L 171, 1.7.2009, s. 17).</w:t>
      </w:r>
    </w:p>
  </w:footnote>
  <w:footnote w:id="3">
    <w:p>
      <w:pPr>
        <w:pStyle w:val="FootnoteText"/>
      </w:pPr>
      <w:r>
        <w:rPr>
          <w:rStyle w:val="FootnoteReference"/>
        </w:rPr>
        <w:footnoteRef/>
      </w:r>
      <w:r>
        <w:tab/>
        <w:t>Rådets beslut 2015/1788/EU (EUT L 260, 7.10.2015, s. 18).</w:t>
      </w:r>
    </w:p>
  </w:footnote>
  <w:footnote w:id="4">
    <w:p>
      <w:pPr>
        <w:pStyle w:val="FootnoteText"/>
      </w:pPr>
      <w:r>
        <w:rPr>
          <w:rStyle w:val="FootnoteReference"/>
        </w:rPr>
        <w:footnoteRef/>
      </w:r>
      <w:r>
        <w:tab/>
        <w:t>Europaparlamentets och rådets förordning (EU) nr 1291/2013 av den 11 december 2013 om inrättande av Horisont 2020 – ramprogrammet för forskning och innovation (2014–2020) och om upphävande av beslut nr 1982/2006/EG (EUT L 347, 20.12.2013, s. 104).</w:t>
      </w:r>
    </w:p>
  </w:footnote>
  <w:footnote w:id="5">
    <w:p>
      <w:pPr>
        <w:pStyle w:val="FootnoteText"/>
        <w:ind w:left="142" w:hanging="142"/>
        <w:jc w:val="left"/>
      </w:pPr>
      <w:r>
        <w:rPr>
          <w:rStyle w:val="FootnoteReference"/>
        </w:rPr>
        <w:footnoteRef/>
      </w:r>
      <w:r>
        <w:tab/>
      </w:r>
      <w:r>
        <w:rPr>
          <w:i/>
          <w:iCs/>
        </w:rPr>
        <w:t>Förbättra och fokusera unionens internationella samarbete inom forskning och innovation: En strategi</w:t>
      </w:r>
      <w:r>
        <w:t xml:space="preserve">, COM(2012) 497. </w:t>
      </w:r>
    </w:p>
  </w:footnote>
  <w:footnote w:id="6">
    <w:p>
      <w:pPr>
        <w:pStyle w:val="FootnoteText"/>
        <w:ind w:left="142" w:hanging="142"/>
      </w:pPr>
      <w:r>
        <w:rPr>
          <w:rStyle w:val="FootnoteReference"/>
        </w:rPr>
        <w:footnoteRef/>
      </w:r>
      <w:r>
        <w:tab/>
        <w:t xml:space="preserve">Gemensamt meddelande till Europaparlamentet och rådet, JOIN(2018) 28, </w:t>
      </w:r>
      <w:r>
        <w:rPr>
          <w:i/>
          <w:iCs/>
        </w:rPr>
        <w:t>EU:s strategi för Indien.</w:t>
      </w:r>
    </w:p>
  </w:footnote>
  <w:footnote w:id="7">
    <w:p>
      <w:pPr>
        <w:pStyle w:val="FootnoteText"/>
        <w:ind w:left="142" w:hanging="142"/>
      </w:pPr>
      <w:r>
        <w:rPr>
          <w:rStyle w:val="FootnoteReference"/>
        </w:rPr>
        <w:footnoteRef/>
      </w:r>
      <w:r>
        <w:tab/>
        <w:t>EU:s strategi för Indien, rådets slutsatser 14634/18 (10 december 2018, s. 3).</w:t>
      </w:r>
    </w:p>
  </w:footnote>
  <w:footnote w:id="8">
    <w:p>
      <w:pPr>
        <w:pStyle w:val="FootnoteText"/>
      </w:pPr>
      <w:r>
        <w:rPr>
          <w:rStyle w:val="FootnoteReference"/>
        </w:rPr>
        <w:footnoteRef/>
      </w:r>
      <w:r>
        <w:tab/>
        <w:t>EUT C , , s. .</w:t>
      </w:r>
    </w:p>
  </w:footnote>
  <w:footnote w:id="9">
    <w:p>
      <w:pPr>
        <w:pStyle w:val="FootnoteText"/>
      </w:pPr>
      <w:r>
        <w:rPr>
          <w:rStyle w:val="FootnoteReference"/>
        </w:rPr>
        <w:footnoteRef/>
      </w:r>
      <w:r>
        <w:tab/>
        <w:t>Rådets beslut 2002/648/EG av den 25 juni 2002 om ingående av avtalet om vetenskapligt och tekniskt samarbete mellan Europeiska gemenskapen och Republiken Indiens regering (EGT L 213, 9.8.2002, s. 29).</w:t>
      </w:r>
    </w:p>
  </w:footnote>
  <w:footnote w:id="10">
    <w:p>
      <w:pPr>
        <w:pStyle w:val="FootnoteText"/>
      </w:pPr>
      <w:r>
        <w:rPr>
          <w:rStyle w:val="FootnoteReference"/>
        </w:rPr>
        <w:footnoteRef/>
      </w:r>
      <w:r>
        <w:tab/>
        <w:t>Avtal om vetenskapligt och tekniskt samarbete mellan Europeiska gemenskapen och Republiken Indiens regering (EGT L 213, 9.8.2002, s. 30).</w:t>
      </w:r>
    </w:p>
  </w:footnote>
  <w:footnote w:id="11">
    <w:p>
      <w:pPr>
        <w:pStyle w:val="FootnoteText"/>
      </w:pPr>
      <w:r>
        <w:rPr>
          <w:rStyle w:val="FootnoteReference"/>
        </w:rPr>
        <w:footnoteRef/>
      </w:r>
      <w:r>
        <w:tab/>
        <w:t>Rådets beslut 2009/501/EG av den 19 januari 2009 om ingående av ett avtal om förnyande av avtalet om vetenskapligt och tekniskt samarbete mellan Europeiska gemenskapen och Republiken Indiens regering (EUT L 171, 1.7.2009, s. 17).</w:t>
      </w:r>
    </w:p>
  </w:footnote>
  <w:footnote w:id="12">
    <w:p>
      <w:pPr>
        <w:pStyle w:val="FootnoteText"/>
      </w:pPr>
      <w:r>
        <w:rPr>
          <w:rStyle w:val="FootnoteReference"/>
        </w:rPr>
        <w:footnoteRef/>
      </w:r>
      <w:r>
        <w:tab/>
        <w:t>Rådets beslut (EU) 2015/1788 av den 1 oktober 2015 om förlängning av avtalet om vetenskapligt och tekniskt samarbete mellan Europeiska gemenskapen och Republiken Indiens regering (EUT L 260, 7.10.2015, s. 18).</w:t>
      </w:r>
    </w:p>
  </w:footnote>
  <w:footnote w:id="13">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14">
    <w:p>
      <w:pPr>
        <w:pStyle w:val="FootnoteText"/>
        <w:rPr>
          <w:szCs w:val="24"/>
        </w:rPr>
      </w:pPr>
      <w:r>
        <w:rPr>
          <w:rStyle w:val="FootnoteReference"/>
        </w:rPr>
        <w:footnoteRef/>
      </w:r>
      <w:r>
        <w:tab/>
        <w:t>Närmare förklaringar av de olika metoderna för genomförande med hänvisningar till respektive bestämmelser i budgetförordningen återfinns på BudgWeb:</w:t>
      </w:r>
      <w:r>
        <w:tab/>
        <w:t xml:space="preserve"> </w:t>
      </w:r>
      <w:hyperlink r:id="rId1" w:history="1">
        <w:r>
          <w:rPr>
            <w:rStyle w:val="Hyperlink"/>
            <w:sz w:val="18"/>
          </w:rPr>
          <w:t>http://www.cc.cec/budg/man/budgmanag/budgmanag_en.html</w:t>
        </w:r>
      </w:hyperlink>
    </w:p>
  </w:footnote>
  <w:footnote w:id="15">
    <w:p>
      <w:pPr>
        <w:pStyle w:val="FootnoteText"/>
        <w:ind w:left="709" w:hanging="709"/>
      </w:pPr>
      <w:r>
        <w:rPr>
          <w:rStyle w:val="FootnoteReference"/>
        </w:rPr>
        <w:footnoteRef/>
      </w:r>
      <w:r>
        <w:tab/>
        <w:t xml:space="preserve">Anslag för perioden 2021–2024 (den fleråriga budgetramen 2021–2027) och tillhörande rättslig grund har ännu inte antagits av Europaparlamentet och rådet. </w:t>
      </w:r>
    </w:p>
  </w:footnote>
  <w:footnote w:id="16">
    <w:p>
      <w:pPr>
        <w:pStyle w:val="FootnoteText"/>
        <w:rPr>
          <w:szCs w:val="24"/>
        </w:rPr>
      </w:pPr>
      <w:r>
        <w:rPr>
          <w:rStyle w:val="FootnoteReference"/>
        </w:rPr>
        <w:footnoteRef/>
      </w:r>
      <w:r>
        <w:tab/>
        <w:t>Diff. = differentierade anslag/Icke-diff. = icke-differentierade anslag.</w:t>
      </w:r>
    </w:p>
  </w:footnote>
  <w:footnote w:id="17">
    <w:p>
      <w:pPr>
        <w:pStyle w:val="FootnoteText"/>
        <w:rPr>
          <w:szCs w:val="24"/>
        </w:rPr>
      </w:pPr>
      <w:r>
        <w:rPr>
          <w:rStyle w:val="FootnoteReference"/>
        </w:rPr>
        <w:footnoteRef/>
      </w:r>
      <w:r>
        <w:tab/>
        <w:t xml:space="preserve">Efta: Europeiska frihandelssammanslutningen. </w:t>
      </w:r>
    </w:p>
  </w:footnote>
  <w:footnote w:id="18">
    <w:p>
      <w:pPr>
        <w:pStyle w:val="FootnoteText"/>
        <w:rPr>
          <w:szCs w:val="24"/>
        </w:rPr>
      </w:pPr>
      <w:r>
        <w:rPr>
          <w:rStyle w:val="FootnoteReference"/>
        </w:rPr>
        <w:footnoteRef/>
      </w:r>
      <w:r>
        <w:tab/>
        <w:t>Kandidatländer och i förekommande fall potentiella kandidatländer i västra Balkan.</w:t>
      </w:r>
    </w:p>
  </w:footnote>
  <w:footnote w:id="19">
    <w:p>
      <w:pPr>
        <w:pStyle w:val="FootnoteText"/>
        <w:rPr>
          <w:szCs w:val="24"/>
        </w:rPr>
      </w:pPr>
      <w:r>
        <w:rPr>
          <w:rStyle w:val="FootnoteReference"/>
        </w:rPr>
        <w:footnoteRef/>
      </w:r>
      <w:r>
        <w:tab/>
        <w:t>2020 är det år då förslaget eller initiativet ska börja genomföras. Beloppen för 2020 och 2025 avser sju respektive fem månader.</w:t>
      </w:r>
    </w:p>
  </w:footnote>
  <w:footnote w:id="20">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1">
    <w:p>
      <w:pPr>
        <w:pStyle w:val="FootnoteText"/>
        <w:rPr>
          <w:szCs w:val="24"/>
        </w:rPr>
      </w:pPr>
      <w:r>
        <w:rPr>
          <w:rStyle w:val="FootnoteReference"/>
        </w:rPr>
        <w:footnoteRef/>
      </w:r>
      <w:r>
        <w:tab/>
        <w:t>Med år n avses det år då förslaget eller initiativet ska börja genomföras. Beloppen för 2020 och 2025 avser sju månader respektive fem månader.</w:t>
      </w:r>
    </w:p>
  </w:footnote>
  <w:footnote w:id="22">
    <w:p>
      <w:pPr>
        <w:pStyle w:val="FootnoteText"/>
        <w:rPr>
          <w:szCs w:val="24"/>
        </w:rPr>
      </w:pPr>
      <w:r>
        <w:rPr>
          <w:rStyle w:val="FootnoteReference"/>
        </w:rPr>
        <w:footnoteRef/>
      </w:r>
      <w:r>
        <w:tab/>
        <w:t>Output som ska anges är de produkter eller tjänster som levererats (t.ex. antal studentutbyten som har finansierats eller antal kilometer väg som har byggts).</w:t>
      </w:r>
    </w:p>
  </w:footnote>
  <w:footnote w:id="23">
    <w:p>
      <w:pPr>
        <w:pStyle w:val="FootnoteText"/>
        <w:rPr>
          <w:szCs w:val="24"/>
        </w:rPr>
      </w:pPr>
      <w:r>
        <w:rPr>
          <w:rStyle w:val="FootnoteReference"/>
        </w:rPr>
        <w:footnoteRef/>
      </w:r>
      <w:r>
        <w:tab/>
        <w:t xml:space="preserve">Mål som redovisats under punkt 1.4.2: ”Specifikt/specifika mål…”. </w:t>
      </w:r>
    </w:p>
  </w:footnote>
  <w:footnote w:id="24">
    <w:p>
      <w:pPr>
        <w:pStyle w:val="FootnoteText"/>
        <w:rPr>
          <w:szCs w:val="24"/>
        </w:rPr>
      </w:pPr>
      <w:r>
        <w:rPr>
          <w:rStyle w:val="FootnoteReference"/>
        </w:rPr>
        <w:footnoteRef/>
      </w:r>
      <w:r>
        <w:tab/>
        <w:t>Med år n avses det år då förslaget eller initiativet ska börja genomföras. Beloppen för 2020 och 2025 avser sju månader respektive fem månader.</w:t>
      </w:r>
    </w:p>
  </w:footnote>
  <w:footnote w:id="25">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6">
    <w:p>
      <w:pPr>
        <w:pStyle w:val="FootnoteText"/>
        <w:rPr>
          <w:szCs w:val="24"/>
        </w:rPr>
      </w:pPr>
      <w:r>
        <w:rPr>
          <w:rStyle w:val="FootnoteReference"/>
        </w:rPr>
        <w:footnoteRef/>
      </w:r>
      <w:r>
        <w:tab/>
        <w:t xml:space="preserve">[Denna fotnot förklarar vissa initialförkortningar som inte används i den svenska versionen.] </w:t>
      </w:r>
    </w:p>
  </w:footnote>
  <w:footnote w:id="27">
    <w:p>
      <w:pPr>
        <w:pStyle w:val="FootnoteText"/>
        <w:rPr>
          <w:szCs w:val="24"/>
        </w:rPr>
      </w:pPr>
      <w:r>
        <w:rPr>
          <w:rStyle w:val="FootnoteReference"/>
        </w:rPr>
        <w:footnoteRef/>
      </w:r>
      <w:r>
        <w:tab/>
        <w:t>Särskilt tak för finansiering av extern personal genom driftsanslag (tidigare s.k.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23 15:35: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F570C8C-76D3-44AC-9AD3-D15B07FD6A19"/>
    <w:docVar w:name="LW_COVERPAGE_TYPE" w:val="1"/>
    <w:docVar w:name="LW_CROSSREFERENCE" w:val="&lt;UNUSED&gt;"/>
    <w:docVar w:name="LW_DocType" w:val="COM"/>
    <w:docVar w:name="LW_EMISSION" w:val="30.1.2020"/>
    <w:docVar w:name="LW_EMISSION_ISODATE" w:val="2020-01-30"/>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15"/>
    <w:docVar w:name="LW_REF.II.NEW.CP_YEAR" w:val="2020"/>
    <w:docVar w:name="LW_REF.INST.NEW" w:val="COM"/>
    <w:docVar w:name="LW_REF.INST.NEW_ADOPTED" w:val="final"/>
    <w:docVar w:name="LW_REF.INST.NEW_TEXT" w:val="(2020)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förlängning av avtalet om vetenskapligt och tekniskt samarbete mellan Europeiska gemenskapen och Republiken Indiens regering"/>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78">
      <w:bodyDiv w:val="1"/>
      <w:marLeft w:val="0"/>
      <w:marRight w:val="0"/>
      <w:marTop w:val="0"/>
      <w:marBottom w:val="0"/>
      <w:divBdr>
        <w:top w:val="none" w:sz="0" w:space="0" w:color="auto"/>
        <w:left w:val="none" w:sz="0" w:space="0" w:color="auto"/>
        <w:bottom w:val="none" w:sz="0" w:space="0" w:color="auto"/>
        <w:right w:val="none" w:sz="0" w:space="0" w:color="auto"/>
      </w:divBdr>
      <w:divsChild>
        <w:div w:id="1120030894">
          <w:marLeft w:val="0"/>
          <w:marRight w:val="0"/>
          <w:marTop w:val="0"/>
          <w:marBottom w:val="0"/>
          <w:divBdr>
            <w:top w:val="none" w:sz="0" w:space="0" w:color="auto"/>
            <w:left w:val="none" w:sz="0" w:space="0" w:color="auto"/>
            <w:bottom w:val="none" w:sz="0" w:space="0" w:color="auto"/>
            <w:right w:val="none" w:sz="0" w:space="0" w:color="auto"/>
          </w:divBdr>
          <w:divsChild>
            <w:div w:id="1186215024">
              <w:marLeft w:val="0"/>
              <w:marRight w:val="0"/>
              <w:marTop w:val="0"/>
              <w:marBottom w:val="0"/>
              <w:divBdr>
                <w:top w:val="none" w:sz="0" w:space="0" w:color="auto"/>
                <w:left w:val="none" w:sz="0" w:space="0" w:color="auto"/>
                <w:bottom w:val="none" w:sz="0" w:space="0" w:color="auto"/>
                <w:right w:val="none" w:sz="0" w:space="0" w:color="auto"/>
              </w:divBdr>
              <w:divsChild>
                <w:div w:id="1346325678">
                  <w:marLeft w:val="0"/>
                  <w:marRight w:val="0"/>
                  <w:marTop w:val="0"/>
                  <w:marBottom w:val="0"/>
                  <w:divBdr>
                    <w:top w:val="none" w:sz="0" w:space="0" w:color="auto"/>
                    <w:left w:val="none" w:sz="0" w:space="0" w:color="auto"/>
                    <w:bottom w:val="none" w:sz="0" w:space="0" w:color="auto"/>
                    <w:right w:val="none" w:sz="0" w:space="0" w:color="auto"/>
                  </w:divBdr>
                  <w:divsChild>
                    <w:div w:id="2143842657">
                      <w:marLeft w:val="-150"/>
                      <w:marRight w:val="-150"/>
                      <w:marTop w:val="0"/>
                      <w:marBottom w:val="0"/>
                      <w:divBdr>
                        <w:top w:val="none" w:sz="0" w:space="0" w:color="auto"/>
                        <w:left w:val="none" w:sz="0" w:space="0" w:color="auto"/>
                        <w:bottom w:val="none" w:sz="0" w:space="0" w:color="auto"/>
                        <w:right w:val="none" w:sz="0" w:space="0" w:color="auto"/>
                      </w:divBdr>
                      <w:divsChild>
                        <w:div w:id="1626623261">
                          <w:marLeft w:val="0"/>
                          <w:marRight w:val="0"/>
                          <w:marTop w:val="0"/>
                          <w:marBottom w:val="0"/>
                          <w:divBdr>
                            <w:top w:val="none" w:sz="0" w:space="0" w:color="auto"/>
                            <w:left w:val="none" w:sz="0" w:space="0" w:color="auto"/>
                            <w:bottom w:val="none" w:sz="0" w:space="0" w:color="auto"/>
                            <w:right w:val="none" w:sz="0" w:space="0" w:color="auto"/>
                          </w:divBdr>
                          <w:divsChild>
                            <w:div w:id="1792240737">
                              <w:marLeft w:val="0"/>
                              <w:marRight w:val="0"/>
                              <w:marTop w:val="0"/>
                              <w:marBottom w:val="0"/>
                              <w:divBdr>
                                <w:top w:val="none" w:sz="0" w:space="0" w:color="auto"/>
                                <w:left w:val="none" w:sz="0" w:space="0" w:color="auto"/>
                                <w:bottom w:val="none" w:sz="0" w:space="0" w:color="auto"/>
                                <w:right w:val="none" w:sz="0" w:space="0" w:color="auto"/>
                              </w:divBdr>
                              <w:divsChild>
                                <w:div w:id="582835216">
                                  <w:marLeft w:val="0"/>
                                  <w:marRight w:val="0"/>
                                  <w:marTop w:val="0"/>
                                  <w:marBottom w:val="300"/>
                                  <w:divBdr>
                                    <w:top w:val="none" w:sz="0" w:space="0" w:color="auto"/>
                                    <w:left w:val="none" w:sz="0" w:space="0" w:color="auto"/>
                                    <w:bottom w:val="none" w:sz="0" w:space="0" w:color="auto"/>
                                    <w:right w:val="none" w:sz="0" w:space="0" w:color="auto"/>
                                  </w:divBdr>
                                  <w:divsChild>
                                    <w:div w:id="1452018803">
                                      <w:marLeft w:val="0"/>
                                      <w:marRight w:val="0"/>
                                      <w:marTop w:val="0"/>
                                      <w:marBottom w:val="0"/>
                                      <w:divBdr>
                                        <w:top w:val="none" w:sz="0" w:space="0" w:color="auto"/>
                                        <w:left w:val="none" w:sz="0" w:space="0" w:color="auto"/>
                                        <w:bottom w:val="none" w:sz="0" w:space="0" w:color="auto"/>
                                        <w:right w:val="none" w:sz="0" w:space="0" w:color="auto"/>
                                      </w:divBdr>
                                      <w:divsChild>
                                        <w:div w:id="1772044905">
                                          <w:marLeft w:val="0"/>
                                          <w:marRight w:val="0"/>
                                          <w:marTop w:val="0"/>
                                          <w:marBottom w:val="0"/>
                                          <w:divBdr>
                                            <w:top w:val="none" w:sz="0" w:space="0" w:color="auto"/>
                                            <w:left w:val="none" w:sz="0" w:space="0" w:color="auto"/>
                                            <w:bottom w:val="none" w:sz="0" w:space="0" w:color="auto"/>
                                            <w:right w:val="none" w:sz="0" w:space="0" w:color="auto"/>
                                          </w:divBdr>
                                          <w:divsChild>
                                            <w:div w:id="1199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90BF-DD86-43D8-971E-C3E3D92B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20</Pages>
  <Words>3974</Words>
  <Characters>24763</Characters>
  <Application>Microsoft Office Word</Application>
  <DocSecurity>0</DocSecurity>
  <Lines>1303</Lines>
  <Paragraphs>598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2019-12-12T13:29:00Z</cp:lastPrinted>
  <dcterms:created xsi:type="dcterms:W3CDTF">2020-01-14T10:29:00Z</dcterms:created>
  <dcterms:modified xsi:type="dcterms:W3CDTF">2020-01-23T14:35:00Z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