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C8EB13A-315B-4A40-B1B1-5388A56BA56A" style="width:450.35pt;height:352.5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UZASADNIENIE</w:t>
      </w:r>
    </w:p>
    <w:p>
      <w:pPr>
        <w:pStyle w:val="ManualHeading1"/>
        <w:rPr>
          <w:noProof/>
        </w:rPr>
      </w:pPr>
      <w:r>
        <w:rPr>
          <w:noProof/>
        </w:rPr>
        <w:t>1.</w:t>
      </w:r>
      <w:r>
        <w:rPr>
          <w:noProof/>
        </w:rPr>
        <w:tab/>
        <w:t>KONTEKST WNIOSKU</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Przyczyny i cele wniosku</w:t>
      </w:r>
    </w:p>
    <w:p>
      <w:pPr>
        <w:spacing w:before="0" w:after="240"/>
        <w:rPr>
          <w:rFonts w:eastAsia="Times New Roman"/>
          <w:noProof/>
          <w:szCs w:val="20"/>
        </w:rPr>
      </w:pPr>
      <w:r>
        <w:rPr>
          <w:noProof/>
        </w:rPr>
        <w:t>Umowa w sprawie współpracy naukowej i technologicznej między Wspólnotą Europejską a Ukrainą</w:t>
      </w:r>
      <w:r>
        <w:rPr>
          <w:rStyle w:val="FootnoteReference"/>
          <w:noProof/>
        </w:rPr>
        <w:footnoteReference w:id="1"/>
      </w:r>
      <w:r>
        <w:rPr>
          <w:noProof/>
        </w:rPr>
        <w:t xml:space="preserve"> (zwana dalej „Umową”) została podpisana w Kopenhadze dnia 4 lipca 2002 r. i została zawarta na okres wstępny kończący się dnia 31 grudnia 2002 r. Art. 12 lit. b) Umowy przewiduje możliwość jej przedłużenia za porozumieniem Stron na dodatkowe okresy pięciu lat. Umowa została przedłużona dwukrotnie w latach 2011</w:t>
      </w:r>
      <w:r>
        <w:rPr>
          <w:rStyle w:val="FootnoteReference"/>
          <w:noProof/>
        </w:rPr>
        <w:footnoteReference w:id="2"/>
      </w:r>
      <w:r>
        <w:rPr>
          <w:noProof/>
        </w:rPr>
        <w:t xml:space="preserve"> i 2014</w:t>
      </w:r>
      <w:r>
        <w:rPr>
          <w:rStyle w:val="FootnoteReference"/>
          <w:noProof/>
        </w:rPr>
        <w:footnoteReference w:id="3"/>
      </w:r>
      <w:r>
        <w:rPr>
          <w:noProof/>
        </w:rPr>
        <w:t xml:space="preserve">. </w:t>
      </w:r>
    </w:p>
    <w:p>
      <w:pPr>
        <w:spacing w:before="0" w:after="240"/>
        <w:rPr>
          <w:rFonts w:eastAsia="Times New Roman"/>
          <w:noProof/>
          <w:szCs w:val="20"/>
        </w:rPr>
      </w:pPr>
      <w:r>
        <w:rPr>
          <w:noProof/>
        </w:rPr>
        <w:t>Umowa wygasła w dniu 7 listopada 2019 r.</w:t>
      </w:r>
    </w:p>
    <w:p>
      <w:pPr>
        <w:spacing w:before="0" w:after="240"/>
        <w:rPr>
          <w:rFonts w:eastAsia="Times New Roman"/>
          <w:noProof/>
          <w:szCs w:val="20"/>
        </w:rPr>
      </w:pPr>
      <w:r>
        <w:rPr>
          <w:noProof/>
        </w:rPr>
        <w:t>Przedłużenie Umowy na dodatkowy okres pięciu lat leży we wspólnym interesie obu Stron i służy dalszemu ułatwianiu współpracy między UE a Ukrainą w priorytetowych obszarach nauki i technologii, co prowadzi do wzajemnych korzyści.</w:t>
      </w:r>
    </w:p>
    <w:p>
      <w:pPr>
        <w:spacing w:after="240"/>
        <w:rPr>
          <w:noProof/>
          <w:color w:val="010202"/>
          <w:szCs w:val="24"/>
        </w:rPr>
      </w:pPr>
      <w:r>
        <w:rPr>
          <w:noProof/>
        </w:rPr>
        <w:t>Ukraina ma długą tradycję doskonałości w dziedzinie nauki i technologii i pomimo trudności w ostatnich latach kraj ten nadal szczyci się pierwszorzędną nauką i naukowcami oraz jest ważnym podmiotem w dziedzinie nauki, technologii i innowacji w sąsiedztwie Unii.</w:t>
      </w:r>
      <w:r>
        <w:rPr>
          <w:noProof/>
          <w:color w:val="010202"/>
          <w:szCs w:val="24"/>
        </w:rPr>
        <w:t xml:space="preserve"> Współpraca między Unią a Ukrainą tradycyjnie jest bardzo aktywna, zwłaszcza w dziedzinie zaawansowanych/nowych materiałów, technologii informatycznych, fizyki i astronomii, inżynierii, technologii rolniczej, nanotechnologii, biotechnologii i ich zastosowań w różnych sektorach, takich jak lotnictwo, energetyka i biomedycyna (w szczególności immunoterapia w leczeniu nowotworów). </w:t>
      </w:r>
    </w:p>
    <w:p>
      <w:pPr>
        <w:spacing w:before="0" w:after="240"/>
        <w:rPr>
          <w:noProof/>
        </w:rPr>
      </w:pPr>
      <w:r>
        <w:rPr>
          <w:noProof/>
        </w:rPr>
        <w:t>Na posiedzeniu Wspólnego Komitetu UE–Ukraina do spraw współpracy w dziedzinie nauki i technologii ustanowionego na mocy Umowy, które odbyło się w Kijowie w dniu 29 stycznia 2019 r., obie Strony przyjęły do wiadomości zamiar przedłużenia Umowy na kolejny okres pięciu lat, odnotowując postępy w zacieśnianiu współpracy między UE a Ukrainą w dziedzinie badań naukowych i innowacji. Rząd Ukrainy rozpoczął już proces przedłużenia.</w:t>
      </w:r>
    </w:p>
    <w:p>
      <w:pPr>
        <w:pBdr>
          <w:top w:val="nil"/>
          <w:left w:val="nil"/>
          <w:bottom w:val="nil"/>
          <w:right w:val="nil"/>
          <w:between w:val="nil"/>
          <w:bar w:val="nil"/>
        </w:pBdr>
        <w:spacing w:before="0" w:after="240"/>
        <w:rPr>
          <w:rFonts w:eastAsia="Arial Unicode MS"/>
          <w:noProof/>
        </w:rPr>
      </w:pPr>
      <w:r>
        <w:rPr>
          <w:noProof/>
        </w:rPr>
        <w:t>Treść przedłużonej Umowy będzie identyczna z treścią dotychczasowej Umowy. Przedłużona Umowa nie stworzy nowych lub dodatkowych praw i obowiązków dla którejkolwiek Strony, lecz przedłuży już obowiązujący system prawny między Stronami w dziedzinie współpracy naukowo-technologicznej.</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Spójność z przepisami obowiązującymi w tej dziedzinie polityki</w:t>
      </w:r>
    </w:p>
    <w:p>
      <w:pPr>
        <w:pBdr>
          <w:top w:val="nil"/>
          <w:left w:val="nil"/>
          <w:bottom w:val="nil"/>
          <w:right w:val="nil"/>
          <w:between w:val="nil"/>
          <w:bar w:val="nil"/>
        </w:pBdr>
        <w:spacing w:before="0" w:after="240"/>
        <w:rPr>
          <w:noProof/>
          <w:szCs w:val="24"/>
        </w:rPr>
      </w:pPr>
      <w:r>
        <w:rPr>
          <w:noProof/>
        </w:rPr>
        <w:t>Inicjatywa ta jest w pełni zgodna ze strategią UE dotyczącą współpracy międzynarodowej w dziedzinie badań naukowych i innowacji</w:t>
      </w:r>
      <w:r>
        <w:rPr>
          <w:rStyle w:val="FootnoteReference"/>
          <w:noProof/>
          <w:szCs w:val="24"/>
        </w:rPr>
        <w:footnoteReference w:id="4"/>
      </w:r>
      <w:r>
        <w:rPr>
          <w:noProof/>
        </w:rPr>
        <w:t xml:space="preserve">, a także z podejściem międzynarodowym poprzedniej i obecnej Komisji, zgodnie z którym Ukraina jest strategicznym partnerem UE w dziedzinie badań naukowych i innowacji. </w:t>
      </w:r>
    </w:p>
    <w:p>
      <w:pPr>
        <w:pBdr>
          <w:top w:val="nil"/>
          <w:left w:val="nil"/>
          <w:bottom w:val="nil"/>
          <w:right w:val="nil"/>
          <w:between w:val="nil"/>
          <w:bar w:val="nil"/>
        </w:pBdr>
        <w:spacing w:before="0" w:after="240"/>
        <w:rPr>
          <w:noProof/>
          <w:szCs w:val="24"/>
        </w:rPr>
      </w:pPr>
      <w:r>
        <w:rPr>
          <w:noProof/>
        </w:rPr>
        <w:lastRenderedPageBreak/>
        <w:t>Umowa jest również sposobem na realizację strategii UE dotyczącej współpracy międzynarodowej w dziedzinie badań naukowych i innowacji, która zakłada zwiększenie międzynarodowego wymiaru i otwartości unijnych badań naukowych i innowacji.</w:t>
      </w:r>
    </w:p>
    <w:p>
      <w:pPr>
        <w:pBdr>
          <w:top w:val="nil"/>
          <w:left w:val="nil"/>
          <w:bottom w:val="nil"/>
          <w:right w:val="nil"/>
          <w:between w:val="nil"/>
          <w:bar w:val="nil"/>
        </w:pBdr>
        <w:spacing w:before="0" w:after="240"/>
        <w:rPr>
          <w:noProof/>
        </w:rPr>
      </w:pPr>
      <w:r>
        <w:rPr>
          <w:noProof/>
        </w:rPr>
        <w:t>Umowa ta uzupełnia układ o stowarzyszeniu „Horyzont 2020”, który skupia się w szczególności na warunkach uczestnictwa Ukrainy w programie „Horyzont 2020”. Przedłużenie Umowy pozwoliłoby na utrzymanie ogólnych nadrzędnych ram prawnych dwustronnej współpracy w dziedzinie nauki, technologii i innowacji i stanowiłoby ważny sygnał polityczny na temat wagi, jaką UE przywiązuje do współpracy z Ukrainą w tej dziedzinie.</w:t>
      </w:r>
    </w:p>
    <w:p>
      <w:pPr>
        <w:pBdr>
          <w:top w:val="nil"/>
          <w:left w:val="nil"/>
          <w:bottom w:val="nil"/>
          <w:right w:val="nil"/>
          <w:between w:val="nil"/>
          <w:bar w:val="nil"/>
        </w:pBdr>
        <w:spacing w:before="0" w:after="240"/>
        <w:rPr>
          <w:rFonts w:eastAsia="Arial Unicode MS"/>
          <w:noProof/>
        </w:rPr>
      </w:pPr>
      <w:r>
        <w:rPr>
          <w:noProof/>
          <w:color w:val="000000"/>
          <w:u w:color="000000"/>
          <w:bdr w:val="nil"/>
        </w:rPr>
        <w:t>•</w:t>
      </w:r>
      <w:r>
        <w:rPr>
          <w:noProof/>
          <w:color w:val="000000"/>
          <w:u w:color="000000"/>
          <w:bdr w:val="nil"/>
        </w:rPr>
        <w:tab/>
      </w:r>
      <w:r>
        <w:rPr>
          <w:noProof/>
        </w:rPr>
        <w:t>Spójność z innymi politykami Unii</w:t>
      </w:r>
    </w:p>
    <w:p>
      <w:pPr>
        <w:pBdr>
          <w:top w:val="nil"/>
          <w:left w:val="nil"/>
          <w:bottom w:val="nil"/>
          <w:right w:val="nil"/>
          <w:between w:val="nil"/>
          <w:bar w:val="nil"/>
        </w:pBdr>
        <w:spacing w:before="0" w:after="240"/>
        <w:rPr>
          <w:noProof/>
          <w:szCs w:val="24"/>
        </w:rPr>
      </w:pPr>
      <w:r>
        <w:rPr>
          <w:noProof/>
        </w:rPr>
        <w:t>W globalnej strategii na rzecz polityki zagranicznej i bezpieczeństwa UE potwierdzono, że współpraca badawcza jest ważnym elementem polityki zagranicznej UE, a współpracę w dziedzinie badań naukowych uznano za istotny element silniejszych więzi społeczno-gospodarczych.</w:t>
      </w:r>
    </w:p>
    <w:p>
      <w:pPr>
        <w:pStyle w:val="ManualHeading1"/>
        <w:rPr>
          <w:noProof/>
        </w:rPr>
      </w:pPr>
      <w:r>
        <w:rPr>
          <w:noProof/>
        </w:rPr>
        <w:t>2.</w:t>
      </w:r>
      <w:r>
        <w:rPr>
          <w:noProof/>
        </w:rPr>
        <w:tab/>
        <w:t>PODSTAWA PRAWNA, POMOCNICZOŚĆ I PROPORCJONALNOŚĆ</w:t>
      </w:r>
    </w:p>
    <w:p>
      <w:pPr>
        <w:pStyle w:val="ManualHeading2"/>
        <w:rPr>
          <w:rFonts w:eastAsia="Arial Unicode MS"/>
          <w:noProof/>
          <w:u w:color="000000"/>
          <w:bdr w:val="nil"/>
        </w:rPr>
      </w:pPr>
      <w:r>
        <w:rPr>
          <w:noProof/>
          <w:u w:color="000000"/>
          <w:bdr w:val="nil"/>
        </w:rPr>
        <w:t>•</w:t>
      </w:r>
      <w:r>
        <w:rPr>
          <w:noProof/>
          <w:u w:color="000000"/>
          <w:bdr w:val="nil"/>
        </w:rPr>
        <w:tab/>
        <w:t>Podstawa prawna</w:t>
      </w:r>
    </w:p>
    <w:p>
      <w:pPr>
        <w:pBdr>
          <w:top w:val="nil"/>
          <w:left w:val="nil"/>
          <w:bottom w:val="nil"/>
          <w:right w:val="nil"/>
          <w:between w:val="nil"/>
          <w:bar w:val="nil"/>
        </w:pBdr>
        <w:spacing w:before="0" w:after="240"/>
        <w:rPr>
          <w:noProof/>
        </w:rPr>
      </w:pPr>
      <w:r>
        <w:rPr>
          <w:noProof/>
        </w:rPr>
        <w:t>Uprawnienie UE do działania na arenie międzynarodowej w dziedzinie badań naukowych i rozwoju technologicznego jest oparte na art. 186 TFUE. Proceduralną podstawę prawną wniosku stanowi art. 218 ust. 6 akapit drugi lit. a) ppkt (v) TFUE.</w:t>
      </w:r>
    </w:p>
    <w:p>
      <w:pPr>
        <w:pStyle w:val="ManualHeading2"/>
        <w:rPr>
          <w:rFonts w:eastAsia="Arial Unicode MS"/>
          <w:noProof/>
          <w:u w:color="000000"/>
          <w:bdr w:val="nil"/>
        </w:rPr>
      </w:pPr>
      <w:r>
        <w:rPr>
          <w:noProof/>
          <w:u w:color="000000"/>
          <w:bdr w:val="nil"/>
        </w:rPr>
        <w:t>•</w:t>
      </w:r>
      <w:r>
        <w:rPr>
          <w:noProof/>
          <w:u w:color="000000"/>
          <w:bdr w:val="nil"/>
        </w:rPr>
        <w:tab/>
        <w:t xml:space="preserve">Pomocniczość (w przypadku kompetencji niewyłącznych) </w:t>
      </w:r>
    </w:p>
    <w:p>
      <w:pPr>
        <w:pBdr>
          <w:top w:val="nil"/>
          <w:left w:val="nil"/>
          <w:bottom w:val="nil"/>
          <w:right w:val="nil"/>
          <w:between w:val="nil"/>
          <w:bar w:val="nil"/>
        </w:pBdr>
        <w:spacing w:before="0" w:after="240"/>
        <w:rPr>
          <w:rFonts w:eastAsia="Arial Unicode MS"/>
          <w:noProof/>
          <w:szCs w:val="24"/>
        </w:rPr>
      </w:pPr>
      <w:r>
        <w:rPr>
          <w:noProof/>
        </w:rPr>
        <w:t>UE i jej państwa członkowskie mają wspólne kompetencje w dziedzinie badań i rozwoju technologicznego zgodnie z art. 4 ust. 3 TFUE. W związku z tym działania państw członkowskich nie mogą zastąpić działań UE.</w:t>
      </w:r>
    </w:p>
    <w:p>
      <w:pPr>
        <w:pStyle w:val="ManualHeading2"/>
        <w:rPr>
          <w:noProof/>
        </w:rPr>
      </w:pPr>
      <w:r>
        <w:rPr>
          <w:noProof/>
        </w:rPr>
        <w:t>3.</w:t>
      </w:r>
      <w:r>
        <w:rPr>
          <w:noProof/>
        </w:rPr>
        <w:tab/>
        <w:t>WYNIKI OCEN EX POST, KONSULTACJI Z ZAINTERESOWANYMI STRONAMI I OCEN SKUTKÓW</w:t>
      </w:r>
    </w:p>
    <w:p>
      <w:pPr>
        <w:pStyle w:val="ManualHeading2"/>
        <w:rPr>
          <w:rFonts w:eastAsia="Arial Unicode MS"/>
          <w:noProof/>
          <w:u w:color="000000"/>
          <w:bdr w:val="nil"/>
        </w:rPr>
      </w:pPr>
      <w:r>
        <w:rPr>
          <w:noProof/>
          <w:u w:color="000000"/>
          <w:bdr w:val="nil"/>
        </w:rPr>
        <w:t>•</w:t>
      </w:r>
      <w:r>
        <w:rPr>
          <w:noProof/>
          <w:u w:color="000000"/>
          <w:bdr w:val="nil"/>
        </w:rPr>
        <w:tab/>
        <w:t>Sprawność regulacyjna i uproszczenie</w:t>
      </w:r>
    </w:p>
    <w:p>
      <w:pPr>
        <w:pBdr>
          <w:top w:val="nil"/>
          <w:left w:val="nil"/>
          <w:bottom w:val="nil"/>
          <w:right w:val="nil"/>
          <w:between w:val="nil"/>
          <w:bar w:val="nil"/>
        </w:pBdr>
        <w:spacing w:before="0" w:after="240"/>
        <w:rPr>
          <w:noProof/>
          <w:szCs w:val="24"/>
        </w:rPr>
      </w:pPr>
      <w:r>
        <w:rPr>
          <w:noProof/>
        </w:rPr>
        <w:t xml:space="preserve">Inicjatywa ta nie jest częścią programu sprawności i wydajności regulacyjnej (REFIT). </w:t>
      </w:r>
    </w:p>
    <w:p>
      <w:pPr>
        <w:pStyle w:val="ManualHeading1"/>
        <w:rPr>
          <w:noProof/>
        </w:rPr>
      </w:pPr>
      <w:r>
        <w:rPr>
          <w:noProof/>
        </w:rPr>
        <w:t>4.</w:t>
      </w:r>
      <w:r>
        <w:rPr>
          <w:noProof/>
        </w:rPr>
        <w:tab/>
        <w:t>WPŁYW NA BUDŻET</w:t>
      </w:r>
    </w:p>
    <w:p>
      <w:pPr>
        <w:pBdr>
          <w:top w:val="nil"/>
          <w:left w:val="nil"/>
          <w:bottom w:val="nil"/>
          <w:right w:val="nil"/>
          <w:between w:val="nil"/>
          <w:bar w:val="nil"/>
        </w:pBdr>
        <w:spacing w:before="0" w:after="240"/>
        <w:rPr>
          <w:noProof/>
        </w:rPr>
      </w:pPr>
      <w:r>
        <w:rPr>
          <w:noProof/>
        </w:rPr>
        <w:t>Wymagane są tylko zasoby ludzkie i administracyjne; zostały one przedstawione w ocenie skutków finansowych regulacji.</w:t>
      </w:r>
    </w:p>
    <w:p>
      <w:pPr>
        <w:pBdr>
          <w:top w:val="nil"/>
          <w:left w:val="nil"/>
          <w:bottom w:val="nil"/>
          <w:right w:val="nil"/>
          <w:between w:val="nil"/>
          <w:bar w:val="nil"/>
        </w:pBdr>
        <w:spacing w:before="0" w:after="240"/>
        <w:rPr>
          <w:noProof/>
          <w:szCs w:val="24"/>
        </w:rPr>
      </w:pPr>
      <w:r>
        <w:rPr>
          <w:noProof/>
        </w:rPr>
        <w:t xml:space="preserve">W świetle powyższych rozważań Komisja zwraca się do Rady z wnioskiem o: </w:t>
      </w:r>
    </w:p>
    <w:p>
      <w:pPr>
        <w:pBdr>
          <w:top w:val="nil"/>
          <w:left w:val="nil"/>
          <w:bottom w:val="nil"/>
          <w:right w:val="nil"/>
          <w:between w:val="nil"/>
          <w:bar w:val="nil"/>
        </w:pBdr>
        <w:spacing w:before="0" w:after="240"/>
        <w:rPr>
          <w:rFonts w:eastAsia="Arial Unicode MS"/>
          <w:noProof/>
          <w:color w:val="008000"/>
          <w:szCs w:val="24"/>
        </w:rPr>
      </w:pPr>
      <w:r>
        <w:rPr>
          <w:noProof/>
        </w:rPr>
        <w:t xml:space="preserve">– zatwierdzenie, w imieniu Unii, za zgodą Parlamentu Europejskiego, przedłużenia na kolejny okres pięciu lat (tj. od dnia 9.11.2019 r. do dnia 8.11.2024 r.) Umowy w sprawie współpracy naukowej i technologicznej między Wspólnotą Europejską a Ukrainą; oraz </w:t>
      </w:r>
    </w:p>
    <w:p>
      <w:pPr>
        <w:rPr>
          <w:noProof/>
          <w:szCs w:val="24"/>
        </w:rPr>
      </w:pPr>
      <w:r>
        <w:rPr>
          <w:noProof/>
        </w:rPr>
        <w:t>– upoważnienie Przewodniczącego Rady do wyznaczenia osób uprawnionych do powiadomienia rządu Ukrainy, że Unia przeprowadziła wewnętrzne procedury niezbędne do wejścia w życie przedłużonej Umowy.</w:t>
      </w:r>
    </w:p>
    <w:p>
      <w:pPr>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2020/0016 (NLE)</w:t>
      </w:r>
    </w:p>
    <w:p>
      <w:pPr>
        <w:pStyle w:val="Statut"/>
        <w:rPr>
          <w:noProof/>
        </w:rPr>
      </w:pPr>
      <w:r>
        <w:rPr>
          <w:noProof/>
        </w:rPr>
        <w:t>Wniosek</w:t>
      </w:r>
    </w:p>
    <w:p>
      <w:pPr>
        <w:pStyle w:val="Typedudocument"/>
        <w:rPr>
          <w:noProof/>
        </w:rPr>
      </w:pPr>
      <w:r>
        <w:rPr>
          <w:noProof/>
        </w:rPr>
        <w:t>DECYZJA RADY</w:t>
      </w:r>
    </w:p>
    <w:p>
      <w:pPr>
        <w:pStyle w:val="Titreobjet"/>
        <w:rPr>
          <w:noProof/>
        </w:rPr>
      </w:pPr>
      <w:r>
        <w:rPr>
          <w:noProof/>
        </w:rPr>
        <w:t>dotycząca przedłużenia Umowy w sprawie współpracy naukowej i technologicznej między Wspólnotą Europejską a Ukrainą</w:t>
      </w:r>
    </w:p>
    <w:p>
      <w:pPr>
        <w:pStyle w:val="Institutionquiagit"/>
        <w:rPr>
          <w:noProof/>
        </w:rPr>
      </w:pPr>
      <w:r>
        <w:rPr>
          <w:noProof/>
        </w:rPr>
        <w:t>RADA UNII EUROPEJSKIEJ,</w:t>
      </w:r>
    </w:p>
    <w:p>
      <w:pPr>
        <w:rPr>
          <w:noProof/>
        </w:rPr>
      </w:pPr>
      <w:r>
        <w:rPr>
          <w:noProof/>
        </w:rPr>
        <w:t>uwzględniając Traktat o funkcjonowaniu Unii Europejskiej, w szczególności jego art. 186, w związku z art. 218 ust. 6 lit. a) ppkt (v),</w:t>
      </w:r>
    </w:p>
    <w:p>
      <w:pPr>
        <w:rPr>
          <w:noProof/>
        </w:rPr>
      </w:pPr>
      <w:r>
        <w:rPr>
          <w:noProof/>
        </w:rPr>
        <w:t>uwzględniając wniosek Komisji Europejskiej,</w:t>
      </w:r>
    </w:p>
    <w:p>
      <w:pPr>
        <w:rPr>
          <w:noProof/>
        </w:rPr>
      </w:pPr>
      <w:r>
        <w:rPr>
          <w:noProof/>
        </w:rPr>
        <w:t>uwzględniając zgodę Parlamentu Europejskiego</w:t>
      </w:r>
      <w:r>
        <w:rPr>
          <w:rStyle w:val="FootnoteReference"/>
          <w:noProof/>
        </w:rPr>
        <w:footnoteReference w:id="5"/>
      </w:r>
      <w:r>
        <w:rPr>
          <w:noProof/>
        </w:rPr>
        <w:t xml:space="preserve">, </w:t>
      </w:r>
    </w:p>
    <w:p>
      <w:pPr>
        <w:rPr>
          <w:noProof/>
        </w:rPr>
      </w:pPr>
      <w:r>
        <w:rPr>
          <w:noProof/>
        </w:rPr>
        <w:t>a także mając na uwadze, co następuje:</w:t>
      </w:r>
    </w:p>
    <w:p>
      <w:pPr>
        <w:pStyle w:val="ManualConsidrant"/>
        <w:rPr>
          <w:i/>
          <w:noProof/>
        </w:rPr>
      </w:pPr>
      <w:r>
        <w:t>(1)</w:t>
      </w:r>
      <w:r>
        <w:tab/>
      </w:r>
      <w:r>
        <w:rPr>
          <w:noProof/>
        </w:rPr>
        <w:t>Decyzją 2003/96/WE</w:t>
      </w:r>
      <w:r>
        <w:rPr>
          <w:rStyle w:val="FootnoteReference"/>
          <w:noProof/>
        </w:rPr>
        <w:footnoteReference w:id="6"/>
      </w:r>
      <w:r>
        <w:rPr>
          <w:noProof/>
        </w:rPr>
        <w:t xml:space="preserve"> z dnia 6 lutego 2003 r. Rada zatwierdziła zawarcie Umowy w sprawie współpracy naukowej i technologicznej między Wspólnotą Europejską a Ukrainą</w:t>
      </w:r>
      <w:r>
        <w:rPr>
          <w:rStyle w:val="FootnoteReference"/>
          <w:noProof/>
        </w:rPr>
        <w:footnoteReference w:id="7"/>
      </w:r>
      <w:r>
        <w:rPr>
          <w:noProof/>
        </w:rPr>
        <w:t xml:space="preserve"> (zwanej dalej „Umową”). Umowa została podpisana w Kopenhadze dnia 4 lipca 2002 r. i weszła w życie dnia 11 lutego 2003 r. </w:t>
      </w:r>
    </w:p>
    <w:p>
      <w:pPr>
        <w:pStyle w:val="ManualConsidrant"/>
        <w:rPr>
          <w:noProof/>
        </w:rPr>
      </w:pPr>
      <w:r>
        <w:t>(2)</w:t>
      </w:r>
      <w:r>
        <w:tab/>
      </w:r>
      <w:r>
        <w:rPr>
          <w:noProof/>
        </w:rPr>
        <w:t xml:space="preserve">Art. 12 lit. b) Umowy stanowi, że Umowa jest zawarta na okres wstępny kończący się w dniu 31 grudnia 2002 r. i będzie odnawiana za porozumieniem Unii i Ukrainy („Stron”) na dodatkowe pięcioletnie okresy. </w:t>
      </w:r>
    </w:p>
    <w:p>
      <w:pPr>
        <w:pStyle w:val="ManualConsidrant"/>
        <w:rPr>
          <w:noProof/>
        </w:rPr>
      </w:pPr>
      <w:r>
        <w:t>(3)</w:t>
      </w:r>
      <w:r>
        <w:tab/>
      </w:r>
      <w:r>
        <w:rPr>
          <w:noProof/>
        </w:rPr>
        <w:t>Na podstawie decyzji 2011/182/UE</w:t>
      </w:r>
      <w:r>
        <w:rPr>
          <w:rStyle w:val="FootnoteReference"/>
          <w:noProof/>
        </w:rPr>
        <w:footnoteReference w:id="8"/>
      </w:r>
      <w:r>
        <w:rPr>
          <w:noProof/>
        </w:rPr>
        <w:t xml:space="preserve"> i (UE) 2015/344</w:t>
      </w:r>
      <w:r>
        <w:rPr>
          <w:rStyle w:val="FootnoteReference"/>
          <w:noProof/>
        </w:rPr>
        <w:footnoteReference w:id="9"/>
      </w:r>
      <w:r>
        <w:rPr>
          <w:noProof/>
        </w:rPr>
        <w:t xml:space="preserve"> Umowa została przedłużona na kolejne okresy pięciu lat, z mocą wsteczną odpowiednio od dnia 8 listopada 2009 r. i od dnia 8 listopada 2014 r. Umowa wygasła w dniu 7 listopada 2019 r.</w:t>
      </w:r>
    </w:p>
    <w:p>
      <w:pPr>
        <w:pStyle w:val="ManualConsidrant"/>
        <w:rPr>
          <w:noProof/>
        </w:rPr>
      </w:pPr>
      <w:r>
        <w:t>(4)</w:t>
      </w:r>
      <w:r>
        <w:tab/>
      </w:r>
      <w:r>
        <w:rPr>
          <w:noProof/>
        </w:rPr>
        <w:t>Ukraina jest ważnym podmiotem w dziedzinie nauki, technologii i innowacji w sąsiedztwie Unii.</w:t>
      </w:r>
      <w:r>
        <w:rPr>
          <w:noProof/>
          <w:color w:val="010202"/>
          <w:szCs w:val="24"/>
        </w:rPr>
        <w:t xml:space="preserve"> </w:t>
      </w:r>
      <w:r>
        <w:rPr>
          <w:noProof/>
        </w:rPr>
        <w:t xml:space="preserve">W celu dalszego ułatwiania współpracy w priorytetowych wspólnych obszarach nauki i technologii obie Strony uznają, że przedłużenie Umowy leży w ich wspólnym interesie. </w:t>
      </w:r>
    </w:p>
    <w:p>
      <w:pPr>
        <w:pStyle w:val="ManualConsidrant"/>
        <w:rPr>
          <w:noProof/>
        </w:rPr>
      </w:pPr>
      <w:r>
        <w:t>(5)</w:t>
      </w:r>
      <w:r>
        <w:tab/>
      </w:r>
      <w:r>
        <w:rPr>
          <w:noProof/>
        </w:rPr>
        <w:t>Obie Strony potwierdziły zamiar przedłużenia Umowy na kolejny okres pięciu lat. Treść przedłużonej Umowy powinna pozostać identyczna z treścią dotychczasowej Umowy.</w:t>
      </w:r>
    </w:p>
    <w:p>
      <w:pPr>
        <w:pStyle w:val="ManualConsidrant"/>
        <w:rPr>
          <w:noProof/>
        </w:rPr>
      </w:pPr>
      <w:r>
        <w:t>(6)</w:t>
      </w:r>
      <w:r>
        <w:tab/>
      </w:r>
      <w:r>
        <w:rPr>
          <w:noProof/>
        </w:rPr>
        <w:t>Przedłużenie Umowy należy zatem zatwierdzić w imieniu Unii,</w:t>
      </w:r>
    </w:p>
    <w:p>
      <w:pPr>
        <w:pStyle w:val="Formuledadoption"/>
        <w:rPr>
          <w:noProof/>
        </w:rPr>
      </w:pPr>
      <w:r>
        <w:rPr>
          <w:noProof/>
        </w:rPr>
        <w:lastRenderedPageBreak/>
        <w:t xml:space="preserve">PRZYJMUJE NINIEJSZĄ DECYZJĘ: </w:t>
      </w:r>
    </w:p>
    <w:p>
      <w:pPr>
        <w:pStyle w:val="Titrearticle"/>
        <w:rPr>
          <w:noProof/>
        </w:rPr>
      </w:pPr>
      <w:r>
        <w:rPr>
          <w:noProof/>
        </w:rPr>
        <w:t>Artykuł 1</w:t>
      </w:r>
    </w:p>
    <w:p>
      <w:pPr>
        <w:rPr>
          <w:noProof/>
        </w:rPr>
      </w:pPr>
      <w:r>
        <w:rPr>
          <w:noProof/>
        </w:rPr>
        <w:t>Niniejszym zatwierdza się w imieniu Unii przedłużenie Umowy w sprawie współpracy naukowej i technologicznej między Wspólnotą Europejską a Ukrainą na dodatkowy okres pięciu lat. Przedłużenie wchodzi w życie z dniem 8 listopada 2019 r.</w:t>
      </w:r>
    </w:p>
    <w:p>
      <w:pPr>
        <w:pStyle w:val="Titrearticle"/>
        <w:rPr>
          <w:noProof/>
        </w:rPr>
      </w:pPr>
      <w:r>
        <w:rPr>
          <w:noProof/>
        </w:rPr>
        <w:t>Artykuł 2</w:t>
      </w:r>
    </w:p>
    <w:p>
      <w:pPr>
        <w:pStyle w:val="Titrearticle"/>
        <w:keepNext w:val="0"/>
        <w:jc w:val="both"/>
        <w:rPr>
          <w:i w:val="0"/>
          <w:noProof/>
        </w:rPr>
      </w:pPr>
      <w:r>
        <w:rPr>
          <w:i w:val="0"/>
          <w:noProof/>
        </w:rPr>
        <w:t>Przewodniczącego Rady upoważnia się niniejszym do wyznaczenia osób, działających w imieniu Unii zgodnie z art. 12 lit. a) Umowy, uprawnionych do powiadomienia Ukrainy, że Unia przeprowadziła wewnętrzne procedury niezbędne do wejścia w życie przedłużonej Umowy.</w:t>
      </w:r>
    </w:p>
    <w:p>
      <w:pPr>
        <w:pStyle w:val="Titrearticle"/>
        <w:keepNext w:val="0"/>
        <w:rPr>
          <w:noProof/>
        </w:rPr>
      </w:pPr>
      <w:r>
        <w:rPr>
          <w:noProof/>
        </w:rPr>
        <w:t>Artykuł 3</w:t>
      </w:r>
    </w:p>
    <w:p>
      <w:pPr>
        <w:rPr>
          <w:noProof/>
        </w:rPr>
      </w:pPr>
      <w:r>
        <w:rPr>
          <w:noProof/>
        </w:rPr>
        <w:t>Niniejsza decyzja wchodzi w życie z dniem jej przyjęcia.</w:t>
      </w:r>
    </w:p>
    <w:p>
      <w:pPr>
        <w:keepNext/>
        <w:spacing w:before="360"/>
        <w:jc w:val="center"/>
        <w:rPr>
          <w:i/>
          <w:noProof/>
        </w:rPr>
      </w:pPr>
      <w:r>
        <w:rPr>
          <w:i/>
          <w:noProof/>
        </w:rPr>
        <w:t>Artykuł 4</w:t>
      </w:r>
    </w:p>
    <w:p>
      <w:pPr>
        <w:rPr>
          <w:noProof/>
        </w:rPr>
      </w:pPr>
      <w:r>
        <w:rPr>
          <w:noProof/>
        </w:rPr>
        <w:t>Niniejsza decyzja jest publikowana w </w:t>
      </w:r>
      <w:r>
        <w:rPr>
          <w:i/>
          <w:noProof/>
        </w:rPr>
        <w:t>Dzienniku Urzędowym Unii Europejskiej</w:t>
      </w:r>
      <w:r>
        <w:rPr>
          <w:noProof/>
        </w:rPr>
        <w:t>.</w:t>
      </w:r>
    </w:p>
    <w:p>
      <w:pPr>
        <w:rPr>
          <w:noProof/>
        </w:rPr>
      </w:pPr>
    </w:p>
    <w:p>
      <w:pPr>
        <w:pStyle w:val="Fait"/>
        <w:rPr>
          <w:noProof/>
        </w:rPr>
      </w:pPr>
      <w:r>
        <w:t xml:space="preserve">Sporządzono w Brukseli dnia </w:t>
      </w:r>
      <w:r>
        <w:rPr>
          <w:rStyle w:val="Marker"/>
        </w:rPr>
        <w:t>[…]</w:t>
      </w:r>
      <w:r>
        <w:t xml:space="preserve"> r.</w:t>
      </w:r>
    </w:p>
    <w:p>
      <w:pPr>
        <w:pStyle w:val="Institutionquisigne"/>
        <w:rPr>
          <w:noProof/>
        </w:rPr>
      </w:pPr>
      <w:r>
        <w:rPr>
          <w:noProof/>
        </w:rPr>
        <w:tab/>
        <w:t>W imieniu Rady</w:t>
      </w:r>
    </w:p>
    <w:p>
      <w:pPr>
        <w:pStyle w:val="Personnequisigne"/>
        <w:rPr>
          <w:noProof/>
        </w:rPr>
      </w:pPr>
      <w:r>
        <w:rPr>
          <w:noProof/>
        </w:rPr>
        <w:tab/>
        <w:t>Przewodniczący</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OCENA SKUTKÓW FINANSOWYCH REGULACJI</w:t>
      </w:r>
    </w:p>
    <w:p>
      <w:pPr>
        <w:pStyle w:val="ManualHeading1"/>
        <w:rPr>
          <w:noProof/>
        </w:rPr>
      </w:pPr>
      <w:r>
        <w:rPr>
          <w:noProof/>
        </w:rPr>
        <w:t>1.</w:t>
      </w:r>
      <w:r>
        <w:rPr>
          <w:noProof/>
        </w:rPr>
        <w:tab/>
        <w:t xml:space="preserve">STRUKTURA WNIOSKU/INICJATYWY </w:t>
      </w:r>
    </w:p>
    <w:p>
      <w:pPr>
        <w:pStyle w:val="ManualHeading2"/>
        <w:rPr>
          <w:b w:val="0"/>
          <w:noProof/>
        </w:rPr>
      </w:pPr>
      <w:r>
        <w:rPr>
          <w:noProof/>
        </w:rPr>
        <w:tab/>
      </w:r>
      <w:r>
        <w:rPr>
          <w:b w:val="0"/>
          <w:noProof/>
        </w:rPr>
        <w:t>1.1.</w:t>
      </w:r>
      <w:r>
        <w:rPr>
          <w:b w:val="0"/>
          <w:noProof/>
        </w:rPr>
        <w:tab/>
        <w:t xml:space="preserve">Tytuł wniosku/inicjatywy </w:t>
      </w:r>
    </w:p>
    <w:p>
      <w:pPr>
        <w:pStyle w:val="ManualHeading2"/>
        <w:rPr>
          <w:b w:val="0"/>
          <w:noProof/>
        </w:rPr>
      </w:pPr>
      <w:r>
        <w:rPr>
          <w:b w:val="0"/>
          <w:noProof/>
        </w:rPr>
        <w:tab/>
        <w:t>1.2.</w:t>
      </w:r>
      <w:r>
        <w:rPr>
          <w:b w:val="0"/>
          <w:noProof/>
        </w:rPr>
        <w:tab/>
        <w:t>Dziedziny polityki w strukturze ABM/ABB, których dotyczy wniosek/inicjatywa</w:t>
      </w:r>
    </w:p>
    <w:p>
      <w:pPr>
        <w:pStyle w:val="ManualHeading2"/>
        <w:rPr>
          <w:b w:val="0"/>
          <w:noProof/>
        </w:rPr>
      </w:pPr>
      <w:r>
        <w:rPr>
          <w:b w:val="0"/>
          <w:noProof/>
        </w:rPr>
        <w:tab/>
        <w:t>1.3.</w:t>
      </w:r>
      <w:r>
        <w:rPr>
          <w:b w:val="0"/>
          <w:noProof/>
        </w:rPr>
        <w:tab/>
        <w:t xml:space="preserve">Charakter wniosku/inicjatywy </w:t>
      </w:r>
    </w:p>
    <w:p>
      <w:pPr>
        <w:pStyle w:val="ManualHeading2"/>
        <w:rPr>
          <w:b w:val="0"/>
          <w:noProof/>
        </w:rPr>
      </w:pPr>
      <w:r>
        <w:rPr>
          <w:b w:val="0"/>
          <w:noProof/>
        </w:rPr>
        <w:tab/>
        <w:t>1.4.</w:t>
      </w:r>
      <w:r>
        <w:rPr>
          <w:b w:val="0"/>
          <w:noProof/>
        </w:rPr>
        <w:tab/>
        <w:t xml:space="preserve">Cel(e) </w:t>
      </w:r>
    </w:p>
    <w:p>
      <w:pPr>
        <w:pStyle w:val="ManualHeading2"/>
        <w:rPr>
          <w:b w:val="0"/>
          <w:noProof/>
        </w:rPr>
      </w:pPr>
      <w:r>
        <w:rPr>
          <w:b w:val="0"/>
          <w:noProof/>
        </w:rPr>
        <w:tab/>
        <w:t>1.5.</w:t>
      </w:r>
      <w:r>
        <w:rPr>
          <w:b w:val="0"/>
          <w:noProof/>
        </w:rPr>
        <w:tab/>
        <w:t xml:space="preserve">Uzasadnienie wniosku/inicjatywy </w:t>
      </w:r>
    </w:p>
    <w:p>
      <w:pPr>
        <w:pStyle w:val="ManualHeading2"/>
        <w:rPr>
          <w:b w:val="0"/>
          <w:noProof/>
        </w:rPr>
      </w:pPr>
      <w:r>
        <w:rPr>
          <w:b w:val="0"/>
          <w:noProof/>
        </w:rPr>
        <w:tab/>
        <w:t>1.6.</w:t>
      </w:r>
      <w:r>
        <w:rPr>
          <w:b w:val="0"/>
          <w:noProof/>
        </w:rPr>
        <w:tab/>
        <w:t xml:space="preserve">Okres trwania działania i jego wpływ finansowy </w:t>
      </w:r>
    </w:p>
    <w:p>
      <w:pPr>
        <w:pStyle w:val="ManualHeading2"/>
        <w:rPr>
          <w:b w:val="0"/>
          <w:noProof/>
        </w:rPr>
      </w:pPr>
      <w:r>
        <w:rPr>
          <w:b w:val="0"/>
          <w:noProof/>
        </w:rPr>
        <w:tab/>
        <w:t>1.7.</w:t>
      </w:r>
      <w:r>
        <w:rPr>
          <w:b w:val="0"/>
          <w:noProof/>
        </w:rPr>
        <w:tab/>
        <w:t xml:space="preserve">Planowane tryby zarządzania </w:t>
      </w:r>
    </w:p>
    <w:p>
      <w:pPr>
        <w:pStyle w:val="ManualHeading1"/>
        <w:rPr>
          <w:noProof/>
        </w:rPr>
      </w:pPr>
      <w:r>
        <w:rPr>
          <w:noProof/>
        </w:rPr>
        <w:t>2.</w:t>
      </w:r>
      <w:r>
        <w:rPr>
          <w:noProof/>
        </w:rPr>
        <w:tab/>
        <w:t xml:space="preserve">ŚRODKI ZARZĄDZANIA </w:t>
      </w:r>
    </w:p>
    <w:p>
      <w:pPr>
        <w:pStyle w:val="ManualHeading2"/>
        <w:rPr>
          <w:b w:val="0"/>
          <w:noProof/>
        </w:rPr>
      </w:pPr>
      <w:r>
        <w:rPr>
          <w:b w:val="0"/>
          <w:noProof/>
        </w:rPr>
        <w:tab/>
        <w:t>2.1.</w:t>
      </w:r>
      <w:r>
        <w:rPr>
          <w:b w:val="0"/>
          <w:noProof/>
        </w:rPr>
        <w:tab/>
        <w:t xml:space="preserve">Zasady nadzoru i sprawozdawczości </w:t>
      </w:r>
    </w:p>
    <w:p>
      <w:pPr>
        <w:pStyle w:val="ManualHeading2"/>
        <w:rPr>
          <w:b w:val="0"/>
          <w:noProof/>
        </w:rPr>
      </w:pPr>
      <w:r>
        <w:rPr>
          <w:b w:val="0"/>
          <w:noProof/>
        </w:rPr>
        <w:tab/>
        <w:t>2.2.</w:t>
      </w:r>
      <w:r>
        <w:rPr>
          <w:b w:val="0"/>
          <w:noProof/>
        </w:rPr>
        <w:tab/>
        <w:t xml:space="preserve">System zarządzania i kontroli </w:t>
      </w:r>
    </w:p>
    <w:p>
      <w:pPr>
        <w:pStyle w:val="ManualHeading2"/>
        <w:rPr>
          <w:b w:val="0"/>
          <w:noProof/>
        </w:rPr>
      </w:pPr>
      <w:r>
        <w:rPr>
          <w:b w:val="0"/>
          <w:noProof/>
        </w:rPr>
        <w:tab/>
        <w:t>2.3.</w:t>
      </w:r>
      <w:r>
        <w:rPr>
          <w:b w:val="0"/>
          <w:noProof/>
        </w:rPr>
        <w:tab/>
        <w:t xml:space="preserve">Środki zapobiegania nadużyciom finansowym i nieprawidłowościom </w:t>
      </w:r>
    </w:p>
    <w:p>
      <w:pPr>
        <w:pStyle w:val="ManualHeading1"/>
        <w:rPr>
          <w:noProof/>
        </w:rPr>
      </w:pPr>
      <w:r>
        <w:rPr>
          <w:noProof/>
        </w:rPr>
        <w:t>3.</w:t>
      </w:r>
      <w:r>
        <w:rPr>
          <w:noProof/>
        </w:rPr>
        <w:tab/>
        <w:t xml:space="preserve">SZACUNKOWY WPŁYW FINANSOWY WNIOSKU/INICJATYWY </w:t>
      </w:r>
    </w:p>
    <w:p>
      <w:pPr>
        <w:pStyle w:val="ManualHeading2"/>
        <w:rPr>
          <w:b w:val="0"/>
          <w:noProof/>
        </w:rPr>
      </w:pPr>
      <w:r>
        <w:rPr>
          <w:b w:val="0"/>
          <w:noProof/>
        </w:rPr>
        <w:tab/>
        <w:t>3.1.</w:t>
      </w:r>
      <w:r>
        <w:rPr>
          <w:b w:val="0"/>
          <w:noProof/>
        </w:rPr>
        <w:tab/>
        <w:t xml:space="preserve">Działy wieloletnich ram finansowych i linie budżetowe po stronie wydatków, na które wniosek/inicjatywa ma wpływ </w:t>
      </w:r>
    </w:p>
    <w:p>
      <w:pPr>
        <w:pStyle w:val="ManualHeading2"/>
        <w:rPr>
          <w:noProof/>
        </w:rPr>
      </w:pPr>
      <w:r>
        <w:rPr>
          <w:b w:val="0"/>
          <w:noProof/>
        </w:rPr>
        <w:tab/>
        <w:t>3.2.</w:t>
      </w:r>
      <w:r>
        <w:rPr>
          <w:b w:val="0"/>
          <w:noProof/>
        </w:rPr>
        <w:tab/>
        <w:t>Szacunkowy wpływ na wydatki</w:t>
      </w:r>
      <w:r>
        <w:rPr>
          <w:noProof/>
        </w:rPr>
        <w:t xml:space="preserve"> </w:t>
      </w:r>
    </w:p>
    <w:p>
      <w:pPr>
        <w:pStyle w:val="ManualHeading3"/>
        <w:rPr>
          <w:noProof/>
        </w:rPr>
      </w:pPr>
      <w:r>
        <w:rPr>
          <w:noProof/>
        </w:rPr>
        <w:tab/>
        <w:t>3.2.1.</w:t>
      </w:r>
      <w:r>
        <w:rPr>
          <w:noProof/>
        </w:rPr>
        <w:tab/>
        <w:t xml:space="preserve">Synteza szacunkowego wpływu na wydatki </w:t>
      </w:r>
    </w:p>
    <w:p>
      <w:pPr>
        <w:pStyle w:val="ManualHeading3"/>
        <w:rPr>
          <w:noProof/>
        </w:rPr>
      </w:pPr>
      <w:r>
        <w:rPr>
          <w:noProof/>
        </w:rPr>
        <w:tab/>
        <w:t>3.2.2.</w:t>
      </w:r>
      <w:r>
        <w:rPr>
          <w:noProof/>
        </w:rPr>
        <w:tab/>
        <w:t xml:space="preserve">Szacunkowy wpływ na środki operacyjne </w:t>
      </w:r>
    </w:p>
    <w:p>
      <w:pPr>
        <w:pStyle w:val="ManualHeading3"/>
        <w:rPr>
          <w:noProof/>
        </w:rPr>
      </w:pPr>
      <w:r>
        <w:rPr>
          <w:noProof/>
        </w:rPr>
        <w:tab/>
        <w:t>3.2.3.</w:t>
      </w:r>
      <w:r>
        <w:rPr>
          <w:noProof/>
        </w:rPr>
        <w:tab/>
        <w:t>Szacunkowy wpływ na środki administracyjne</w:t>
      </w:r>
    </w:p>
    <w:p>
      <w:pPr>
        <w:pStyle w:val="ManualHeading3"/>
        <w:rPr>
          <w:noProof/>
        </w:rPr>
      </w:pPr>
      <w:r>
        <w:rPr>
          <w:noProof/>
        </w:rPr>
        <w:tab/>
        <w:t>3.2.4.</w:t>
      </w:r>
      <w:r>
        <w:rPr>
          <w:noProof/>
        </w:rPr>
        <w:tab/>
        <w:t>Zgodność z obowiązującymi wieloletnimi ramami finansowymi</w:t>
      </w:r>
    </w:p>
    <w:p>
      <w:pPr>
        <w:pStyle w:val="ManualHeading3"/>
        <w:rPr>
          <w:noProof/>
        </w:rPr>
      </w:pPr>
      <w:r>
        <w:rPr>
          <w:noProof/>
        </w:rPr>
        <w:tab/>
        <w:t>3.2.5.</w:t>
      </w:r>
      <w:r>
        <w:rPr>
          <w:noProof/>
        </w:rPr>
        <w:tab/>
        <w:t xml:space="preserve">Udział osób trzecich w finansowaniu </w:t>
      </w:r>
    </w:p>
    <w:p>
      <w:pPr>
        <w:pStyle w:val="ManualHeading2"/>
        <w:jc w:val="left"/>
        <w:rPr>
          <w:b w:val="0"/>
          <w:noProof/>
        </w:rPr>
        <w:sectPr>
          <w:footnotePr>
            <w:numRestart w:val="eachSect"/>
          </w:footnotePr>
          <w:pgSz w:w="11907" w:h="16840" w:code="9"/>
          <w:pgMar w:top="1134" w:right="1418" w:bottom="1134" w:left="1418" w:header="709" w:footer="709" w:gutter="0"/>
          <w:cols w:space="708"/>
          <w:docGrid w:linePitch="360"/>
        </w:sectPr>
      </w:pPr>
      <w:r>
        <w:rPr>
          <w:b w:val="0"/>
          <w:noProof/>
        </w:rPr>
        <w:tab/>
        <w:t>3.3.</w:t>
      </w:r>
      <w:r>
        <w:rPr>
          <w:b w:val="0"/>
          <w:noProof/>
        </w:rPr>
        <w:tab/>
        <w:t>Szacunkowy wpływ na dochody</w:t>
      </w:r>
    </w:p>
    <w:p>
      <w:pPr>
        <w:jc w:val="center"/>
        <w:rPr>
          <w:noProof/>
        </w:rPr>
      </w:pPr>
      <w:r>
        <w:rPr>
          <w:b/>
          <w:noProof/>
          <w:u w:val="single"/>
        </w:rPr>
        <w:t>OCENA SKUTKÓW FINANSOWYCH REGULACJI</w:t>
      </w:r>
    </w:p>
    <w:p>
      <w:pPr>
        <w:pStyle w:val="ManualHeading1"/>
        <w:rPr>
          <w:noProof/>
        </w:rPr>
      </w:pPr>
      <w:r>
        <w:t>1.</w:t>
      </w:r>
      <w:r>
        <w:tab/>
      </w:r>
      <w:r>
        <w:rPr>
          <w:noProof/>
        </w:rPr>
        <w:t xml:space="preserve">STRUKTURA WNIOSKU/INICJATYWY </w:t>
      </w:r>
    </w:p>
    <w:p>
      <w:pPr>
        <w:pStyle w:val="ManualHeading2"/>
        <w:rPr>
          <w:noProof/>
        </w:rPr>
      </w:pPr>
      <w:r>
        <w:t>1.1.</w:t>
      </w:r>
      <w:r>
        <w:tab/>
      </w:r>
      <w:r>
        <w:rPr>
          <w:noProof/>
        </w:rPr>
        <w:t xml:space="preserve">Tytuł wniosku/inicjatywy </w:t>
      </w:r>
    </w:p>
    <w:p>
      <w:pPr>
        <w:pStyle w:val="Text1"/>
        <w:pBdr>
          <w:top w:val="single" w:sz="4" w:space="1" w:color="auto"/>
          <w:left w:val="single" w:sz="4" w:space="4" w:color="auto"/>
          <w:bottom w:val="single" w:sz="4" w:space="1" w:color="auto"/>
          <w:right w:val="single" w:sz="4" w:space="4" w:color="auto"/>
        </w:pBdr>
        <w:rPr>
          <w:noProof/>
        </w:rPr>
      </w:pPr>
      <w:r>
        <w:rPr>
          <w:noProof/>
        </w:rPr>
        <w:t>Wniosek dotyczący decyzji Rady dotyczącej przedłużenia Umowy w sprawie współpracy naukowej i technologicznej między Wspólnotą Europejską a Ukrainą.</w:t>
      </w:r>
    </w:p>
    <w:p>
      <w:pPr>
        <w:pStyle w:val="ManualHeading2"/>
        <w:rPr>
          <w:noProof/>
          <w:szCs w:val="24"/>
        </w:rPr>
      </w:pPr>
      <w:r>
        <w:t>1.2.</w:t>
      </w:r>
      <w:r>
        <w:tab/>
      </w:r>
      <w:r>
        <w:rPr>
          <w:noProof/>
        </w:rPr>
        <w:t>Dziedziny polityki w strukturze ABM/ABB, których dotyczy wniosek/inicjatywa</w:t>
      </w:r>
      <w:r>
        <w:rPr>
          <w:rStyle w:val="FootnoteReference"/>
          <w:noProof/>
        </w:rPr>
        <w:footnoteReference w:id="10"/>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 xml:space="preserve">Strategia polityczna i koordynacja, w szczególności w odniesieniu do Sekretariatu Generalnego, Służby Prawnej, ESDZ i Dyrekcji Generalnych AGRI, BUDG, CLIMA, CNECT, EAC, ENER, GROW, JRC, MARE i MOVE. </w:t>
      </w:r>
    </w:p>
    <w:p>
      <w:pPr>
        <w:pStyle w:val="ManualHeading2"/>
        <w:rPr>
          <w:bCs/>
          <w:noProof/>
          <w:szCs w:val="24"/>
        </w:rPr>
      </w:pPr>
      <w:r>
        <w:t>1.3.</w:t>
      </w:r>
      <w:r>
        <w:tab/>
      </w:r>
      <w:r>
        <w:rPr>
          <w:noProof/>
        </w:rPr>
        <w:t xml:space="preserve">Charakter wniosku/inicjatywy </w:t>
      </w:r>
    </w:p>
    <w:p>
      <w:pPr>
        <w:pStyle w:val="Text1"/>
        <w:rPr>
          <w:b/>
          <w:noProof/>
          <w:sz w:val="22"/>
        </w:rPr>
      </w:pPr>
      <w:r>
        <w:rPr>
          <w:noProof/>
          <w:sz w:val="22"/>
        </w:rPr>
        <w:sym w:font="Wingdings" w:char="F0A8"/>
      </w:r>
      <w:r>
        <w:rPr>
          <w:b/>
          <w:i/>
          <w:noProof/>
          <w:sz w:val="22"/>
        </w:rPr>
        <w:t xml:space="preserve"> </w:t>
      </w:r>
      <w:r>
        <w:rPr>
          <w:noProof/>
        </w:rPr>
        <w:t xml:space="preserve">Wniosek/inicjatywa dotyczy </w:t>
      </w:r>
      <w:r>
        <w:rPr>
          <w:b/>
          <w:noProof/>
        </w:rPr>
        <w:t>nowego działania</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Wniosek/inicjatywa dotyczy </w:t>
      </w:r>
      <w:r>
        <w:rPr>
          <w:b/>
          <w:noProof/>
        </w:rPr>
        <w:t>nowego działania będącego następstwem projektu pilotażowego/działania przygotowawczego</w:t>
      </w:r>
      <w:r>
        <w:rPr>
          <w:rStyle w:val="FootnoteReference"/>
          <w:b/>
          <w:noProof/>
        </w:rPr>
        <w:footnoteReference w:id="11"/>
      </w:r>
      <w:r>
        <w:rPr>
          <w:noProof/>
          <w:sz w:val="22"/>
        </w:rPr>
        <w:t xml:space="preserve"> </w:t>
      </w:r>
    </w:p>
    <w:p>
      <w:pPr>
        <w:pStyle w:val="Text1"/>
        <w:rPr>
          <w:noProof/>
          <w:sz w:val="22"/>
        </w:rPr>
      </w:pPr>
      <w:r>
        <w:rPr>
          <w:noProof/>
          <w:sz w:val="22"/>
        </w:rPr>
        <w:sym w:font="Wingdings" w:char="F0FE"/>
      </w:r>
      <w:r>
        <w:rPr>
          <w:i/>
          <w:noProof/>
          <w:sz w:val="22"/>
        </w:rPr>
        <w:t xml:space="preserve"> </w:t>
      </w:r>
      <w:r>
        <w:rPr>
          <w:noProof/>
        </w:rPr>
        <w:t>Wniosek/inicjatywa wiąże się z </w:t>
      </w:r>
      <w:r>
        <w:rPr>
          <w:b/>
          <w:noProof/>
        </w:rPr>
        <w:t>przedłużeniem bieżącego działania</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Wniosek/inicjatywa dotyczy </w:t>
      </w:r>
      <w:r>
        <w:rPr>
          <w:b/>
          <w:noProof/>
        </w:rPr>
        <w:t>działania, które zostało przekształcone pod kątem nowego działania</w:t>
      </w:r>
      <w:r>
        <w:rPr>
          <w:noProof/>
        </w:rPr>
        <w:t xml:space="preserve"> </w:t>
      </w:r>
    </w:p>
    <w:p>
      <w:pPr>
        <w:pStyle w:val="ManualHeading2"/>
        <w:rPr>
          <w:bCs/>
          <w:noProof/>
          <w:szCs w:val="24"/>
        </w:rPr>
      </w:pPr>
      <w:r>
        <w:t>1.4.</w:t>
      </w:r>
      <w:r>
        <w:tab/>
      </w:r>
      <w:r>
        <w:rPr>
          <w:noProof/>
        </w:rPr>
        <w:t>Cel(e)</w:t>
      </w:r>
    </w:p>
    <w:p>
      <w:pPr>
        <w:pStyle w:val="ManualHeading3"/>
        <w:rPr>
          <w:noProof/>
        </w:rPr>
      </w:pPr>
      <w:r>
        <w:t>1.4.1.</w:t>
      </w:r>
      <w:r>
        <w:tab/>
      </w:r>
      <w:r>
        <w:rPr>
          <w:noProof/>
        </w:rPr>
        <w:t xml:space="preserve">Wieloletnie cele strategiczne Komisji wskazane we wniosku/inicjatywie </w:t>
      </w:r>
    </w:p>
    <w:p>
      <w:pPr>
        <w:pStyle w:val="Text1"/>
        <w:pBdr>
          <w:top w:val="single" w:sz="4" w:space="1" w:color="auto"/>
          <w:left w:val="single" w:sz="4" w:space="4" w:color="auto"/>
          <w:bottom w:val="single" w:sz="4" w:space="1" w:color="auto"/>
          <w:right w:val="single" w:sz="4" w:space="4" w:color="auto"/>
        </w:pBdr>
        <w:rPr>
          <w:noProof/>
        </w:rPr>
      </w:pPr>
      <w:r>
        <w:rPr>
          <w:noProof/>
          <w:sz w:val="23"/>
          <w:szCs w:val="23"/>
        </w:rPr>
        <w:t>Niniejsza inicjatywa umożliwi obu Stronom poprawę oraz zacieśnienie współpracy w dziedzinach nauki i technologii będących przedmiotem wspólnego zainteresowania.</w:t>
      </w:r>
      <w:r>
        <w:rPr>
          <w:noProof/>
        </w:rPr>
        <w:t xml:space="preserve"> </w:t>
      </w:r>
      <w:r>
        <w:rPr>
          <w:noProof/>
          <w:sz w:val="23"/>
          <w:szCs w:val="23"/>
        </w:rPr>
        <w:t>Na posiedzeniu Wspólnego Komitetu UE–Ukraina do spraw współpracy w dziedzinie nauki i technologii ustanowionego na mocy Umowy, które odbyło się w Kijowie w dniu 29 stycznia 2019 r., obie Strony przyjęły do wiadomości zamiar przedłużenia Umowy na kolejny okres pięciu lat.</w:t>
      </w:r>
    </w:p>
    <w:p>
      <w:pPr>
        <w:pStyle w:val="ManualHeading3"/>
        <w:rPr>
          <w:bCs/>
          <w:noProof/>
          <w:szCs w:val="24"/>
        </w:rPr>
      </w:pPr>
      <w:r>
        <w:t>1.4.2.</w:t>
      </w:r>
      <w:r>
        <w:tab/>
      </w:r>
      <w:r>
        <w:rPr>
          <w:noProof/>
        </w:rPr>
        <w:t xml:space="preserve">Cele szczegółowe i działania ABM/ABB, których dotyczy wniosek/inicjatywa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Cel szczegółowy nr:</w:t>
      </w:r>
    </w:p>
    <w:p>
      <w:pPr>
        <w:pStyle w:val="Text1"/>
        <w:pBdr>
          <w:top w:val="single" w:sz="4" w:space="1" w:color="auto"/>
          <w:left w:val="single" w:sz="4" w:space="4" w:color="auto"/>
          <w:bottom w:val="single" w:sz="4" w:space="1" w:color="auto"/>
          <w:right w:val="single" w:sz="4" w:space="4" w:color="auto"/>
        </w:pBdr>
        <w:rPr>
          <w:noProof/>
        </w:rPr>
      </w:pPr>
      <w:r>
        <w:rPr>
          <w:noProof/>
        </w:rPr>
        <w:t xml:space="preserve">Niniejsza decyzja umożliwi obu Stronom wzmocnienie współpracy i rozwijanie bardziej strategicznego partnerstwa poprzez zwiększenie skali i zakresu obecnej współpracy, podjęcie globalnych wyzwań i wspieranie wzajemnego dostępu do programów i finansowania.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Działania ABM/ABB, których dotyczy wniosek/inicjatywa</w:t>
      </w:r>
    </w:p>
    <w:p>
      <w:pPr>
        <w:pStyle w:val="Text1"/>
        <w:pBdr>
          <w:top w:val="single" w:sz="4" w:space="1" w:color="auto"/>
          <w:left w:val="single" w:sz="4" w:space="4" w:color="auto"/>
          <w:bottom w:val="single" w:sz="4" w:space="1" w:color="auto"/>
          <w:right w:val="single" w:sz="4" w:space="4" w:color="auto"/>
        </w:pBdr>
        <w:rPr>
          <w:bCs/>
          <w:noProof/>
          <w:szCs w:val="24"/>
        </w:rPr>
      </w:pPr>
      <w:r>
        <w:rPr>
          <w:noProof/>
        </w:rPr>
        <w:br w:type="page"/>
        <w:t>Oczekiwane wyniki i wpływ</w:t>
      </w:r>
    </w:p>
    <w:p>
      <w:pPr>
        <w:pStyle w:val="Text1"/>
        <w:rPr>
          <w:i/>
          <w:noProof/>
          <w:sz w:val="20"/>
        </w:rPr>
      </w:pPr>
      <w:r>
        <w:rPr>
          <w:i/>
          <w:noProof/>
          <w:sz w:val="20"/>
        </w:rPr>
        <w:t>Należy wskazać, jakie efekty przyniesie wniosek/inicjatywa beneficjentom/grupie docelowej.</w:t>
      </w:r>
    </w:p>
    <w:p>
      <w:pPr>
        <w:pStyle w:val="Text1"/>
        <w:pBdr>
          <w:top w:val="single" w:sz="4" w:space="1" w:color="auto"/>
          <w:left w:val="single" w:sz="4" w:space="4" w:color="auto"/>
          <w:bottom w:val="single" w:sz="4" w:space="1" w:color="auto"/>
          <w:right w:val="single" w:sz="4" w:space="4" w:color="auto"/>
        </w:pBdr>
        <w:rPr>
          <w:noProof/>
        </w:rPr>
      </w:pPr>
      <w:r>
        <w:rPr>
          <w:noProof/>
        </w:rPr>
        <w:t>Niniejsza decyzja umożliwi zarówno Unii, jak i Ukrainie czerpanie obopólnych korzyści z postępu naukowo-technicznego osiągniętego dzięki bieżącym działaniom w zakresie współpracy. Pozwoli ona na wymianę wiedzy specjalistycznej i transfer know-how z korzyścią dla środowiska naukowego, przemysłu i obywateli obu Stron.</w:t>
      </w:r>
    </w:p>
    <w:p>
      <w:pPr>
        <w:pStyle w:val="ManualHeading3"/>
        <w:rPr>
          <w:bCs/>
          <w:noProof/>
          <w:szCs w:val="24"/>
        </w:rPr>
      </w:pPr>
      <w:r>
        <w:t>1.4.3.</w:t>
      </w:r>
      <w:r>
        <w:tab/>
      </w:r>
      <w:r>
        <w:rPr>
          <w:noProof/>
        </w:rPr>
        <w:t xml:space="preserve">Wskaźniki wyników i wpływu </w:t>
      </w:r>
    </w:p>
    <w:p>
      <w:pPr>
        <w:pStyle w:val="Text1"/>
        <w:rPr>
          <w:i/>
          <w:noProof/>
          <w:sz w:val="20"/>
        </w:rPr>
      </w:pPr>
      <w:r>
        <w:rPr>
          <w:i/>
          <w:noProof/>
          <w:sz w:val="20"/>
        </w:rPr>
        <w:t>Należy określić wskaźniki, które umożliwią monitorowanie realizacji wniosku/inicjatywy.</w:t>
      </w:r>
    </w:p>
    <w:p>
      <w:pPr>
        <w:pBdr>
          <w:top w:val="single" w:sz="4" w:space="1" w:color="auto"/>
          <w:left w:val="single" w:sz="4" w:space="4" w:color="auto"/>
          <w:bottom w:val="single" w:sz="4" w:space="1" w:color="auto"/>
          <w:right w:val="single" w:sz="4" w:space="4" w:color="auto"/>
        </w:pBdr>
        <w:rPr>
          <w:noProof/>
          <w:szCs w:val="24"/>
        </w:rPr>
      </w:pPr>
      <w:r>
        <w:rPr>
          <w:noProof/>
        </w:rPr>
        <w:t>Komisja będzie regularnie monitorować wszystkie działania prowadzone na podstawie Umowy, w tym działania w zakresie współpracy. Ocena obejmuje między innymi następujące punkty:</w:t>
      </w:r>
    </w:p>
    <w:p>
      <w:pPr>
        <w:pBdr>
          <w:top w:val="single" w:sz="4" w:space="1" w:color="auto"/>
          <w:left w:val="single" w:sz="4" w:space="4" w:color="auto"/>
          <w:bottom w:val="single" w:sz="4" w:space="1" w:color="auto"/>
          <w:right w:val="single" w:sz="4" w:space="4" w:color="auto"/>
        </w:pBdr>
        <w:rPr>
          <w:noProof/>
          <w:szCs w:val="24"/>
        </w:rPr>
      </w:pPr>
      <w:r>
        <w:rPr>
          <w:noProof/>
        </w:rPr>
        <w:t>a) wskaźniki współpracy – analizę liczby i rodzaju uczestnictwa podmiotów ukraińskich w programach finansowanych przez UE (np. liczba wniosków, liczba podpisanych umów o dotacje, główne obszary współpracy, główne obszary tematyczne, uzyskane wyniki) i odwrotnie (jeśli dostępne są dane);</w:t>
      </w:r>
    </w:p>
    <w:p>
      <w:pPr>
        <w:pBdr>
          <w:top w:val="single" w:sz="4" w:space="1" w:color="auto"/>
          <w:left w:val="single" w:sz="4" w:space="4" w:color="auto"/>
          <w:bottom w:val="single" w:sz="4" w:space="1" w:color="auto"/>
          <w:right w:val="single" w:sz="4" w:space="4" w:color="auto"/>
        </w:pBdr>
        <w:rPr>
          <w:noProof/>
          <w:szCs w:val="24"/>
        </w:rPr>
      </w:pPr>
      <w:r>
        <w:rPr>
          <w:noProof/>
        </w:rPr>
        <w:t>b) wskaźniki skuteczności działania – wskaźnik powodzenia ukraińskich podmiotów uczestniczących w programach ramowych UE w porównaniu z innymi krajami spoza UE oraz państwami członkowskimi; analizę jakości uczestnictwa (np. liczba najlepszych uniwersytetów biorących udział w programie, liczba patentów i publikacji pochodzących z projektów realizowanych w ramach współpracy);</w:t>
      </w:r>
    </w:p>
    <w:p>
      <w:pPr>
        <w:pBdr>
          <w:top w:val="single" w:sz="4" w:space="1" w:color="auto"/>
          <w:left w:val="single" w:sz="4" w:space="4" w:color="auto"/>
          <w:bottom w:val="single" w:sz="4" w:space="1" w:color="auto"/>
          <w:right w:val="single" w:sz="4" w:space="4" w:color="auto"/>
        </w:pBdr>
        <w:rPr>
          <w:noProof/>
          <w:szCs w:val="24"/>
        </w:rPr>
      </w:pPr>
      <w:r>
        <w:rPr>
          <w:noProof/>
        </w:rPr>
        <w:t>c) gromadzenie danych w odniesieniu do działań w zakresie współpracy i powiązań, które wykraczają poza odpowiednie programy finansowania badań, a także ocenę skutków tych działań, takich jak uczestnictwo w inicjatywach wielostronnych i grupach roboczych.</w:t>
      </w:r>
    </w:p>
    <w:p>
      <w:pPr>
        <w:pStyle w:val="ManualHeading2"/>
        <w:rPr>
          <w:bCs/>
          <w:noProof/>
          <w:szCs w:val="24"/>
        </w:rPr>
      </w:pPr>
      <w:r>
        <w:t>1.5.</w:t>
      </w:r>
      <w:r>
        <w:tab/>
      </w:r>
      <w:r>
        <w:rPr>
          <w:noProof/>
        </w:rPr>
        <w:t xml:space="preserve">Uzasadnienie wniosku/inicjatywy </w:t>
      </w:r>
    </w:p>
    <w:p>
      <w:pPr>
        <w:pStyle w:val="ManualHeading3"/>
        <w:rPr>
          <w:noProof/>
        </w:rPr>
      </w:pPr>
      <w:r>
        <w:t>1.5.1.</w:t>
      </w:r>
      <w:r>
        <w:tab/>
      </w:r>
      <w:r>
        <w:rPr>
          <w:noProof/>
        </w:rPr>
        <w:t xml:space="preserve">Potrzeby, które należy zaspokoić w perspektywie krótko- lub długoterminowej </w:t>
      </w:r>
    </w:p>
    <w:p>
      <w:pPr>
        <w:pStyle w:val="Text1"/>
        <w:pBdr>
          <w:top w:val="single" w:sz="4" w:space="1" w:color="auto"/>
          <w:left w:val="single" w:sz="4" w:space="4" w:color="auto"/>
          <w:bottom w:val="single" w:sz="4" w:space="1" w:color="auto"/>
          <w:right w:val="single" w:sz="4" w:space="4" w:color="auto"/>
        </w:pBdr>
        <w:rPr>
          <w:noProof/>
          <w:szCs w:val="24"/>
        </w:rPr>
      </w:pPr>
      <w:r>
        <w:rPr>
          <w:noProof/>
        </w:rPr>
        <w:t>Dzięki niniejszej decyzji obie Strony będą mogły dalej udoskonalać i zacieśniać współpracę w dziedzinach nauki i technologii przynoszących obopólne korzyści.</w:t>
      </w:r>
    </w:p>
    <w:p>
      <w:pPr>
        <w:pStyle w:val="ManualHeading3"/>
        <w:rPr>
          <w:bCs/>
          <w:noProof/>
          <w:szCs w:val="24"/>
        </w:rPr>
      </w:pPr>
      <w:r>
        <w:t>1.5.2.</w:t>
      </w:r>
      <w:r>
        <w:tab/>
      </w:r>
      <w:r>
        <w:rPr>
          <w:noProof/>
        </w:rPr>
        <w:t>Wartość dodana z tytułu zaangażowania Unii Europejskiej</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W ostatnich latach współpraca w dziedzinie badań naukowych i innowacji między UE a Ukrainą stale się nasilała. Zaangażowanie UE pozwala na zwiększenie skali i zakresu działań z korzyścią dla wszystkich państw członkowskich. Przedłużenie Umowy zapewni UE łatwiejszy dostęp do wiedzy naukowej wytwarzanej na Ukrainie i umożliwi zaangażowanie się w dodatkowe działania w zakresie współpracy prowadzące do większej wymiany wiedzy i technologii. </w:t>
      </w:r>
    </w:p>
    <w:p>
      <w:pPr>
        <w:pStyle w:val="ManualHeading3"/>
        <w:rPr>
          <w:bCs/>
          <w:noProof/>
          <w:szCs w:val="24"/>
        </w:rPr>
      </w:pPr>
      <w:r>
        <w:t>1.5.3.</w:t>
      </w:r>
      <w:r>
        <w:tab/>
      </w:r>
      <w:r>
        <w:rPr>
          <w:noProof/>
        </w:rPr>
        <w:t>Główne wnioski wyciągnięte z podobnych działań</w:t>
      </w:r>
    </w:p>
    <w:p>
      <w:pPr>
        <w:pStyle w:val="Text1"/>
        <w:pBdr>
          <w:top w:val="single" w:sz="4" w:space="1" w:color="auto"/>
          <w:left w:val="single" w:sz="4" w:space="4" w:color="auto"/>
          <w:bottom w:val="single" w:sz="4" w:space="1" w:color="auto"/>
          <w:right w:val="single" w:sz="4" w:space="4" w:color="auto"/>
        </w:pBdr>
        <w:rPr>
          <w:noProof/>
          <w:szCs w:val="24"/>
        </w:rPr>
      </w:pPr>
      <w:r>
        <w:rPr>
          <w:noProof/>
        </w:rPr>
        <w:t>W oparciu o dotychczasowe doświadczenie we współpracy naukowej i technologicznej uznaje się, że dla obu Stron korzystne jest kontynuowanie współpracy badawczej z Ukrainą jako strategicznym partnerem UE w dziedzinie badań naukowych i innowacji.</w:t>
      </w:r>
    </w:p>
    <w:p>
      <w:pPr>
        <w:pStyle w:val="ManualHeading3"/>
        <w:rPr>
          <w:bCs/>
          <w:noProof/>
          <w:szCs w:val="24"/>
        </w:rPr>
      </w:pPr>
      <w:r>
        <w:t>1.5.4.</w:t>
      </w:r>
      <w:r>
        <w:tab/>
      </w:r>
      <w:r>
        <w:rPr>
          <w:noProof/>
        </w:rPr>
        <w:t>Spójność z innymi właściwymi instrumentami oraz możliwa synergia</w:t>
      </w:r>
    </w:p>
    <w:p>
      <w:pPr>
        <w:pStyle w:val="Text1"/>
        <w:pBdr>
          <w:top w:val="single" w:sz="4" w:space="1" w:color="auto"/>
          <w:left w:val="single" w:sz="4" w:space="4" w:color="auto"/>
          <w:bottom w:val="single" w:sz="4" w:space="1" w:color="auto"/>
          <w:right w:val="single" w:sz="4" w:space="4" w:color="auto"/>
        </w:pBdr>
        <w:rPr>
          <w:noProof/>
        </w:rPr>
      </w:pPr>
      <w:r>
        <w:rPr>
          <w:noProof/>
        </w:rPr>
        <w:t xml:space="preserve">Przedłużenie umowy z Ukrainą uznaje się za w pełni zgodne z ogólnymi ramami polityki współpracy międzynarodowej w dziedzinie badań naukowych i innowacji (COM(2012) 497). </w:t>
      </w:r>
    </w:p>
    <w:p>
      <w:pPr>
        <w:pStyle w:val="ManualHeading2"/>
        <w:rPr>
          <w:bCs/>
          <w:noProof/>
          <w:szCs w:val="24"/>
        </w:rPr>
      </w:pPr>
      <w:r>
        <w:rPr>
          <w:noProof/>
        </w:rPr>
        <w:br w:type="page"/>
      </w:r>
      <w:r>
        <w:t>1.6.</w:t>
      </w:r>
      <w:r>
        <w:tab/>
      </w:r>
      <w:r>
        <w:rPr>
          <w:noProof/>
        </w:rPr>
        <w:t xml:space="preserve">Okres trwania działania i jego wpływ finansowy </w:t>
      </w:r>
    </w:p>
    <w:p>
      <w:pPr>
        <w:pStyle w:val="Text1"/>
        <w:rPr>
          <w:noProof/>
        </w:rPr>
      </w:pPr>
      <w:r>
        <w:rPr>
          <w:noProof/>
        </w:rPr>
        <w:sym w:font="Wingdings" w:char="F0FE"/>
      </w:r>
      <w:r>
        <w:rPr>
          <w:b/>
          <w:i/>
          <w:noProof/>
        </w:rPr>
        <w:t xml:space="preserve"> </w:t>
      </w:r>
      <w:r>
        <w:rPr>
          <w:noProof/>
        </w:rPr>
        <w:t>Wniosek/inicjatywa o </w:t>
      </w:r>
      <w:r>
        <w:rPr>
          <w:b/>
          <w:noProof/>
        </w:rPr>
        <w:t xml:space="preserve">ograniczonym okresie trwania </w:t>
      </w:r>
    </w:p>
    <w:p>
      <w:pPr>
        <w:pStyle w:val="ListDash2"/>
        <w:rPr>
          <w:noProof/>
        </w:rPr>
      </w:pPr>
      <w:r>
        <w:rPr>
          <w:noProof/>
        </w:rPr>
        <w:sym w:font="Wingdings" w:char="F0FE"/>
      </w:r>
      <w:r>
        <w:rPr>
          <w:noProof/>
        </w:rPr>
        <w:t xml:space="preserve"> Okres trwania wniosku/inicjatywy: od [DD/MM]RRRR r. do [DD/MM]RRRR r. </w:t>
      </w:r>
    </w:p>
    <w:p>
      <w:pPr>
        <w:pStyle w:val="ListDash2"/>
        <w:rPr>
          <w:noProof/>
        </w:rPr>
      </w:pPr>
      <w:r>
        <w:rPr>
          <w:noProof/>
        </w:rPr>
        <w:sym w:font="Wingdings" w:char="F0FE"/>
      </w:r>
      <w:r>
        <w:rPr>
          <w:noProof/>
        </w:rPr>
        <w:tab/>
        <w:t xml:space="preserve">Okres trwania wpływu finansowego: od RRRR r. do RRRR r. </w:t>
      </w:r>
    </w:p>
    <w:p>
      <w:pPr>
        <w:pStyle w:val="Text1"/>
        <w:rPr>
          <w:noProof/>
        </w:rPr>
      </w:pPr>
      <w:r>
        <w:rPr>
          <w:noProof/>
        </w:rPr>
        <w:sym w:font="Wingdings" w:char="F0A8"/>
      </w:r>
      <w:r>
        <w:rPr>
          <w:b/>
          <w:i/>
          <w:noProof/>
        </w:rPr>
        <w:t xml:space="preserve"> </w:t>
      </w:r>
      <w:r>
        <w:rPr>
          <w:noProof/>
        </w:rPr>
        <w:t>Wniosek/inicjatywa o </w:t>
      </w:r>
      <w:r>
        <w:rPr>
          <w:b/>
          <w:noProof/>
        </w:rPr>
        <w:t>nieograniczonym okresie trwania</w:t>
      </w:r>
    </w:p>
    <w:p>
      <w:pPr>
        <w:pStyle w:val="ListDash1"/>
        <w:rPr>
          <w:noProof/>
        </w:rPr>
      </w:pPr>
      <w:r>
        <w:rPr>
          <w:noProof/>
        </w:rPr>
        <w:t>Wprowadzenie w życie z okresem rozruchu od RRRR r. do RRRR r.,</w:t>
      </w:r>
    </w:p>
    <w:p>
      <w:pPr>
        <w:pStyle w:val="ListDash1"/>
        <w:rPr>
          <w:noProof/>
        </w:rPr>
      </w:pPr>
      <w:r>
        <w:rPr>
          <w:noProof/>
        </w:rPr>
        <w:t>po którym następuje faza operacyjna.</w:t>
      </w:r>
    </w:p>
    <w:p>
      <w:pPr>
        <w:pStyle w:val="ManualHeading2"/>
        <w:rPr>
          <w:bCs/>
          <w:noProof/>
          <w:szCs w:val="24"/>
        </w:rPr>
      </w:pPr>
      <w:r>
        <w:t>1.7.</w:t>
      </w:r>
      <w:r>
        <w:tab/>
      </w:r>
      <w:r>
        <w:rPr>
          <w:noProof/>
        </w:rPr>
        <w:t>Planowane tryby zarządzania</w:t>
      </w:r>
      <w:r>
        <w:rPr>
          <w:rStyle w:val="FootnoteReference"/>
          <w:noProof/>
        </w:rPr>
        <w:footnoteReference w:id="12"/>
      </w:r>
      <w:r>
        <w:rPr>
          <w:rStyle w:val="FootnoteReference"/>
          <w:noProof/>
        </w:rPr>
        <w:t xml:space="preserve"> </w:t>
      </w:r>
    </w:p>
    <w:p>
      <w:pPr>
        <w:pStyle w:val="Text1"/>
        <w:rPr>
          <w:noProof/>
        </w:rPr>
      </w:pPr>
      <w:r>
        <w:rPr>
          <w:noProof/>
        </w:rPr>
        <w:sym w:font="Wingdings" w:char="F0FE"/>
      </w:r>
      <w:r>
        <w:rPr>
          <w:i/>
          <w:noProof/>
        </w:rPr>
        <w:t xml:space="preserve"> </w:t>
      </w:r>
      <w:r>
        <w:rPr>
          <w:b/>
          <w:noProof/>
        </w:rPr>
        <w:t>Bezpośrednie zarządzanie</w:t>
      </w:r>
      <w:r>
        <w:rPr>
          <w:noProof/>
        </w:rPr>
        <w:t xml:space="preserve"> przez Komisję</w:t>
      </w:r>
    </w:p>
    <w:p>
      <w:pPr>
        <w:pStyle w:val="ListDash2"/>
        <w:rPr>
          <w:rFonts w:cs="EUAlbertina"/>
          <w:noProof/>
        </w:rPr>
      </w:pPr>
      <w:r>
        <w:rPr>
          <w:noProof/>
        </w:rPr>
        <w:sym w:font="Wingdings" w:char="F0A8"/>
      </w:r>
      <w:r>
        <w:rPr>
          <w:noProof/>
        </w:rPr>
        <w:t xml:space="preserve"> w ramach jej służb, w tym za pośrednictwem jej pracowników w delegaturach Unii; </w:t>
      </w:r>
    </w:p>
    <w:p>
      <w:pPr>
        <w:pStyle w:val="ListDash2"/>
        <w:rPr>
          <w:noProof/>
        </w:rPr>
      </w:pPr>
      <w:r>
        <w:rPr>
          <w:noProof/>
        </w:rPr>
        <w:sym w:font="Wingdings" w:char="F0A8"/>
      </w:r>
      <w:r>
        <w:rPr>
          <w:noProof/>
        </w:rPr>
        <w:t xml:space="preserve"> przez agencje wykonawcze; </w:t>
      </w:r>
    </w:p>
    <w:p>
      <w:pPr>
        <w:pStyle w:val="Text1"/>
        <w:rPr>
          <w:noProof/>
        </w:rPr>
      </w:pPr>
      <w:r>
        <w:rPr>
          <w:noProof/>
        </w:rPr>
        <w:sym w:font="Wingdings" w:char="F0A8"/>
      </w:r>
      <w:r>
        <w:rPr>
          <w:b/>
          <w:i/>
          <w:noProof/>
        </w:rPr>
        <w:t xml:space="preserve"> </w:t>
      </w:r>
      <w:r>
        <w:rPr>
          <w:b/>
          <w:noProof/>
        </w:rPr>
        <w:t>Zarządzanie dzielone</w:t>
      </w:r>
      <w:r>
        <w:rPr>
          <w:noProof/>
        </w:rPr>
        <w:t xml:space="preserve"> z państwami członkowskimi </w:t>
      </w:r>
    </w:p>
    <w:p>
      <w:pPr>
        <w:pStyle w:val="Text1"/>
        <w:rPr>
          <w:noProof/>
        </w:rPr>
      </w:pPr>
      <w:r>
        <w:rPr>
          <w:noProof/>
        </w:rPr>
        <w:sym w:font="Wingdings" w:char="F0A8"/>
      </w:r>
      <w:r>
        <w:rPr>
          <w:i/>
          <w:noProof/>
        </w:rPr>
        <w:t xml:space="preserve"> </w:t>
      </w:r>
      <w:r>
        <w:rPr>
          <w:b/>
          <w:noProof/>
        </w:rPr>
        <w:t>Zarządzanie pośrednie</w:t>
      </w:r>
      <w:r>
        <w:rPr>
          <w:noProof/>
        </w:rPr>
        <w:t xml:space="preserve"> poprzez przekazanie zadań związanych z wykonaniem budżetu:</w:t>
      </w:r>
    </w:p>
    <w:p>
      <w:pPr>
        <w:pStyle w:val="ListDash2"/>
        <w:rPr>
          <w:noProof/>
        </w:rPr>
      </w:pPr>
      <w:r>
        <w:rPr>
          <w:noProof/>
        </w:rPr>
        <w:sym w:font="Wingdings" w:char="F0A8"/>
      </w:r>
      <w:r>
        <w:rPr>
          <w:noProof/>
        </w:rPr>
        <w:t xml:space="preserve"> państwom trzecim lub organom przez nie wyznaczonym;</w:t>
      </w:r>
    </w:p>
    <w:p>
      <w:pPr>
        <w:pStyle w:val="ListDash2"/>
        <w:rPr>
          <w:noProof/>
        </w:rPr>
      </w:pPr>
      <w:r>
        <w:rPr>
          <w:noProof/>
        </w:rPr>
        <w:sym w:font="Wingdings" w:char="F0A8"/>
      </w:r>
      <w:r>
        <w:rPr>
          <w:noProof/>
        </w:rPr>
        <w:t xml:space="preserve"> organizacjom międzynarodowym i ich agencjom (należy wyszczególnić);</w:t>
      </w:r>
    </w:p>
    <w:p>
      <w:pPr>
        <w:pStyle w:val="ListDash2"/>
        <w:rPr>
          <w:noProof/>
        </w:rPr>
      </w:pPr>
      <w:r>
        <w:rPr>
          <w:noProof/>
        </w:rPr>
        <w:sym w:font="Wingdings" w:char="F0A8"/>
      </w:r>
      <w:r>
        <w:rPr>
          <w:noProof/>
        </w:rPr>
        <w:t xml:space="preserve"> EBI oraz Europejskiemu Funduszowi Inwestycyjnemu;</w:t>
      </w:r>
    </w:p>
    <w:p>
      <w:pPr>
        <w:pStyle w:val="ListDash2"/>
        <w:rPr>
          <w:noProof/>
        </w:rPr>
      </w:pPr>
      <w:r>
        <w:rPr>
          <w:noProof/>
        </w:rPr>
        <w:sym w:font="Wingdings" w:char="F0A8"/>
      </w:r>
      <w:r>
        <w:rPr>
          <w:noProof/>
        </w:rPr>
        <w:t xml:space="preserve"> organom, o których mowa w art. 208 i 209 rozporządzenia finansowego;</w:t>
      </w:r>
    </w:p>
    <w:p>
      <w:pPr>
        <w:pStyle w:val="ListDash2"/>
        <w:rPr>
          <w:noProof/>
        </w:rPr>
      </w:pPr>
      <w:r>
        <w:rPr>
          <w:noProof/>
        </w:rPr>
        <w:sym w:font="Wingdings" w:char="F0A8"/>
      </w:r>
      <w:r>
        <w:rPr>
          <w:noProof/>
        </w:rPr>
        <w:t xml:space="preserve"> organom prawa publicznego;</w:t>
      </w:r>
    </w:p>
    <w:p>
      <w:pPr>
        <w:pStyle w:val="ListDash2"/>
        <w:rPr>
          <w:noProof/>
        </w:rPr>
      </w:pPr>
      <w:r>
        <w:rPr>
          <w:noProof/>
        </w:rPr>
        <w:sym w:font="Wingdings" w:char="F0A8"/>
      </w:r>
      <w:r>
        <w:rPr>
          <w:noProof/>
        </w:rPr>
        <w:t xml:space="preserve"> podmiotom podlegającym prawu prywatnemu, które świadczą usługi użyteczności publicznej, o ile zapewniają one odpowiednie gwarancje finansowe;</w:t>
      </w:r>
    </w:p>
    <w:p>
      <w:pPr>
        <w:pStyle w:val="ListDash2"/>
        <w:rPr>
          <w:noProof/>
        </w:rPr>
      </w:pPr>
      <w:r>
        <w:rPr>
          <w:noProof/>
        </w:rPr>
        <w:sym w:font="Wingdings" w:char="F0A8"/>
      </w:r>
      <w:r>
        <w:rPr>
          <w:noProof/>
        </w:rPr>
        <w:t xml:space="preserve"> podmiotom podlegającym prawu prywatnemu państwa członkowskiego, którym powierzono realizację partnerstwa publiczno-prywatnego oraz które zapewniają odpowiednie gwarancje finansowe;</w:t>
      </w:r>
    </w:p>
    <w:p>
      <w:pPr>
        <w:pStyle w:val="ListDash2"/>
        <w:rPr>
          <w:noProof/>
        </w:rPr>
      </w:pPr>
      <w:r>
        <w:rPr>
          <w:noProof/>
        </w:rPr>
        <w:sym w:font="Wingdings" w:char="F0A8"/>
      </w:r>
      <w:r>
        <w:rPr>
          <w:noProof/>
        </w:rPr>
        <w:t xml:space="preserve"> osobom odpowiedzialnym za wykonanie określonych działań w dziedzinie wspólnej polityki zagranicznej i bezpieczeństwa na mocy tytułu V Traktatu o Unii Europejskiej oraz określonym we właściwym podstawowym akcie prawnym.</w:t>
      </w:r>
    </w:p>
    <w:p>
      <w:pPr>
        <w:pStyle w:val="ListDash2"/>
        <w:rPr>
          <w:i/>
          <w:noProof/>
          <w:sz w:val="18"/>
          <w:u w:val="single"/>
        </w:rPr>
      </w:pPr>
      <w:r>
        <w:rPr>
          <w:i/>
          <w:noProof/>
          <w:sz w:val="18"/>
        </w:rPr>
        <w:t>W przypadku wskazania więcej niż jednego trybu należy podać dodatkowe informacje w części „Uwagi”.</w:t>
      </w:r>
    </w:p>
    <w:p>
      <w:pPr>
        <w:rPr>
          <w:noProof/>
        </w:rPr>
      </w:pPr>
      <w:r>
        <w:rPr>
          <w:noProof/>
        </w:rPr>
        <w:t xml:space="preserve">Uwagi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ŚRODKI ZARZĄDZANIA </w:t>
      </w:r>
    </w:p>
    <w:p>
      <w:pPr>
        <w:pStyle w:val="ManualHeading2"/>
        <w:rPr>
          <w:noProof/>
        </w:rPr>
      </w:pPr>
      <w:r>
        <w:t>2.1.</w:t>
      </w:r>
      <w:r>
        <w:tab/>
      </w:r>
      <w:r>
        <w:rPr>
          <w:noProof/>
        </w:rPr>
        <w:t xml:space="preserve">Zasady nadzoru i sprawozdawczości </w:t>
      </w:r>
    </w:p>
    <w:p>
      <w:pPr>
        <w:pStyle w:val="Text1"/>
        <w:rPr>
          <w:i/>
          <w:noProof/>
          <w:sz w:val="20"/>
          <w:u w:val="single"/>
        </w:rPr>
      </w:pPr>
      <w:r>
        <w:rPr>
          <w:i/>
          <w:noProof/>
          <w:sz w:val="20"/>
        </w:rPr>
        <w:t>Określić częstotliwość i warunki</w:t>
      </w:r>
    </w:p>
    <w:p>
      <w:pPr>
        <w:pStyle w:val="Text1"/>
        <w:pBdr>
          <w:top w:val="single" w:sz="4" w:space="1" w:color="auto"/>
          <w:left w:val="single" w:sz="4" w:space="4" w:color="auto"/>
          <w:bottom w:val="single" w:sz="4" w:space="1" w:color="auto"/>
          <w:right w:val="single" w:sz="4" w:space="4" w:color="auto"/>
        </w:pBdr>
        <w:rPr>
          <w:rFonts w:eastAsia="Times New Roman"/>
          <w:noProof/>
        </w:rPr>
      </w:pPr>
      <w:r>
        <w:rPr>
          <w:noProof/>
        </w:rPr>
        <w:t>Uczestnictwo podmiotów ukraińskich w programie ramowym w zakresie badań naukowych i innowacji oraz w innych wspólnych działaniach prowadzonych na podstawie Umowy będzie regularnie monitorowane poprzez posiedzenia Wspólnego Komitetu ustanowionego na mocy art. 6 lit. a) Umowy.</w:t>
      </w:r>
    </w:p>
    <w:p>
      <w:pPr>
        <w:pStyle w:val="ManualHeading2"/>
        <w:rPr>
          <w:bCs/>
          <w:noProof/>
          <w:szCs w:val="24"/>
        </w:rPr>
      </w:pPr>
      <w:r>
        <w:t>2.2.</w:t>
      </w:r>
      <w:r>
        <w:tab/>
      </w:r>
      <w:r>
        <w:rPr>
          <w:noProof/>
        </w:rPr>
        <w:t xml:space="preserve">System zarządzania i kontroli </w:t>
      </w:r>
    </w:p>
    <w:p>
      <w:pPr>
        <w:pStyle w:val="ManualHeading3"/>
        <w:rPr>
          <w:noProof/>
        </w:rPr>
      </w:pPr>
      <w:r>
        <w:t>2.2.1.</w:t>
      </w:r>
      <w:r>
        <w:tab/>
      </w:r>
      <w:r>
        <w:rPr>
          <w:noProof/>
        </w:rPr>
        <w:t xml:space="preserve">Zidentyfikowane ryzyko </w:t>
      </w:r>
    </w:p>
    <w:p>
      <w:pPr>
        <w:pStyle w:val="Text1"/>
        <w:pBdr>
          <w:top w:val="single" w:sz="4" w:space="1" w:color="auto"/>
          <w:left w:val="single" w:sz="4" w:space="4" w:color="auto"/>
          <w:bottom w:val="single" w:sz="4" w:space="1" w:color="auto"/>
          <w:right w:val="single" w:sz="4" w:space="4" w:color="auto"/>
        </w:pBdr>
        <w:rPr>
          <w:noProof/>
          <w:szCs w:val="24"/>
        </w:rPr>
      </w:pPr>
      <w:r>
        <w:rPr>
          <w:noProof/>
        </w:rPr>
        <w:t>Posiedzenia i kontakty dwustronne odbywają się regularnie, co umożliwia systematyczną wymianę wiedzy i kontrolę. W systemie kontroli nie zidentyfikowano żadnych zagrożeń.</w:t>
      </w:r>
    </w:p>
    <w:p>
      <w:pPr>
        <w:pStyle w:val="ManualHeading3"/>
        <w:rPr>
          <w:bCs/>
          <w:noProof/>
          <w:szCs w:val="24"/>
        </w:rPr>
      </w:pPr>
      <w:r>
        <w:t>2.2.2.</w:t>
      </w:r>
      <w:r>
        <w:tab/>
      </w:r>
      <w:r>
        <w:rPr>
          <w:noProof/>
        </w:rPr>
        <w:t>Informacje dotyczące struktury wewnętrznego systemu kontroli</w:t>
      </w:r>
    </w:p>
    <w:p>
      <w:pPr>
        <w:pStyle w:val="Text1"/>
        <w:pBdr>
          <w:top w:val="single" w:sz="4" w:space="1" w:color="auto"/>
          <w:left w:val="single" w:sz="4" w:space="4" w:color="auto"/>
          <w:bottom w:val="single" w:sz="4" w:space="1" w:color="auto"/>
          <w:right w:val="single" w:sz="4" w:space="4" w:color="auto"/>
        </w:pBdr>
        <w:rPr>
          <w:noProof/>
        </w:rPr>
      </w:pPr>
      <w:r>
        <w:rPr>
          <w:noProof/>
        </w:rPr>
        <w:t>Nie dotyczy.</w:t>
      </w:r>
    </w:p>
    <w:p>
      <w:pPr>
        <w:pStyle w:val="ManualHeading3"/>
        <w:rPr>
          <w:noProof/>
        </w:rPr>
      </w:pPr>
      <w:r>
        <w:t>2.2.3.</w:t>
      </w:r>
      <w:r>
        <w:tab/>
      </w:r>
      <w:r>
        <w:rPr>
          <w:noProof/>
        </w:rPr>
        <w:t xml:space="preserve">Oszacowanie kosztów i korzyści wynikających z kontroli i ocena prawdopodobnego ryzyka błędu </w:t>
      </w:r>
    </w:p>
    <w:p>
      <w:pPr>
        <w:pStyle w:val="Text1"/>
        <w:pBdr>
          <w:top w:val="single" w:sz="4" w:space="1" w:color="auto"/>
          <w:left w:val="single" w:sz="4" w:space="4" w:color="auto"/>
          <w:bottom w:val="single" w:sz="4" w:space="1" w:color="auto"/>
          <w:right w:val="single" w:sz="4" w:space="4" w:color="auto"/>
        </w:pBdr>
        <w:rPr>
          <w:noProof/>
        </w:rPr>
      </w:pPr>
      <w:r>
        <w:rPr>
          <w:noProof/>
        </w:rPr>
        <w:t>Nie dotyczy.</w:t>
      </w:r>
    </w:p>
    <w:p>
      <w:pPr>
        <w:pStyle w:val="ManualHeading2"/>
        <w:rPr>
          <w:bCs/>
          <w:noProof/>
          <w:szCs w:val="24"/>
        </w:rPr>
      </w:pPr>
      <w:r>
        <w:t>2.3.</w:t>
      </w:r>
      <w:r>
        <w:tab/>
      </w:r>
      <w:r>
        <w:rPr>
          <w:noProof/>
        </w:rPr>
        <w:t xml:space="preserve">Środki zapobiegania nadużyciom finansowym i nieprawidłowościom </w:t>
      </w:r>
    </w:p>
    <w:p>
      <w:pPr>
        <w:pStyle w:val="Text1"/>
        <w:rPr>
          <w:i/>
          <w:noProof/>
          <w:sz w:val="20"/>
        </w:rPr>
      </w:pPr>
      <w:r>
        <w:rPr>
          <w:i/>
          <w:noProof/>
          <w:sz w:val="20"/>
        </w:rPr>
        <w:t>Określić istniejące lub przewidywane środki zapobiegania i ochrony</w:t>
      </w:r>
    </w:p>
    <w:p>
      <w:pPr>
        <w:pBdr>
          <w:top w:val="single" w:sz="4" w:space="1" w:color="auto"/>
          <w:left w:val="single" w:sz="4" w:space="4" w:color="auto"/>
          <w:bottom w:val="single" w:sz="4" w:space="1" w:color="auto"/>
          <w:right w:val="single" w:sz="4" w:space="4" w:color="auto"/>
        </w:pBdr>
        <w:rPr>
          <w:noProof/>
          <w:szCs w:val="24"/>
        </w:rPr>
      </w:pPr>
      <w:r>
        <w:rPr>
          <w:noProof/>
        </w:rPr>
        <w:t>W przypadku gdy wdrożenie programu ramowego wymaga zatrudnienia zewnętrznych wykonawców lub wiąże się z udzieleniem wsparcia finansowego osobom trzecim, Komisja przeprowadzi, w razie potrzeby, audyty finansowe, w szczególności jeżeli będzie miała powód wątpić w realistyczny charakter prac wykonanych lub opisanych w sprawozdaniach z działalności.</w:t>
      </w:r>
    </w:p>
    <w:p>
      <w:pPr>
        <w:pBdr>
          <w:top w:val="single" w:sz="4" w:space="1" w:color="auto"/>
          <w:left w:val="single" w:sz="4" w:space="4" w:color="auto"/>
          <w:bottom w:val="single" w:sz="4" w:space="1" w:color="auto"/>
          <w:right w:val="single" w:sz="4" w:space="4" w:color="auto"/>
        </w:pBdr>
        <w:ind w:left="142"/>
        <w:rPr>
          <w:noProof/>
          <w:szCs w:val="24"/>
        </w:rPr>
      </w:pPr>
      <w:r>
        <w:rPr>
          <w:noProof/>
        </w:rPr>
        <w:t>Audyty finansowe Unii będą przeprowadzane przez jej personel lub ekspertów ds. rachunkowości zatwierdzonych zgodnie z obowiązującym prawem strony poddawanej audytowi. Unia dokona swobodnego wyboru ekspertów, nie dopuszczając do ewentualnych konfliktów interesów zgłaszanych jej przez stronę poddawaną audytowi. Ponadto podczas realizacji działań badawczych Komisja zapewni ochronę interesów finansowych Unii poprzez skuteczne kontrole oraz podjęcie odpowiednich działań i nałożenie proporcjonalnych i odstraszających środków i sankcji w przypadku wykrycia nieprawidłowości.</w:t>
      </w:r>
    </w:p>
    <w:p>
      <w:pPr>
        <w:pBdr>
          <w:top w:val="single" w:sz="4" w:space="1" w:color="auto"/>
          <w:left w:val="single" w:sz="4" w:space="4" w:color="auto"/>
          <w:bottom w:val="single" w:sz="4" w:space="1" w:color="auto"/>
          <w:right w:val="single" w:sz="4" w:space="4" w:color="auto"/>
        </w:pBdr>
        <w:rPr>
          <w:noProof/>
          <w:szCs w:val="24"/>
        </w:rPr>
      </w:pPr>
      <w:r>
        <w:rPr>
          <w:noProof/>
        </w:rPr>
        <w:t xml:space="preserve">W tym celu do wszystkich umów związanych z realizacją programu ramowego włączone zostaną przepisy dotyczące kontroli, środków i sankcji, zawierające odesłanie do rozporządzeń nr 2988/95, 2185/96 i 883/2013. </w:t>
      </w:r>
    </w:p>
    <w:p>
      <w:pPr>
        <w:pBdr>
          <w:top w:val="single" w:sz="4" w:space="1" w:color="auto"/>
          <w:left w:val="single" w:sz="4" w:space="4" w:color="auto"/>
          <w:bottom w:val="single" w:sz="4" w:space="1" w:color="auto"/>
          <w:right w:val="single" w:sz="4" w:space="4" w:color="auto"/>
        </w:pBdr>
        <w:rPr>
          <w:noProof/>
          <w:szCs w:val="24"/>
        </w:rPr>
      </w:pPr>
      <w:r>
        <w:rPr>
          <w:noProof/>
        </w:rPr>
        <w:t>W umowach należy w szczególności uwzględnić następujące punkty:</w:t>
      </w:r>
    </w:p>
    <w:p>
      <w:pPr>
        <w:pBdr>
          <w:top w:val="single" w:sz="4" w:space="1" w:color="auto"/>
          <w:left w:val="single" w:sz="4" w:space="4" w:color="auto"/>
          <w:bottom w:val="single" w:sz="4" w:space="1" w:color="auto"/>
          <w:right w:val="single" w:sz="4" w:space="4" w:color="auto"/>
        </w:pBdr>
        <w:rPr>
          <w:noProof/>
          <w:szCs w:val="24"/>
        </w:rPr>
      </w:pPr>
      <w:r>
        <w:rPr>
          <w:noProof/>
        </w:rPr>
        <w:t xml:space="preserve">- wprowadzenie szczególnych klauzul umownych w celu ochrony interesów finansowych UE poprzez przeprowadzanie kontroli i inspekcji wykonanych prac; </w:t>
      </w:r>
    </w:p>
    <w:p>
      <w:pPr>
        <w:pBdr>
          <w:top w:val="single" w:sz="4" w:space="1" w:color="auto"/>
          <w:left w:val="single" w:sz="4" w:space="4" w:color="auto"/>
          <w:bottom w:val="single" w:sz="4" w:space="1" w:color="auto"/>
          <w:right w:val="single" w:sz="4" w:space="4" w:color="auto"/>
        </w:pBdr>
        <w:rPr>
          <w:noProof/>
          <w:szCs w:val="24"/>
        </w:rPr>
      </w:pPr>
      <w:r>
        <w:rPr>
          <w:noProof/>
        </w:rPr>
        <w:t>dokonywanie kontroli administracyjnych w ramach środków zwalczania nadużyć finansowych, zgodnie z rozporządzeniami nr 2185/96, 1073/1999 i 1074/1999;</w:t>
      </w:r>
    </w:p>
    <w:p>
      <w:pPr>
        <w:pBdr>
          <w:top w:val="single" w:sz="4" w:space="1" w:color="auto"/>
          <w:left w:val="single" w:sz="4" w:space="4" w:color="auto"/>
          <w:bottom w:val="single" w:sz="4" w:space="1" w:color="auto"/>
          <w:right w:val="single" w:sz="4" w:space="4" w:color="auto"/>
        </w:pBdr>
        <w:rPr>
          <w:noProof/>
          <w:szCs w:val="24"/>
        </w:rPr>
      </w:pPr>
      <w:r>
        <w:rPr>
          <w:noProof/>
        </w:rPr>
        <w:t>- stosowanie kar administracyjnych w przypadku wszelkich nieprawidłowości, czy to zamierzonych, czy też wynikających z zaniedbania, w realizacji umów, w tym także umieszczanie na czarnej liście, zgodnie z rozporządzeniem ramowym nr 2988/95;</w:t>
      </w:r>
    </w:p>
    <w:p>
      <w:pPr>
        <w:pBdr>
          <w:top w:val="single" w:sz="4" w:space="1" w:color="auto"/>
          <w:left w:val="single" w:sz="4" w:space="4" w:color="auto"/>
          <w:bottom w:val="single" w:sz="4" w:space="1" w:color="auto"/>
          <w:right w:val="single" w:sz="4" w:space="4" w:color="auto"/>
        </w:pBdr>
        <w:rPr>
          <w:noProof/>
          <w:szCs w:val="24"/>
        </w:rPr>
      </w:pPr>
      <w:r>
        <w:rPr>
          <w:noProof/>
        </w:rPr>
        <w:t>- wskazanie na fakt, że ewentualne nakazy odzyskania środków w przypadku nieprawidłowości i nadużyć muszą podlegać wykonaniu zgodnie z art. 299 Traktatu o funkcjonowaniu Unii Europejskiej.</w:t>
      </w:r>
    </w:p>
    <w:p>
      <w:pPr>
        <w:pBdr>
          <w:top w:val="single" w:sz="4" w:space="1" w:color="auto"/>
          <w:left w:val="single" w:sz="4" w:space="4" w:color="auto"/>
          <w:bottom w:val="single" w:sz="4" w:space="1" w:color="auto"/>
          <w:right w:val="single" w:sz="4" w:space="4" w:color="auto"/>
        </w:pBdr>
        <w:rPr>
          <w:noProof/>
          <w:szCs w:val="24"/>
        </w:rPr>
      </w:pPr>
      <w:r>
        <w:rPr>
          <w:noProof/>
        </w:rPr>
        <w:t>Dodatkowo właściwe służby w Dyrekcji Generalnej ds. Badań Naukowych i Innowacji (DG RTD) przeprowadzą – jako środek rutynowy – program kontroli aspektów naukowych i budżetowych współpracy. Audyt wewnętrzny będzie prowadzony przez dział ds. audytu wewnętrznego DG RTD, natomiast kontrole na miejscu będą prowadzone przez Europejski Trybunał Obrachunkowy.</w:t>
      </w:r>
    </w:p>
    <w:p>
      <w:pPr>
        <w:pStyle w:val="Text1"/>
        <w:pBdr>
          <w:top w:val="single" w:sz="4" w:space="1" w:color="auto"/>
          <w:left w:val="single" w:sz="4" w:space="4" w:color="auto"/>
          <w:bottom w:val="single" w:sz="4" w:space="1" w:color="auto"/>
          <w:right w:val="single" w:sz="4" w:space="4" w:color="auto"/>
        </w:pBdr>
        <w:rPr>
          <w:noProof/>
        </w:rPr>
        <w:sectPr>
          <w:footnotePr>
            <w:numRestart w:val="eachSect"/>
          </w:footnote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SZACUNKOWY WPŁYW FINANSOWY WNIOSKU/INICJATYWY </w:t>
      </w:r>
    </w:p>
    <w:p>
      <w:pPr>
        <w:pStyle w:val="ManualHeading2"/>
        <w:rPr>
          <w:noProof/>
        </w:rPr>
      </w:pPr>
      <w:r>
        <w:t>3.1.</w:t>
      </w:r>
      <w:r>
        <w:tab/>
      </w:r>
      <w:r>
        <w:rPr>
          <w:noProof/>
        </w:rPr>
        <w:t xml:space="preserve">Działy wieloletnich ram finansowych i linie budżetowe po stronie wydatków, na które wniosek/inicjatywa ma wpływ </w:t>
      </w:r>
    </w:p>
    <w:p>
      <w:pPr>
        <w:pStyle w:val="ListBullet1"/>
        <w:rPr>
          <w:noProof/>
        </w:rPr>
      </w:pPr>
      <w:r>
        <w:rPr>
          <w:noProof/>
        </w:rPr>
        <w:t xml:space="preserve">Istniejące linie budżetowe </w:t>
      </w:r>
    </w:p>
    <w:p>
      <w:pPr>
        <w:pStyle w:val="Text1"/>
        <w:rPr>
          <w:noProof/>
        </w:rPr>
      </w:pPr>
      <w:r>
        <w:rPr>
          <w:noProof/>
          <w:u w:val="single"/>
        </w:rPr>
        <w:t>Według</w:t>
      </w:r>
      <w:r>
        <w:rPr>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Dział wieloletnich ram finansowych</w:t>
            </w:r>
          </w:p>
        </w:tc>
        <w:tc>
          <w:tcPr>
            <w:tcW w:w="3960" w:type="dxa"/>
            <w:vAlign w:val="center"/>
          </w:tcPr>
          <w:p>
            <w:pPr>
              <w:spacing w:before="60" w:after="60"/>
              <w:jc w:val="center"/>
              <w:rPr>
                <w:noProof/>
                <w:sz w:val="22"/>
              </w:rPr>
            </w:pPr>
            <w:r>
              <w:rPr>
                <w:noProof/>
                <w:sz w:val="20"/>
              </w:rPr>
              <w:t>Linia budżetowa</w:t>
            </w:r>
          </w:p>
        </w:tc>
        <w:tc>
          <w:tcPr>
            <w:tcW w:w="1080" w:type="dxa"/>
            <w:vAlign w:val="center"/>
          </w:tcPr>
          <w:p>
            <w:pPr>
              <w:spacing w:before="60" w:after="60"/>
              <w:jc w:val="center"/>
              <w:rPr>
                <w:noProof/>
                <w:sz w:val="22"/>
              </w:rPr>
            </w:pPr>
            <w:r>
              <w:rPr>
                <w:noProof/>
                <w:sz w:val="18"/>
              </w:rPr>
              <w:t>Rodzaj</w:t>
            </w:r>
            <w:r>
              <w:rPr>
                <w:noProof/>
                <w:sz w:val="22"/>
              </w:rPr>
              <w:br/>
            </w:r>
            <w:r>
              <w:rPr>
                <w:noProof/>
                <w:sz w:val="18"/>
              </w:rPr>
              <w:t>środków</w:t>
            </w:r>
          </w:p>
        </w:tc>
        <w:tc>
          <w:tcPr>
            <w:tcW w:w="4440" w:type="dxa"/>
            <w:gridSpan w:val="4"/>
            <w:vAlign w:val="center"/>
          </w:tcPr>
          <w:p>
            <w:pPr>
              <w:spacing w:before="60" w:after="60"/>
              <w:jc w:val="center"/>
              <w:rPr>
                <w:noProof/>
                <w:sz w:val="22"/>
              </w:rPr>
            </w:pPr>
            <w:r>
              <w:rPr>
                <w:noProof/>
                <w:sz w:val="20"/>
              </w:rPr>
              <w:t xml:space="preserve">Wkład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 </w:t>
            </w:r>
            <w:r>
              <w:rPr>
                <w:noProof/>
                <w:sz w:val="22"/>
              </w:rPr>
              <w:br/>
            </w:r>
            <w:r>
              <w:rPr>
                <w:noProof/>
                <w:sz w:val="20"/>
              </w:rPr>
              <w:t>Dział 1a: Konkurencyjność na rzecz wzrostu gospodarczego i zatrudnienia</w:t>
            </w:r>
          </w:p>
        </w:tc>
        <w:tc>
          <w:tcPr>
            <w:tcW w:w="1080" w:type="dxa"/>
            <w:vAlign w:val="center"/>
          </w:tcPr>
          <w:p>
            <w:pPr>
              <w:jc w:val="center"/>
              <w:rPr>
                <w:noProof/>
                <w:sz w:val="22"/>
              </w:rPr>
            </w:pPr>
            <w:r>
              <w:rPr>
                <w:noProof/>
                <w:sz w:val="18"/>
              </w:rPr>
              <w:t>Zróżn. / niezróżn.</w:t>
            </w:r>
            <w:r>
              <w:rPr>
                <w:rStyle w:val="FootnoteReference"/>
                <w:noProof/>
                <w:sz w:val="18"/>
              </w:rPr>
              <w:footnoteReference w:id="13"/>
            </w:r>
          </w:p>
        </w:tc>
        <w:tc>
          <w:tcPr>
            <w:tcW w:w="956" w:type="dxa"/>
            <w:vAlign w:val="center"/>
          </w:tcPr>
          <w:p>
            <w:pPr>
              <w:jc w:val="center"/>
              <w:rPr>
                <w:noProof/>
                <w:sz w:val="22"/>
              </w:rPr>
            </w:pPr>
            <w:r>
              <w:rPr>
                <w:noProof/>
                <w:sz w:val="18"/>
              </w:rPr>
              <w:t>państw EFTA</w:t>
            </w:r>
            <w:r>
              <w:rPr>
                <w:rStyle w:val="FootnoteReference"/>
                <w:noProof/>
                <w:sz w:val="18"/>
              </w:rPr>
              <w:footnoteReference w:id="14"/>
            </w:r>
          </w:p>
          <w:p>
            <w:pPr>
              <w:spacing w:before="0" w:after="0"/>
              <w:jc w:val="center"/>
              <w:rPr>
                <w:b/>
                <w:noProof/>
                <w:sz w:val="18"/>
              </w:rPr>
            </w:pPr>
          </w:p>
        </w:tc>
        <w:tc>
          <w:tcPr>
            <w:tcW w:w="1080" w:type="dxa"/>
            <w:vAlign w:val="center"/>
          </w:tcPr>
          <w:p>
            <w:pPr>
              <w:jc w:val="center"/>
              <w:rPr>
                <w:noProof/>
                <w:sz w:val="22"/>
              </w:rPr>
            </w:pPr>
            <w:r>
              <w:rPr>
                <w:noProof/>
                <w:sz w:val="18"/>
              </w:rPr>
              <w:t>krajów kandydujących</w:t>
            </w:r>
            <w:r>
              <w:rPr>
                <w:rStyle w:val="FootnoteReference"/>
                <w:noProof/>
                <w:sz w:val="18"/>
              </w:rPr>
              <w:footnoteReference w:id="15"/>
            </w:r>
          </w:p>
          <w:p>
            <w:pPr>
              <w:spacing w:before="0" w:after="0"/>
              <w:jc w:val="center"/>
              <w:rPr>
                <w:noProof/>
                <w:sz w:val="18"/>
              </w:rPr>
            </w:pP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sz w:val="22"/>
              </w:rPr>
            </w:pPr>
            <w:r>
              <w:rPr>
                <w:noProof/>
                <w:sz w:val="16"/>
              </w:rPr>
              <w:t xml:space="preserve">w rozumieniu art. 21 ust. 2 lit. b) rozporządzenia finansowego </w:t>
            </w:r>
          </w:p>
        </w:tc>
      </w:tr>
      <w:tr>
        <w:tc>
          <w:tcPr>
            <w:tcW w:w="1080" w:type="dxa"/>
            <w:vAlign w:val="center"/>
          </w:tcPr>
          <w:p>
            <w:pPr>
              <w:jc w:val="center"/>
              <w:rPr>
                <w:noProof/>
                <w:color w:val="0000FF"/>
                <w:sz w:val="22"/>
              </w:rPr>
            </w:pPr>
            <w:r>
              <w:rPr>
                <w:noProof/>
                <w:sz w:val="20"/>
              </w:rPr>
              <w:t>1a</w:t>
            </w:r>
          </w:p>
        </w:tc>
        <w:tc>
          <w:tcPr>
            <w:tcW w:w="3960" w:type="dxa"/>
            <w:vAlign w:val="center"/>
          </w:tcPr>
          <w:p>
            <w:pPr>
              <w:spacing w:after="60"/>
              <w:jc w:val="center"/>
              <w:rPr>
                <w:noProof/>
                <w:sz w:val="22"/>
              </w:rPr>
            </w:pPr>
            <w:r>
              <w:rPr>
                <w:b/>
                <w:noProof/>
                <w:sz w:val="22"/>
              </w:rPr>
              <w:t>08.01.05.01</w:t>
            </w:r>
          </w:p>
        </w:tc>
        <w:tc>
          <w:tcPr>
            <w:tcW w:w="1080" w:type="dxa"/>
            <w:vAlign w:val="center"/>
          </w:tcPr>
          <w:p>
            <w:pPr>
              <w:jc w:val="center"/>
              <w:rPr>
                <w:noProof/>
                <w:color w:val="0000FF"/>
                <w:sz w:val="22"/>
              </w:rPr>
            </w:pPr>
            <w:r>
              <w:rPr>
                <w:noProof/>
                <w:sz w:val="22"/>
              </w:rPr>
              <w:t>Środki niezróżnicowane</w:t>
            </w:r>
          </w:p>
        </w:tc>
        <w:tc>
          <w:tcPr>
            <w:tcW w:w="956" w:type="dxa"/>
            <w:vAlign w:val="center"/>
          </w:tcPr>
          <w:p>
            <w:pPr>
              <w:jc w:val="center"/>
              <w:rPr>
                <w:noProof/>
                <w:sz w:val="22"/>
              </w:rPr>
            </w:pPr>
            <w:r>
              <w:rPr>
                <w:noProof/>
                <w:sz w:val="22"/>
              </w:rPr>
              <w:t>TAK</w:t>
            </w:r>
          </w:p>
        </w:tc>
        <w:tc>
          <w:tcPr>
            <w:tcW w:w="1080" w:type="dxa"/>
            <w:vAlign w:val="center"/>
          </w:tcPr>
          <w:p>
            <w:pPr>
              <w:jc w:val="center"/>
              <w:rPr>
                <w:noProof/>
                <w:sz w:val="22"/>
              </w:rPr>
            </w:pPr>
            <w:r>
              <w:rPr>
                <w:noProof/>
                <w:sz w:val="22"/>
              </w:rPr>
              <w:t>TAK</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r>
        <w:tc>
          <w:tcPr>
            <w:tcW w:w="1080" w:type="dxa"/>
            <w:vAlign w:val="center"/>
          </w:tcPr>
          <w:p>
            <w:pPr>
              <w:jc w:val="center"/>
              <w:rPr>
                <w:noProof/>
                <w:color w:val="0000FF"/>
                <w:sz w:val="22"/>
              </w:rPr>
            </w:pPr>
            <w:r>
              <w:rPr>
                <w:noProof/>
                <w:sz w:val="20"/>
              </w:rPr>
              <w:t>1a</w:t>
            </w:r>
          </w:p>
        </w:tc>
        <w:tc>
          <w:tcPr>
            <w:tcW w:w="3960" w:type="dxa"/>
            <w:vAlign w:val="center"/>
          </w:tcPr>
          <w:p>
            <w:pPr>
              <w:spacing w:before="60"/>
              <w:jc w:val="center"/>
            </w:pPr>
            <w:r>
              <w:rPr>
                <w:b/>
                <w:noProof/>
                <w:sz w:val="22"/>
              </w:rPr>
              <w:t>08.01.05.03</w:t>
            </w:r>
          </w:p>
        </w:tc>
        <w:tc>
          <w:tcPr>
            <w:tcW w:w="1080" w:type="dxa"/>
            <w:vAlign w:val="center"/>
          </w:tcPr>
          <w:p>
            <w:pPr>
              <w:jc w:val="center"/>
              <w:rPr>
                <w:noProof/>
                <w:sz w:val="22"/>
              </w:rPr>
            </w:pPr>
            <w:r>
              <w:rPr>
                <w:noProof/>
                <w:sz w:val="22"/>
              </w:rPr>
              <w:t>Środki niezróżnicowane</w:t>
            </w:r>
          </w:p>
        </w:tc>
        <w:tc>
          <w:tcPr>
            <w:tcW w:w="956" w:type="dxa"/>
            <w:vAlign w:val="center"/>
          </w:tcPr>
          <w:p>
            <w:pPr>
              <w:jc w:val="center"/>
              <w:rPr>
                <w:noProof/>
                <w:sz w:val="22"/>
              </w:rPr>
            </w:pPr>
            <w:r>
              <w:rPr>
                <w:noProof/>
                <w:sz w:val="22"/>
              </w:rPr>
              <w:t>TAK</w:t>
            </w:r>
          </w:p>
        </w:tc>
        <w:tc>
          <w:tcPr>
            <w:tcW w:w="1080" w:type="dxa"/>
            <w:vAlign w:val="center"/>
          </w:tcPr>
          <w:p>
            <w:pPr>
              <w:jc w:val="center"/>
              <w:rPr>
                <w:noProof/>
                <w:sz w:val="22"/>
              </w:rPr>
            </w:pPr>
            <w:r>
              <w:rPr>
                <w:noProof/>
                <w:sz w:val="22"/>
              </w:rPr>
              <w:t>TAK</w:t>
            </w:r>
          </w:p>
        </w:tc>
        <w:tc>
          <w:tcPr>
            <w:tcW w:w="956" w:type="dxa"/>
            <w:vAlign w:val="center"/>
          </w:tcPr>
          <w:p>
            <w:pPr>
              <w:jc w:val="center"/>
              <w:rPr>
                <w:noProof/>
                <w:sz w:val="22"/>
              </w:rPr>
            </w:pPr>
            <w:r>
              <w:rPr>
                <w:noProof/>
                <w:sz w:val="22"/>
              </w:rPr>
              <w:t>NIE</w:t>
            </w:r>
          </w:p>
        </w:tc>
        <w:tc>
          <w:tcPr>
            <w:tcW w:w="1448" w:type="dxa"/>
            <w:vAlign w:val="center"/>
          </w:tcPr>
          <w:p>
            <w:pPr>
              <w:jc w:val="center"/>
              <w:rPr>
                <w:noProof/>
                <w:sz w:val="22"/>
              </w:rPr>
            </w:pPr>
            <w:r>
              <w:rPr>
                <w:noProof/>
                <w:sz w:val="22"/>
              </w:rPr>
              <w:t>NIE</w:t>
            </w:r>
          </w:p>
        </w:tc>
      </w:tr>
    </w:tbl>
    <w:p>
      <w:pPr>
        <w:pStyle w:val="ListBullet1"/>
        <w:rPr>
          <w:noProof/>
        </w:rPr>
      </w:pPr>
      <w:r>
        <w:rPr>
          <w:noProof/>
        </w:rPr>
        <w:t xml:space="preserve">Nowe linie budżetowe, o których utworzenie się wnioskuje </w:t>
      </w:r>
    </w:p>
    <w:p>
      <w:pPr>
        <w:pStyle w:val="Text1"/>
        <w:rPr>
          <w:i/>
          <w:noProof/>
          <w:sz w:val="20"/>
        </w:rPr>
      </w:pPr>
      <w:r>
        <w:rPr>
          <w:i/>
          <w:noProof/>
          <w:u w:val="single"/>
        </w:rPr>
        <w:t>Według</w:t>
      </w:r>
      <w:r>
        <w:rPr>
          <w:i/>
          <w:noProof/>
        </w:rPr>
        <w:t xml:space="preserve"> działów wieloletnich ram finansowych i linii budżetowych</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Dział wieloletnich ram finansowych</w:t>
            </w:r>
          </w:p>
        </w:tc>
        <w:tc>
          <w:tcPr>
            <w:tcW w:w="3960" w:type="dxa"/>
            <w:vAlign w:val="center"/>
          </w:tcPr>
          <w:p>
            <w:pPr>
              <w:spacing w:before="60" w:after="60"/>
              <w:jc w:val="center"/>
              <w:rPr>
                <w:noProof/>
                <w:sz w:val="22"/>
              </w:rPr>
            </w:pPr>
            <w:r>
              <w:rPr>
                <w:noProof/>
                <w:sz w:val="20"/>
              </w:rPr>
              <w:t>Linia budżetowa</w:t>
            </w:r>
          </w:p>
        </w:tc>
        <w:tc>
          <w:tcPr>
            <w:tcW w:w="1080" w:type="dxa"/>
            <w:vAlign w:val="center"/>
          </w:tcPr>
          <w:p>
            <w:pPr>
              <w:spacing w:before="60" w:after="60"/>
              <w:jc w:val="center"/>
              <w:rPr>
                <w:noProof/>
                <w:sz w:val="22"/>
              </w:rPr>
            </w:pPr>
            <w:r>
              <w:rPr>
                <w:noProof/>
                <w:sz w:val="18"/>
              </w:rPr>
              <w:t>Rodzaj</w:t>
            </w:r>
            <w:r>
              <w:rPr>
                <w:noProof/>
                <w:sz w:val="22"/>
              </w:rPr>
              <w:br/>
            </w:r>
            <w:r>
              <w:rPr>
                <w:noProof/>
                <w:sz w:val="18"/>
              </w:rPr>
              <w:t>środków</w:t>
            </w:r>
          </w:p>
        </w:tc>
        <w:tc>
          <w:tcPr>
            <w:tcW w:w="4440" w:type="dxa"/>
            <w:gridSpan w:val="4"/>
            <w:vAlign w:val="center"/>
          </w:tcPr>
          <w:p>
            <w:pPr>
              <w:spacing w:before="60" w:after="60"/>
              <w:jc w:val="center"/>
              <w:rPr>
                <w:noProof/>
                <w:sz w:val="22"/>
              </w:rPr>
            </w:pPr>
            <w:r>
              <w:rPr>
                <w:noProof/>
                <w:sz w:val="20"/>
              </w:rPr>
              <w:t xml:space="preserve">Wkład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 xml:space="preserve">Numer </w:t>
            </w:r>
            <w:r>
              <w:rPr>
                <w:noProof/>
                <w:sz w:val="22"/>
              </w:rPr>
              <w:br/>
            </w:r>
            <w:r>
              <w:rPr>
                <w:noProof/>
                <w:sz w:val="20"/>
              </w:rPr>
              <w:t>[Dział………………………………………]</w:t>
            </w:r>
          </w:p>
        </w:tc>
        <w:tc>
          <w:tcPr>
            <w:tcW w:w="1080" w:type="dxa"/>
            <w:vAlign w:val="center"/>
          </w:tcPr>
          <w:p>
            <w:pPr>
              <w:jc w:val="center"/>
              <w:rPr>
                <w:noProof/>
                <w:sz w:val="22"/>
              </w:rPr>
            </w:pPr>
            <w:r>
              <w:rPr>
                <w:noProof/>
                <w:sz w:val="18"/>
              </w:rPr>
              <w:t>Zróżn. / niezróżn.</w:t>
            </w:r>
          </w:p>
        </w:tc>
        <w:tc>
          <w:tcPr>
            <w:tcW w:w="956" w:type="dxa"/>
            <w:vAlign w:val="center"/>
          </w:tcPr>
          <w:p>
            <w:pPr>
              <w:jc w:val="center"/>
              <w:rPr>
                <w:noProof/>
                <w:sz w:val="18"/>
              </w:rPr>
            </w:pPr>
            <w:r>
              <w:rPr>
                <w:noProof/>
                <w:sz w:val="18"/>
              </w:rPr>
              <w:t>państw EFTA</w:t>
            </w:r>
          </w:p>
        </w:tc>
        <w:tc>
          <w:tcPr>
            <w:tcW w:w="1080" w:type="dxa"/>
            <w:vAlign w:val="center"/>
          </w:tcPr>
          <w:p>
            <w:pPr>
              <w:jc w:val="center"/>
              <w:rPr>
                <w:noProof/>
                <w:sz w:val="18"/>
              </w:rPr>
            </w:pPr>
            <w:r>
              <w:rPr>
                <w:noProof/>
                <w:sz w:val="18"/>
              </w:rPr>
              <w:t>krajów kandydujących</w:t>
            </w:r>
          </w:p>
        </w:tc>
        <w:tc>
          <w:tcPr>
            <w:tcW w:w="956" w:type="dxa"/>
            <w:vAlign w:val="center"/>
          </w:tcPr>
          <w:p>
            <w:pPr>
              <w:jc w:val="center"/>
              <w:rPr>
                <w:noProof/>
                <w:sz w:val="18"/>
              </w:rPr>
            </w:pPr>
            <w:r>
              <w:rPr>
                <w:noProof/>
                <w:sz w:val="18"/>
              </w:rPr>
              <w:t>państw trzecich</w:t>
            </w:r>
          </w:p>
        </w:tc>
        <w:tc>
          <w:tcPr>
            <w:tcW w:w="1448" w:type="dxa"/>
            <w:vAlign w:val="center"/>
          </w:tcPr>
          <w:p>
            <w:pPr>
              <w:jc w:val="center"/>
              <w:rPr>
                <w:noProof/>
                <w:sz w:val="22"/>
              </w:rPr>
            </w:pPr>
            <w:r>
              <w:rPr>
                <w:noProof/>
                <w:sz w:val="16"/>
              </w:rPr>
              <w:t xml:space="preserve">w rozumieniu art. 21 ust. 2 lit. b) rozporządzenia finansowego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TAK/ NIE</w:t>
            </w:r>
          </w:p>
        </w:tc>
        <w:tc>
          <w:tcPr>
            <w:tcW w:w="1080" w:type="dxa"/>
            <w:vAlign w:val="center"/>
          </w:tcPr>
          <w:p>
            <w:pPr>
              <w:jc w:val="center"/>
              <w:rPr>
                <w:noProof/>
                <w:color w:val="0000FF"/>
                <w:sz w:val="18"/>
              </w:rPr>
            </w:pPr>
            <w:r>
              <w:rPr>
                <w:noProof/>
                <w:sz w:val="22"/>
              </w:rPr>
              <w:t>TAK/ NIE</w:t>
            </w:r>
          </w:p>
        </w:tc>
        <w:tc>
          <w:tcPr>
            <w:tcW w:w="956" w:type="dxa"/>
            <w:vAlign w:val="center"/>
          </w:tcPr>
          <w:p>
            <w:pPr>
              <w:jc w:val="center"/>
              <w:rPr>
                <w:noProof/>
                <w:color w:val="0000FF"/>
                <w:sz w:val="18"/>
              </w:rPr>
            </w:pPr>
            <w:r>
              <w:rPr>
                <w:noProof/>
                <w:sz w:val="22"/>
              </w:rPr>
              <w:t>TAK/ NIE</w:t>
            </w:r>
          </w:p>
        </w:tc>
        <w:tc>
          <w:tcPr>
            <w:tcW w:w="1448" w:type="dxa"/>
            <w:vAlign w:val="center"/>
          </w:tcPr>
          <w:p>
            <w:pPr>
              <w:jc w:val="center"/>
              <w:rPr>
                <w:noProof/>
                <w:sz w:val="22"/>
              </w:rPr>
            </w:pPr>
            <w:r>
              <w:rPr>
                <w:noProof/>
                <w:sz w:val="22"/>
              </w:rPr>
              <w:t>TAK/ NIE</w:t>
            </w:r>
          </w:p>
        </w:tc>
      </w:tr>
    </w:tbl>
    <w:p>
      <w:pPr>
        <w:rPr>
          <w:noProof/>
        </w:rPr>
        <w:sectPr>
          <w:footnotePr>
            <w:numRestart w:val="eachSect"/>
          </w:footnote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Szacunkowy wpływ na wydatki </w:t>
      </w:r>
    </w:p>
    <w:p>
      <w:pPr>
        <w:pStyle w:val="Text1"/>
        <w:rPr>
          <w:noProof/>
        </w:rPr>
      </w:pPr>
      <w:r>
        <w:rPr>
          <w:noProof/>
          <w:highlight w:val="lightGray"/>
        </w:rPr>
        <w:t xml:space="preserve">[Niniejszą część należy uzupełnić przy użyciu </w:t>
      </w:r>
      <w:hyperlink r:id="rId13" w:history="1">
        <w:r>
          <w:rPr>
            <w:rStyle w:val="Hyperlink"/>
            <w:b/>
            <w:noProof/>
            <w:highlight w:val="lightGray"/>
          </w:rPr>
          <w:t>arkusza kalkulacyjnego dotyczącego danych budżetowych o charakterze administracyjnym</w:t>
        </w:r>
      </w:hyperlink>
      <w:r>
        <w:rPr>
          <w:noProof/>
          <w:highlight w:val="lightGray"/>
        </w:rPr>
        <w:t xml:space="preserve"> (drugi dokument w załączniku do niniejszej oceny skutków finansowych) i przesłać do CISNET w celu konsultacji między służbami.]</w:t>
      </w:r>
    </w:p>
    <w:p>
      <w:pPr>
        <w:pStyle w:val="ManualHeading3"/>
        <w:rPr>
          <w:noProof/>
          <w:u w:val="single"/>
        </w:rPr>
      </w:pPr>
      <w:r>
        <w:t>3.2.1.</w:t>
      </w:r>
      <w:r>
        <w:tab/>
      </w:r>
      <w:r>
        <w:rPr>
          <w:noProof/>
        </w:rPr>
        <w:t xml:space="preserve">Synteza szacunkowego wpływu na wydatki </w:t>
      </w:r>
    </w:p>
    <w:p>
      <w:pPr>
        <w:jc w:val="right"/>
        <w:rPr>
          <w:noProof/>
          <w:sz w:val="20"/>
        </w:rPr>
      </w:pPr>
      <w:r>
        <w:rPr>
          <w:noProof/>
          <w:sz w:val="20"/>
        </w:rPr>
        <w:t>w mln EUR (do trzech miejsc po przecinku)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Dział wieloletnich ram </w:t>
            </w:r>
            <w:r>
              <w:rPr>
                <w:noProof/>
                <w:sz w:val="22"/>
              </w:rPr>
              <w:br/>
            </w:r>
            <w:r>
              <w:rPr>
                <w:b/>
                <w:noProof/>
                <w:sz w:val="22"/>
              </w:rPr>
              <w:t xml:space="preserve">finansowych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rPr>
              <w:t xml:space="preserve">„Konkurencyjność na rzecz wzrostu gospodarczego i zatrudnienia” </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012"/>
        <w:gridCol w:w="1013"/>
        <w:gridCol w:w="1013"/>
        <w:gridCol w:w="1012"/>
        <w:gridCol w:w="1013"/>
        <w:gridCol w:w="1013"/>
        <w:gridCol w:w="1777"/>
      </w:tblGrid>
      <w:tr>
        <w:tc>
          <w:tcPr>
            <w:tcW w:w="3960" w:type="dxa"/>
            <w:vAlign w:val="center"/>
          </w:tcPr>
          <w:p>
            <w:pPr>
              <w:jc w:val="center"/>
              <w:rPr>
                <w:noProof/>
                <w:sz w:val="22"/>
              </w:rPr>
            </w:pPr>
            <w:r>
              <w:rPr>
                <w:noProof/>
                <w:sz w:val="22"/>
              </w:rPr>
              <w:t>DG: RTD</w:t>
            </w:r>
          </w:p>
        </w:tc>
        <w:tc>
          <w:tcPr>
            <w:tcW w:w="1560" w:type="dxa"/>
            <w:gridSpan w:val="2"/>
          </w:tcPr>
          <w:p>
            <w:pPr>
              <w:rPr>
                <w:noProof/>
                <w:sz w:val="20"/>
              </w:rPr>
            </w:pPr>
          </w:p>
        </w:tc>
        <w:tc>
          <w:tcPr>
            <w:tcW w:w="534" w:type="dxa"/>
          </w:tcPr>
          <w:p>
            <w:pPr>
              <w:jc w:val="center"/>
              <w:rPr>
                <w:noProof/>
                <w:sz w:val="20"/>
              </w:rPr>
            </w:pPr>
          </w:p>
        </w:tc>
        <w:tc>
          <w:tcPr>
            <w:tcW w:w="1012" w:type="dxa"/>
            <w:vAlign w:val="center"/>
          </w:tcPr>
          <w:p>
            <w:pPr>
              <w:jc w:val="center"/>
              <w:rPr>
                <w:noProof/>
                <w:sz w:val="20"/>
              </w:rPr>
            </w:pPr>
            <w:r>
              <w:rPr>
                <w:noProof/>
                <w:sz w:val="20"/>
              </w:rPr>
              <w:t>Rok</w:t>
            </w:r>
            <w:r>
              <w:rPr>
                <w:noProof/>
                <w:sz w:val="22"/>
              </w:rPr>
              <w:br/>
            </w:r>
            <w:r>
              <w:rPr>
                <w:noProof/>
                <w:sz w:val="20"/>
              </w:rPr>
              <w:t>2019</w:t>
            </w:r>
            <w:r>
              <w:rPr>
                <w:rStyle w:val="FootnoteReference"/>
                <w:noProof/>
                <w:sz w:val="20"/>
              </w:rPr>
              <w:footnoteReference w:id="16"/>
            </w:r>
          </w:p>
        </w:tc>
        <w:tc>
          <w:tcPr>
            <w:tcW w:w="1013" w:type="dxa"/>
            <w:vAlign w:val="center"/>
          </w:tcPr>
          <w:p>
            <w:pPr>
              <w:jc w:val="center"/>
              <w:rPr>
                <w:noProof/>
                <w:sz w:val="20"/>
              </w:rPr>
            </w:pPr>
            <w:r>
              <w:rPr>
                <w:noProof/>
                <w:sz w:val="20"/>
              </w:rPr>
              <w:t>Rok</w:t>
            </w:r>
            <w:r>
              <w:rPr>
                <w:noProof/>
                <w:sz w:val="22"/>
              </w:rPr>
              <w:br/>
            </w:r>
            <w:r>
              <w:rPr>
                <w:b/>
                <w:noProof/>
                <w:sz w:val="20"/>
              </w:rPr>
              <w:t>2020</w:t>
            </w:r>
          </w:p>
        </w:tc>
        <w:tc>
          <w:tcPr>
            <w:tcW w:w="1013" w:type="dxa"/>
            <w:vAlign w:val="center"/>
          </w:tcPr>
          <w:p>
            <w:pPr>
              <w:jc w:val="center"/>
              <w:rPr>
                <w:noProof/>
                <w:sz w:val="20"/>
              </w:rPr>
            </w:pPr>
            <w:r>
              <w:rPr>
                <w:noProof/>
                <w:sz w:val="20"/>
              </w:rPr>
              <w:t>Rok</w:t>
            </w:r>
            <w:r>
              <w:rPr>
                <w:noProof/>
                <w:sz w:val="22"/>
              </w:rPr>
              <w:br/>
            </w:r>
            <w:r>
              <w:rPr>
                <w:b/>
                <w:noProof/>
                <w:sz w:val="20"/>
              </w:rPr>
              <w:t>2021</w:t>
            </w:r>
          </w:p>
        </w:tc>
        <w:tc>
          <w:tcPr>
            <w:tcW w:w="1012" w:type="dxa"/>
            <w:vAlign w:val="center"/>
          </w:tcPr>
          <w:p>
            <w:pPr>
              <w:jc w:val="center"/>
              <w:rPr>
                <w:noProof/>
                <w:sz w:val="20"/>
              </w:rPr>
            </w:pPr>
            <w:r>
              <w:rPr>
                <w:noProof/>
                <w:sz w:val="20"/>
              </w:rPr>
              <w:t>Rok</w:t>
            </w:r>
            <w:r>
              <w:rPr>
                <w:noProof/>
                <w:sz w:val="22"/>
              </w:rPr>
              <w:br/>
            </w:r>
            <w:r>
              <w:rPr>
                <w:b/>
                <w:noProof/>
                <w:sz w:val="20"/>
              </w:rPr>
              <w:t>2022</w:t>
            </w:r>
          </w:p>
        </w:tc>
        <w:tc>
          <w:tcPr>
            <w:tcW w:w="1013" w:type="dxa"/>
            <w:tcBorders>
              <w:top w:val="single" w:sz="4" w:space="0" w:color="auto"/>
              <w:left w:val="single" w:sz="4" w:space="0" w:color="auto"/>
              <w:bottom w:val="single" w:sz="4" w:space="0" w:color="auto"/>
              <w:right w:val="single" w:sz="4" w:space="0" w:color="auto"/>
            </w:tcBorders>
          </w:tcPr>
          <w:p>
            <w:pPr>
              <w:spacing w:line="256" w:lineRule="auto"/>
              <w:jc w:val="center"/>
              <w:rPr>
                <w:b/>
                <w:noProof/>
                <w:sz w:val="20"/>
              </w:rPr>
            </w:pPr>
            <w:r>
              <w:rPr>
                <w:noProof/>
                <w:sz w:val="20"/>
              </w:rPr>
              <w:t>Rok</w:t>
            </w:r>
            <w:r>
              <w:rPr>
                <w:noProof/>
                <w:sz w:val="22"/>
              </w:rPr>
              <w:br/>
            </w:r>
            <w:r>
              <w:rPr>
                <w:b/>
                <w:noProof/>
                <w:sz w:val="20"/>
              </w:rPr>
              <w:t>2023</w:t>
            </w:r>
          </w:p>
        </w:tc>
        <w:tc>
          <w:tcPr>
            <w:tcW w:w="1013" w:type="dxa"/>
            <w:tcBorders>
              <w:top w:val="single" w:sz="4" w:space="0" w:color="auto"/>
              <w:left w:val="single" w:sz="4" w:space="0" w:color="auto"/>
              <w:bottom w:val="single" w:sz="4" w:space="0" w:color="auto"/>
              <w:right w:val="single" w:sz="4" w:space="0" w:color="auto"/>
            </w:tcBorders>
          </w:tcPr>
          <w:p>
            <w:pPr>
              <w:spacing w:line="256" w:lineRule="auto"/>
              <w:jc w:val="center"/>
              <w:rPr>
                <w:b/>
                <w:noProof/>
                <w:sz w:val="20"/>
              </w:rPr>
            </w:pPr>
            <w:r>
              <w:rPr>
                <w:noProof/>
                <w:sz w:val="20"/>
              </w:rPr>
              <w:t>Rok</w:t>
            </w:r>
            <w:r>
              <w:rPr>
                <w:noProof/>
                <w:sz w:val="22"/>
              </w:rPr>
              <w:br/>
            </w:r>
            <w:r>
              <w:rPr>
                <w:b/>
                <w:noProof/>
                <w:sz w:val="20"/>
              </w:rPr>
              <w:t>2024</w:t>
            </w:r>
          </w:p>
        </w:tc>
        <w:tc>
          <w:tcPr>
            <w:tcW w:w="1777"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b/>
                <w:noProof/>
                <w:sz w:val="20"/>
              </w:rPr>
            </w:pPr>
            <w:r>
              <w:rPr>
                <w:b/>
                <w:noProof/>
                <w:sz w:val="20"/>
              </w:rPr>
              <w:t>OGÓŁEM</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w:t>
            </w:r>
            <w:r>
              <w:rPr>
                <w:noProof/>
                <w:sz w:val="21"/>
              </w:rPr>
              <w:t xml:space="preserve">Środki operacyjne </w:t>
            </w:r>
          </w:p>
        </w:tc>
        <w:tc>
          <w:tcPr>
            <w:tcW w:w="1012" w:type="dxa"/>
            <w:vAlign w:val="center"/>
          </w:tcPr>
          <w:p>
            <w:pPr>
              <w:rPr>
                <w:noProof/>
                <w:sz w:val="20"/>
              </w:rPr>
            </w:pPr>
          </w:p>
        </w:tc>
        <w:tc>
          <w:tcPr>
            <w:tcW w:w="1013" w:type="dxa"/>
            <w:vAlign w:val="center"/>
          </w:tcPr>
          <w:p>
            <w:pPr>
              <w:rPr>
                <w:noProof/>
                <w:sz w:val="20"/>
              </w:rPr>
            </w:pPr>
          </w:p>
        </w:tc>
        <w:tc>
          <w:tcPr>
            <w:tcW w:w="1013" w:type="dxa"/>
            <w:vAlign w:val="center"/>
          </w:tcPr>
          <w:p>
            <w:pPr>
              <w:rPr>
                <w:noProof/>
                <w:sz w:val="20"/>
              </w:rPr>
            </w:pPr>
          </w:p>
        </w:tc>
        <w:tc>
          <w:tcPr>
            <w:tcW w:w="1012" w:type="dxa"/>
            <w:vAlign w:val="center"/>
          </w:tcPr>
          <w:p>
            <w:pPr>
              <w:rPr>
                <w:noProof/>
                <w:sz w:val="20"/>
              </w:rPr>
            </w:pPr>
          </w:p>
        </w:tc>
        <w:tc>
          <w:tcPr>
            <w:tcW w:w="1013" w:type="dxa"/>
            <w:vAlign w:val="center"/>
          </w:tcPr>
          <w:p>
            <w:pPr>
              <w:rPr>
                <w:noProof/>
                <w:sz w:val="20"/>
              </w:rPr>
            </w:pPr>
          </w:p>
        </w:tc>
        <w:tc>
          <w:tcPr>
            <w:tcW w:w="1013" w:type="dxa"/>
            <w:vAlign w:val="center"/>
          </w:tcPr>
          <w:p>
            <w:pPr>
              <w:rPr>
                <w:b/>
                <w:noProof/>
                <w:sz w:val="20"/>
              </w:rPr>
            </w:pPr>
          </w:p>
        </w:tc>
        <w:tc>
          <w:tcPr>
            <w:tcW w:w="1777" w:type="dxa"/>
            <w:vAlign w:val="center"/>
          </w:tcPr>
          <w:p>
            <w:pPr>
              <w:rPr>
                <w:b/>
                <w:noProof/>
                <w:sz w:val="20"/>
              </w:rPr>
            </w:pPr>
          </w:p>
        </w:tc>
      </w:tr>
      <w:tr>
        <w:trPr>
          <w:trHeight w:val="277"/>
        </w:trPr>
        <w:tc>
          <w:tcPr>
            <w:tcW w:w="3960" w:type="dxa"/>
            <w:vMerge w:val="restart"/>
            <w:vAlign w:val="center"/>
          </w:tcPr>
          <w:p>
            <w:pPr>
              <w:rPr>
                <w:noProof/>
                <w:sz w:val="22"/>
              </w:rPr>
            </w:pPr>
            <w:r>
              <w:rPr>
                <w:noProof/>
                <w:sz w:val="20"/>
              </w:rPr>
              <w:t>Numer linii budżetowej</w:t>
            </w: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013"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c>
          <w:tcPr>
            <w:tcW w:w="1777"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p>
        </w:tc>
      </w:tr>
      <w:tr>
        <w:tc>
          <w:tcPr>
            <w:tcW w:w="3960" w:type="dxa"/>
            <w:vMerge w:val="restart"/>
            <w:vAlign w:val="center"/>
          </w:tcPr>
          <w:p>
            <w:pPr>
              <w:rPr>
                <w:noProof/>
                <w:sz w:val="22"/>
              </w:rPr>
            </w:pPr>
            <w:r>
              <w:rPr>
                <w:noProof/>
                <w:sz w:val="20"/>
              </w:rPr>
              <w:t>Numer linii budżetowej</w:t>
            </w:r>
          </w:p>
        </w:tc>
        <w:tc>
          <w:tcPr>
            <w:tcW w:w="1440" w:type="dxa"/>
            <w:vAlign w:val="center"/>
          </w:tcPr>
          <w:p>
            <w:pPr>
              <w:spacing w:before="20" w:after="20"/>
              <w:rPr>
                <w:noProof/>
                <w:sz w:val="18"/>
              </w:rPr>
            </w:pPr>
            <w:r>
              <w:rPr>
                <w:noProof/>
                <w:sz w:val="18"/>
              </w:rPr>
              <w:t>Środki na zobowiązania</w:t>
            </w:r>
          </w:p>
        </w:tc>
        <w:tc>
          <w:tcPr>
            <w:tcW w:w="654" w:type="dxa"/>
            <w:gridSpan w:val="2"/>
            <w:vAlign w:val="center"/>
          </w:tcPr>
          <w:p>
            <w:pPr>
              <w:spacing w:before="20" w:after="20"/>
              <w:jc w:val="center"/>
              <w:rPr>
                <w:noProof/>
                <w:sz w:val="14"/>
              </w:rPr>
            </w:pPr>
            <w:r>
              <w:rPr>
                <w:noProof/>
                <w:sz w:val="14"/>
              </w:rPr>
              <w:t>(1a)</w:t>
            </w: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Środki na płatności</w:t>
            </w:r>
          </w:p>
        </w:tc>
        <w:tc>
          <w:tcPr>
            <w:tcW w:w="654" w:type="dxa"/>
            <w:gridSpan w:val="2"/>
            <w:vAlign w:val="center"/>
          </w:tcPr>
          <w:p>
            <w:pPr>
              <w:spacing w:before="20" w:after="20"/>
              <w:jc w:val="center"/>
              <w:rPr>
                <w:noProof/>
                <w:sz w:val="14"/>
              </w:rPr>
            </w:pPr>
            <w:r>
              <w:rPr>
                <w:noProof/>
                <w:sz w:val="14"/>
              </w:rPr>
              <w:t>(2a)</w:t>
            </w: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2" w:type="dxa"/>
            <w:vAlign w:val="center"/>
          </w:tcPr>
          <w:p>
            <w:pPr>
              <w:spacing w:before="20" w:after="20"/>
              <w:jc w:val="right"/>
              <w:rPr>
                <w:noProof/>
                <w:sz w:val="20"/>
              </w:rPr>
            </w:pPr>
          </w:p>
        </w:tc>
        <w:tc>
          <w:tcPr>
            <w:tcW w:w="1013" w:type="dxa"/>
            <w:vAlign w:val="center"/>
          </w:tcPr>
          <w:p>
            <w:pPr>
              <w:spacing w:before="20" w:after="20"/>
              <w:jc w:val="right"/>
              <w:rPr>
                <w:noProof/>
                <w:sz w:val="20"/>
              </w:rPr>
            </w:pPr>
          </w:p>
        </w:tc>
        <w:tc>
          <w:tcPr>
            <w:tcW w:w="1013"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sz w:val="22"/>
              </w:rPr>
            </w:pPr>
            <w:r>
              <w:rPr>
                <w:noProof/>
                <w:sz w:val="21"/>
              </w:rPr>
              <w:t>Środki administracyjne finansowane ze środków przydzielonych na określone programy operacyjne</w:t>
            </w:r>
            <w:r>
              <w:rPr>
                <w:rStyle w:val="FootnoteReference"/>
                <w:noProof/>
                <w:sz w:val="21"/>
              </w:rPr>
              <w:footnoteReference w:id="17"/>
            </w:r>
            <w:r>
              <w:rPr>
                <w:noProof/>
                <w:sz w:val="21"/>
              </w:rPr>
              <w:t xml:space="preserve"> </w:t>
            </w:r>
          </w:p>
          <w:p>
            <w:pPr>
              <w:spacing w:before="0" w:after="0"/>
              <w:rPr>
                <w:noProof/>
                <w:sz w:val="22"/>
              </w:rPr>
            </w:pPr>
          </w:p>
        </w:tc>
        <w:tc>
          <w:tcPr>
            <w:tcW w:w="1012" w:type="dxa"/>
            <w:vAlign w:val="center"/>
          </w:tcPr>
          <w:p>
            <w:pPr>
              <w:rPr>
                <w:b/>
                <w:noProof/>
                <w:sz w:val="20"/>
              </w:rPr>
            </w:pPr>
          </w:p>
        </w:tc>
        <w:tc>
          <w:tcPr>
            <w:tcW w:w="1013" w:type="dxa"/>
            <w:vAlign w:val="center"/>
          </w:tcPr>
          <w:p>
            <w:pPr>
              <w:rPr>
                <w:b/>
                <w:noProof/>
                <w:sz w:val="20"/>
              </w:rPr>
            </w:pPr>
          </w:p>
        </w:tc>
        <w:tc>
          <w:tcPr>
            <w:tcW w:w="1013" w:type="dxa"/>
            <w:vAlign w:val="center"/>
          </w:tcPr>
          <w:p>
            <w:pPr>
              <w:rPr>
                <w:b/>
                <w:noProof/>
                <w:sz w:val="20"/>
              </w:rPr>
            </w:pPr>
          </w:p>
        </w:tc>
        <w:tc>
          <w:tcPr>
            <w:tcW w:w="1012" w:type="dxa"/>
            <w:vAlign w:val="center"/>
          </w:tcPr>
          <w:p>
            <w:pPr>
              <w:rPr>
                <w:b/>
                <w:noProof/>
                <w:sz w:val="20"/>
              </w:rPr>
            </w:pPr>
          </w:p>
        </w:tc>
        <w:tc>
          <w:tcPr>
            <w:tcW w:w="1013" w:type="dxa"/>
            <w:vAlign w:val="center"/>
          </w:tcPr>
          <w:p>
            <w:pPr>
              <w:rPr>
                <w:b/>
                <w:noProof/>
                <w:sz w:val="20"/>
              </w:rPr>
            </w:pPr>
          </w:p>
        </w:tc>
        <w:tc>
          <w:tcPr>
            <w:tcW w:w="1013" w:type="dxa"/>
            <w:vAlign w:val="center"/>
          </w:tcPr>
          <w:p>
            <w:pPr>
              <w:rPr>
                <w:b/>
                <w:noProof/>
                <w:sz w:val="20"/>
              </w:rPr>
            </w:pPr>
          </w:p>
        </w:tc>
        <w:tc>
          <w:tcPr>
            <w:tcW w:w="1777" w:type="dxa"/>
            <w:vAlign w:val="center"/>
          </w:tcPr>
          <w:p>
            <w:pPr>
              <w:rPr>
                <w:b/>
                <w:noProof/>
                <w:sz w:val="20"/>
              </w:rPr>
            </w:pPr>
          </w:p>
        </w:tc>
      </w:tr>
      <w:tr>
        <w:trPr>
          <w:trHeight w:val="319"/>
        </w:trPr>
        <w:tc>
          <w:tcPr>
            <w:tcW w:w="3960" w:type="dxa"/>
            <w:vAlign w:val="center"/>
          </w:tcPr>
          <w:p>
            <w:pPr>
              <w:spacing w:before="60" w:after="60"/>
              <w:rPr>
                <w:noProof/>
                <w:sz w:val="20"/>
              </w:rPr>
            </w:pPr>
            <w:r>
              <w:rPr>
                <w:noProof/>
                <w:sz w:val="20"/>
              </w:rPr>
              <w:t xml:space="preserve">Numer linii budżetowej </w:t>
            </w:r>
            <w:r>
              <w:rPr>
                <w:b/>
                <w:bCs/>
                <w:noProof/>
                <w:sz w:val="18"/>
                <w:szCs w:val="18"/>
              </w:rPr>
              <w:t>08.01.05.01</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0,050</w:t>
            </w: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0,300</w:t>
            </w:r>
          </w:p>
        </w:tc>
      </w:tr>
      <w:tr>
        <w:trPr>
          <w:trHeight w:val="319"/>
        </w:trPr>
        <w:tc>
          <w:tcPr>
            <w:tcW w:w="3960" w:type="dxa"/>
            <w:vAlign w:val="center"/>
          </w:tcPr>
          <w:p>
            <w:pPr>
              <w:spacing w:before="60" w:after="60"/>
              <w:rPr>
                <w:noProof/>
                <w:sz w:val="22"/>
              </w:rPr>
            </w:pPr>
            <w:r>
              <w:rPr>
                <w:noProof/>
                <w:sz w:val="20"/>
              </w:rPr>
              <w:t xml:space="preserve">Numer linii budżetowej </w:t>
            </w:r>
            <w:r>
              <w:rPr>
                <w:b/>
                <w:bCs/>
                <w:noProof/>
                <w:sz w:val="18"/>
                <w:szCs w:val="18"/>
              </w:rPr>
              <w:t>08.01.05.03</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0,002</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tcPr>
          <w:p>
            <w:pPr>
              <w:spacing w:before="40" w:after="40" w:line="256" w:lineRule="auto"/>
              <w:jc w:val="right"/>
              <w:rPr>
                <w:b/>
                <w:noProof/>
                <w:sz w:val="20"/>
              </w:rPr>
            </w:pPr>
            <w:r>
              <w:rPr>
                <w:b/>
                <w:noProof/>
                <w:sz w:val="20"/>
              </w:rPr>
              <w:t>0,012</w:t>
            </w:r>
          </w:p>
        </w:tc>
        <w:tc>
          <w:tcPr>
            <w:tcW w:w="1013" w:type="dxa"/>
            <w:tcBorders>
              <w:top w:val="single" w:sz="4" w:space="0" w:color="auto"/>
              <w:left w:val="single" w:sz="4" w:space="0" w:color="auto"/>
              <w:bottom w:val="single" w:sz="4" w:space="0" w:color="auto"/>
              <w:right w:val="single" w:sz="4" w:space="0" w:color="auto"/>
            </w:tcBorders>
          </w:tcPr>
          <w:p>
            <w:pPr>
              <w:spacing w:before="40" w:after="40" w:line="256" w:lineRule="auto"/>
              <w:jc w:val="right"/>
              <w:rPr>
                <w:b/>
                <w:noProof/>
                <w:sz w:val="20"/>
              </w:rPr>
            </w:pPr>
            <w:r>
              <w:rPr>
                <w:b/>
                <w:noProof/>
                <w:sz w:val="20"/>
              </w:rPr>
              <w:t>0,010</w:t>
            </w:r>
          </w:p>
        </w:tc>
        <w:tc>
          <w:tcPr>
            <w:tcW w:w="1777" w:type="dxa"/>
            <w:tcBorders>
              <w:top w:val="single" w:sz="4" w:space="0" w:color="auto"/>
              <w:left w:val="single" w:sz="4" w:space="0" w:color="auto"/>
              <w:bottom w:val="single" w:sz="4" w:space="0" w:color="auto"/>
              <w:right w:val="single" w:sz="4" w:space="0" w:color="auto"/>
            </w:tcBorders>
            <w:vAlign w:val="center"/>
          </w:tcPr>
          <w:p>
            <w:pPr>
              <w:spacing w:before="40" w:after="40" w:line="256" w:lineRule="auto"/>
              <w:jc w:val="right"/>
              <w:rPr>
                <w:b/>
                <w:noProof/>
                <w:sz w:val="20"/>
              </w:rPr>
            </w:pPr>
            <w:r>
              <w:rPr>
                <w:b/>
                <w:noProof/>
                <w:sz w:val="20"/>
              </w:rPr>
              <w:t>0,060</w:t>
            </w:r>
          </w:p>
        </w:tc>
      </w:tr>
      <w:tr>
        <w:tc>
          <w:tcPr>
            <w:tcW w:w="3960" w:type="dxa"/>
            <w:vMerge w:val="restart"/>
            <w:vAlign w:val="center"/>
          </w:tcPr>
          <w:p>
            <w:pPr>
              <w:jc w:val="center"/>
              <w:rPr>
                <w:b/>
                <w:noProof/>
                <w:sz w:val="22"/>
              </w:rPr>
            </w:pPr>
            <w:r>
              <w:rPr>
                <w:b/>
                <w:noProof/>
                <w:sz w:val="22"/>
              </w:rPr>
              <w:t>OGÓŁEM środki</w:t>
            </w:r>
            <w:r>
              <w:rPr>
                <w:noProof/>
                <w:sz w:val="22"/>
              </w:rPr>
              <w:br/>
            </w:r>
            <w:r>
              <w:rPr>
                <w:b/>
                <w:noProof/>
                <w:sz w:val="22"/>
              </w:rPr>
              <w:t>dla DG RTD</w:t>
            </w:r>
          </w:p>
        </w:tc>
        <w:tc>
          <w:tcPr>
            <w:tcW w:w="1440" w:type="dxa"/>
            <w:vAlign w:val="center"/>
          </w:tcPr>
          <w:p>
            <w:pPr>
              <w:rPr>
                <w:noProof/>
                <w:sz w:val="18"/>
              </w:rPr>
            </w:pPr>
            <w:r>
              <w:rPr>
                <w:noProof/>
                <w:sz w:val="18"/>
              </w:rPr>
              <w:t>Środki na zobowiązania</w:t>
            </w:r>
          </w:p>
        </w:tc>
        <w:tc>
          <w:tcPr>
            <w:tcW w:w="654" w:type="dxa"/>
            <w:gridSpan w:val="2"/>
            <w:vAlign w:val="center"/>
          </w:tcPr>
          <w:p>
            <w:pPr>
              <w:jc w:val="center"/>
              <w:rPr>
                <w:noProof/>
                <w:sz w:val="14"/>
              </w:rPr>
            </w:pPr>
            <w:r>
              <w:rPr>
                <w:noProof/>
                <w:sz w:val="14"/>
              </w:rPr>
              <w:t>=1+1a +3</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0,012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0,060</w:t>
            </w:r>
          </w:p>
        </w:tc>
        <w:tc>
          <w:tcPr>
            <w:tcW w:w="1777"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0,360</w:t>
            </w:r>
          </w:p>
        </w:tc>
      </w:tr>
      <w:tr>
        <w:tc>
          <w:tcPr>
            <w:tcW w:w="3960" w:type="dxa"/>
            <w:vMerge/>
          </w:tcPr>
          <w:p>
            <w:pPr>
              <w:rPr>
                <w:noProof/>
                <w:sz w:val="20"/>
              </w:rPr>
            </w:pPr>
          </w:p>
        </w:tc>
        <w:tc>
          <w:tcPr>
            <w:tcW w:w="1440" w:type="dxa"/>
            <w:vAlign w:val="center"/>
          </w:tcPr>
          <w:p>
            <w:pPr>
              <w:rPr>
                <w:noProof/>
                <w:sz w:val="18"/>
              </w:rPr>
            </w:pPr>
            <w:r>
              <w:rPr>
                <w:noProof/>
                <w:sz w:val="18"/>
              </w:rPr>
              <w:t>Środki na płatności</w:t>
            </w:r>
          </w:p>
        </w:tc>
        <w:tc>
          <w:tcPr>
            <w:tcW w:w="654" w:type="dxa"/>
            <w:gridSpan w:val="2"/>
            <w:vAlign w:val="center"/>
          </w:tcPr>
          <w:p>
            <w:pPr>
              <w:jc w:val="center"/>
              <w:rPr>
                <w:noProof/>
                <w:sz w:val="14"/>
              </w:rPr>
            </w:pPr>
            <w:r>
              <w:rPr>
                <w:noProof/>
                <w:sz w:val="14"/>
              </w:rPr>
              <w:t>=2+2a</w:t>
            </w:r>
          </w:p>
          <w:p>
            <w:pPr>
              <w:jc w:val="center"/>
              <w:rPr>
                <w:noProof/>
                <w:sz w:val="14"/>
              </w:rPr>
            </w:pPr>
            <w:r>
              <w:rPr>
                <w:noProof/>
                <w:sz w:val="14"/>
              </w:rPr>
              <w:t>+3</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0,012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0,072</w:t>
            </w:r>
          </w:p>
        </w:tc>
        <w:tc>
          <w:tcPr>
            <w:tcW w:w="1013"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0,060</w:t>
            </w:r>
          </w:p>
        </w:tc>
        <w:tc>
          <w:tcPr>
            <w:tcW w:w="1777"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0,360</w:t>
            </w:r>
          </w:p>
        </w:tc>
      </w:tr>
    </w:tbl>
    <w:p>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12"/>
        <w:gridCol w:w="1012"/>
        <w:gridCol w:w="1012"/>
        <w:gridCol w:w="1012"/>
        <w:gridCol w:w="1012"/>
        <w:gridCol w:w="1012"/>
        <w:gridCol w:w="1701"/>
      </w:tblGrid>
      <w:tr>
        <w:trPr>
          <w:trHeight w:val="277"/>
        </w:trPr>
        <w:tc>
          <w:tcPr>
            <w:tcW w:w="3960"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OGÓŁEM środki operacyjne </w:t>
            </w:r>
          </w:p>
        </w:tc>
        <w:tc>
          <w:tcPr>
            <w:tcW w:w="1440" w:type="dxa"/>
            <w:vAlign w:val="center"/>
          </w:tcPr>
          <w:p>
            <w:pPr>
              <w:spacing w:beforeLines="20" w:before="48" w:afterLines="20" w:after="48"/>
              <w:rPr>
                <w:noProof/>
                <w:sz w:val="18"/>
              </w:rPr>
            </w:pPr>
            <w:r>
              <w:rPr>
                <w:noProof/>
                <w:sz w:val="18"/>
              </w:rPr>
              <w:t>Środki na zobowiązania</w:t>
            </w:r>
          </w:p>
        </w:tc>
        <w:tc>
          <w:tcPr>
            <w:tcW w:w="654" w:type="dxa"/>
            <w:vAlign w:val="center"/>
          </w:tcPr>
          <w:p>
            <w:pPr>
              <w:spacing w:beforeLines="20" w:before="48" w:afterLines="20" w:after="48"/>
              <w:jc w:val="center"/>
              <w:rPr>
                <w:noProof/>
                <w:sz w:val="14"/>
              </w:rPr>
            </w:pPr>
            <w:r>
              <w:rPr>
                <w:noProof/>
                <w:sz w:val="14"/>
              </w:rPr>
              <w:t>(4)</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0,010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0,050</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0,300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Środki na płatności</w:t>
            </w:r>
          </w:p>
        </w:tc>
        <w:tc>
          <w:tcPr>
            <w:tcW w:w="654" w:type="dxa"/>
            <w:vAlign w:val="center"/>
          </w:tcPr>
          <w:p>
            <w:pPr>
              <w:spacing w:beforeLines="20" w:before="48" w:afterLines="20" w:after="48"/>
              <w:jc w:val="center"/>
              <w:rPr>
                <w:noProof/>
                <w:sz w:val="14"/>
              </w:rPr>
            </w:pPr>
            <w:r>
              <w:rPr>
                <w:noProof/>
                <w:sz w:val="14"/>
              </w:rPr>
              <w:t>(5)</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0,010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noProof/>
                <w:sz w:val="20"/>
              </w:rPr>
            </w:pPr>
            <w:r>
              <w:rPr>
                <w:b/>
                <w:noProof/>
                <w:sz w:val="20"/>
              </w:rPr>
              <w:t>0,060</w:t>
            </w:r>
          </w:p>
        </w:tc>
        <w:tc>
          <w:tcPr>
            <w:tcW w:w="1012"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0,050</w:t>
            </w:r>
          </w:p>
        </w:tc>
        <w:tc>
          <w:tcPr>
            <w:tcW w:w="1701" w:type="dxa"/>
            <w:tcBorders>
              <w:top w:val="single" w:sz="4" w:space="0" w:color="auto"/>
              <w:left w:val="single" w:sz="4" w:space="0" w:color="auto"/>
              <w:bottom w:val="single" w:sz="4" w:space="0" w:color="auto"/>
              <w:right w:val="single" w:sz="4" w:space="0" w:color="auto"/>
            </w:tcBorders>
            <w:vAlign w:val="center"/>
          </w:tcPr>
          <w:p>
            <w:pPr>
              <w:spacing w:before="20" w:after="20" w:line="256" w:lineRule="auto"/>
              <w:jc w:val="right"/>
              <w:rPr>
                <w:b/>
                <w:noProof/>
                <w:sz w:val="20"/>
              </w:rPr>
            </w:pPr>
            <w:r>
              <w:rPr>
                <w:b/>
                <w:noProof/>
                <w:sz w:val="20"/>
              </w:rPr>
              <w:t>0,300</w:t>
            </w:r>
          </w:p>
        </w:tc>
      </w:tr>
      <w:tr>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OGÓŁEM środki administracyjne finansowane ze środków przydzielonych na określone programy operacyjne </w:t>
            </w:r>
          </w:p>
        </w:tc>
        <w:tc>
          <w:tcPr>
            <w:tcW w:w="654" w:type="dxa"/>
            <w:vAlign w:val="center"/>
          </w:tcPr>
          <w:p>
            <w:pPr>
              <w:spacing w:beforeLines="20" w:before="48" w:afterLines="20" w:after="48"/>
              <w:jc w:val="center"/>
              <w:rPr>
                <w:noProof/>
                <w:sz w:val="14"/>
              </w:rPr>
            </w:pPr>
            <w:r>
              <w:rPr>
                <w:noProof/>
                <w:sz w:val="14"/>
              </w:rPr>
              <w:t>(6)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0,002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0,010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0,060</w:t>
            </w:r>
          </w:p>
        </w:tc>
      </w:tr>
      <w:tr>
        <w:tc>
          <w:tcPr>
            <w:tcW w:w="3960" w:type="dxa"/>
            <w:vMerge w:val="restart"/>
            <w:shd w:val="thinDiagStripe" w:color="C0C0C0" w:fill="auto"/>
            <w:vAlign w:val="center"/>
          </w:tcPr>
          <w:p>
            <w:pPr>
              <w:jc w:val="center"/>
              <w:rPr>
                <w:b/>
                <w:noProof/>
                <w:sz w:val="22"/>
              </w:rPr>
            </w:pPr>
            <w:r>
              <w:rPr>
                <w:b/>
                <w:noProof/>
                <w:sz w:val="22"/>
              </w:rPr>
              <w:t xml:space="preserve">OGÓŁEM środki </w:t>
            </w:r>
            <w:r>
              <w:rPr>
                <w:noProof/>
                <w:sz w:val="22"/>
              </w:rPr>
              <w:br/>
            </w:r>
            <w:r>
              <w:rPr>
                <w:b/>
                <w:noProof/>
                <w:sz w:val="22"/>
              </w:rPr>
              <w:t>na DZIAŁ &lt;1a&gt;</w:t>
            </w:r>
            <w:r>
              <w:rPr>
                <w:noProof/>
                <w:sz w:val="22"/>
              </w:rPr>
              <w:t xml:space="preserve"> wieloletnich ram finansowych</w:t>
            </w:r>
          </w:p>
        </w:tc>
        <w:tc>
          <w:tcPr>
            <w:tcW w:w="1440" w:type="dxa"/>
            <w:vAlign w:val="center"/>
          </w:tcPr>
          <w:p>
            <w:pPr>
              <w:rPr>
                <w:noProof/>
                <w:sz w:val="18"/>
              </w:rPr>
            </w:pPr>
            <w:r>
              <w:rPr>
                <w:noProof/>
                <w:sz w:val="18"/>
              </w:rPr>
              <w:t>Środki na zobowiązania</w:t>
            </w:r>
          </w:p>
        </w:tc>
        <w:tc>
          <w:tcPr>
            <w:tcW w:w="654" w:type="dxa"/>
            <w:vAlign w:val="center"/>
          </w:tcPr>
          <w:p>
            <w:pPr>
              <w:jc w:val="center"/>
              <w:rPr>
                <w:noProof/>
                <w:sz w:val="14"/>
              </w:rPr>
            </w:pPr>
            <w:r>
              <w:rPr>
                <w:noProof/>
                <w:sz w:val="14"/>
              </w:rPr>
              <w:t>=4+ 6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0,060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0,360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Środki na płatności</w:t>
            </w:r>
          </w:p>
        </w:tc>
        <w:tc>
          <w:tcPr>
            <w:tcW w:w="654" w:type="dxa"/>
            <w:vAlign w:val="center"/>
          </w:tcPr>
          <w:p>
            <w:pPr>
              <w:jc w:val="center"/>
              <w:rPr>
                <w:noProof/>
                <w:sz w:val="14"/>
              </w:rPr>
            </w:pPr>
            <w:r>
              <w:rPr>
                <w:noProof/>
                <w:sz w:val="14"/>
              </w:rPr>
              <w:t>=5+ 6</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0,012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noProof/>
                <w:sz w:val="20"/>
                <w:szCs w:val="20"/>
                <w:lang w:val="pl-PL"/>
              </w:rPr>
            </w:pPr>
            <w:r>
              <w:rPr>
                <w:b/>
                <w:noProof/>
                <w:sz w:val="20"/>
                <w:lang w:val="pl-PL"/>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0,072</w:t>
            </w:r>
          </w:p>
        </w:tc>
        <w:tc>
          <w:tcPr>
            <w:tcW w:w="1012"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0,060</w:t>
            </w:r>
          </w:p>
        </w:tc>
        <w:tc>
          <w:tcPr>
            <w:tcW w:w="1701" w:type="dxa"/>
            <w:tcBorders>
              <w:top w:val="single" w:sz="4" w:space="0" w:color="auto"/>
              <w:left w:val="single" w:sz="4" w:space="0" w:color="auto"/>
              <w:bottom w:val="single" w:sz="4" w:space="0" w:color="auto"/>
              <w:right w:val="single" w:sz="4" w:space="0" w:color="auto"/>
            </w:tcBorders>
            <w:vAlign w:val="center"/>
          </w:tcPr>
          <w:p>
            <w:pPr>
              <w:pStyle w:val="Default"/>
              <w:spacing w:line="256" w:lineRule="auto"/>
              <w:jc w:val="right"/>
              <w:rPr>
                <w:b/>
                <w:noProof/>
                <w:sz w:val="20"/>
                <w:szCs w:val="20"/>
                <w:lang w:val="pl-PL"/>
              </w:rPr>
            </w:pPr>
            <w:r>
              <w:rPr>
                <w:b/>
                <w:noProof/>
                <w:sz w:val="20"/>
                <w:lang w:val="pl-PL"/>
              </w:rPr>
              <w:t>0,360</w:t>
            </w:r>
          </w:p>
        </w:tc>
      </w:tr>
    </w:tbl>
    <w:p>
      <w:pPr>
        <w:spacing w:after="40"/>
        <w:rPr>
          <w:b/>
          <w:noProof/>
          <w:sz w:val="22"/>
          <w:u w:val="single"/>
        </w:rPr>
      </w:pPr>
      <w:r>
        <w:rPr>
          <w:b/>
          <w:noProof/>
          <w:sz w:val="22"/>
          <w:u w:val="single"/>
        </w:rPr>
        <w:t>Jeżeli wpływ wniosku/inicjatywy nie ogranicza się do jednego działu:</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sz w:val="22"/>
              </w:rPr>
            </w:pPr>
            <w:r>
              <w:rPr>
                <w:noProof/>
                <w:sz w:val="21"/>
              </w:rPr>
              <w:sym w:font="Wingdings" w:char="F09F"/>
            </w:r>
            <w:r>
              <w:rPr>
                <w:noProof/>
                <w:sz w:val="21"/>
              </w:rPr>
              <w:t xml:space="preserve">OGÓŁEM środki operacyjne </w:t>
            </w:r>
          </w:p>
        </w:tc>
        <w:tc>
          <w:tcPr>
            <w:tcW w:w="1440" w:type="dxa"/>
            <w:tcBorders>
              <w:top w:val="single" w:sz="4" w:space="0" w:color="FF0000"/>
            </w:tcBorders>
            <w:vAlign w:val="center"/>
          </w:tcPr>
          <w:p>
            <w:pPr>
              <w:spacing w:beforeLines="20" w:before="48" w:afterLines="20" w:after="48"/>
              <w:rPr>
                <w:noProof/>
                <w:sz w:val="18"/>
              </w:rPr>
            </w:pPr>
            <w:r>
              <w:rPr>
                <w:noProof/>
                <w:sz w:val="18"/>
              </w:rPr>
              <w:t>Środki na zobowiązania</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Środki na płatności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sz w:val="22"/>
              </w:rPr>
            </w:pPr>
            <w:r>
              <w:rPr>
                <w:noProof/>
                <w:sz w:val="21"/>
              </w:rPr>
              <w:sym w:font="Wingdings" w:char="F09F"/>
            </w:r>
            <w:r>
              <w:rPr>
                <w:noProof/>
                <w:sz w:val="21"/>
              </w:rPr>
              <w:t xml:space="preserve">OGÓŁEM środki administracyjne finansowane ze środków przydzielonych na określone programy operacyjne </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sz w:val="22"/>
              </w:rPr>
            </w:pPr>
            <w:r>
              <w:rPr>
                <w:b/>
                <w:noProof/>
                <w:sz w:val="22"/>
              </w:rPr>
              <w:t xml:space="preserve">OGÓŁEM środki </w:t>
            </w:r>
            <w:r>
              <w:rPr>
                <w:noProof/>
                <w:sz w:val="22"/>
              </w:rPr>
              <w:br/>
            </w:r>
            <w:r>
              <w:rPr>
                <w:b/>
                <w:noProof/>
                <w:sz w:val="22"/>
              </w:rPr>
              <w:t>na DZIAŁY 1 do 4</w:t>
            </w:r>
            <w:r>
              <w:rPr>
                <w:noProof/>
                <w:sz w:val="22"/>
              </w:rPr>
              <w:br/>
              <w:t>wieloletnich ram finansowych</w:t>
            </w:r>
            <w:r>
              <w:rPr>
                <w:noProof/>
                <w:sz w:val="22"/>
              </w:rPr>
              <w:br/>
            </w:r>
            <w:r>
              <w:rPr>
                <w:noProof/>
                <w:sz w:val="20"/>
              </w:rPr>
              <w:t>(kwota referencyjna)</w:t>
            </w:r>
          </w:p>
        </w:tc>
        <w:tc>
          <w:tcPr>
            <w:tcW w:w="1440" w:type="dxa"/>
            <w:vAlign w:val="center"/>
          </w:tcPr>
          <w:p>
            <w:pPr>
              <w:rPr>
                <w:noProof/>
                <w:sz w:val="18"/>
              </w:rPr>
            </w:pPr>
            <w:r>
              <w:rPr>
                <w:noProof/>
                <w:sz w:val="18"/>
              </w:rPr>
              <w:t>Środki na zobowiązania</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Środki na płatności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Dział wieloletnich ram </w:t>
            </w:r>
            <w:r>
              <w:rPr>
                <w:noProof/>
                <w:sz w:val="22"/>
              </w:rPr>
              <w:br/>
            </w:r>
            <w:r>
              <w:rPr>
                <w:b/>
                <w:noProof/>
                <w:sz w:val="22"/>
              </w:rPr>
              <w:t xml:space="preserve">finansowych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„Wydatki administracyjne”</w:t>
            </w:r>
          </w:p>
        </w:tc>
      </w:tr>
    </w:tbl>
    <w:p>
      <w:pPr>
        <w:jc w:val="right"/>
        <w:rPr>
          <w:noProof/>
          <w:sz w:val="20"/>
        </w:rPr>
      </w:pPr>
      <w:r>
        <w:rPr>
          <w:noProof/>
          <w:sz w:val="20"/>
        </w:rPr>
        <w:t>w mln EUR (do trzech miejsc po przecinku)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1"/>
        <w:gridCol w:w="837"/>
        <w:gridCol w:w="13"/>
        <w:gridCol w:w="269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noProof/>
                <w:sz w:val="20"/>
              </w:rPr>
              <w:t>Rok</w:t>
            </w:r>
            <w:r>
              <w:rPr>
                <w:noProof/>
                <w:sz w:val="22"/>
              </w:rPr>
              <w:br/>
            </w:r>
            <w:r>
              <w:rPr>
                <w:b/>
                <w:noProof/>
                <w:sz w:val="20"/>
              </w:rPr>
              <w:t>2019</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noProof/>
                <w:sz w:val="20"/>
              </w:rPr>
              <w:t>Rok</w:t>
            </w:r>
            <w:r>
              <w:rPr>
                <w:noProof/>
                <w:sz w:val="22"/>
              </w:rPr>
              <w:br/>
            </w:r>
            <w:r>
              <w:rPr>
                <w:b/>
                <w:noProof/>
                <w:sz w:val="20"/>
              </w:rPr>
              <w:t>2020</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noProof/>
                <w:sz w:val="20"/>
              </w:rPr>
              <w:t>Rok</w:t>
            </w:r>
            <w:r>
              <w:rPr>
                <w:noProof/>
                <w:sz w:val="22"/>
              </w:rPr>
              <w:br/>
            </w: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tcPr>
          <w:p>
            <w:pPr>
              <w:spacing w:line="256" w:lineRule="auto"/>
              <w:jc w:val="center"/>
              <w:rPr>
                <w:noProof/>
                <w:sz w:val="20"/>
              </w:rPr>
            </w:pPr>
            <w:r>
              <w:rPr>
                <w:noProof/>
                <w:sz w:val="20"/>
              </w:rPr>
              <w:t>Rok</w:t>
            </w:r>
            <w:r>
              <w:rPr>
                <w:noProof/>
                <w:sz w:val="22"/>
              </w:rPr>
              <w:br/>
            </w:r>
            <w:r>
              <w:rPr>
                <w:b/>
                <w:noProof/>
                <w:sz w:val="20"/>
              </w:rPr>
              <w:t>2022</w:t>
            </w:r>
          </w:p>
        </w:tc>
        <w:tc>
          <w:tcPr>
            <w:tcW w:w="899"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b/>
                <w:noProof/>
                <w:sz w:val="20"/>
              </w:rPr>
            </w:pPr>
            <w:r>
              <w:rPr>
                <w:noProof/>
                <w:sz w:val="20"/>
              </w:rPr>
              <w:t xml:space="preserve">Rok </w:t>
            </w:r>
            <w:r>
              <w:rPr>
                <w:b/>
                <w:noProof/>
                <w:sz w:val="20"/>
              </w:rPr>
              <w:t>2023</w:t>
            </w:r>
          </w:p>
        </w:tc>
        <w:tc>
          <w:tcPr>
            <w:tcW w:w="850" w:type="dxa"/>
            <w:gridSpan w:val="2"/>
            <w:tcBorders>
              <w:top w:val="single" w:sz="4" w:space="0" w:color="auto"/>
              <w:left w:val="single" w:sz="4" w:space="0" w:color="auto"/>
              <w:bottom w:val="single" w:sz="4" w:space="0" w:color="auto"/>
              <w:right w:val="single" w:sz="4" w:space="0" w:color="auto"/>
            </w:tcBorders>
          </w:tcPr>
          <w:p>
            <w:pPr>
              <w:spacing w:line="256" w:lineRule="auto"/>
              <w:jc w:val="center"/>
              <w:rPr>
                <w:b/>
                <w:noProof/>
                <w:sz w:val="20"/>
              </w:rPr>
            </w:pPr>
            <w:r>
              <w:rPr>
                <w:noProof/>
                <w:sz w:val="20"/>
              </w:rPr>
              <w:t xml:space="preserve">Rok </w:t>
            </w:r>
            <w:r>
              <w:rPr>
                <w:b/>
                <w:noProof/>
                <w:sz w:val="20"/>
              </w:rPr>
              <w:t>2024</w:t>
            </w:r>
          </w:p>
        </w:tc>
        <w:tc>
          <w:tcPr>
            <w:tcW w:w="2693" w:type="dxa"/>
            <w:vAlign w:val="center"/>
          </w:tcPr>
          <w:p>
            <w:pPr>
              <w:jc w:val="center"/>
              <w:rPr>
                <w:b/>
                <w:noProof/>
                <w:sz w:val="20"/>
              </w:rPr>
            </w:pPr>
            <w:r>
              <w:rPr>
                <w:b/>
                <w:noProof/>
                <w:sz w:val="20"/>
              </w:rPr>
              <w:t>OGÓŁEM</w:t>
            </w:r>
          </w:p>
        </w:tc>
      </w:tr>
      <w:tr>
        <w:trPr>
          <w:gridAfter w:val="11"/>
          <w:wAfter w:w="10008" w:type="dxa"/>
        </w:trPr>
        <w:tc>
          <w:tcPr>
            <w:tcW w:w="3960" w:type="dxa"/>
            <w:vAlign w:val="center"/>
          </w:tcPr>
          <w:p>
            <w:pPr>
              <w:spacing w:before="60" w:after="60"/>
              <w:jc w:val="center"/>
              <w:rPr>
                <w:noProof/>
                <w:sz w:val="22"/>
              </w:rPr>
            </w:pPr>
            <w:r>
              <w:rPr>
                <w:noProof/>
                <w:sz w:val="22"/>
              </w:rPr>
              <w:t>DG: RTD</w:t>
            </w:r>
          </w:p>
        </w:tc>
      </w:tr>
      <w:tr>
        <w:trPr>
          <w:trHeight w:val="313"/>
        </w:trPr>
        <w:tc>
          <w:tcPr>
            <w:tcW w:w="6054" w:type="dxa"/>
            <w:gridSpan w:val="3"/>
            <w:vAlign w:val="center"/>
          </w:tcPr>
          <w:p>
            <w:pPr>
              <w:spacing w:before="20" w:after="20"/>
              <w:rPr>
                <w:noProof/>
                <w:sz w:val="22"/>
              </w:rPr>
            </w:pPr>
            <w:r>
              <w:rPr>
                <w:noProof/>
                <w:sz w:val="22"/>
              </w:rPr>
              <w:sym w:font="Wingdings" w:char="F09F"/>
            </w:r>
            <w:r>
              <w:rPr>
                <w:noProof/>
              </w:rPr>
              <w:t xml:space="preserve"> </w:t>
            </w:r>
            <w:r>
              <w:rPr>
                <w:noProof/>
                <w:sz w:val="22"/>
              </w:rPr>
              <w:t xml:space="preserve">Zasoby ludzkie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2706" w:type="dxa"/>
            <w:gridSpan w:val="2"/>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rPr>
              <w:t xml:space="preserve"> </w:t>
            </w:r>
            <w:r>
              <w:rPr>
                <w:noProof/>
                <w:sz w:val="22"/>
              </w:rPr>
              <w:t xml:space="preserve">Pozostałe wydatki administracyjne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gridSpan w:val="2"/>
            <w:vAlign w:val="center"/>
          </w:tcPr>
          <w:p>
            <w:pPr>
              <w:spacing w:before="20" w:after="20"/>
              <w:jc w:val="right"/>
              <w:rPr>
                <w:b/>
                <w:noProof/>
                <w:sz w:val="20"/>
              </w:rPr>
            </w:pPr>
          </w:p>
        </w:tc>
        <w:tc>
          <w:tcPr>
            <w:tcW w:w="2706" w:type="dxa"/>
            <w:gridSpan w:val="2"/>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OGÓŁEM DG RTD</w:t>
            </w:r>
          </w:p>
        </w:tc>
        <w:tc>
          <w:tcPr>
            <w:tcW w:w="2094" w:type="dxa"/>
            <w:gridSpan w:val="2"/>
            <w:vAlign w:val="center"/>
          </w:tcPr>
          <w:p>
            <w:pPr>
              <w:rPr>
                <w:noProof/>
                <w:sz w:val="14"/>
              </w:rPr>
            </w:pPr>
            <w:r>
              <w:rPr>
                <w:noProof/>
                <w:sz w:val="18"/>
              </w:rPr>
              <w:t xml:space="preserve">Środki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gridSpan w:val="2"/>
            <w:vAlign w:val="center"/>
          </w:tcPr>
          <w:p>
            <w:pPr>
              <w:spacing w:before="20" w:after="20"/>
              <w:jc w:val="right"/>
              <w:rPr>
                <w:noProof/>
                <w:sz w:val="20"/>
              </w:rPr>
            </w:pPr>
          </w:p>
        </w:tc>
        <w:tc>
          <w:tcPr>
            <w:tcW w:w="2706" w:type="dxa"/>
            <w:gridSpan w:val="2"/>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OGÓŁEM środki</w:t>
            </w:r>
            <w:r>
              <w:rPr>
                <w:noProof/>
                <w:sz w:val="22"/>
              </w:rPr>
              <w:br/>
            </w:r>
            <w:r>
              <w:rPr>
                <w:b/>
                <w:noProof/>
                <w:sz w:val="22"/>
              </w:rPr>
              <w:t>na DZIAŁ 5</w:t>
            </w:r>
            <w:r>
              <w:rPr>
                <w:noProof/>
                <w:sz w:val="22"/>
              </w:rPr>
              <w:br/>
              <w:t>wieloletnich ram finansowych</w:t>
            </w:r>
            <w:r>
              <w:rPr>
                <w:b/>
                <w:noProof/>
                <w:sz w:val="22"/>
              </w:rPr>
              <w:t xml:space="preserve"> </w:t>
            </w:r>
          </w:p>
        </w:tc>
        <w:tc>
          <w:tcPr>
            <w:tcW w:w="2094" w:type="dxa"/>
            <w:vAlign w:val="center"/>
          </w:tcPr>
          <w:p>
            <w:pPr>
              <w:spacing w:before="40" w:after="40"/>
              <w:rPr>
                <w:noProof/>
                <w:sz w:val="22"/>
              </w:rPr>
            </w:pPr>
            <w:r>
              <w:rPr>
                <w:noProof/>
                <w:sz w:val="18"/>
              </w:rPr>
              <w:t>(Środki na zobowiązania ogółem = środki na płatności ogółem)</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w mln EUR (do trzech miejsc po przecinku)</w:t>
      </w:r>
    </w:p>
    <w:tbl>
      <w:tblPr>
        <w:tblW w:w="139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99"/>
        <w:gridCol w:w="850"/>
        <w:gridCol w:w="2693"/>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sz w:val="22"/>
              </w:rPr>
              <w:br/>
            </w:r>
            <w:r>
              <w:rPr>
                <w:b/>
                <w:noProof/>
                <w:sz w:val="20"/>
              </w:rPr>
              <w:t>2019</w:t>
            </w:r>
            <w:r>
              <w:rPr>
                <w:rStyle w:val="FootnoteReference"/>
                <w:b/>
                <w:noProof/>
                <w:sz w:val="20"/>
              </w:rPr>
              <w:footnoteReference w:id="18"/>
            </w:r>
          </w:p>
        </w:tc>
        <w:tc>
          <w:tcPr>
            <w:tcW w:w="868" w:type="dxa"/>
            <w:vAlign w:val="center"/>
          </w:tcPr>
          <w:p>
            <w:pPr>
              <w:jc w:val="center"/>
              <w:rPr>
                <w:noProof/>
                <w:sz w:val="20"/>
              </w:rPr>
            </w:pPr>
            <w:r>
              <w:rPr>
                <w:noProof/>
                <w:sz w:val="20"/>
              </w:rPr>
              <w:t>Rok</w:t>
            </w:r>
            <w:r>
              <w:rPr>
                <w:noProof/>
                <w:sz w:val="22"/>
              </w:rPr>
              <w:br/>
            </w:r>
            <w:r>
              <w:rPr>
                <w:b/>
                <w:noProof/>
                <w:sz w:val="20"/>
              </w:rPr>
              <w:t>2020</w:t>
            </w:r>
          </w:p>
        </w:tc>
        <w:tc>
          <w:tcPr>
            <w:tcW w:w="868" w:type="dxa"/>
            <w:vAlign w:val="center"/>
          </w:tcPr>
          <w:p>
            <w:pPr>
              <w:jc w:val="center"/>
              <w:rPr>
                <w:noProof/>
                <w:sz w:val="20"/>
              </w:rPr>
            </w:pPr>
            <w:r>
              <w:rPr>
                <w:noProof/>
                <w:sz w:val="20"/>
              </w:rPr>
              <w:t>Rok</w:t>
            </w:r>
            <w:r>
              <w:rPr>
                <w:noProof/>
                <w:sz w:val="22"/>
              </w:rPr>
              <w:br/>
            </w:r>
            <w:r>
              <w:rPr>
                <w:b/>
                <w:noProof/>
                <w:sz w:val="20"/>
              </w:rPr>
              <w:t>2021</w:t>
            </w:r>
          </w:p>
        </w:tc>
        <w:tc>
          <w:tcPr>
            <w:tcW w:w="868" w:type="dxa"/>
            <w:vAlign w:val="center"/>
          </w:tcPr>
          <w:p>
            <w:pPr>
              <w:jc w:val="center"/>
              <w:rPr>
                <w:noProof/>
                <w:sz w:val="20"/>
              </w:rPr>
            </w:pPr>
            <w:r>
              <w:rPr>
                <w:noProof/>
                <w:sz w:val="20"/>
              </w:rPr>
              <w:t>Rok</w:t>
            </w:r>
            <w:r>
              <w:rPr>
                <w:noProof/>
                <w:sz w:val="22"/>
              </w:rPr>
              <w:br/>
            </w:r>
            <w:r>
              <w:rPr>
                <w:b/>
                <w:noProof/>
                <w:sz w:val="20"/>
              </w:rPr>
              <w:t>2022</w:t>
            </w:r>
          </w:p>
        </w:tc>
        <w:tc>
          <w:tcPr>
            <w:tcW w:w="899" w:type="dxa"/>
          </w:tcPr>
          <w:p>
            <w:pPr>
              <w:jc w:val="center"/>
              <w:rPr>
                <w:noProof/>
                <w:sz w:val="18"/>
              </w:rPr>
            </w:pPr>
            <w:r>
              <w:rPr>
                <w:noProof/>
                <w:sz w:val="20"/>
              </w:rPr>
              <w:t>Rok</w:t>
            </w:r>
            <w:r>
              <w:rPr>
                <w:noProof/>
                <w:sz w:val="22"/>
              </w:rPr>
              <w:br/>
            </w:r>
            <w:r>
              <w:rPr>
                <w:b/>
                <w:noProof/>
                <w:sz w:val="20"/>
              </w:rPr>
              <w:t>2023</w:t>
            </w:r>
          </w:p>
        </w:tc>
        <w:tc>
          <w:tcPr>
            <w:tcW w:w="850" w:type="dxa"/>
            <w:vAlign w:val="center"/>
          </w:tcPr>
          <w:p>
            <w:pPr>
              <w:jc w:val="center"/>
              <w:rPr>
                <w:b/>
                <w:noProof/>
                <w:sz w:val="18"/>
              </w:rPr>
            </w:pPr>
            <w:r>
              <w:rPr>
                <w:noProof/>
                <w:sz w:val="18"/>
              </w:rPr>
              <w:t xml:space="preserve">Rok </w:t>
            </w:r>
            <w:r>
              <w:rPr>
                <w:b/>
                <w:noProof/>
                <w:sz w:val="18"/>
              </w:rPr>
              <w:t>2024</w:t>
            </w:r>
          </w:p>
        </w:tc>
        <w:tc>
          <w:tcPr>
            <w:tcW w:w="2693" w:type="dxa"/>
            <w:vAlign w:val="center"/>
          </w:tcPr>
          <w:p>
            <w:pPr>
              <w:jc w:val="center"/>
              <w:rPr>
                <w:b/>
                <w:noProof/>
                <w:sz w:val="20"/>
              </w:rPr>
            </w:pPr>
            <w:r>
              <w:rPr>
                <w:b/>
                <w:noProof/>
                <w:sz w:val="20"/>
              </w:rPr>
              <w:t>OGÓŁEM</w:t>
            </w:r>
          </w:p>
        </w:tc>
      </w:tr>
      <w:tr>
        <w:tc>
          <w:tcPr>
            <w:tcW w:w="3960" w:type="dxa"/>
            <w:vMerge w:val="restart"/>
            <w:shd w:val="clear" w:color="auto" w:fill="C0C0C0"/>
            <w:vAlign w:val="center"/>
          </w:tcPr>
          <w:p>
            <w:pPr>
              <w:jc w:val="center"/>
              <w:rPr>
                <w:b/>
                <w:noProof/>
                <w:sz w:val="22"/>
              </w:rPr>
            </w:pPr>
            <w:r>
              <w:rPr>
                <w:b/>
                <w:noProof/>
                <w:sz w:val="22"/>
              </w:rPr>
              <w:t xml:space="preserve">OGÓŁEM środki </w:t>
            </w:r>
            <w:r>
              <w:rPr>
                <w:noProof/>
                <w:sz w:val="22"/>
              </w:rPr>
              <w:br/>
            </w:r>
            <w:r>
              <w:rPr>
                <w:b/>
                <w:noProof/>
                <w:sz w:val="22"/>
              </w:rPr>
              <w:t>na DZIAŁY 1 do 5</w:t>
            </w:r>
            <w:r>
              <w:rPr>
                <w:noProof/>
                <w:sz w:val="22"/>
              </w:rPr>
              <w:br/>
              <w:t>wieloletnich ram finansowych</w:t>
            </w:r>
            <w:r>
              <w:rPr>
                <w:b/>
                <w:noProof/>
                <w:sz w:val="22"/>
              </w:rPr>
              <w:t xml:space="preserve"> </w:t>
            </w:r>
          </w:p>
        </w:tc>
        <w:tc>
          <w:tcPr>
            <w:tcW w:w="2094" w:type="dxa"/>
            <w:gridSpan w:val="2"/>
            <w:vAlign w:val="center"/>
          </w:tcPr>
          <w:p>
            <w:pPr>
              <w:rPr>
                <w:noProof/>
                <w:sz w:val="14"/>
              </w:rPr>
            </w:pPr>
            <w:r>
              <w:rPr>
                <w:noProof/>
                <w:sz w:val="18"/>
              </w:rPr>
              <w:t>Środki na zobowiązania</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0,012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99"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0,060</w:t>
            </w:r>
          </w:p>
        </w:tc>
        <w:tc>
          <w:tcPr>
            <w:tcW w:w="2693"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0,360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Środki na płatności</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0,012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68"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99"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0,072</w:t>
            </w:r>
          </w:p>
        </w:tc>
        <w:tc>
          <w:tcPr>
            <w:tcW w:w="850"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0,060</w:t>
            </w:r>
          </w:p>
        </w:tc>
        <w:tc>
          <w:tcPr>
            <w:tcW w:w="2693" w:type="dxa"/>
            <w:tcBorders>
              <w:top w:val="single" w:sz="4" w:space="0" w:color="auto"/>
              <w:left w:val="single" w:sz="4" w:space="0" w:color="auto"/>
              <w:bottom w:val="single" w:sz="4" w:space="0" w:color="auto"/>
              <w:right w:val="single" w:sz="4" w:space="0" w:color="auto"/>
            </w:tcBorders>
            <w:vAlign w:val="center"/>
          </w:tcPr>
          <w:p>
            <w:pPr>
              <w:spacing w:before="60" w:after="60" w:line="256" w:lineRule="auto"/>
              <w:jc w:val="right"/>
              <w:rPr>
                <w:b/>
                <w:noProof/>
                <w:sz w:val="20"/>
              </w:rPr>
            </w:pPr>
            <w:r>
              <w:rPr>
                <w:b/>
                <w:noProof/>
                <w:sz w:val="20"/>
              </w:rPr>
              <w:t>0,360</w:t>
            </w:r>
          </w:p>
        </w:tc>
      </w:tr>
    </w:tbl>
    <w:p>
      <w:pPr>
        <w:rPr>
          <w:noProof/>
        </w:rPr>
        <w:sectPr>
          <w:headerReference w:type="default" r:id="rId14"/>
          <w:footerReference w:type="default" r:id="rId15"/>
          <w:headerReference w:type="first" r:id="rId16"/>
          <w:footerReference w:type="first" r:id="rId17"/>
          <w:footnotePr>
            <w:numRestart w:val="eachSect"/>
          </w:footnotePr>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Szacunkowy wpływ na środki operacyjne </w:t>
      </w:r>
    </w:p>
    <w:p>
      <w:pPr>
        <w:pStyle w:val="ListDash1"/>
        <w:rPr>
          <w:noProof/>
        </w:rPr>
      </w:pPr>
      <w:r>
        <w:rPr>
          <w:noProof/>
        </w:rPr>
        <w:sym w:font="Wingdings" w:char="F0FE"/>
      </w:r>
      <w:r>
        <w:rPr>
          <w:noProof/>
        </w:rPr>
        <w:tab/>
        <w:t xml:space="preserve">Wniosek/inicjatywa nie wiąże się z koniecznością wykorzystania środków operacyjnych </w:t>
      </w:r>
    </w:p>
    <w:p>
      <w:pPr>
        <w:jc w:val="right"/>
        <w:rPr>
          <w:noProof/>
          <w:sz w:val="20"/>
        </w:rPr>
      </w:pPr>
      <w:r>
        <w:rPr>
          <w:noProof/>
          <w:sz w:val="20"/>
        </w:rPr>
        <w:t>Środki na zobowiązania w mln EUR (do trzech miejsc po przecinku)</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Określić cele i produkty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Rok</w:t>
            </w:r>
            <w:r>
              <w:rPr>
                <w:noProof/>
                <w:sz w:val="22"/>
              </w:rPr>
              <w:br/>
            </w:r>
            <w:r>
              <w:rPr>
                <w:b/>
                <w:noProof/>
                <w:sz w:val="18"/>
              </w:rPr>
              <w:t>N</w:t>
            </w:r>
          </w:p>
        </w:tc>
        <w:tc>
          <w:tcPr>
            <w:tcW w:w="1260" w:type="dxa"/>
            <w:gridSpan w:val="2"/>
            <w:vAlign w:val="center"/>
          </w:tcPr>
          <w:p>
            <w:pPr>
              <w:ind w:right="-29"/>
              <w:jc w:val="center"/>
              <w:rPr>
                <w:noProof/>
                <w:sz w:val="18"/>
                <w:szCs w:val="18"/>
              </w:rPr>
            </w:pPr>
            <w:r>
              <w:rPr>
                <w:noProof/>
                <w:sz w:val="18"/>
              </w:rPr>
              <w:t>Rok</w:t>
            </w:r>
            <w:r>
              <w:rPr>
                <w:noProof/>
                <w:sz w:val="22"/>
              </w:rPr>
              <w:br/>
            </w:r>
            <w:r>
              <w:rPr>
                <w:b/>
                <w:noProof/>
                <w:sz w:val="18"/>
              </w:rPr>
              <w:t>N+1</w:t>
            </w:r>
          </w:p>
        </w:tc>
        <w:tc>
          <w:tcPr>
            <w:tcW w:w="1440" w:type="dxa"/>
            <w:gridSpan w:val="2"/>
            <w:vAlign w:val="center"/>
          </w:tcPr>
          <w:p>
            <w:pPr>
              <w:ind w:right="-29"/>
              <w:jc w:val="center"/>
              <w:rPr>
                <w:noProof/>
                <w:sz w:val="18"/>
                <w:szCs w:val="18"/>
              </w:rPr>
            </w:pPr>
            <w:r>
              <w:rPr>
                <w:noProof/>
                <w:sz w:val="18"/>
              </w:rPr>
              <w:t>Rok</w:t>
            </w:r>
            <w:r>
              <w:rPr>
                <w:noProof/>
                <w:sz w:val="22"/>
              </w:rPr>
              <w:br/>
            </w:r>
            <w:r>
              <w:rPr>
                <w:b/>
                <w:noProof/>
                <w:sz w:val="18"/>
              </w:rPr>
              <w:t>N+2</w:t>
            </w:r>
          </w:p>
        </w:tc>
        <w:tc>
          <w:tcPr>
            <w:tcW w:w="1620" w:type="dxa"/>
            <w:gridSpan w:val="3"/>
            <w:vAlign w:val="center"/>
          </w:tcPr>
          <w:p>
            <w:pPr>
              <w:ind w:right="-29"/>
              <w:jc w:val="center"/>
              <w:rPr>
                <w:noProof/>
                <w:sz w:val="18"/>
                <w:szCs w:val="18"/>
              </w:rPr>
            </w:pPr>
            <w:r>
              <w:rPr>
                <w:noProof/>
                <w:sz w:val="18"/>
              </w:rPr>
              <w:t>Rok</w:t>
            </w:r>
            <w:r>
              <w:rPr>
                <w:noProof/>
                <w:sz w:val="22"/>
              </w:rPr>
              <w:br/>
            </w:r>
            <w:r>
              <w:rPr>
                <w:b/>
                <w:noProof/>
                <w:sz w:val="18"/>
              </w:rPr>
              <w:t>N+3</w:t>
            </w:r>
          </w:p>
        </w:tc>
        <w:tc>
          <w:tcPr>
            <w:tcW w:w="3600" w:type="dxa"/>
            <w:gridSpan w:val="6"/>
            <w:vAlign w:val="center"/>
          </w:tcPr>
          <w:p>
            <w:pPr>
              <w:jc w:val="center"/>
              <w:rPr>
                <w:noProof/>
                <w:sz w:val="18"/>
                <w:szCs w:val="18"/>
              </w:rPr>
            </w:pPr>
            <w:r>
              <w:rPr>
                <w:noProof/>
                <w:sz w:val="18"/>
              </w:rPr>
              <w:t>Wprowadzić taką liczbę kolumn dla poszczególnych lat, jaka jest niezbędna, by odzwierciedlić cały okres wpływu (por. pkt 1.6)</w:t>
            </w:r>
          </w:p>
        </w:tc>
        <w:tc>
          <w:tcPr>
            <w:tcW w:w="1620" w:type="dxa"/>
            <w:gridSpan w:val="2"/>
            <w:tcBorders>
              <w:left w:val="nil"/>
              <w:bottom w:val="nil"/>
            </w:tcBorders>
            <w:vAlign w:val="center"/>
          </w:tcPr>
          <w:p>
            <w:pPr>
              <w:ind w:right="-29"/>
              <w:jc w:val="center"/>
              <w:rPr>
                <w:noProof/>
                <w:sz w:val="18"/>
                <w:szCs w:val="18"/>
              </w:rPr>
            </w:pPr>
            <w:r>
              <w:rPr>
                <w:b/>
                <w:noProof/>
                <w:sz w:val="18"/>
              </w:rPr>
              <w:t>OGÓŁEM</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PRODUKT</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Rodzaj</w:t>
            </w:r>
            <w:r>
              <w:rPr>
                <w:rStyle w:val="FootnoteReference"/>
                <w:noProof/>
                <w:sz w:val="18"/>
              </w:rPr>
              <w:footnoteReference w:id="19"/>
            </w:r>
          </w:p>
          <w:p>
            <w:pPr>
              <w:spacing w:before="0" w:after="0"/>
              <w:jc w:val="center"/>
              <w:rPr>
                <w:noProof/>
                <w:sz w:val="18"/>
                <w:szCs w:val="18"/>
              </w:rPr>
            </w:pPr>
          </w:p>
        </w:tc>
        <w:tc>
          <w:tcPr>
            <w:tcW w:w="701" w:type="dxa"/>
            <w:vAlign w:val="center"/>
          </w:tcPr>
          <w:p>
            <w:pPr>
              <w:jc w:val="center"/>
              <w:rPr>
                <w:noProof/>
                <w:sz w:val="18"/>
                <w:szCs w:val="18"/>
              </w:rPr>
            </w:pPr>
            <w:r>
              <w:rPr>
                <w:noProof/>
                <w:sz w:val="18"/>
              </w:rPr>
              <w:t>Średni koszt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648"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Liczba</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Koszt</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Liczba ogółem</w:t>
            </w:r>
          </w:p>
        </w:tc>
        <w:tc>
          <w:tcPr>
            <w:tcW w:w="900" w:type="dxa"/>
            <w:tcBorders>
              <w:left w:val="dashSmallGap" w:sz="4" w:space="0" w:color="auto"/>
            </w:tcBorders>
            <w:shd w:val="pct10" w:color="auto" w:fill="auto"/>
            <w:vAlign w:val="center"/>
          </w:tcPr>
          <w:p>
            <w:pPr>
              <w:jc w:val="center"/>
              <w:rPr>
                <w:noProof/>
                <w:sz w:val="18"/>
                <w:szCs w:val="18"/>
              </w:rPr>
            </w:pPr>
            <w:r>
              <w:rPr>
                <w:noProof/>
                <w:sz w:val="18"/>
              </w:rPr>
              <w:t>Koszt całkowity</w:t>
            </w:r>
          </w:p>
        </w:tc>
      </w:tr>
      <w:tr>
        <w:trPr>
          <w:jc w:val="center"/>
        </w:trPr>
        <w:tc>
          <w:tcPr>
            <w:tcW w:w="2844" w:type="dxa"/>
            <w:gridSpan w:val="3"/>
            <w:vAlign w:val="center"/>
          </w:tcPr>
          <w:p>
            <w:pPr>
              <w:spacing w:before="60" w:after="60"/>
              <w:ind w:right="-29"/>
              <w:jc w:val="center"/>
              <w:rPr>
                <w:noProof/>
                <w:sz w:val="18"/>
                <w:szCs w:val="18"/>
              </w:rPr>
            </w:pPr>
            <w:r>
              <w:rPr>
                <w:noProof/>
                <w:sz w:val="18"/>
              </w:rPr>
              <w:t>CEL SZCZEGÓŁOWY nr 1</w:t>
            </w:r>
            <w:r>
              <w:rPr>
                <w:rStyle w:val="FootnoteReference"/>
                <w:noProof/>
                <w:sz w:val="18"/>
              </w:rPr>
              <w:footnoteReference w:id="20"/>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Cel szczegółowy nr 1 – suma cząstkowa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CEL SZCZEGÓŁOWY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Produkt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Cel szczegółowy nr 2 – suma cząstkowa</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KOSZT OGÓŁEM</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footnotePr>
            <w:numRestart w:val="eachSect"/>
          </w:footnote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Szacunkowy wpływ na środki administracyjne</w:t>
      </w:r>
    </w:p>
    <w:p>
      <w:pPr>
        <w:pStyle w:val="ManualHeading4"/>
        <w:rPr>
          <w:noProof/>
        </w:rPr>
      </w:pPr>
      <w:r>
        <w:t>3.2.3.1.</w:t>
      </w:r>
      <w:r>
        <w:tab/>
      </w:r>
      <w:r>
        <w:rPr>
          <w:noProof/>
        </w:rPr>
        <w:t xml:space="preserve">Streszczenie </w:t>
      </w:r>
    </w:p>
    <w:p>
      <w:pPr>
        <w:pStyle w:val="ListDash1"/>
        <w:rPr>
          <w:noProof/>
        </w:rPr>
      </w:pPr>
      <w:r>
        <w:rPr>
          <w:noProof/>
        </w:rPr>
        <w:sym w:font="Wingdings" w:char="F0A8"/>
      </w:r>
      <w:r>
        <w:rPr>
          <w:noProof/>
        </w:rPr>
        <w:tab/>
        <w:t xml:space="preserve">Wniosek/inicjatywa nie wiąże się z koniecznością wykorzystania środków administracyjnych </w:t>
      </w:r>
    </w:p>
    <w:p>
      <w:pPr>
        <w:pStyle w:val="ListDash1"/>
        <w:rPr>
          <w:noProof/>
        </w:rPr>
      </w:pPr>
      <w:r>
        <w:rPr>
          <w:noProof/>
        </w:rPr>
        <w:sym w:font="Wingdings" w:char="F0FE"/>
      </w:r>
      <w:r>
        <w:rPr>
          <w:noProof/>
        </w:rPr>
        <w:tab/>
        <w:t>Wniosek/inicjatywa wiąże się z koniecznością wykorzystania środków administracyjnych, jak określono poniżej:</w:t>
      </w:r>
    </w:p>
    <w:p>
      <w:pPr>
        <w:rPr>
          <w:noProof/>
          <w:sz w:val="20"/>
        </w:rPr>
      </w:pPr>
      <w:r>
        <w:rPr>
          <w:noProof/>
          <w:sz w:val="20"/>
        </w:rPr>
        <w:t>w mln EUR (do trzech miejsc po przecinku)</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65"/>
        <w:gridCol w:w="1066"/>
        <w:gridCol w:w="1066"/>
        <w:gridCol w:w="1066"/>
        <w:gridCol w:w="1066"/>
        <w:gridCol w:w="1066"/>
        <w:gridCol w:w="2245"/>
      </w:tblGrid>
      <w:tr>
        <w:trPr>
          <w:trHeight w:val="585"/>
        </w:trPr>
        <w:tc>
          <w:tcPr>
            <w:tcW w:w="1980" w:type="dxa"/>
          </w:tcPr>
          <w:p>
            <w:pPr>
              <w:spacing w:before="60" w:after="60" w:line="200" w:lineRule="exact"/>
              <w:rPr>
                <w:noProof/>
                <w:sz w:val="16"/>
                <w:szCs w:val="16"/>
              </w:rPr>
            </w:pPr>
          </w:p>
        </w:tc>
        <w:tc>
          <w:tcPr>
            <w:tcW w:w="106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Rok</w:t>
            </w:r>
            <w:r>
              <w:rPr>
                <w:noProof/>
                <w:sz w:val="22"/>
              </w:rPr>
              <w:br/>
            </w:r>
            <w:r>
              <w:rPr>
                <w:b/>
                <w:noProof/>
                <w:sz w:val="16"/>
              </w:rPr>
              <w:t>2019</w:t>
            </w:r>
            <w:r>
              <w:rPr>
                <w:rStyle w:val="FootnoteReference"/>
                <w:b/>
                <w:noProof/>
                <w:sz w:val="16"/>
              </w:rPr>
              <w:footnoteReference w:id="21"/>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Rok</w:t>
            </w:r>
            <w:r>
              <w:rPr>
                <w:noProof/>
                <w:sz w:val="22"/>
              </w:rPr>
              <w:br/>
            </w:r>
            <w:r>
              <w:rPr>
                <w:b/>
                <w:noProof/>
                <w:sz w:val="16"/>
              </w:rPr>
              <w:t>2020</w:t>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Rok</w:t>
            </w:r>
            <w:r>
              <w:rPr>
                <w:noProof/>
                <w:sz w:val="22"/>
              </w:rPr>
              <w:br/>
            </w:r>
            <w:r>
              <w:rPr>
                <w:b/>
                <w:noProof/>
                <w:sz w:val="16"/>
              </w:rPr>
              <w:t>2021</w:t>
            </w:r>
          </w:p>
        </w:tc>
        <w:tc>
          <w:tcPr>
            <w:tcW w:w="1066"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noProof/>
                <w:sz w:val="16"/>
                <w:szCs w:val="16"/>
              </w:rPr>
            </w:pPr>
            <w:r>
              <w:rPr>
                <w:noProof/>
                <w:sz w:val="16"/>
              </w:rPr>
              <w:t>Rok</w:t>
            </w:r>
            <w:r>
              <w:rPr>
                <w:noProof/>
                <w:sz w:val="22"/>
              </w:rPr>
              <w:br/>
            </w:r>
            <w:r>
              <w:rPr>
                <w:b/>
                <w:noProof/>
                <w:sz w:val="16"/>
              </w:rPr>
              <w:t>2022</w:t>
            </w:r>
          </w:p>
        </w:tc>
        <w:tc>
          <w:tcPr>
            <w:tcW w:w="1066" w:type="dxa"/>
            <w:tcBorders>
              <w:top w:val="single" w:sz="2" w:space="0" w:color="auto"/>
              <w:left w:val="single" w:sz="2" w:space="0" w:color="auto"/>
              <w:bottom w:val="single" w:sz="2" w:space="0" w:color="auto"/>
              <w:right w:val="single" w:sz="2" w:space="0" w:color="auto"/>
            </w:tcBorders>
          </w:tcPr>
          <w:p>
            <w:pPr>
              <w:spacing w:before="60" w:after="60" w:line="200" w:lineRule="exact"/>
              <w:jc w:val="center"/>
              <w:rPr>
                <w:b/>
                <w:noProof/>
                <w:sz w:val="16"/>
              </w:rPr>
            </w:pPr>
            <w:r>
              <w:rPr>
                <w:noProof/>
                <w:sz w:val="16"/>
              </w:rPr>
              <w:t>Rok</w:t>
            </w:r>
            <w:r>
              <w:rPr>
                <w:noProof/>
                <w:sz w:val="22"/>
              </w:rPr>
              <w:br/>
            </w:r>
            <w:r>
              <w:rPr>
                <w:b/>
                <w:noProof/>
                <w:sz w:val="16"/>
              </w:rPr>
              <w:t>2023</w:t>
            </w:r>
          </w:p>
        </w:tc>
        <w:tc>
          <w:tcPr>
            <w:tcW w:w="1066" w:type="dxa"/>
            <w:tcBorders>
              <w:top w:val="single" w:sz="2" w:space="0" w:color="auto"/>
              <w:left w:val="single" w:sz="2" w:space="0" w:color="auto"/>
              <w:bottom w:val="single" w:sz="2" w:space="0" w:color="auto"/>
              <w:right w:val="single" w:sz="2" w:space="0" w:color="auto"/>
            </w:tcBorders>
          </w:tcPr>
          <w:p>
            <w:pPr>
              <w:spacing w:before="60" w:after="60" w:line="200" w:lineRule="exact"/>
              <w:jc w:val="center"/>
              <w:rPr>
                <w:b/>
                <w:noProof/>
                <w:sz w:val="16"/>
              </w:rPr>
            </w:pPr>
            <w:r>
              <w:rPr>
                <w:noProof/>
                <w:sz w:val="16"/>
              </w:rPr>
              <w:t>Rok</w:t>
            </w:r>
            <w:r>
              <w:rPr>
                <w:noProof/>
                <w:sz w:val="22"/>
              </w:rPr>
              <w:br/>
            </w:r>
            <w:r>
              <w:rPr>
                <w:b/>
                <w:noProof/>
                <w:sz w:val="16"/>
              </w:rPr>
              <w:t>2024</w:t>
            </w:r>
          </w:p>
        </w:tc>
        <w:tc>
          <w:tcPr>
            <w:tcW w:w="2245"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center"/>
              <w:rPr>
                <w:b/>
                <w:noProof/>
                <w:sz w:val="16"/>
                <w:szCs w:val="16"/>
              </w:rPr>
            </w:pPr>
            <w:r>
              <w:rPr>
                <w:b/>
                <w:noProof/>
                <w:sz w:val="16"/>
              </w:rPr>
              <w:t>OGÓŁEM</w:t>
            </w:r>
          </w:p>
        </w:tc>
      </w:tr>
    </w:tbl>
    <w:p>
      <w:pPr>
        <w:spacing w:line="200" w:lineRule="exact"/>
        <w:rPr>
          <w:noProof/>
          <w:sz w:val="16"/>
          <w:szCs w:val="16"/>
        </w:rPr>
      </w:pPr>
    </w:p>
    <w:tbl>
      <w:tblPr>
        <w:tblW w:w="10643"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65"/>
        <w:gridCol w:w="1066"/>
        <w:gridCol w:w="1066"/>
        <w:gridCol w:w="1066"/>
        <w:gridCol w:w="1066"/>
        <w:gridCol w:w="1066"/>
        <w:gridCol w:w="2268"/>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DZIAŁ 5 wieloletnich ram finansowych</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Pozostałe wydatki administracyjne </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Suma cząstkowa DZIAŁU 5 wieloletnich ram finansowych</w:t>
            </w:r>
          </w:p>
        </w:tc>
        <w:tc>
          <w:tcPr>
            <w:tcW w:w="1065"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1066" w:type="dxa"/>
            <w:vAlign w:val="center"/>
          </w:tcPr>
          <w:p>
            <w:pPr>
              <w:spacing w:before="60" w:after="60" w:line="200" w:lineRule="exact"/>
              <w:jc w:val="right"/>
              <w:rPr>
                <w:noProof/>
                <w:sz w:val="16"/>
                <w:szCs w:val="16"/>
              </w:rPr>
            </w:pPr>
          </w:p>
        </w:tc>
        <w:tc>
          <w:tcPr>
            <w:tcW w:w="2268"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43"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2183"/>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Poza DZIAŁEM 5</w:t>
            </w:r>
            <w:r>
              <w:rPr>
                <w:rStyle w:val="FootnoteReference"/>
                <w:b/>
                <w:noProof/>
                <w:sz w:val="16"/>
              </w:rPr>
              <w:footnoteReference w:id="22"/>
            </w:r>
            <w:r>
              <w:rPr>
                <w:b/>
                <w:noProof/>
                <w:sz w:val="16"/>
              </w:rPr>
              <w:t>wieloletnich ram finansowych</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2183"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Zasoby ludzkie </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lang w:val="pl-PL"/>
              </w:rPr>
            </w:pPr>
            <w:r>
              <w:rPr>
                <w:b/>
                <w:bCs/>
                <w:noProof/>
                <w:sz w:val="20"/>
                <w:szCs w:val="20"/>
                <w:lang w:val="pl-PL"/>
              </w:rPr>
              <w:t>0,010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lang w:val="pl-PL"/>
              </w:rPr>
            </w:pPr>
            <w:r>
              <w:rPr>
                <w:b/>
                <w:bCs/>
                <w:noProof/>
                <w:sz w:val="20"/>
                <w:szCs w:val="20"/>
                <w:lang w:val="pl-PL"/>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lang w:val="pl-PL"/>
              </w:rPr>
            </w:pPr>
            <w:r>
              <w:rPr>
                <w:b/>
                <w:bCs/>
                <w:noProof/>
                <w:sz w:val="20"/>
                <w:szCs w:val="20"/>
                <w:lang w:val="pl-PL"/>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bCs/>
                <w:noProof/>
                <w:sz w:val="20"/>
                <w:szCs w:val="20"/>
                <w:lang w:val="pl-PL"/>
              </w:rPr>
            </w:pPr>
            <w:r>
              <w:rPr>
                <w:b/>
                <w:bCs/>
                <w:noProof/>
                <w:sz w:val="20"/>
                <w:szCs w:val="20"/>
                <w:lang w:val="pl-PL"/>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lang w:val="pl-PL"/>
              </w:rPr>
            </w:pPr>
            <w:r>
              <w:rPr>
                <w:b/>
                <w:noProof/>
                <w:sz w:val="20"/>
                <w:szCs w:val="20"/>
                <w:lang w:val="pl-PL"/>
              </w:rPr>
              <w:t>0,060</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lang w:val="pl-PL"/>
              </w:rPr>
            </w:pPr>
            <w:r>
              <w:rPr>
                <w:b/>
                <w:noProof/>
                <w:sz w:val="20"/>
                <w:szCs w:val="20"/>
                <w:lang w:val="pl-PL"/>
              </w:rPr>
              <w:t>0,050</w:t>
            </w:r>
          </w:p>
        </w:tc>
        <w:tc>
          <w:tcPr>
            <w:tcW w:w="2183"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lang w:val="pl-PL"/>
              </w:rPr>
            </w:pPr>
            <w:r>
              <w:rPr>
                <w:b/>
                <w:noProof/>
                <w:sz w:val="20"/>
                <w:szCs w:val="20"/>
                <w:lang w:val="pl-PL"/>
              </w:rPr>
              <w:t>0,300</w:t>
            </w:r>
          </w:p>
        </w:tc>
      </w:tr>
      <w:tr>
        <w:trPr>
          <w:trHeight w:val="585"/>
        </w:trPr>
        <w:tc>
          <w:tcPr>
            <w:tcW w:w="1980" w:type="dxa"/>
            <w:vAlign w:val="center"/>
          </w:tcPr>
          <w:p>
            <w:pPr>
              <w:spacing w:before="60" w:after="60" w:line="200" w:lineRule="exact"/>
              <w:ind w:left="72"/>
              <w:jc w:val="left"/>
              <w:rPr>
                <w:noProof/>
                <w:sz w:val="16"/>
                <w:szCs w:val="16"/>
              </w:rPr>
            </w:pPr>
            <w:r>
              <w:rPr>
                <w:noProof/>
                <w:sz w:val="16"/>
              </w:rPr>
              <w:t>Pozostałe wydatki</w:t>
            </w:r>
            <w:r>
              <w:rPr>
                <w:noProof/>
                <w:sz w:val="22"/>
              </w:rPr>
              <w:br/>
            </w:r>
            <w:r>
              <w:rPr>
                <w:noProof/>
                <w:sz w:val="16"/>
              </w:rPr>
              <w:t>administracyjne</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0,002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0,012</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r>
              <w:rPr>
                <w:b/>
                <w:noProof/>
                <w:sz w:val="20"/>
              </w:rPr>
              <w:t>0,010</w:t>
            </w:r>
          </w:p>
        </w:tc>
        <w:tc>
          <w:tcPr>
            <w:tcW w:w="2183"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r>
              <w:rPr>
                <w:b/>
                <w:noProof/>
                <w:sz w:val="20"/>
              </w:rPr>
              <w:t>0,060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Suma cząstkowa</w:t>
            </w:r>
            <w:r>
              <w:rPr>
                <w:noProof/>
                <w:sz w:val="22"/>
              </w:rPr>
              <w:br/>
            </w:r>
            <w:r>
              <w:rPr>
                <w:b/>
                <w:noProof/>
                <w:sz w:val="16"/>
              </w:rPr>
              <w:t>Poza DZIAŁEM 5</w:t>
            </w:r>
            <w:r>
              <w:rPr>
                <w:noProof/>
                <w:sz w:val="22"/>
              </w:rPr>
              <w:br/>
            </w:r>
            <w:r>
              <w:rPr>
                <w:b/>
                <w:noProof/>
                <w:sz w:val="16"/>
              </w:rPr>
              <w:t xml:space="preserve">wieloletnich ram finansowych </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lang w:val="pl-PL"/>
              </w:rPr>
            </w:pPr>
            <w:r>
              <w:rPr>
                <w:b/>
                <w:noProof/>
                <w:sz w:val="20"/>
                <w:lang w:val="pl-PL"/>
              </w:rPr>
              <w:t>0,012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lang w:val="pl-PL"/>
              </w:rPr>
            </w:pPr>
            <w:r>
              <w:rPr>
                <w:b/>
                <w:noProof/>
                <w:sz w:val="20"/>
                <w:lang w:val="pl-PL"/>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noProof/>
                <w:sz w:val="20"/>
                <w:szCs w:val="20"/>
                <w:lang w:val="pl-PL"/>
              </w:rPr>
            </w:pPr>
            <w:r>
              <w:rPr>
                <w:b/>
                <w:noProof/>
                <w:sz w:val="20"/>
                <w:lang w:val="pl-PL"/>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bCs/>
                <w:noProof/>
                <w:sz w:val="20"/>
                <w:szCs w:val="20"/>
                <w:lang w:val="pl-PL"/>
              </w:rPr>
            </w:pPr>
            <w:r>
              <w:rPr>
                <w:b/>
                <w:noProof/>
                <w:sz w:val="20"/>
                <w:lang w:val="pl-PL"/>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lang w:val="pl-PL"/>
              </w:rPr>
            </w:pPr>
            <w:r>
              <w:rPr>
                <w:b/>
                <w:noProof/>
                <w:sz w:val="20"/>
                <w:lang w:val="pl-PL"/>
              </w:rPr>
              <w:t>0,072</w:t>
            </w:r>
          </w:p>
        </w:tc>
        <w:tc>
          <w:tcPr>
            <w:tcW w:w="1080"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lang w:val="pl-PL"/>
              </w:rPr>
            </w:pPr>
            <w:r>
              <w:rPr>
                <w:b/>
                <w:noProof/>
                <w:sz w:val="20"/>
                <w:lang w:val="pl-PL"/>
              </w:rPr>
              <w:t>0,060</w:t>
            </w:r>
          </w:p>
        </w:tc>
        <w:tc>
          <w:tcPr>
            <w:tcW w:w="2183" w:type="dxa"/>
            <w:tcBorders>
              <w:top w:val="single" w:sz="2" w:space="0" w:color="auto"/>
              <w:left w:val="single" w:sz="2" w:space="0" w:color="auto"/>
              <w:bottom w:val="single" w:sz="2" w:space="0" w:color="auto"/>
              <w:right w:val="single" w:sz="2" w:space="0" w:color="auto"/>
            </w:tcBorders>
            <w:vAlign w:val="center"/>
          </w:tcPr>
          <w:p>
            <w:pPr>
              <w:pStyle w:val="Default"/>
              <w:spacing w:line="256" w:lineRule="auto"/>
              <w:jc w:val="right"/>
              <w:rPr>
                <w:b/>
                <w:noProof/>
                <w:sz w:val="20"/>
                <w:szCs w:val="20"/>
                <w:lang w:val="pl-PL"/>
              </w:rPr>
            </w:pPr>
            <w:r>
              <w:rPr>
                <w:b/>
                <w:noProof/>
                <w:sz w:val="20"/>
                <w:lang w:val="pl-PL"/>
              </w:rPr>
              <w:t>0,360</w:t>
            </w:r>
          </w:p>
        </w:tc>
      </w:tr>
    </w:tbl>
    <w:p>
      <w:pPr>
        <w:spacing w:line="200" w:lineRule="exact"/>
        <w:rPr>
          <w:noProof/>
          <w:sz w:val="16"/>
          <w:szCs w:val="16"/>
        </w:rPr>
      </w:pPr>
    </w:p>
    <w:tbl>
      <w:tblPr>
        <w:tblW w:w="10643"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2183"/>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OGÓŁEM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0,012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0,072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rPr>
            </w:pPr>
            <w:r>
              <w:rPr>
                <w:b/>
                <w:noProof/>
                <w:sz w:val="20"/>
              </w:rPr>
              <w:t>0,060</w:t>
            </w:r>
          </w:p>
        </w:tc>
        <w:tc>
          <w:tcPr>
            <w:tcW w:w="2183" w:type="dxa"/>
            <w:tcBorders>
              <w:top w:val="single" w:sz="12" w:space="0" w:color="auto"/>
              <w:left w:val="single" w:sz="2" w:space="0" w:color="auto"/>
              <w:bottom w:val="single" w:sz="12" w:space="0" w:color="auto"/>
              <w:right w:val="single" w:sz="2" w:space="0" w:color="auto"/>
            </w:tcBorders>
            <w:vAlign w:val="center"/>
          </w:tcPr>
          <w:p>
            <w:pPr>
              <w:spacing w:before="60" w:after="60" w:line="256" w:lineRule="auto"/>
              <w:jc w:val="right"/>
              <w:rPr>
                <w:b/>
                <w:noProof/>
                <w:sz w:val="20"/>
                <w:highlight w:val="yellow"/>
              </w:rPr>
            </w:pPr>
            <w:r>
              <w:rPr>
                <w:b/>
                <w:noProof/>
                <w:sz w:val="20"/>
              </w:rPr>
              <w:t>0,360</w:t>
            </w:r>
          </w:p>
        </w:tc>
      </w:tr>
    </w:tbl>
    <w:p>
      <w:pPr>
        <w:rPr>
          <w:noProof/>
          <w:sz w:val="18"/>
        </w:rPr>
        <w:sectPr>
          <w:headerReference w:type="default" r:id="rId18"/>
          <w:footerReference w:type="default" r:id="rId19"/>
          <w:headerReference w:type="first" r:id="rId20"/>
          <w:footerReference w:type="first" r:id="rId21"/>
          <w:footnotePr>
            <w:numRestart w:val="eachSect"/>
          </w:footnotePr>
          <w:pgSz w:w="11907" w:h="16840"/>
          <w:pgMar w:top="1134" w:right="1418" w:bottom="1134" w:left="1418" w:header="709" w:footer="709" w:gutter="0"/>
          <w:cols w:space="708"/>
          <w:docGrid w:linePitch="360"/>
        </w:sectPr>
      </w:pPr>
      <w:r>
        <w:rPr>
          <w:noProof/>
          <w:sz w:val="18"/>
        </w:rPr>
        <w:t>Potrzeby w zakresie środków na zasoby ludzkie i inne wydatki o charakterze administracyjnym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pStyle w:val="ManualHeading4"/>
        <w:rPr>
          <w:bCs/>
          <w:noProof/>
          <w:szCs w:val="24"/>
        </w:rPr>
      </w:pPr>
      <w:r>
        <w:t>3.2.3.2.</w:t>
      </w:r>
      <w:r>
        <w:tab/>
      </w:r>
      <w:r>
        <w:rPr>
          <w:noProof/>
        </w:rPr>
        <w:t>Szacowane zapotrzebowanie na zasoby ludzkie</w:t>
      </w:r>
    </w:p>
    <w:p>
      <w:pPr>
        <w:pStyle w:val="ListDash1"/>
        <w:rPr>
          <w:noProof/>
        </w:rPr>
      </w:pPr>
      <w:r>
        <w:rPr>
          <w:noProof/>
        </w:rPr>
        <w:sym w:font="Wingdings" w:char="F0A8"/>
      </w:r>
      <w:r>
        <w:rPr>
          <w:noProof/>
        </w:rPr>
        <w:tab/>
        <w:t xml:space="preserve">Wniosek/inicjatywa nie wiąże się z koniecznością wykorzystania zasobów ludzkich. </w:t>
      </w:r>
    </w:p>
    <w:p>
      <w:pPr>
        <w:pStyle w:val="ListDash1"/>
        <w:rPr>
          <w:noProof/>
        </w:rPr>
      </w:pPr>
      <w:r>
        <w:rPr>
          <w:noProof/>
        </w:rPr>
        <w:sym w:font="Wingdings" w:char="F0FE"/>
      </w:r>
      <w:r>
        <w:rPr>
          <w:noProof/>
        </w:rPr>
        <w:tab/>
        <w:t>Wniosek/inicjatywa wiąże się z koniecznością wykorzystania zasobów ludzkich, jak określono poniżej:</w:t>
      </w:r>
    </w:p>
    <w:p>
      <w:pPr>
        <w:spacing w:after="60"/>
        <w:jc w:val="right"/>
        <w:rPr>
          <w:i/>
          <w:noProof/>
          <w:sz w:val="20"/>
        </w:rPr>
      </w:pPr>
      <w:r>
        <w:rPr>
          <w:i/>
          <w:noProof/>
          <w:sz w:val="20"/>
        </w:rPr>
        <w:t>Wartości szacunkowe należy wyrazić w ekwiwalentach pełnego czasu pracy</w:t>
      </w:r>
    </w:p>
    <w:tbl>
      <w:tblPr>
        <w:tblW w:w="46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36"/>
        <w:gridCol w:w="2175"/>
        <w:gridCol w:w="575"/>
        <w:gridCol w:w="811"/>
        <w:gridCol w:w="813"/>
        <w:gridCol w:w="694"/>
        <w:gridCol w:w="609"/>
        <w:gridCol w:w="297"/>
        <w:gridCol w:w="927"/>
      </w:tblGrid>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tcPr>
          <w:p>
            <w:pPr>
              <w:spacing w:before="40" w:after="40" w:line="256" w:lineRule="auto"/>
              <w:jc w:val="center"/>
              <w:rPr>
                <w:i/>
                <w:noProof/>
                <w:sz w:val="16"/>
                <w:szCs w:val="16"/>
              </w:rPr>
            </w:pPr>
          </w:p>
        </w:tc>
        <w:tc>
          <w:tcPr>
            <w:tcW w:w="346"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16"/>
              </w:rPr>
              <w:t>Rok</w:t>
            </w:r>
            <w:r>
              <w:rPr>
                <w:noProof/>
                <w:sz w:val="22"/>
              </w:rPr>
              <w:br/>
            </w:r>
            <w:r>
              <w:rPr>
                <w:b/>
                <w:noProof/>
                <w:sz w:val="16"/>
              </w:rPr>
              <w:t>2019</w:t>
            </w:r>
          </w:p>
        </w:tc>
        <w:tc>
          <w:tcPr>
            <w:tcW w:w="483"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16"/>
              </w:rPr>
              <w:t>Rok</w:t>
            </w:r>
            <w:r>
              <w:rPr>
                <w:noProof/>
                <w:sz w:val="22"/>
              </w:rPr>
              <w:br/>
            </w:r>
            <w:r>
              <w:rPr>
                <w:b/>
                <w:noProof/>
                <w:sz w:val="16"/>
              </w:rPr>
              <w:t>2020</w:t>
            </w:r>
          </w:p>
        </w:tc>
        <w:tc>
          <w:tcPr>
            <w:tcW w:w="484"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16"/>
                <w:szCs w:val="16"/>
              </w:rPr>
              <w:t>Rok</w:t>
            </w:r>
          </w:p>
          <w:p>
            <w:pPr>
              <w:spacing w:before="20" w:after="20" w:line="256" w:lineRule="auto"/>
              <w:jc w:val="center"/>
              <w:rPr>
                <w:noProof/>
                <w:sz w:val="16"/>
                <w:szCs w:val="16"/>
              </w:rPr>
            </w:pPr>
            <w:r>
              <w:rPr>
                <w:b/>
                <w:noProof/>
                <w:sz w:val="16"/>
                <w:szCs w:val="16"/>
              </w:rPr>
              <w:t>2021</w:t>
            </w:r>
          </w:p>
        </w:tc>
        <w:tc>
          <w:tcPr>
            <w:tcW w:w="415"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16"/>
                <w:szCs w:val="16"/>
              </w:rPr>
              <w:t>Rok</w:t>
            </w:r>
          </w:p>
          <w:p>
            <w:pPr>
              <w:spacing w:before="20" w:after="20" w:line="256" w:lineRule="auto"/>
              <w:jc w:val="center"/>
              <w:rPr>
                <w:noProof/>
                <w:sz w:val="16"/>
                <w:szCs w:val="16"/>
              </w:rPr>
            </w:pPr>
            <w:r>
              <w:rPr>
                <w:b/>
                <w:noProof/>
                <w:sz w:val="16"/>
                <w:szCs w:val="16"/>
              </w:rPr>
              <w:t>2022</w:t>
            </w:r>
          </w:p>
        </w:tc>
        <w:tc>
          <w:tcPr>
            <w:tcW w:w="551" w:type="pct"/>
            <w:gridSpan w:val="2"/>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16"/>
                <w:szCs w:val="16"/>
              </w:rPr>
              <w:t>Rok</w:t>
            </w:r>
          </w:p>
          <w:p>
            <w:pPr>
              <w:spacing w:line="256" w:lineRule="auto"/>
              <w:jc w:val="center"/>
              <w:rPr>
                <w:b/>
                <w:noProof/>
                <w:sz w:val="16"/>
              </w:rPr>
            </w:pPr>
            <w:r>
              <w:rPr>
                <w:b/>
                <w:noProof/>
                <w:sz w:val="16"/>
                <w:szCs w:val="16"/>
              </w:rPr>
              <w:t>2023</w:t>
            </w:r>
          </w:p>
        </w:tc>
        <w:tc>
          <w:tcPr>
            <w:tcW w:w="551" w:type="pct"/>
            <w:tcBorders>
              <w:top w:val="single" w:sz="6" w:space="0" w:color="auto"/>
              <w:left w:val="single" w:sz="6" w:space="0" w:color="auto"/>
              <w:bottom w:val="single" w:sz="6" w:space="0" w:color="auto"/>
              <w:right w:val="single" w:sz="6" w:space="0" w:color="auto"/>
            </w:tcBorders>
            <w:vAlign w:val="center"/>
            <w:hideMark/>
          </w:tcPr>
          <w:p>
            <w:pPr>
              <w:spacing w:before="20" w:after="20" w:line="256" w:lineRule="auto"/>
              <w:jc w:val="center"/>
              <w:rPr>
                <w:noProof/>
                <w:sz w:val="16"/>
                <w:szCs w:val="16"/>
              </w:rPr>
            </w:pPr>
            <w:r>
              <w:rPr>
                <w:noProof/>
                <w:sz w:val="16"/>
                <w:szCs w:val="16"/>
              </w:rPr>
              <w:t>Rok</w:t>
            </w:r>
          </w:p>
          <w:p>
            <w:pPr>
              <w:spacing w:line="256" w:lineRule="auto"/>
              <w:jc w:val="center"/>
              <w:rPr>
                <w:b/>
                <w:noProof/>
                <w:sz w:val="16"/>
                <w:szCs w:val="16"/>
              </w:rPr>
            </w:pPr>
            <w:r>
              <w:rPr>
                <w:b/>
                <w:noProof/>
                <w:sz w:val="16"/>
                <w:szCs w:val="16"/>
              </w:rPr>
              <w:t>2024</w:t>
            </w:r>
          </w:p>
        </w:tc>
      </w:tr>
      <w:tr>
        <w:trPr>
          <w:trHeight w:val="289"/>
          <w:jc w:val="center"/>
        </w:trPr>
        <w:tc>
          <w:tcPr>
            <w:tcW w:w="3483" w:type="pct"/>
            <w:gridSpan w:val="5"/>
            <w:tcBorders>
              <w:top w:val="single" w:sz="6" w:space="0" w:color="auto"/>
              <w:left w:val="single" w:sz="6" w:space="0" w:color="auto"/>
              <w:bottom w:val="single" w:sz="6" w:space="0" w:color="auto"/>
              <w:right w:val="single" w:sz="6" w:space="0" w:color="auto"/>
            </w:tcBorders>
            <w:hideMark/>
          </w:tcPr>
          <w:p>
            <w:pPr>
              <w:spacing w:before="20" w:after="20" w:line="256" w:lineRule="auto"/>
              <w:rPr>
                <w:noProof/>
                <w:sz w:val="16"/>
                <w:szCs w:val="16"/>
              </w:rPr>
            </w:pPr>
            <w:r>
              <w:rPr>
                <w:b/>
                <w:noProof/>
                <w:sz w:val="16"/>
              </w:rPr>
              <w:sym w:font="Wingdings" w:char="F09F"/>
            </w:r>
            <w:r>
              <w:rPr>
                <w:noProof/>
              </w:rPr>
              <w:tab/>
            </w:r>
            <w:r>
              <w:rPr>
                <w:b/>
                <w:noProof/>
                <w:sz w:val="16"/>
              </w:rPr>
              <w:t>Stanowiska przewidziane w planie zatrudnienia (stanowiska urzędników i pracowników zatrudnionych na czas określony)</w:t>
            </w:r>
          </w:p>
        </w:tc>
        <w:tc>
          <w:tcPr>
            <w:tcW w:w="415" w:type="pct"/>
            <w:tcBorders>
              <w:top w:val="single" w:sz="6" w:space="0" w:color="auto"/>
              <w:left w:val="single" w:sz="6" w:space="0" w:color="auto"/>
              <w:bottom w:val="single" w:sz="6" w:space="0" w:color="auto"/>
              <w:right w:val="single" w:sz="6" w:space="0" w:color="auto"/>
            </w:tcBorders>
            <w:vAlign w:val="center"/>
          </w:tcPr>
          <w:p>
            <w:pPr>
              <w:spacing w:before="20" w:after="20"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line="256" w:lineRule="auto"/>
              <w:jc w:val="center"/>
              <w:rPr>
                <w:noProof/>
                <w:sz w:val="16"/>
                <w:szCs w:val="16"/>
              </w:rPr>
            </w:pP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b/>
                <w:noProof/>
                <w:sz w:val="16"/>
                <w:szCs w:val="16"/>
              </w:rPr>
            </w:pPr>
            <w:r>
              <w:rPr>
                <w:noProof/>
                <w:sz w:val="16"/>
              </w:rPr>
              <w:t>XX 01 01 01 (w centrali i w biurach przedstawicielstw Komisji)</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XX 01 01 02 (w delegaturach)</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08 01 05 01 (pośrednie badania naukowe)</w:t>
            </w:r>
          </w:p>
        </w:tc>
        <w:tc>
          <w:tcPr>
            <w:tcW w:w="34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0,1</w:t>
            </w:r>
          </w:p>
        </w:tc>
        <w:tc>
          <w:tcPr>
            <w:tcW w:w="48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48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415"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0,5</w:t>
            </w:r>
          </w:p>
        </w:tc>
        <w:tc>
          <w:tcPr>
            <w:tcW w:w="551" w:type="pct"/>
            <w:gridSpan w:val="2"/>
            <w:tcBorders>
              <w:top w:val="single" w:sz="6" w:space="0" w:color="auto"/>
              <w:left w:val="single" w:sz="6" w:space="0" w:color="auto"/>
              <w:bottom w:val="single" w:sz="6" w:space="0" w:color="auto"/>
              <w:right w:val="single" w:sz="6" w:space="0" w:color="auto"/>
            </w:tcBorders>
            <w:hideMark/>
          </w:tcPr>
          <w:p>
            <w:pPr>
              <w:spacing w:beforeLines="20" w:before="48" w:afterLines="20" w:after="48" w:line="256" w:lineRule="auto"/>
              <w:jc w:val="center"/>
              <w:rPr>
                <w:noProof/>
                <w:sz w:val="16"/>
                <w:szCs w:val="16"/>
              </w:rPr>
            </w:pPr>
            <w:r>
              <w:rPr>
                <w:noProof/>
                <w:sz w:val="16"/>
                <w:szCs w:val="16"/>
              </w:rPr>
              <w:t>0,5</w:t>
            </w:r>
          </w:p>
        </w:tc>
        <w:tc>
          <w:tcPr>
            <w:tcW w:w="551"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noProof/>
                <w:sz w:val="16"/>
                <w:szCs w:val="16"/>
              </w:rPr>
            </w:pPr>
            <w:r>
              <w:rPr>
                <w:noProof/>
                <w:sz w:val="16"/>
                <w:szCs w:val="16"/>
              </w:rPr>
              <w:t>0,4</w:t>
            </w: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10 01 05 01 (bezpośrednie badania naukowe)</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gridAfter w:val="2"/>
          <w:wAfter w:w="736" w:type="pct"/>
          <w:trHeight w:val="248"/>
          <w:jc w:val="center"/>
        </w:trPr>
        <w:tc>
          <w:tcPr>
            <w:tcW w:w="3483" w:type="pct"/>
            <w:gridSpan w:val="5"/>
            <w:tcBorders>
              <w:top w:val="single" w:sz="6" w:space="0" w:color="auto"/>
              <w:left w:val="single" w:sz="6" w:space="0" w:color="auto"/>
              <w:bottom w:val="single" w:sz="6" w:space="0" w:color="auto"/>
              <w:right w:val="single" w:sz="6" w:space="0" w:color="auto"/>
            </w:tcBorders>
            <w:vAlign w:val="center"/>
          </w:tcPr>
          <w:p>
            <w:pPr>
              <w:spacing w:before="60" w:after="60" w:line="256" w:lineRule="auto"/>
              <w:jc w:val="left"/>
              <w:rPr>
                <w:b/>
                <w:noProof/>
                <w:sz w:val="16"/>
                <w:szCs w:val="16"/>
              </w:rPr>
            </w:pPr>
            <w:r>
              <w:rPr>
                <w:b/>
                <w:noProof/>
                <w:sz w:val="16"/>
              </w:rPr>
              <w:sym w:font="Wingdings" w:char="F09F"/>
            </w:r>
            <w:r>
              <w:rPr>
                <w:noProof/>
              </w:rPr>
              <w:t xml:space="preserve"> </w:t>
            </w:r>
            <w:r>
              <w:rPr>
                <w:b/>
                <w:noProof/>
                <w:sz w:val="16"/>
              </w:rPr>
              <w:t>Personel zewnętrzny (w ekwiwalentach pełnego czasu pracy: EPC)</w:t>
            </w:r>
            <w:r>
              <w:rPr>
                <w:rStyle w:val="FootnoteReference"/>
                <w:noProof/>
              </w:rPr>
              <w:footnoteReference w:id="23"/>
            </w:r>
          </w:p>
          <w:p>
            <w:pPr>
              <w:spacing w:before="0" w:after="0" w:line="256" w:lineRule="auto"/>
              <w:jc w:val="left"/>
              <w:rPr>
                <w:noProof/>
                <w:sz w:val="16"/>
                <w:szCs w:val="16"/>
              </w:rPr>
            </w:pPr>
          </w:p>
        </w:tc>
        <w:tc>
          <w:tcPr>
            <w:tcW w:w="781" w:type="pct"/>
            <w:gridSpan w:val="2"/>
            <w:tcBorders>
              <w:top w:val="single" w:sz="6" w:space="0" w:color="auto"/>
              <w:left w:val="single" w:sz="6" w:space="0" w:color="auto"/>
              <w:bottom w:val="single" w:sz="6" w:space="0" w:color="auto"/>
              <w:right w:val="single" w:sz="6" w:space="0" w:color="auto"/>
            </w:tcBorders>
          </w:tcPr>
          <w:p>
            <w:pPr>
              <w:spacing w:before="60" w:after="60" w:line="256" w:lineRule="auto"/>
              <w:jc w:val="left"/>
              <w:rPr>
                <w:b/>
                <w:noProof/>
                <w:sz w:val="16"/>
              </w:rPr>
            </w:pP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b/>
                <w:noProof/>
                <w:sz w:val="16"/>
                <w:szCs w:val="16"/>
              </w:rPr>
            </w:pPr>
            <w:r>
              <w:rPr>
                <w:noProof/>
                <w:sz w:val="16"/>
              </w:rPr>
              <w:t>XX 01 02 01 (CA, SNE, INT z globalnej koperty finansowej)</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noProof/>
                <w:sz w:val="16"/>
              </w:rPr>
              <w:t>XX 01 02 02 (CA, LA, SNE, INT i JED w delegaturach)</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1019" w:type="pct"/>
            <w:vMerge w:val="restar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986"/>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rPr>
              <w:t xml:space="preserve"> </w:t>
            </w:r>
            <w:r>
              <w:rPr>
                <w:rStyle w:val="FootnoteReference"/>
                <w:noProof/>
              </w:rPr>
              <w:footnoteReference w:id="24"/>
            </w:r>
          </w:p>
          <w:p>
            <w:pPr>
              <w:spacing w:beforeLines="20" w:before="48" w:afterLines="20" w:after="48" w:line="256" w:lineRule="auto"/>
              <w:ind w:left="986"/>
              <w:jc w:val="left"/>
              <w:rPr>
                <w:b/>
                <w:noProof/>
                <w:sz w:val="16"/>
                <w:szCs w:val="16"/>
              </w:rPr>
            </w:pPr>
          </w:p>
        </w:tc>
        <w:tc>
          <w:tcPr>
            <w:tcW w:w="11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986"/>
              <w:jc w:val="left"/>
              <w:rPr>
                <w:b/>
                <w:noProof/>
                <w:sz w:val="16"/>
                <w:szCs w:val="16"/>
              </w:rPr>
            </w:pPr>
            <w:r>
              <w:rPr>
                <w:noProof/>
                <w:sz w:val="16"/>
              </w:rPr>
              <w:t>- w centrali</w:t>
            </w:r>
          </w:p>
          <w:p>
            <w:pPr>
              <w:spacing w:beforeLines="20" w:before="48" w:afterLines="20" w:after="48" w:line="256" w:lineRule="auto"/>
              <w:ind w:left="986"/>
              <w:jc w:val="left"/>
              <w:rPr>
                <w:b/>
                <w:noProof/>
                <w:sz w:val="16"/>
                <w:szCs w:val="16"/>
              </w:rPr>
            </w:pP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850"/>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line="256" w:lineRule="auto"/>
              <w:jc w:val="left"/>
              <w:rPr>
                <w:b/>
                <w:noProof/>
                <w:sz w:val="16"/>
                <w:szCs w:val="16"/>
              </w:rPr>
            </w:pPr>
          </w:p>
        </w:tc>
        <w:tc>
          <w:tcPr>
            <w:tcW w:w="1151"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b/>
                <w:noProof/>
                <w:sz w:val="16"/>
                <w:szCs w:val="16"/>
              </w:rPr>
            </w:pPr>
            <w:r>
              <w:rPr>
                <w:noProof/>
                <w:sz w:val="16"/>
              </w:rPr>
              <w:t xml:space="preserve">- w delegaturach </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ind w:left="850"/>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b/>
                <w:noProof/>
                <w:sz w:val="16"/>
                <w:szCs w:val="16"/>
              </w:rPr>
              <w:t>XX</w:t>
            </w:r>
            <w:r>
              <w:rPr>
                <w:noProof/>
                <w:sz w:val="16"/>
                <w:szCs w:val="16"/>
              </w:rPr>
              <w:t xml:space="preserve"> 01 05 02 (CA, SNE, INT – pośrednie badania naukowe)</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71" w:type="pct"/>
            <w:gridSpan w:val="2"/>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noProof/>
                <w:sz w:val="16"/>
              </w:rPr>
              <w:t>10 01 05 02 (CA, SNE, INT – bezpośrednie badania naukowe)</w:t>
            </w:r>
          </w:p>
        </w:tc>
        <w:tc>
          <w:tcPr>
            <w:tcW w:w="34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single" w:sz="6"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71" w:type="pct"/>
            <w:gridSpan w:val="2"/>
            <w:tcBorders>
              <w:top w:val="single" w:sz="6" w:space="0" w:color="auto"/>
              <w:left w:val="single" w:sz="6" w:space="0" w:color="auto"/>
              <w:bottom w:val="double" w:sz="4" w:space="0" w:color="auto"/>
              <w:right w:val="single" w:sz="6" w:space="0" w:color="auto"/>
            </w:tcBorders>
            <w:vAlign w:val="center"/>
            <w:hideMark/>
          </w:tcPr>
          <w:p>
            <w:pPr>
              <w:spacing w:beforeLines="20" w:before="48" w:afterLines="20" w:after="48" w:line="256" w:lineRule="auto"/>
              <w:ind w:left="984"/>
              <w:jc w:val="left"/>
              <w:rPr>
                <w:noProof/>
                <w:sz w:val="16"/>
                <w:szCs w:val="16"/>
              </w:rPr>
            </w:pPr>
            <w:r>
              <w:rPr>
                <w:noProof/>
                <w:sz w:val="16"/>
              </w:rPr>
              <w:t>Inna linia budżetowa (określić)</w:t>
            </w:r>
          </w:p>
        </w:tc>
        <w:tc>
          <w:tcPr>
            <w:tcW w:w="34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8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8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415"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c>
          <w:tcPr>
            <w:tcW w:w="551" w:type="pct"/>
            <w:gridSpan w:val="2"/>
            <w:tcBorders>
              <w:top w:val="single" w:sz="6" w:space="0" w:color="auto"/>
              <w:left w:val="single" w:sz="6" w:space="0" w:color="auto"/>
              <w:bottom w:val="double" w:sz="4" w:space="0" w:color="auto"/>
              <w:right w:val="single" w:sz="6" w:space="0" w:color="auto"/>
            </w:tcBorders>
          </w:tcPr>
          <w:p>
            <w:pPr>
              <w:spacing w:beforeLines="20" w:before="48" w:afterLines="20" w:after="48" w:line="256" w:lineRule="auto"/>
              <w:jc w:val="center"/>
              <w:rPr>
                <w:noProof/>
                <w:sz w:val="16"/>
                <w:szCs w:val="16"/>
              </w:rPr>
            </w:pPr>
          </w:p>
        </w:tc>
        <w:tc>
          <w:tcPr>
            <w:tcW w:w="551"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line="256" w:lineRule="auto"/>
              <w:jc w:val="center"/>
              <w:rPr>
                <w:noProof/>
                <w:sz w:val="16"/>
                <w:szCs w:val="16"/>
              </w:rPr>
            </w:pPr>
          </w:p>
        </w:tc>
      </w:tr>
      <w:tr>
        <w:trPr>
          <w:trHeight w:val="289"/>
          <w:jc w:val="center"/>
        </w:trPr>
        <w:tc>
          <w:tcPr>
            <w:tcW w:w="2171" w:type="pct"/>
            <w:gridSpan w:val="2"/>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ind w:left="986"/>
              <w:jc w:val="left"/>
              <w:rPr>
                <w:noProof/>
                <w:sz w:val="16"/>
                <w:szCs w:val="16"/>
              </w:rPr>
            </w:pPr>
            <w:r>
              <w:rPr>
                <w:b/>
                <w:noProof/>
                <w:sz w:val="16"/>
              </w:rPr>
              <w:t>OGÓŁEM</w:t>
            </w:r>
          </w:p>
        </w:tc>
        <w:tc>
          <w:tcPr>
            <w:tcW w:w="346"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0,1</w:t>
            </w:r>
          </w:p>
        </w:tc>
        <w:tc>
          <w:tcPr>
            <w:tcW w:w="483"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484"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415"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0,5</w:t>
            </w:r>
          </w:p>
        </w:tc>
        <w:tc>
          <w:tcPr>
            <w:tcW w:w="551" w:type="pct"/>
            <w:gridSpan w:val="2"/>
            <w:tcBorders>
              <w:top w:val="double" w:sz="4" w:space="0" w:color="auto"/>
              <w:left w:val="single" w:sz="6" w:space="0" w:color="auto"/>
              <w:bottom w:val="single" w:sz="6" w:space="0" w:color="auto"/>
              <w:right w:val="single" w:sz="6" w:space="0" w:color="auto"/>
            </w:tcBorders>
            <w:hideMark/>
          </w:tcPr>
          <w:p>
            <w:pPr>
              <w:spacing w:beforeLines="20" w:before="48" w:afterLines="20" w:after="48" w:line="256" w:lineRule="auto"/>
              <w:jc w:val="center"/>
              <w:rPr>
                <w:b/>
                <w:noProof/>
                <w:sz w:val="16"/>
                <w:szCs w:val="16"/>
              </w:rPr>
            </w:pPr>
            <w:r>
              <w:rPr>
                <w:noProof/>
                <w:sz w:val="16"/>
                <w:szCs w:val="16"/>
              </w:rPr>
              <w:t>0,5</w:t>
            </w:r>
          </w:p>
        </w:tc>
        <w:tc>
          <w:tcPr>
            <w:tcW w:w="551" w:type="pct"/>
            <w:tcBorders>
              <w:top w:val="double" w:sz="4" w:space="0" w:color="auto"/>
              <w:left w:val="single" w:sz="6" w:space="0" w:color="auto"/>
              <w:bottom w:val="single" w:sz="6" w:space="0" w:color="auto"/>
              <w:right w:val="single" w:sz="6" w:space="0" w:color="auto"/>
            </w:tcBorders>
            <w:vAlign w:val="center"/>
            <w:hideMark/>
          </w:tcPr>
          <w:p>
            <w:pPr>
              <w:spacing w:beforeLines="20" w:before="48" w:afterLines="20" w:after="48" w:line="256" w:lineRule="auto"/>
              <w:jc w:val="center"/>
              <w:rPr>
                <w:b/>
                <w:noProof/>
                <w:sz w:val="16"/>
                <w:szCs w:val="16"/>
              </w:rPr>
            </w:pPr>
            <w:r>
              <w:rPr>
                <w:noProof/>
                <w:sz w:val="16"/>
                <w:szCs w:val="16"/>
              </w:rPr>
              <w:t>0,4</w:t>
            </w:r>
          </w:p>
        </w:tc>
      </w:tr>
    </w:tbl>
    <w:p>
      <w:pPr>
        <w:pStyle w:val="Text1"/>
        <w:spacing w:before="60" w:after="60"/>
        <w:ind w:left="851"/>
        <w:rPr>
          <w:noProof/>
          <w:sz w:val="18"/>
          <w:szCs w:val="18"/>
        </w:rPr>
      </w:pPr>
      <w:r>
        <w:rPr>
          <w:b/>
          <w:noProof/>
          <w:sz w:val="18"/>
          <w:szCs w:val="18"/>
        </w:rPr>
        <w:t>XX</w:t>
      </w:r>
      <w:r>
        <w:rPr>
          <w:noProof/>
          <w:sz w:val="18"/>
          <w:szCs w:val="18"/>
        </w:rPr>
        <w:t xml:space="preserve"> oznacza odpowiednią dziedzinę polityki lub odpowiedni tytuł w budżecie.</w:t>
      </w:r>
    </w:p>
    <w:p>
      <w:pPr>
        <w:pStyle w:val="Text1"/>
        <w:rPr>
          <w:noProof/>
          <w:sz w:val="18"/>
          <w:szCs w:val="18"/>
        </w:rPr>
      </w:pPr>
      <w:r>
        <w:rPr>
          <w:noProof/>
          <w:sz w:val="18"/>
        </w:rPr>
        <w:t>Potrzeby w zakresie zasobów ludzkich zostaną pokryte z zasobów DG już przydzielonych na zarządzanie tym działaniem lub przesuniętych w ramach dyrekcji generalnej, uzupełnionych w razie potrzeby wszelkimi dodatkowymi zasobami, które mogą zostać przydzielone zarządzającej dyrekcji generalnej w ramach procedury rocznego przydziału środków oraz w świetle istniejących ograniczeń budżetowych.</w:t>
      </w:r>
    </w:p>
    <w:p>
      <w:pPr>
        <w:rPr>
          <w:noProof/>
          <w:sz w:val="20"/>
        </w:rPr>
      </w:pPr>
      <w:r>
        <w:rPr>
          <w:noProof/>
          <w:sz w:val="20"/>
        </w:rPr>
        <w:t>Opis zadań do wykonania: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Urzędnicy i pracownicy zatrudnieni na czas określony</w:t>
            </w:r>
          </w:p>
        </w:tc>
        <w:tc>
          <w:tcPr>
            <w:tcW w:w="7200" w:type="dxa"/>
          </w:tcPr>
          <w:p>
            <w:pPr>
              <w:spacing w:line="256" w:lineRule="auto"/>
              <w:rPr>
                <w:noProof/>
                <w:sz w:val="20"/>
              </w:rPr>
            </w:pPr>
            <w:r>
              <w:rPr>
                <w:noProof/>
                <w:sz w:val="20"/>
              </w:rPr>
              <w:t>Przygotowanie i prowadzenie posiedzeń Wspólnego Komitetu ustanowionego na mocy art. 6 lit. a) Umowy, jak również działania następcze wynikające z funkcjonowania i wykonania Umowy.</w:t>
            </w:r>
          </w:p>
          <w:p>
            <w:pPr>
              <w:rPr>
                <w:noProof/>
                <w:sz w:val="20"/>
              </w:rPr>
            </w:pPr>
            <w:r>
              <w:rPr>
                <w:noProof/>
                <w:sz w:val="20"/>
              </w:rPr>
              <w:t>Obliczeń dokonuje się proporcjonalnie, biorąc pod uwagę czas trwania Umowy.</w:t>
            </w:r>
          </w:p>
        </w:tc>
      </w:tr>
      <w:tr>
        <w:tc>
          <w:tcPr>
            <w:tcW w:w="3240" w:type="dxa"/>
          </w:tcPr>
          <w:p>
            <w:pPr>
              <w:spacing w:before="60" w:after="60"/>
              <w:rPr>
                <w:noProof/>
                <w:sz w:val="20"/>
              </w:rPr>
            </w:pPr>
            <w:r>
              <w:rPr>
                <w:noProof/>
                <w:sz w:val="20"/>
              </w:rPr>
              <w:t>Personel zewnętrzny</w:t>
            </w:r>
          </w:p>
        </w:tc>
        <w:tc>
          <w:tcPr>
            <w:tcW w:w="7200" w:type="dxa"/>
          </w:tcPr>
          <w:p>
            <w:pPr>
              <w:rPr>
                <w:noProof/>
                <w:sz w:val="20"/>
              </w:rPr>
            </w:pPr>
          </w:p>
        </w:tc>
      </w:tr>
    </w:tbl>
    <w:p>
      <w:pPr>
        <w:rPr>
          <w:noProof/>
        </w:rPr>
        <w:sectPr>
          <w:footnotePr>
            <w:numRestart w:val="eachSect"/>
          </w:footnote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Zgodność z obowiązującymi wieloletnimi ramami finansowymi </w:t>
      </w:r>
    </w:p>
    <w:p>
      <w:pPr>
        <w:pStyle w:val="ListDash1"/>
        <w:rPr>
          <w:noProof/>
        </w:rPr>
      </w:pPr>
      <w:r>
        <w:rPr>
          <w:noProof/>
        </w:rPr>
        <w:sym w:font="Wingdings" w:char="F0FE"/>
      </w:r>
      <w:r>
        <w:rPr>
          <w:noProof/>
        </w:rPr>
        <w:tab/>
        <w:t>Wniosek/inicjatywa jest zgodny(-a) z obowiązującymi wieloletnimi ramami finansowymi.</w:t>
      </w:r>
    </w:p>
    <w:p>
      <w:pPr>
        <w:pStyle w:val="Text1"/>
        <w:pBdr>
          <w:top w:val="single" w:sz="4" w:space="1" w:color="auto"/>
          <w:left w:val="single" w:sz="4" w:space="4" w:color="auto"/>
          <w:bottom w:val="single" w:sz="4" w:space="1" w:color="auto"/>
          <w:right w:val="single" w:sz="4" w:space="4" w:color="auto"/>
        </w:pBdr>
        <w:rPr>
          <w:noProof/>
        </w:rPr>
      </w:pPr>
      <w:r>
        <w:rPr>
          <w:noProof/>
          <w:sz w:val="20"/>
        </w:rPr>
        <w:t>Wieloletnie ramy finansowe na lata 2021–2027 nie zostały jeszcze przyjęte przez Parlament Europejski i Radę.</w:t>
      </w:r>
    </w:p>
    <w:p>
      <w:pPr>
        <w:pStyle w:val="ManualHeading3"/>
        <w:rPr>
          <w:bCs/>
          <w:noProof/>
          <w:szCs w:val="24"/>
        </w:rPr>
      </w:pPr>
      <w:r>
        <w:t>3.2.5.</w:t>
      </w:r>
      <w:r>
        <w:tab/>
      </w:r>
      <w:r>
        <w:rPr>
          <w:noProof/>
        </w:rPr>
        <w:t xml:space="preserve">Udział osób trzecich w finansowaniu </w:t>
      </w:r>
    </w:p>
    <w:p>
      <w:pPr>
        <w:pStyle w:val="ListDash1"/>
        <w:rPr>
          <w:noProof/>
        </w:rPr>
      </w:pPr>
      <w:r>
        <w:rPr>
          <w:noProof/>
        </w:rPr>
        <w:t xml:space="preserve">Wniosek/inicjatywa nie przewiduje współfinansowania ze strony osób trzecich </w:t>
      </w:r>
    </w:p>
    <w:p>
      <w:pPr>
        <w:pStyle w:val="ListDash1"/>
        <w:rPr>
          <w:noProof/>
        </w:rPr>
      </w:pPr>
    </w:p>
    <w:p>
      <w:pPr>
        <w:jc w:val="right"/>
        <w:rPr>
          <w:noProof/>
          <w:sz w:val="20"/>
        </w:rPr>
      </w:pPr>
      <w:r>
        <w:rPr>
          <w:noProof/>
          <w:sz w:val="20"/>
        </w:rPr>
        <w:t>Środki w mln EUR (do trzech miejsc po przecinku)</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sz w:val="22"/>
              </w:rPr>
              <w:br/>
            </w:r>
            <w:r>
              <w:rPr>
                <w:b/>
                <w:noProof/>
                <w:sz w:val="20"/>
              </w:rPr>
              <w:t>N</w:t>
            </w:r>
          </w:p>
        </w:tc>
        <w:tc>
          <w:tcPr>
            <w:tcW w:w="964" w:type="dxa"/>
            <w:vAlign w:val="center"/>
          </w:tcPr>
          <w:p>
            <w:pPr>
              <w:jc w:val="center"/>
              <w:rPr>
                <w:noProof/>
                <w:sz w:val="20"/>
              </w:rPr>
            </w:pPr>
            <w:r>
              <w:rPr>
                <w:noProof/>
                <w:sz w:val="20"/>
              </w:rPr>
              <w:t>Rok</w:t>
            </w:r>
            <w:r>
              <w:rPr>
                <w:noProof/>
                <w:sz w:val="22"/>
              </w:rPr>
              <w:br/>
            </w:r>
            <w:r>
              <w:rPr>
                <w:b/>
                <w:noProof/>
                <w:sz w:val="20"/>
              </w:rPr>
              <w:t>N+1</w:t>
            </w:r>
          </w:p>
        </w:tc>
        <w:tc>
          <w:tcPr>
            <w:tcW w:w="964" w:type="dxa"/>
            <w:vAlign w:val="center"/>
          </w:tcPr>
          <w:p>
            <w:pPr>
              <w:jc w:val="center"/>
              <w:rPr>
                <w:noProof/>
                <w:sz w:val="20"/>
              </w:rPr>
            </w:pPr>
            <w:r>
              <w:rPr>
                <w:noProof/>
                <w:sz w:val="20"/>
              </w:rPr>
              <w:t>Rok</w:t>
            </w:r>
            <w:r>
              <w:rPr>
                <w:noProof/>
                <w:sz w:val="22"/>
              </w:rPr>
              <w:br/>
            </w:r>
            <w:r>
              <w:rPr>
                <w:b/>
                <w:noProof/>
                <w:sz w:val="20"/>
              </w:rPr>
              <w:t>N+2</w:t>
            </w:r>
          </w:p>
        </w:tc>
        <w:tc>
          <w:tcPr>
            <w:tcW w:w="964" w:type="dxa"/>
            <w:vAlign w:val="center"/>
          </w:tcPr>
          <w:p>
            <w:pPr>
              <w:jc w:val="center"/>
              <w:rPr>
                <w:noProof/>
                <w:sz w:val="20"/>
              </w:rPr>
            </w:pPr>
            <w:r>
              <w:rPr>
                <w:noProof/>
                <w:sz w:val="20"/>
              </w:rPr>
              <w:t>Rok</w:t>
            </w:r>
            <w:r>
              <w:rPr>
                <w:noProof/>
                <w:sz w:val="22"/>
              </w:rPr>
              <w:br/>
            </w:r>
            <w:r>
              <w:rPr>
                <w:b/>
                <w:noProof/>
                <w:sz w:val="20"/>
              </w:rPr>
              <w:t>N+3</w:t>
            </w:r>
          </w:p>
        </w:tc>
        <w:tc>
          <w:tcPr>
            <w:tcW w:w="2892" w:type="dxa"/>
            <w:gridSpan w:val="3"/>
            <w:vAlign w:val="center"/>
          </w:tcPr>
          <w:p>
            <w:pPr>
              <w:jc w:val="center"/>
              <w:rPr>
                <w:b/>
                <w:noProof/>
                <w:sz w:val="20"/>
              </w:rPr>
            </w:pPr>
            <w:r>
              <w:rPr>
                <w:noProof/>
                <w:sz w:val="20"/>
              </w:rPr>
              <w:t>Wprowadzić taką liczbę kolumn dla poszczególnych lat, jaka jest niezbędna, by odzwierciedlić cały okres wpływu (por. pkt 1.6)</w:t>
            </w:r>
          </w:p>
        </w:tc>
        <w:tc>
          <w:tcPr>
            <w:tcW w:w="1158" w:type="dxa"/>
            <w:vAlign w:val="center"/>
          </w:tcPr>
          <w:p>
            <w:pPr>
              <w:spacing w:before="60" w:after="60"/>
              <w:jc w:val="center"/>
              <w:rPr>
                <w:noProof/>
                <w:sz w:val="20"/>
              </w:rPr>
            </w:pPr>
            <w:r>
              <w:rPr>
                <w:noProof/>
                <w:sz w:val="20"/>
              </w:rPr>
              <w:t>Ogółem</w:t>
            </w:r>
          </w:p>
        </w:tc>
      </w:tr>
      <w:tr>
        <w:trPr>
          <w:cantSplit/>
        </w:trPr>
        <w:tc>
          <w:tcPr>
            <w:tcW w:w="2340" w:type="dxa"/>
          </w:tcPr>
          <w:p>
            <w:pPr>
              <w:rPr>
                <w:noProof/>
                <w:sz w:val="22"/>
              </w:rPr>
            </w:pPr>
            <w:r>
              <w:rPr>
                <w:noProof/>
                <w:sz w:val="20"/>
              </w:rPr>
              <w:t>Określić organ współfinansujący</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OGÓŁEM środki objęte współfinansowaniem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Szacunkowy wpływ na dochody </w:t>
      </w:r>
    </w:p>
    <w:p>
      <w:pPr>
        <w:pStyle w:val="ListDash1"/>
        <w:rPr>
          <w:noProof/>
        </w:rPr>
      </w:pPr>
      <w:r>
        <w:rPr>
          <w:noProof/>
        </w:rPr>
        <w:sym w:font="Wingdings" w:char="F0FE"/>
      </w:r>
      <w:r>
        <w:rPr>
          <w:noProof/>
        </w:rPr>
        <w:tab/>
        <w:t>Wniosek/inicjatywa nie ma wpływu finansowego na dochody.</w:t>
      </w:r>
    </w:p>
    <w:p>
      <w:pPr>
        <w:pStyle w:val="ListDash1"/>
        <w:rPr>
          <w:noProof/>
        </w:rPr>
      </w:pPr>
      <w:r>
        <w:rPr>
          <w:noProof/>
        </w:rPr>
        <w:sym w:font="Wingdings" w:char="F0A8"/>
      </w:r>
      <w:r>
        <w:rPr>
          <w:noProof/>
        </w:rPr>
        <w:tab/>
        <w:t>Wniosek/inicjatywa ma wpływ finansowy określony poniżej:</w:t>
      </w:r>
    </w:p>
    <w:p>
      <w:pPr>
        <w:pStyle w:val="ListNumberLevel3"/>
        <w:rPr>
          <w:noProof/>
        </w:rPr>
      </w:pPr>
      <w:r>
        <w:rPr>
          <w:noProof/>
        </w:rPr>
        <w:sym w:font="Wingdings" w:char="F0A8"/>
      </w:r>
      <w:r>
        <w:rPr>
          <w:noProof/>
        </w:rPr>
        <w:tab/>
        <w:t xml:space="preserve">wpływ na zasoby własne </w:t>
      </w:r>
    </w:p>
    <w:p>
      <w:pPr>
        <w:pStyle w:val="ListNumberLevel3"/>
        <w:rPr>
          <w:noProof/>
        </w:rPr>
      </w:pPr>
      <w:r>
        <w:rPr>
          <w:noProof/>
        </w:rPr>
        <w:sym w:font="Wingdings" w:char="F0A8"/>
      </w:r>
      <w:r>
        <w:rPr>
          <w:noProof/>
        </w:rPr>
        <w:tab/>
        <w:t xml:space="preserve">wpływ na dochody różne </w:t>
      </w:r>
    </w:p>
    <w:p>
      <w:pPr>
        <w:jc w:val="right"/>
        <w:rPr>
          <w:i/>
          <w:noProof/>
          <w:sz w:val="20"/>
        </w:rPr>
      </w:pPr>
      <w:r>
        <w:rPr>
          <w:noProof/>
        </w:rPr>
        <w:t>w mln EUR (do trzech miejsc po przecinku)</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budżetowa po stronie dochodów</w:t>
            </w:r>
          </w:p>
        </w:tc>
        <w:tc>
          <w:tcPr>
            <w:tcW w:w="1276" w:type="dxa"/>
            <w:vMerge w:val="restart"/>
            <w:vAlign w:val="center"/>
          </w:tcPr>
          <w:p>
            <w:pPr>
              <w:jc w:val="center"/>
              <w:rPr>
                <w:noProof/>
                <w:sz w:val="18"/>
              </w:rPr>
            </w:pPr>
            <w:r>
              <w:rPr>
                <w:noProof/>
                <w:sz w:val="18"/>
              </w:rPr>
              <w:t>Środki zapisane w budżecie na bieżący rok budżetowy</w:t>
            </w:r>
          </w:p>
        </w:tc>
        <w:tc>
          <w:tcPr>
            <w:tcW w:w="7200" w:type="dxa"/>
            <w:gridSpan w:val="7"/>
            <w:vAlign w:val="center"/>
          </w:tcPr>
          <w:p>
            <w:pPr>
              <w:jc w:val="center"/>
              <w:rPr>
                <w:noProof/>
                <w:sz w:val="18"/>
              </w:rPr>
            </w:pPr>
            <w:r>
              <w:rPr>
                <w:noProof/>
                <w:sz w:val="18"/>
              </w:rPr>
              <w:t>Wpływ wniosku/inicjatywy</w:t>
            </w:r>
            <w:r>
              <w:rPr>
                <w:rStyle w:val="FootnoteReference"/>
                <w:noProof/>
                <w:sz w:val="18"/>
              </w:rPr>
              <w:footnoteReference w:id="25"/>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sz w:val="22"/>
              </w:rPr>
              <w:br/>
            </w:r>
            <w:r>
              <w:rPr>
                <w:b/>
                <w:noProof/>
                <w:sz w:val="18"/>
              </w:rPr>
              <w:t>N</w:t>
            </w:r>
          </w:p>
        </w:tc>
        <w:tc>
          <w:tcPr>
            <w:tcW w:w="900" w:type="dxa"/>
            <w:vAlign w:val="center"/>
          </w:tcPr>
          <w:p>
            <w:pPr>
              <w:jc w:val="center"/>
              <w:rPr>
                <w:noProof/>
                <w:sz w:val="18"/>
              </w:rPr>
            </w:pPr>
            <w:r>
              <w:rPr>
                <w:noProof/>
                <w:sz w:val="18"/>
              </w:rPr>
              <w:t>Rok</w:t>
            </w:r>
            <w:r>
              <w:rPr>
                <w:noProof/>
                <w:sz w:val="22"/>
              </w:rPr>
              <w:br/>
            </w:r>
            <w:r>
              <w:rPr>
                <w:b/>
                <w:noProof/>
                <w:sz w:val="18"/>
              </w:rPr>
              <w:t>N+1</w:t>
            </w:r>
          </w:p>
        </w:tc>
        <w:tc>
          <w:tcPr>
            <w:tcW w:w="900" w:type="dxa"/>
            <w:vAlign w:val="center"/>
          </w:tcPr>
          <w:p>
            <w:pPr>
              <w:jc w:val="center"/>
              <w:rPr>
                <w:noProof/>
                <w:sz w:val="18"/>
              </w:rPr>
            </w:pPr>
            <w:r>
              <w:rPr>
                <w:noProof/>
                <w:sz w:val="18"/>
              </w:rPr>
              <w:t>Rok</w:t>
            </w:r>
            <w:r>
              <w:rPr>
                <w:noProof/>
                <w:sz w:val="22"/>
              </w:rPr>
              <w:br/>
            </w:r>
            <w:r>
              <w:rPr>
                <w:b/>
                <w:noProof/>
                <w:sz w:val="18"/>
              </w:rPr>
              <w:t>N+2</w:t>
            </w:r>
          </w:p>
        </w:tc>
        <w:tc>
          <w:tcPr>
            <w:tcW w:w="1080" w:type="dxa"/>
            <w:vAlign w:val="center"/>
          </w:tcPr>
          <w:p>
            <w:pPr>
              <w:jc w:val="center"/>
              <w:rPr>
                <w:noProof/>
                <w:sz w:val="18"/>
              </w:rPr>
            </w:pPr>
            <w:r>
              <w:rPr>
                <w:noProof/>
                <w:sz w:val="18"/>
              </w:rPr>
              <w:t>Rok</w:t>
            </w:r>
            <w:r>
              <w:rPr>
                <w:noProof/>
                <w:sz w:val="22"/>
              </w:rPr>
              <w:br/>
            </w:r>
            <w:r>
              <w:rPr>
                <w:b/>
                <w:noProof/>
                <w:sz w:val="18"/>
              </w:rPr>
              <w:t>N+3</w:t>
            </w:r>
          </w:p>
        </w:tc>
        <w:tc>
          <w:tcPr>
            <w:tcW w:w="3240" w:type="dxa"/>
            <w:gridSpan w:val="3"/>
            <w:vAlign w:val="center"/>
          </w:tcPr>
          <w:p>
            <w:pPr>
              <w:jc w:val="center"/>
              <w:rPr>
                <w:b/>
                <w:noProof/>
                <w:sz w:val="18"/>
              </w:rPr>
            </w:pPr>
            <w:r>
              <w:rPr>
                <w:noProof/>
                <w:sz w:val="18"/>
              </w:rPr>
              <w:t>Wprowadzić taką liczbę kolumn dla poszczególnych lat, jaka jest niezbędna, by odzwierciedlić cały okres wpływu (por. pkt 1.6)</w:t>
            </w:r>
          </w:p>
        </w:tc>
      </w:tr>
      <w:tr>
        <w:trPr>
          <w:trHeight w:val="388"/>
        </w:trPr>
        <w:tc>
          <w:tcPr>
            <w:tcW w:w="2144" w:type="dxa"/>
            <w:vAlign w:val="center"/>
          </w:tcPr>
          <w:p>
            <w:pPr>
              <w:spacing w:before="40" w:after="40"/>
              <w:rPr>
                <w:noProof/>
                <w:sz w:val="18"/>
              </w:rPr>
            </w:pPr>
            <w:r>
              <w:rPr>
                <w:noProof/>
                <w:sz w:val="18"/>
              </w:rPr>
              <w:t>Artykuł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W przypadku wpływu na dochody różne „przeznaczone na określony cel” należy wskazać linie budżetowe po stronie wydatków, które ten wpływ obejmie.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Należy określić metodę obliczania wpływu na dochody.</w:t>
      </w:r>
    </w:p>
    <w:p>
      <w:pPr>
        <w:pStyle w:val="Text1"/>
        <w:pBdr>
          <w:top w:val="single" w:sz="4" w:space="1" w:color="auto"/>
          <w:left w:val="single" w:sz="4" w:space="4" w:color="auto"/>
          <w:bottom w:val="single" w:sz="4" w:space="1" w:color="auto"/>
          <w:right w:val="single" w:sz="4" w:space="4" w:color="auto"/>
        </w:pBdr>
        <w:rPr>
          <w:noProof/>
        </w:rPr>
      </w:pP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color w:val="FF0000"/>
          <w:highlight w:val="yellow"/>
        </w:rPr>
      </w:pPr>
      <w:r>
        <w:rPr>
          <w:rStyle w:val="FootnoteReference"/>
        </w:rPr>
        <w:footnoteRef/>
      </w:r>
      <w:r>
        <w:tab/>
        <w:t>Dz.U. L 036 z 12.2.2003, s. 32.</w:t>
      </w:r>
    </w:p>
  </w:footnote>
  <w:footnote w:id="2">
    <w:p>
      <w:pPr>
        <w:pStyle w:val="FootnoteText"/>
      </w:pPr>
      <w:r>
        <w:rPr>
          <w:rStyle w:val="FootnoteReference"/>
        </w:rPr>
        <w:footnoteRef/>
      </w:r>
      <w:r>
        <w:tab/>
        <w:t xml:space="preserve">Decyzja Rady 2011/182/UE z dnia 9 marca 2011 r. w sprawie przedłużenia Umowy w sprawie współpracy naukowej i technologicznej między Wspólnotą Europejską a Ukrainą (Dz.U. L 79 z 25.3.2011, s. 3). </w:t>
      </w:r>
    </w:p>
  </w:footnote>
  <w:footnote w:id="3">
    <w:p>
      <w:pPr>
        <w:pStyle w:val="FootnoteText"/>
      </w:pPr>
      <w:r>
        <w:rPr>
          <w:rStyle w:val="FootnoteReference"/>
        </w:rPr>
        <w:footnoteRef/>
      </w:r>
      <w:r>
        <w:tab/>
        <w:t>Decyzja Rady (UE) 2015/344 dotycząca odnowienia Umowy w sprawie współpracy naukowej i technologicznej między Wspólnotą Europejską a Ukrainą (Dz.U. L 60 z 4.3.2015, s. 37).</w:t>
      </w:r>
    </w:p>
  </w:footnote>
  <w:footnote w:id="4">
    <w:p>
      <w:pPr>
        <w:pStyle w:val="FootnoteText"/>
      </w:pPr>
      <w:r>
        <w:rPr>
          <w:rStyle w:val="FootnoteReference"/>
        </w:rPr>
        <w:footnoteRef/>
      </w:r>
      <w:r>
        <w:tab/>
        <w:t xml:space="preserve">Rozwój i koncentracja unijnej współpracy międzynarodowej w dziedzinie badań naukowych i innowacji: podejście strategiczne, COM(2012) 497. </w:t>
      </w:r>
    </w:p>
  </w:footnote>
  <w:footnote w:id="5">
    <w:p>
      <w:pPr>
        <w:pStyle w:val="FootnoteText"/>
      </w:pPr>
      <w:r>
        <w:rPr>
          <w:rStyle w:val="FootnoteReference"/>
        </w:rPr>
        <w:footnoteRef/>
      </w:r>
      <w:r>
        <w:tab/>
        <w:t>Dz.U. C  z , s. .</w:t>
      </w:r>
    </w:p>
  </w:footnote>
  <w:footnote w:id="6">
    <w:p>
      <w:pPr>
        <w:pStyle w:val="FootnoteText"/>
        <w:jc w:val="left"/>
        <w:rPr>
          <w:sz w:val="24"/>
          <w:szCs w:val="24"/>
        </w:rPr>
      </w:pPr>
      <w:r>
        <w:rPr>
          <w:rStyle w:val="FootnoteReference"/>
        </w:rPr>
        <w:footnoteRef/>
      </w:r>
      <w:r>
        <w:tab/>
        <w:t>Decyzja Rady 2003/96/WE z dnia 6 lutego 2003 r. dotycząca zawarcia Umowy w sprawie współpracy naukowej i technologicznej między Wspólnotą Europejską a Ukrainą (Dz.U. L 36 z 12.2.2003, s. 31).</w:t>
      </w:r>
    </w:p>
  </w:footnote>
  <w:footnote w:id="7">
    <w:p>
      <w:pPr>
        <w:pStyle w:val="FootnoteText"/>
        <w:jc w:val="left"/>
        <w:rPr>
          <w:sz w:val="24"/>
          <w:szCs w:val="24"/>
        </w:rPr>
      </w:pPr>
      <w:r>
        <w:rPr>
          <w:rStyle w:val="FootnoteReference"/>
        </w:rPr>
        <w:footnoteRef/>
      </w:r>
      <w:r>
        <w:tab/>
        <w:t>Umowa w sprawie współpracy naukowej i technologicznej między Wspólnotą Europejską a Ukrainą (Dz.U. L 36 z 12.2.2003, s. 32).</w:t>
      </w:r>
    </w:p>
  </w:footnote>
  <w:footnote w:id="8">
    <w:p>
      <w:pPr>
        <w:pStyle w:val="FootnoteText"/>
        <w:jc w:val="left"/>
        <w:rPr>
          <w:sz w:val="24"/>
          <w:szCs w:val="24"/>
        </w:rPr>
      </w:pPr>
      <w:r>
        <w:rPr>
          <w:rStyle w:val="FootnoteReference"/>
        </w:rPr>
        <w:footnoteRef/>
      </w:r>
      <w:r>
        <w:tab/>
        <w:t>Decyzja Rady 2011/182/UE z dnia 9 marca 2011 r. w sprawie przedłużenia Umowy w sprawie współpracy naukowej i technologicznej między Wspólnotą Europejską a Ukrainą (Dz.U. L 79 z 25.3.2011, s. 3).</w:t>
      </w:r>
    </w:p>
  </w:footnote>
  <w:footnote w:id="9">
    <w:p>
      <w:pPr>
        <w:pStyle w:val="FootnoteText"/>
        <w:jc w:val="left"/>
        <w:rPr>
          <w:sz w:val="24"/>
          <w:szCs w:val="24"/>
        </w:rPr>
      </w:pPr>
      <w:r>
        <w:rPr>
          <w:rStyle w:val="FootnoteReference"/>
        </w:rPr>
        <w:footnoteRef/>
      </w:r>
      <w:r>
        <w:tab/>
        <w:t>Decyzja Rady (UE) 2015/344 z dnia 17 lutego 2015 r. dotycząca odnowienia Umowy w sprawie współpracy naukowej i technologicznej między Wspólnotą Europejską a Ukrainą (Dz.U. L 60 z 4.3.2015, s. 37).</w:t>
      </w:r>
    </w:p>
  </w:footnote>
  <w:footnote w:id="10">
    <w:p>
      <w:pPr>
        <w:pStyle w:val="FootnoteText"/>
        <w:rPr>
          <w:szCs w:val="24"/>
        </w:rPr>
      </w:pPr>
      <w:r>
        <w:rPr>
          <w:rStyle w:val="FootnoteReference"/>
        </w:rPr>
        <w:footnoteRef/>
      </w:r>
      <w:r>
        <w:tab/>
        <w:t>ABM: activity-based management – zarządzanie kosztami działań; ABB: activity based budgeting – budżet zadaniowy.</w:t>
      </w:r>
    </w:p>
  </w:footnote>
  <w:footnote w:id="11">
    <w:p>
      <w:pPr>
        <w:pStyle w:val="FootnoteText"/>
        <w:rPr>
          <w:szCs w:val="24"/>
        </w:rPr>
      </w:pPr>
      <w:r>
        <w:rPr>
          <w:rStyle w:val="FootnoteReference"/>
        </w:rPr>
        <w:footnoteRef/>
      </w:r>
      <w:r>
        <w:tab/>
        <w:t>O którym mowa w art. 54 ust. 2 lit. a) lub b) rozporządzenia finansowego.</w:t>
      </w:r>
    </w:p>
  </w:footnote>
  <w:footnote w:id="12">
    <w:p>
      <w:pPr>
        <w:pStyle w:val="FootnoteText"/>
        <w:rPr>
          <w:szCs w:val="24"/>
        </w:rPr>
      </w:pPr>
      <w:r>
        <w:rPr>
          <w:rStyle w:val="FootnoteReference"/>
        </w:rPr>
        <w:footnoteRef/>
      </w:r>
      <w:r>
        <w:tab/>
        <w:t xml:space="preserve">Wyjaśnienia dotyczące trybów zarządzania oraz odniesienia do rozporządzenia finansowego znajdują się na następującej stronie: </w:t>
      </w:r>
      <w:hyperlink r:id="rId1" w:history="1">
        <w:r>
          <w:rPr>
            <w:rStyle w:val="Hyperlink"/>
            <w:sz w:val="18"/>
          </w:rPr>
          <w:t>http://www.cc.cec/budg/man/budgmanag/budgmanag_en.html</w:t>
        </w:r>
      </w:hyperlink>
    </w:p>
  </w:footnote>
  <w:footnote w:id="13">
    <w:p>
      <w:pPr>
        <w:pStyle w:val="FootnoteText"/>
        <w:rPr>
          <w:szCs w:val="24"/>
        </w:rPr>
      </w:pPr>
      <w:r>
        <w:rPr>
          <w:rStyle w:val="FootnoteReference"/>
        </w:rPr>
        <w:footnoteRef/>
      </w:r>
      <w:r>
        <w:tab/>
        <w:t>Środki zróżnicowane / środki niezróżnicowane</w:t>
      </w:r>
    </w:p>
  </w:footnote>
  <w:footnote w:id="14">
    <w:p>
      <w:pPr>
        <w:pStyle w:val="FootnoteText"/>
        <w:rPr>
          <w:szCs w:val="24"/>
        </w:rPr>
      </w:pPr>
      <w:r>
        <w:rPr>
          <w:rStyle w:val="FootnoteReference"/>
        </w:rPr>
        <w:footnoteRef/>
      </w:r>
      <w:r>
        <w:tab/>
        <w:t xml:space="preserve">EFTA: Europejskie Stowarzyszenie Wolnego Handlu. </w:t>
      </w:r>
    </w:p>
  </w:footnote>
  <w:footnote w:id="15">
    <w:p>
      <w:pPr>
        <w:pStyle w:val="FootnoteText"/>
        <w:rPr>
          <w:szCs w:val="24"/>
        </w:rPr>
      </w:pPr>
      <w:r>
        <w:rPr>
          <w:rStyle w:val="FootnoteReference"/>
        </w:rPr>
        <w:footnoteRef/>
      </w:r>
      <w:r>
        <w:tab/>
        <w:t>Kraje kandydujące oraz w stosownych przypadkach potencjalne kraje kandydujące Bałkanów Zachodnich.</w:t>
      </w:r>
    </w:p>
  </w:footnote>
  <w:footnote w:id="16">
    <w:p>
      <w:pPr>
        <w:pStyle w:val="FootnoteText"/>
        <w:rPr>
          <w:szCs w:val="24"/>
        </w:rPr>
      </w:pPr>
      <w:r>
        <w:rPr>
          <w:rStyle w:val="FootnoteReference"/>
        </w:rPr>
        <w:footnoteRef/>
      </w:r>
      <w:r>
        <w:tab/>
        <w:t>Rok 2019 jest rokiem, w którym rozpoczyna się realizacja wniosku/inicjatywy. Kwoty na lata 2019 i 2024 odpowiadają odpowiednio dwóm i dziesięciu miesiącom.</w:t>
      </w:r>
    </w:p>
  </w:footnote>
  <w:footnote w:id="17">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18">
    <w:p>
      <w:pPr>
        <w:pStyle w:val="FootnoteText"/>
        <w:rPr>
          <w:szCs w:val="24"/>
        </w:rPr>
      </w:pPr>
      <w:r>
        <w:rPr>
          <w:rStyle w:val="FootnoteReference"/>
        </w:rPr>
        <w:footnoteRef/>
      </w:r>
      <w:r>
        <w:tab/>
        <w:t>Rok 2019 jest rokiem, w którym rozpoczyna się realizacja wniosku/inicjatywy. Kwoty na lata 2019 i 2024 odpowiadają odpowiednio dwóm i dziesięciu miesiącom.</w:t>
      </w:r>
    </w:p>
  </w:footnote>
  <w:footnote w:id="19">
    <w:p>
      <w:pPr>
        <w:pStyle w:val="FootnoteText"/>
        <w:rPr>
          <w:szCs w:val="24"/>
        </w:rPr>
      </w:pPr>
      <w:r>
        <w:rPr>
          <w:rStyle w:val="FootnoteReference"/>
        </w:rPr>
        <w:footnoteRef/>
      </w:r>
      <w:r>
        <w:tab/>
        <w:t>Produkty odnoszą się do produktów i usług, które zostaną zapewnione (np. liczba sfinansowanych wymian studentów, liczba kilometrów zbudowanych dróg itp.).</w:t>
      </w:r>
    </w:p>
  </w:footnote>
  <w:footnote w:id="20">
    <w:p>
      <w:pPr>
        <w:pStyle w:val="FootnoteText"/>
        <w:rPr>
          <w:szCs w:val="24"/>
        </w:rPr>
      </w:pPr>
      <w:r>
        <w:rPr>
          <w:rStyle w:val="FootnoteReference"/>
        </w:rPr>
        <w:footnoteRef/>
      </w:r>
      <w:r>
        <w:tab/>
        <w:t xml:space="preserve">Zgodnie z opisem w pkt 1.4.2. „Cele szczegółowe …”. </w:t>
      </w:r>
    </w:p>
  </w:footnote>
  <w:footnote w:id="21">
    <w:p>
      <w:pPr>
        <w:pStyle w:val="FootnoteText"/>
        <w:rPr>
          <w:szCs w:val="24"/>
        </w:rPr>
      </w:pPr>
      <w:r>
        <w:rPr>
          <w:rStyle w:val="FootnoteReference"/>
        </w:rPr>
        <w:footnoteRef/>
      </w:r>
      <w:r>
        <w:tab/>
        <w:t>Rok 2019 jest rokiem, w którym rozpoczyna się realizacja wniosku/inicjatywy. Kwoty na lata 2019 i 2024 odpowiadają odpowiednio dwóm i dziesięciu miesiącom.</w:t>
      </w:r>
    </w:p>
  </w:footnote>
  <w:footnote w:id="22">
    <w:p>
      <w:pPr>
        <w:pStyle w:val="FootnoteText"/>
        <w:rPr>
          <w:szCs w:val="24"/>
        </w:rPr>
      </w:pPr>
      <w:r>
        <w:rPr>
          <w:rStyle w:val="FootnoteReference"/>
        </w:rPr>
        <w:footnoteRef/>
      </w:r>
      <w:r>
        <w:tab/>
        <w:t>Wsparcie techniczne lub administracyjne oraz wydatki na wsparcie w zakresie wprowadzania w życie programów lub działań UE (dawne linie „BA”), pośrednie badania naukowe, bezpośrednie badania naukowe.</w:t>
      </w:r>
    </w:p>
  </w:footnote>
  <w:footnote w:id="23">
    <w:p>
      <w:pPr>
        <w:pStyle w:val="FootnoteText"/>
        <w:rPr>
          <w:szCs w:val="24"/>
        </w:rPr>
      </w:pPr>
      <w:r>
        <w:rPr>
          <w:rStyle w:val="FootnoteReference"/>
        </w:rPr>
        <w:footnoteRef/>
      </w:r>
      <w:r>
        <w:tab/>
        <w:t xml:space="preserve">CA = personel kontraktowy; LA = personel miejscowy; SNE = oddelegowany ekspert krajowy; INT = personel tymczasowy; JED = młodszy oddelegowany ekspert. </w:t>
      </w:r>
    </w:p>
  </w:footnote>
  <w:footnote w:id="24">
    <w:p>
      <w:pPr>
        <w:pStyle w:val="FootnoteText"/>
        <w:rPr>
          <w:szCs w:val="24"/>
        </w:rPr>
      </w:pPr>
      <w:r>
        <w:rPr>
          <w:rStyle w:val="FootnoteReference"/>
        </w:rPr>
        <w:footnoteRef/>
      </w:r>
      <w:r>
        <w:tab/>
        <w:t>W ramach podpułapu na personel zewnętrzny ze środków operacyjnych (dawne linie „BA”).</w:t>
      </w:r>
    </w:p>
  </w:footnote>
  <w:footnote w:id="25">
    <w:p>
      <w:pPr>
        <w:pStyle w:val="FootnoteText"/>
        <w:rPr>
          <w:szCs w:val="24"/>
        </w:rPr>
      </w:pPr>
      <w:r>
        <w:rPr>
          <w:rStyle w:val="FootnoteReference"/>
        </w:rPr>
        <w:footnoteRef/>
      </w:r>
      <w:r>
        <w:tab/>
        <w:t>W przypadku tradycyjnych zasobów własnych (opłaty celne, opłaty wyrównawcze od cukru) należy wskazać kwoty netto, tzn. kwoty brutto po odliczeniu 25 % na poczet kosztów poboru.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1"/>
  </w:num>
  <w:num w:numId="19">
    <w:abstractNumId w:val="11"/>
  </w:num>
  <w:num w:numId="20">
    <w:abstractNumId w:val="24"/>
  </w:num>
  <w:num w:numId="21">
    <w:abstractNumId w:val="6"/>
  </w:num>
  <w:num w:numId="22">
    <w:abstractNumId w:val="12"/>
  </w:num>
  <w:num w:numId="23">
    <w:abstractNumId w:val="4"/>
  </w:num>
  <w:num w:numId="24">
    <w:abstractNumId w:val="23"/>
  </w:num>
  <w:num w:numId="25">
    <w:abstractNumId w:val="3"/>
  </w:num>
  <w:num w:numId="26">
    <w:abstractNumId w:val="13"/>
  </w:num>
  <w:num w:numId="27">
    <w:abstractNumId w:val="19"/>
  </w:num>
  <w:num w:numId="28">
    <w:abstractNumId w:val="20"/>
  </w:num>
  <w:num w:numId="29">
    <w:abstractNumId w:val="5"/>
  </w:num>
  <w:num w:numId="30">
    <w:abstractNumId w:val="17"/>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23 15:43:07"/>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C8EB13A-315B-4A40-B1B1-5388A56BA56A"/>
    <w:docVar w:name="LW_COVERPAGE_TYPE" w:val="1"/>
    <w:docVar w:name="LW_CROSSREFERENCE" w:val="&lt;UNUSED&gt;"/>
    <w:docVar w:name="LW_DocType" w:val="COM"/>
    <w:docVar w:name="LW_EMISSION" w:val="30.1.2020"/>
    <w:docVar w:name="LW_EMISSION_ISODATE" w:val="2020-01-30"/>
    <w:docVar w:name="LW_EMISSION_LOCATION" w:val="BRX"/>
    <w:docVar w:name="LW_EMISSION_PREFIX" w:val="Bruksela, dnia "/>
    <w:docVar w:name="LW_EMISSION_SUFFIX" w:val=" r."/>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NLE"/>
    <w:docVar w:name="LW_REF.II.NEW.CP_NUMBER" w:val="0016"/>
    <w:docVar w:name="LW_REF.II.NEW.CP_YEAR" w:val="2020"/>
    <w:docVar w:name="LW_REF.INST.NEW" w:val="COM"/>
    <w:docVar w:name="LW_REF.INST.NEW_ADOPTED" w:val="final"/>
    <w:docVar w:name="LW_REF.INST.NEW_TEXT" w:val="(2020)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dotycz\u261?ca przed\u322?u\u380?enia Umowy w sprawie wspó\u322?pracy naukowej i technologicznej mi\u281?dzy Wspólnot\u261? Europejsk\u261? a Ukrain\u261?"/>
    <w:docVar w:name="LW_TYPE.DOC.CP" w:val="DECYZJ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pl-PL"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pl-PL"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l-PL"/>
    </w:rPr>
  </w:style>
  <w:style w:type="paragraph" w:styleId="Heading1">
    <w:name w:val="heading 1"/>
    <w:basedOn w:val="Normal"/>
    <w:next w:val="Text1"/>
    <w:link w:val="Heading1Char"/>
    <w:uiPriority w:val="9"/>
    <w:qFormat/>
    <w:pPr>
      <w:keepNext/>
      <w:numPr>
        <w:numId w:val="2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pl-PL"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l-PL"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pl-PL"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l-P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l-P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numPr>
        <w:numId w:val="20"/>
      </w:numPr>
    </w:pPr>
  </w:style>
  <w:style w:type="paragraph" w:customStyle="1" w:styleId="Tiret3">
    <w:name w:val="Tiret 3"/>
    <w:basedOn w:val="Point3"/>
    <w:pPr>
      <w:numPr>
        <w:numId w:val="21"/>
      </w:numPr>
    </w:pPr>
  </w:style>
  <w:style w:type="paragraph" w:customStyle="1" w:styleId="Tiret4">
    <w:name w:val="Tiret 4"/>
    <w:basedOn w:val="Point4"/>
    <w:pPr>
      <w:numPr>
        <w:numId w:val="2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3"/>
      </w:numPr>
    </w:pPr>
  </w:style>
  <w:style w:type="paragraph" w:customStyle="1" w:styleId="NumPar2">
    <w:name w:val="NumPar 2"/>
    <w:basedOn w:val="Normal"/>
    <w:next w:val="Text1"/>
    <w:pPr>
      <w:numPr>
        <w:ilvl w:val="1"/>
        <w:numId w:val="23"/>
      </w:numPr>
    </w:pPr>
  </w:style>
  <w:style w:type="paragraph" w:customStyle="1" w:styleId="NumPar3">
    <w:name w:val="NumPar 3"/>
    <w:basedOn w:val="Normal"/>
    <w:next w:val="Text1"/>
    <w:pPr>
      <w:numPr>
        <w:ilvl w:val="2"/>
        <w:numId w:val="23"/>
      </w:numPr>
    </w:pPr>
  </w:style>
  <w:style w:type="paragraph" w:customStyle="1" w:styleId="NumPar4">
    <w:name w:val="NumPar 4"/>
    <w:basedOn w:val="Normal"/>
    <w:next w:val="Text1"/>
    <w:pPr>
      <w:numPr>
        <w:ilvl w:val="3"/>
        <w:numId w:val="2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
      </w:numPr>
    </w:pPr>
  </w:style>
  <w:style w:type="paragraph" w:customStyle="1" w:styleId="Point1number">
    <w:name w:val="Point 1 (number)"/>
    <w:basedOn w:val="Normal"/>
    <w:pPr>
      <w:numPr>
        <w:ilvl w:val="2"/>
        <w:numId w:val="25"/>
      </w:numPr>
    </w:pPr>
  </w:style>
  <w:style w:type="paragraph" w:customStyle="1" w:styleId="Point2number">
    <w:name w:val="Point 2 (number)"/>
    <w:basedOn w:val="Normal"/>
    <w:pPr>
      <w:numPr>
        <w:ilvl w:val="4"/>
        <w:numId w:val="25"/>
      </w:numPr>
    </w:pPr>
  </w:style>
  <w:style w:type="paragraph" w:customStyle="1" w:styleId="Point3number">
    <w:name w:val="Point 3 (number)"/>
    <w:basedOn w:val="Normal"/>
    <w:pPr>
      <w:numPr>
        <w:ilvl w:val="6"/>
        <w:numId w:val="25"/>
      </w:numPr>
    </w:pPr>
  </w:style>
  <w:style w:type="paragraph" w:customStyle="1" w:styleId="Point0letter">
    <w:name w:val="Point 0 (letter)"/>
    <w:basedOn w:val="Normal"/>
    <w:pPr>
      <w:numPr>
        <w:ilvl w:val="1"/>
        <w:numId w:val="25"/>
      </w:numPr>
    </w:pPr>
  </w:style>
  <w:style w:type="paragraph" w:customStyle="1" w:styleId="Point1letter">
    <w:name w:val="Point 1 (letter)"/>
    <w:basedOn w:val="Normal"/>
    <w:pPr>
      <w:numPr>
        <w:ilvl w:val="3"/>
        <w:numId w:val="25"/>
      </w:numPr>
    </w:pPr>
  </w:style>
  <w:style w:type="paragraph" w:customStyle="1" w:styleId="Point2letter">
    <w:name w:val="Point 2 (letter)"/>
    <w:basedOn w:val="Normal"/>
    <w:pPr>
      <w:numPr>
        <w:ilvl w:val="5"/>
        <w:numId w:val="25"/>
      </w:numPr>
    </w:pPr>
  </w:style>
  <w:style w:type="paragraph" w:customStyle="1" w:styleId="Point3letter">
    <w:name w:val="Point 3 (letter)"/>
    <w:basedOn w:val="Normal"/>
    <w:pPr>
      <w:numPr>
        <w:ilvl w:val="7"/>
        <w:numId w:val="25"/>
      </w:numPr>
    </w:pPr>
  </w:style>
  <w:style w:type="paragraph" w:customStyle="1" w:styleId="Point4letter">
    <w:name w:val="Point 4 (letter)"/>
    <w:basedOn w:val="Normal"/>
    <w:pPr>
      <w:numPr>
        <w:ilvl w:val="8"/>
        <w:numId w:val="25"/>
      </w:numPr>
    </w:pPr>
  </w:style>
  <w:style w:type="paragraph" w:customStyle="1" w:styleId="Bullet0">
    <w:name w:val="Bullet 0"/>
    <w:basedOn w:val="Normal"/>
    <w:pPr>
      <w:numPr>
        <w:numId w:val="26"/>
      </w:numPr>
    </w:pPr>
  </w:style>
  <w:style w:type="paragraph" w:customStyle="1" w:styleId="Bullet1">
    <w:name w:val="Bullet 1"/>
    <w:basedOn w:val="Normal"/>
    <w:pPr>
      <w:numPr>
        <w:numId w:val="27"/>
      </w:numPr>
    </w:pPr>
  </w:style>
  <w:style w:type="paragraph" w:customStyle="1" w:styleId="Bullet2">
    <w:name w:val="Bullet 2"/>
    <w:basedOn w:val="Normal"/>
    <w:pPr>
      <w:numPr>
        <w:numId w:val="28"/>
      </w:numPr>
    </w:pPr>
  </w:style>
  <w:style w:type="paragraph" w:customStyle="1" w:styleId="Bullet3">
    <w:name w:val="Bullet 3"/>
    <w:basedOn w:val="Normal"/>
    <w:pPr>
      <w:numPr>
        <w:numId w:val="29"/>
      </w:numPr>
    </w:pPr>
  </w:style>
  <w:style w:type="paragraph" w:customStyle="1" w:styleId="Bullet4">
    <w:name w:val="Bullet 4"/>
    <w:basedOn w:val="Normal"/>
    <w:pPr>
      <w:numPr>
        <w:numId w:val="3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E3F7-BFFA-48FA-9CDE-41EE8458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17</Pages>
  <Words>3748</Words>
  <Characters>23956</Characters>
  <Application>Microsoft Office Word</Application>
  <DocSecurity>0</DocSecurity>
  <Lines>1409</Lines>
  <Paragraphs>629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2019-12-09T15:52:00Z</cp:lastPrinted>
  <dcterms:created xsi:type="dcterms:W3CDTF">2020-01-15T13:19:00Z</dcterms:created>
  <dcterms:modified xsi:type="dcterms:W3CDTF">2020-01-23T14:43:00Z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