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5D1819C-F9AA-4CE1-A887-3E404A0FAFDD" style="width:450.8pt;height:351.4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u w:color="000000"/>
          <w:bdr w:val="nil"/>
        </w:rPr>
        <w:t>•</w:t>
      </w:r>
      <w:r>
        <w:rPr>
          <w:noProof/>
          <w:u w:color="000000"/>
          <w:bdr w:val="nil"/>
        </w:rPr>
        <w:tab/>
      </w:r>
      <w:r>
        <w:rPr>
          <w:noProof/>
        </w:rPr>
        <w:t>Motivele și obiectivele propunerii</w:t>
      </w:r>
    </w:p>
    <w:p>
      <w:pPr>
        <w:spacing w:before="0" w:after="240"/>
        <w:rPr>
          <w:rFonts w:eastAsia="Times New Roman"/>
          <w:noProof/>
          <w:szCs w:val="20"/>
        </w:rPr>
      </w:pPr>
      <w:r>
        <w:rPr>
          <w:noProof/>
        </w:rPr>
        <w:t>„Acordul de cooperare în domeniul științei și al tehnologiei dintre Comunitatea Europeană și Ucraina”</w:t>
      </w:r>
      <w:r>
        <w:rPr>
          <w:rStyle w:val="FootnoteReference"/>
          <w:noProof/>
        </w:rPr>
        <w:footnoteReference w:id="1"/>
      </w:r>
      <w:r>
        <w:rPr>
          <w:noProof/>
        </w:rPr>
        <w:t xml:space="preserve"> (denumit în continuare „acordul”) a fost semnat la Copenhaga la 4 iulie 2002 și a fost încheiat pentru o perioadă inițială până la 31 decembrie 2002. În conformitate cu articolul 12 litera (b) din acord, acesta poate fi reînnoit de comun acord între părți, cu perioade suplimentare de câte cinci ani. Acordul a fost reînnoit de două ori, în 2011</w:t>
      </w:r>
      <w:r>
        <w:rPr>
          <w:rStyle w:val="FootnoteReference"/>
          <w:noProof/>
        </w:rPr>
        <w:footnoteReference w:id="2"/>
      </w:r>
      <w:r>
        <w:rPr>
          <w:noProof/>
        </w:rPr>
        <w:t xml:space="preserve"> și 2014</w:t>
      </w:r>
      <w:r>
        <w:rPr>
          <w:rStyle w:val="FootnoteReference"/>
          <w:noProof/>
        </w:rPr>
        <w:footnoteReference w:id="3"/>
      </w:r>
      <w:r>
        <w:rPr>
          <w:noProof/>
        </w:rPr>
        <w:t xml:space="preserve">. </w:t>
      </w:r>
    </w:p>
    <w:p>
      <w:pPr>
        <w:spacing w:before="0" w:after="240"/>
        <w:rPr>
          <w:rFonts w:eastAsia="Times New Roman"/>
          <w:noProof/>
          <w:szCs w:val="20"/>
        </w:rPr>
      </w:pPr>
      <w:r>
        <w:rPr>
          <w:noProof/>
        </w:rPr>
        <w:t>Acest acord a expirat la 7 noiembrie 2019.</w:t>
      </w:r>
    </w:p>
    <w:p>
      <w:pPr>
        <w:spacing w:before="0" w:after="240"/>
        <w:rPr>
          <w:rFonts w:eastAsia="Times New Roman"/>
          <w:noProof/>
          <w:szCs w:val="20"/>
        </w:rPr>
      </w:pPr>
      <w:r>
        <w:rPr>
          <w:noProof/>
        </w:rPr>
        <w:t>Reînnoirea acordului pentru o perioadă suplimentară de cinci ani este în interesul reciproc al ambelor părți la acord, în vederea facilitării în continuare a cooperării dintre UE și Ucraina în domeniile prioritare științifice și tehnologice comune (S&amp;T), conducând la beneficii reciproce.</w:t>
      </w:r>
    </w:p>
    <w:p>
      <w:pPr>
        <w:spacing w:after="240"/>
        <w:rPr>
          <w:noProof/>
          <w:color w:val="010202"/>
          <w:szCs w:val="24"/>
        </w:rPr>
      </w:pPr>
      <w:r>
        <w:rPr>
          <w:noProof/>
        </w:rPr>
        <w:t>Ucraina are o lungă tradiție în materie de excelență științifică și tehnologică și, în pofida dificultăților din ultimii ani, are încă oameni de știință și un nivel științific de prim rang și este un actor important al UE în domeniul științei, tehnologiei și inovării (STI) în vecinătatea Uniunii.</w:t>
      </w:r>
      <w:r>
        <w:rPr>
          <w:noProof/>
          <w:color w:val="010202"/>
        </w:rPr>
        <w:t xml:space="preserve"> Cooperarea dintre Uniune și Ucraina a fost, în mod tradițional, foarte activă, în special în domeniul materialelor avansate/noilor materiale, tehnologiei informației, fizicii și astronomiei, ingineriei, tehnologiei agricole, nanotehnologiei, biotehnologiei și aplicațiilor acestora în diferite sectoare, cum ar fi aviația, energia și biomedicina, în special imunoterapiile pentru cancer. </w:t>
      </w:r>
    </w:p>
    <w:p>
      <w:pPr>
        <w:spacing w:before="0" w:after="240"/>
        <w:rPr>
          <w:noProof/>
        </w:rPr>
      </w:pPr>
      <w:r>
        <w:rPr>
          <w:noProof/>
        </w:rPr>
        <w:t>La reuniunea Comitetului mixt pentru cooperare științifică și tehnologică UE-Ucraina, instituit prin acord, reuniune care a avut loc la Kiev la 29 ianuarie 2019, ambele părți au luat act de intenția lor de a reînnoi acordul pentru o nouă perioadă de cinci ani, recunoscând progresele realizate în vederea intensificării cooperării dintre UE și Ucraina în domeniul cercetării și inovării. Guvernul Ucrainei a început deja procesul de reînnoire.</w:t>
      </w:r>
    </w:p>
    <w:p>
      <w:pPr>
        <w:pBdr>
          <w:top w:val="nil"/>
          <w:left w:val="nil"/>
          <w:bottom w:val="nil"/>
          <w:right w:val="nil"/>
          <w:between w:val="nil"/>
          <w:bar w:val="nil"/>
        </w:pBdr>
        <w:spacing w:before="0" w:after="240"/>
        <w:rPr>
          <w:rFonts w:eastAsia="Arial Unicode MS"/>
          <w:noProof/>
        </w:rPr>
      </w:pPr>
      <w:r>
        <w:rPr>
          <w:noProof/>
        </w:rPr>
        <w:t>Conținutul acordului reînnoit va fi identic cu conținutul acordului actual. Acordul reînnoit nu va crea noi drepturi și obligații pentru niciuna dintre părți, ci va extinde în timp regimul juridic deja existent între părți în domeniul cooperării științifice și tehnologice.</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Coerența cu dispozițiile deja existente în domeniul de politică vizat</w:t>
      </w:r>
    </w:p>
    <w:p>
      <w:pPr>
        <w:pBdr>
          <w:top w:val="nil"/>
          <w:left w:val="nil"/>
          <w:bottom w:val="nil"/>
          <w:right w:val="nil"/>
          <w:between w:val="nil"/>
          <w:bar w:val="nil"/>
        </w:pBdr>
        <w:spacing w:before="0" w:after="240"/>
        <w:rPr>
          <w:noProof/>
          <w:szCs w:val="24"/>
        </w:rPr>
      </w:pPr>
      <w:r>
        <w:rPr>
          <w:noProof/>
        </w:rPr>
        <w:t>Această inițiativă este în deplină concordanță cu strategia de cooperare internațională a UE pentru cercetare și inovare</w:t>
      </w:r>
      <w:r>
        <w:rPr>
          <w:rStyle w:val="FootnoteReference"/>
          <w:noProof/>
        </w:rPr>
        <w:footnoteReference w:id="4"/>
      </w:r>
      <w:r>
        <w:rPr>
          <w:noProof/>
        </w:rPr>
        <w:t xml:space="preserve"> și coincide cu raza de acțiune internațională a Comisiei anterioare și a noii Comisii, considerând Ucraina un partener strategic al UE în domeniul cercetării și inovării. </w:t>
      </w:r>
    </w:p>
    <w:p>
      <w:pPr>
        <w:pBdr>
          <w:top w:val="nil"/>
          <w:left w:val="nil"/>
          <w:bottom w:val="nil"/>
          <w:right w:val="nil"/>
          <w:between w:val="nil"/>
          <w:bar w:val="nil"/>
        </w:pBdr>
        <w:spacing w:before="0" w:after="240"/>
        <w:rPr>
          <w:noProof/>
          <w:szCs w:val="24"/>
        </w:rPr>
      </w:pPr>
      <w:r>
        <w:rPr>
          <w:noProof/>
        </w:rPr>
        <w:lastRenderedPageBreak/>
        <w:t>Acordul reprezintă, de asemenea, un mijloc de punere în aplicare a strategiei de cooperare internațională a UE în domeniul cercetării și inovării, care necesită un nivel mai mare de internaționalizare și deschidere în peisajul de cercetare și inovare din UE.</w:t>
      </w:r>
    </w:p>
    <w:p>
      <w:pPr>
        <w:pBdr>
          <w:top w:val="nil"/>
          <w:left w:val="nil"/>
          <w:bottom w:val="nil"/>
          <w:right w:val="nil"/>
          <w:between w:val="nil"/>
          <w:bar w:val="nil"/>
        </w:pBdr>
        <w:spacing w:before="0" w:after="240"/>
        <w:rPr>
          <w:noProof/>
        </w:rPr>
      </w:pPr>
      <w:r>
        <w:rPr>
          <w:noProof/>
        </w:rPr>
        <w:t>Acordul este complementar Acordului de asociere Orizont 2020, care se concentrează în mod specific pe termenii și condițiile participării Ucrainei la programul Orizont 2020. Reînnoirea acestui acord S&amp;T ar permite menținerea cadrului juridic general pentru cooperarea bilaterală privind STI și ar transmite un semnal politic important cu privire la importanța pe care UE o acordă cooperării cu Ucraina cu privire la STI.</w:t>
      </w:r>
    </w:p>
    <w:p>
      <w:pPr>
        <w:pBdr>
          <w:top w:val="nil"/>
          <w:left w:val="nil"/>
          <w:bottom w:val="nil"/>
          <w:right w:val="nil"/>
          <w:between w:val="nil"/>
          <w:bar w:val="nil"/>
        </w:pBdr>
        <w:spacing w:before="0" w:after="240"/>
        <w:rPr>
          <w:rFonts w:eastAsia="Arial Unicode MS"/>
          <w:noProof/>
        </w:rPr>
      </w:pPr>
      <w:r>
        <w:rPr>
          <w:noProof/>
          <w:u w:color="000000"/>
          <w:bdr w:val="nil"/>
        </w:rPr>
        <w:t>•</w:t>
      </w:r>
      <w:r>
        <w:rPr>
          <w:noProof/>
          <w:u w:color="000000"/>
          <w:bdr w:val="nil"/>
        </w:rPr>
        <w:tab/>
      </w:r>
      <w:r>
        <w:rPr>
          <w:noProof/>
        </w:rPr>
        <w:t>Coerența cu alte domenii de politică ale Uniunii</w:t>
      </w:r>
    </w:p>
    <w:p>
      <w:pPr>
        <w:pBdr>
          <w:top w:val="nil"/>
          <w:left w:val="nil"/>
          <w:bottom w:val="nil"/>
          <w:right w:val="nil"/>
          <w:between w:val="nil"/>
          <w:bar w:val="nil"/>
        </w:pBdr>
        <w:spacing w:before="0" w:after="240"/>
        <w:rPr>
          <w:noProof/>
          <w:szCs w:val="24"/>
        </w:rPr>
      </w:pPr>
      <w:r>
        <w:rPr>
          <w:noProof/>
        </w:rPr>
        <w:t>Strategia globală a UE în privința politicii externe și de securitate a UE confirmă faptul că un aspect important al politicii externe a UE este cooperarea în domeniul cercetării, care reprezintă un element esențial pentru legături socioeconomice mai puternice.</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u w:color="000000"/>
          <w:bdr w:val="nil"/>
        </w:rPr>
        <w:t>•</w:t>
      </w:r>
      <w:r>
        <w:rPr>
          <w:noProof/>
          <w:u w:color="000000"/>
          <w:bdr w:val="nil"/>
        </w:rPr>
        <w:tab/>
        <w:t>Temei juridic</w:t>
      </w:r>
    </w:p>
    <w:p>
      <w:pPr>
        <w:pBdr>
          <w:top w:val="nil"/>
          <w:left w:val="nil"/>
          <w:bottom w:val="nil"/>
          <w:right w:val="nil"/>
          <w:between w:val="nil"/>
          <w:bar w:val="nil"/>
        </w:pBdr>
        <w:spacing w:before="0" w:after="240"/>
        <w:rPr>
          <w:noProof/>
        </w:rPr>
      </w:pPr>
      <w:r>
        <w:rPr>
          <w:noProof/>
        </w:rPr>
        <w:t>Prerogativa UE de a acționa la nivel internațional în domeniul dezvoltării cercetării și tehnologiei se întemeiază pe articolul 186 din TFUE. Temeiul juridic procedural al propunerii este articolul 218 alineatul (6) al doilea paragraf litera (a) punctul (v) din TFUE.</w:t>
      </w:r>
    </w:p>
    <w:p>
      <w:pPr>
        <w:pStyle w:val="ManualHeading2"/>
        <w:rPr>
          <w:rFonts w:eastAsia="Arial Unicode MS"/>
          <w:noProof/>
          <w:u w:color="000000"/>
          <w:bdr w:val="nil"/>
        </w:rPr>
      </w:pPr>
      <w:r>
        <w:rPr>
          <w:noProof/>
          <w:u w:color="000000"/>
          <w:bdr w:val="nil"/>
        </w:rPr>
        <w:t>•</w:t>
      </w:r>
      <w:r>
        <w:rPr>
          <w:noProof/>
          <w:u w:color="000000"/>
          <w:bdr w:val="nil"/>
        </w:rPr>
        <w:tab/>
        <w:t xml:space="preserve">Subsidiaritate (în cazul competențelor neexclusive) </w:t>
      </w:r>
    </w:p>
    <w:p>
      <w:pPr>
        <w:pBdr>
          <w:top w:val="nil"/>
          <w:left w:val="nil"/>
          <w:bottom w:val="nil"/>
          <w:right w:val="nil"/>
          <w:between w:val="nil"/>
          <w:bar w:val="nil"/>
        </w:pBdr>
        <w:spacing w:before="0" w:after="240"/>
        <w:rPr>
          <w:rFonts w:eastAsia="Arial Unicode MS"/>
          <w:noProof/>
          <w:szCs w:val="24"/>
        </w:rPr>
      </w:pPr>
      <w:r>
        <w:rPr>
          <w:noProof/>
        </w:rPr>
        <w:t>UE și statele sale membre dețin competențe paralele în domeniul cercetării și al dezvoltării tehnologice în conformitate cu articolul 4 alineatul (3) din TFUE. Prin urmare, acțiunea UE nu poate fi înlocuită prin acțiunea statelor membre.</w:t>
      </w:r>
    </w:p>
    <w:p>
      <w:pPr>
        <w:pStyle w:val="ManualHeading2"/>
        <w:rPr>
          <w:noProof/>
        </w:rPr>
      </w:pPr>
      <w:r>
        <w:rPr>
          <w:noProof/>
        </w:rPr>
        <w:t>3.</w:t>
      </w:r>
      <w:r>
        <w:rPr>
          <w:noProof/>
        </w:rPr>
        <w:tab/>
        <w:t>REZULTATELE EVALUĂRILOR EX POST, ALE CONSULTĂRILOR CU PĂRȚILE INTERESATE ȘI ALE EVALUĂRILOR IMPACTULUI</w:t>
      </w:r>
    </w:p>
    <w:p>
      <w:pPr>
        <w:pStyle w:val="ManualHeading2"/>
        <w:rPr>
          <w:rFonts w:eastAsia="Arial Unicode MS"/>
          <w:noProof/>
          <w:u w:color="000000"/>
          <w:bdr w:val="nil"/>
        </w:rPr>
      </w:pPr>
      <w:r>
        <w:rPr>
          <w:noProof/>
          <w:u w:color="000000"/>
          <w:bdr w:val="nil"/>
        </w:rPr>
        <w:t>•</w:t>
      </w:r>
      <w:r>
        <w:rPr>
          <w:noProof/>
          <w:u w:color="000000"/>
          <w:bdr w:val="nil"/>
        </w:rPr>
        <w:tab/>
        <w:t>Adecvarea și simplificarea reglementărilor</w:t>
      </w:r>
    </w:p>
    <w:p>
      <w:pPr>
        <w:pBdr>
          <w:top w:val="nil"/>
          <w:left w:val="nil"/>
          <w:bottom w:val="nil"/>
          <w:right w:val="nil"/>
          <w:between w:val="nil"/>
          <w:bar w:val="nil"/>
        </w:pBdr>
        <w:spacing w:before="0" w:after="240"/>
        <w:rPr>
          <w:noProof/>
          <w:szCs w:val="24"/>
        </w:rPr>
      </w:pPr>
      <w:r>
        <w:rPr>
          <w:noProof/>
        </w:rPr>
        <w:t xml:space="preserve">Această inițiativă nu este inclusă pe agenda REFIT. </w:t>
      </w:r>
    </w:p>
    <w:p>
      <w:pPr>
        <w:pStyle w:val="ManualHeading1"/>
        <w:rPr>
          <w:noProof/>
        </w:rPr>
      </w:pPr>
      <w:r>
        <w:rPr>
          <w:noProof/>
        </w:rPr>
        <w:t>4.</w:t>
      </w:r>
      <w:r>
        <w:rPr>
          <w:noProof/>
        </w:rPr>
        <w:tab/>
        <w:t>IMPLICAȚIILE BUGETARE</w:t>
      </w:r>
    </w:p>
    <w:p>
      <w:pPr>
        <w:pBdr>
          <w:top w:val="nil"/>
          <w:left w:val="nil"/>
          <w:bottom w:val="nil"/>
          <w:right w:val="nil"/>
          <w:between w:val="nil"/>
          <w:bar w:val="nil"/>
        </w:pBdr>
        <w:spacing w:before="0" w:after="240"/>
        <w:rPr>
          <w:noProof/>
        </w:rPr>
      </w:pPr>
      <w:r>
        <w:rPr>
          <w:noProof/>
        </w:rPr>
        <w:t>Sunt necesare numai resurse umane și administrative; acestea sunt prevăzute în fișa financiară legislativă.</w:t>
      </w:r>
    </w:p>
    <w:p>
      <w:pPr>
        <w:pBdr>
          <w:top w:val="nil"/>
          <w:left w:val="nil"/>
          <w:bottom w:val="nil"/>
          <w:right w:val="nil"/>
          <w:between w:val="nil"/>
          <w:bar w:val="nil"/>
        </w:pBdr>
        <w:spacing w:before="0" w:after="240"/>
        <w:rPr>
          <w:noProof/>
          <w:szCs w:val="24"/>
        </w:rPr>
      </w:pPr>
      <w:r>
        <w:rPr>
          <w:noProof/>
        </w:rPr>
        <w:t xml:space="preserve">Având în vedere considerațiile de mai sus, Comisia solicită Consiliului: </w:t>
      </w:r>
    </w:p>
    <w:p>
      <w:pPr>
        <w:pBdr>
          <w:top w:val="nil"/>
          <w:left w:val="nil"/>
          <w:bottom w:val="nil"/>
          <w:right w:val="nil"/>
          <w:between w:val="nil"/>
          <w:bar w:val="nil"/>
        </w:pBdr>
        <w:spacing w:before="0" w:after="240"/>
        <w:rPr>
          <w:rFonts w:eastAsia="Arial Unicode MS"/>
          <w:noProof/>
          <w:color w:val="008000"/>
          <w:szCs w:val="24"/>
        </w:rPr>
      </w:pPr>
      <w:r>
        <w:rPr>
          <w:noProof/>
        </w:rPr>
        <w:t xml:space="preserve">- să aprobe, în numele Uniunii, și cu acordul Parlamentului European, reînnoirea Acordului de cooperare în domeniul științei și al tehnologiei dintre Comunitatea Europeană și Ucraina pentru o perioadă suplimentară de cinci ani (adică de la 9/11/2019 până la 8/11/2024); precum și </w:t>
      </w:r>
    </w:p>
    <w:p>
      <w:pPr>
        <w:rPr>
          <w:noProof/>
          <w:szCs w:val="24"/>
        </w:rPr>
      </w:pPr>
      <w:r>
        <w:rPr>
          <w:noProof/>
        </w:rPr>
        <w:t>- să autorizeze președintele Consiliului să desemneze persoana împuternicită sau persoanele împuternicite să notifice Guvernului Ucrainei că Uniunea și-a încheiat procedurile interne necesare pentru intrarea în vigoare a acestui acord reînnoit.</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2020/0016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de reînnoire a Acordului de cooperare în domeniul științei și al tehnologiei dintre Comunitatea Europeană și Ucraina</w:t>
      </w:r>
    </w:p>
    <w:p>
      <w:pPr>
        <w:pStyle w:val="Institutionquiagit"/>
        <w:rPr>
          <w:noProof/>
        </w:rPr>
      </w:pPr>
      <w:r>
        <w:rPr>
          <w:noProof/>
        </w:rPr>
        <w:t>CONSILIUL UNIUNII EUROPENE,</w:t>
      </w:r>
    </w:p>
    <w:p>
      <w:pPr>
        <w:rPr>
          <w:noProof/>
        </w:rPr>
      </w:pPr>
      <w:r>
        <w:rPr>
          <w:noProof/>
        </w:rPr>
        <w:t>având în vedere Tratatul privind funcționarea Uniunii Europene, în special articolul 186, coroborat cu articolul 218 alineatul (6) litera (a) punctul (v),</w:t>
      </w:r>
    </w:p>
    <w:p>
      <w:pPr>
        <w:rPr>
          <w:noProof/>
        </w:rPr>
      </w:pPr>
      <w:r>
        <w:rPr>
          <w:noProof/>
        </w:rPr>
        <w:t>având în vedere propunerea Comisiei Europene,</w:t>
      </w:r>
    </w:p>
    <w:p>
      <w:pPr>
        <w:rPr>
          <w:noProof/>
        </w:rPr>
      </w:pPr>
      <w:r>
        <w:rPr>
          <w:noProof/>
        </w:rPr>
        <w:t>având în vedere acordul Parlamentului European</w:t>
      </w:r>
      <w:r>
        <w:rPr>
          <w:rStyle w:val="FootnoteReference"/>
          <w:noProof/>
        </w:rPr>
        <w:footnoteReference w:id="5"/>
      </w:r>
      <w:r>
        <w:rPr>
          <w:noProof/>
        </w:rPr>
        <w:t xml:space="preserve">, </w:t>
      </w:r>
    </w:p>
    <w:p>
      <w:pPr>
        <w:rPr>
          <w:noProof/>
        </w:rPr>
      </w:pPr>
      <w:r>
        <w:rPr>
          <w:noProof/>
        </w:rPr>
        <w:t>întrucât:</w:t>
      </w:r>
    </w:p>
    <w:p>
      <w:pPr>
        <w:pStyle w:val="ManualConsidrant"/>
        <w:rPr>
          <w:noProof/>
        </w:rPr>
      </w:pPr>
      <w:r>
        <w:t>(1)</w:t>
      </w:r>
      <w:r>
        <w:tab/>
      </w:r>
      <w:r>
        <w:rPr>
          <w:noProof/>
        </w:rPr>
        <w:t>Prin Decizia 2003/96/CE</w:t>
      </w:r>
      <w:r>
        <w:rPr>
          <w:rStyle w:val="FootnoteReference"/>
          <w:noProof/>
        </w:rPr>
        <w:footnoteReference w:id="6"/>
      </w:r>
      <w:r>
        <w:rPr>
          <w:noProof/>
        </w:rPr>
        <w:t xml:space="preserve"> din 6 februarie 2003, Consiliul a aprobat încheierea Acordului de cooperare în domeniul științei și al tehnologiei dintre Comunitatea Europeană și Ucraina</w:t>
      </w:r>
      <w:r>
        <w:rPr>
          <w:rStyle w:val="FootnoteReference"/>
          <w:noProof/>
        </w:rPr>
        <w:footnoteReference w:id="7"/>
      </w:r>
      <w:r>
        <w:rPr>
          <w:noProof/>
        </w:rPr>
        <w:t xml:space="preserve"> (denumit în continuare „acordul”). Acordul a fost semnat la Copenhaga la 4 iulie 2002 și a intrat în vigoare la 11 februarie 2003. </w:t>
      </w:r>
    </w:p>
    <w:p>
      <w:pPr>
        <w:pStyle w:val="ManualConsidrant"/>
        <w:rPr>
          <w:noProof/>
        </w:rPr>
      </w:pPr>
      <w:r>
        <w:t>(2)</w:t>
      </w:r>
      <w:r>
        <w:tab/>
      </w:r>
      <w:r>
        <w:rPr>
          <w:noProof/>
        </w:rPr>
        <w:t xml:space="preserve">La articolul 12 litera (b) din acord se prevede că acordul se încheie pentru o perioadă inițială care expiră la data de 31 decembrie 2002 și poate fi reînnoit prin acordul comun al UE și al Ucrainei („părțile”) pentru perioade suplimentare de câte cinci ani. </w:t>
      </w:r>
    </w:p>
    <w:p>
      <w:pPr>
        <w:pStyle w:val="ManualConsidrant"/>
        <w:rPr>
          <w:noProof/>
        </w:rPr>
      </w:pPr>
      <w:r>
        <w:t>(3)</w:t>
      </w:r>
      <w:r>
        <w:tab/>
      </w:r>
      <w:r>
        <w:rPr>
          <w:noProof/>
        </w:rPr>
        <w:t>Pe baza Deciziilor 2011/182/UE</w:t>
      </w:r>
      <w:r>
        <w:rPr>
          <w:rStyle w:val="FootnoteReference"/>
          <w:noProof/>
        </w:rPr>
        <w:footnoteReference w:id="8"/>
      </w:r>
      <w:r>
        <w:rPr>
          <w:noProof/>
        </w:rPr>
        <w:t xml:space="preserve"> și (UE) 2015/344</w:t>
      </w:r>
      <w:r>
        <w:rPr>
          <w:rStyle w:val="FootnoteReference"/>
          <w:noProof/>
        </w:rPr>
        <w:footnoteReference w:id="9"/>
      </w:r>
      <w:r>
        <w:rPr>
          <w:noProof/>
        </w:rPr>
        <w:t>, acordul a fost reînnoit de fiecare dată pentru perioade suplimentare de cinci ani, cu efect retroactiv de la 8 noiembrie 2009 și, respectiv, de la 8 noiembrie 2014. Acordul a expirat la 7 noiembrie 2019.</w:t>
      </w:r>
    </w:p>
    <w:p>
      <w:pPr>
        <w:pStyle w:val="ManualConsidrant"/>
        <w:rPr>
          <w:noProof/>
        </w:rPr>
      </w:pPr>
      <w:r>
        <w:t>(4)</w:t>
      </w:r>
      <w:r>
        <w:tab/>
      </w:r>
      <w:r>
        <w:rPr>
          <w:noProof/>
        </w:rPr>
        <w:t>Ucraina este un actor important în domeniul științei, tehnologiei și inovării (STI) în vecinătatea Uniunii.</w:t>
      </w:r>
      <w:r>
        <w:rPr>
          <w:noProof/>
          <w:color w:val="010202"/>
        </w:rPr>
        <w:t xml:space="preserve"> </w:t>
      </w:r>
      <w:r>
        <w:rPr>
          <w:noProof/>
        </w:rPr>
        <w:t xml:space="preserve">Pentru a facilita în continuare cooperarea în domeniile prioritare științifice și tehnologice comune (S&amp;T), ambele părți consideră că reînnoirea prezentului acord ar fi în interesul lor reciproc. </w:t>
      </w:r>
    </w:p>
    <w:p>
      <w:pPr>
        <w:pStyle w:val="ManualConsidrant"/>
        <w:rPr>
          <w:noProof/>
        </w:rPr>
      </w:pPr>
      <w:r>
        <w:t>(5)</w:t>
      </w:r>
      <w:r>
        <w:tab/>
      </w:r>
      <w:r>
        <w:rPr>
          <w:noProof/>
        </w:rPr>
        <w:t>Ambele părți și-au confirmat intenția de a reînnoi acordul cu o perioadă suplimentară de cinci ani. Conținutul acordului reînnoit trebuie să rămână identic cu conținutul acordului.</w:t>
      </w:r>
    </w:p>
    <w:p>
      <w:pPr>
        <w:pStyle w:val="ManualConsidrant"/>
        <w:rPr>
          <w:noProof/>
        </w:rPr>
      </w:pPr>
      <w:r>
        <w:t>(6)</w:t>
      </w:r>
      <w:r>
        <w:tab/>
      </w:r>
      <w:r>
        <w:rPr>
          <w:noProof/>
        </w:rPr>
        <w:t>Reînnoirea acordului trebuie aprobată în numele Uniunii,</w:t>
      </w:r>
    </w:p>
    <w:p>
      <w:pPr>
        <w:pStyle w:val="Formuledadoption"/>
        <w:rPr>
          <w:noProof/>
        </w:rPr>
      </w:pPr>
      <w:r>
        <w:rPr>
          <w:noProof/>
        </w:rPr>
        <w:lastRenderedPageBreak/>
        <w:t xml:space="preserve">ADOPTĂ PREZENTA DECIZIE: </w:t>
      </w:r>
    </w:p>
    <w:p>
      <w:pPr>
        <w:pStyle w:val="Titrearticle"/>
        <w:rPr>
          <w:noProof/>
        </w:rPr>
      </w:pPr>
      <w:r>
        <w:rPr>
          <w:noProof/>
        </w:rPr>
        <w:t>Articolul 1</w:t>
      </w:r>
    </w:p>
    <w:p>
      <w:pPr>
        <w:rPr>
          <w:noProof/>
        </w:rPr>
      </w:pPr>
      <w:r>
        <w:rPr>
          <w:noProof/>
        </w:rPr>
        <w:t>Reînnoirea Acordului de cooperare în domeniul științei și al tehnologiei dintre Comunitatea Europeană și Ucraina pentru o perioadă suplimentară de cinci ani se aprobă în numele Uniunii. Reînnoirea intră în vigoare la 8 noiembrie 2019.</w:t>
      </w:r>
    </w:p>
    <w:p>
      <w:pPr>
        <w:pStyle w:val="Titrearticle"/>
        <w:rPr>
          <w:noProof/>
        </w:rPr>
      </w:pPr>
      <w:r>
        <w:rPr>
          <w:noProof/>
        </w:rPr>
        <w:t>Articolul 2</w:t>
      </w:r>
    </w:p>
    <w:p>
      <w:pPr>
        <w:pStyle w:val="Titrearticle"/>
        <w:keepNext w:val="0"/>
        <w:jc w:val="both"/>
        <w:rPr>
          <w:i w:val="0"/>
          <w:noProof/>
        </w:rPr>
      </w:pPr>
      <w:r>
        <w:rPr>
          <w:i w:val="0"/>
          <w:noProof/>
        </w:rPr>
        <w:t>Președintele Consiliului este autorizat să desemneze persoana sau persoanele împuternicite, în numele Uniunii și în conformitate cu articolul 12 litera (a) din acord, să informeze Ucraina că Uniunea și-a finalizat procedurile interne necesare pentru intrarea în vigoare a acestui acord reînnoit.</w:t>
      </w:r>
    </w:p>
    <w:p>
      <w:pPr>
        <w:pStyle w:val="Titrearticle"/>
        <w:keepNext w:val="0"/>
        <w:rPr>
          <w:noProof/>
        </w:rPr>
      </w:pPr>
      <w:r>
        <w:rPr>
          <w:noProof/>
        </w:rPr>
        <w:t>Articolul 3</w:t>
      </w:r>
    </w:p>
    <w:p>
      <w:pPr>
        <w:rPr>
          <w:noProof/>
        </w:rPr>
      </w:pPr>
      <w:r>
        <w:rPr>
          <w:noProof/>
        </w:rPr>
        <w:t>Prezenta decizie intră în vigoare la data adoptării.</w:t>
      </w:r>
    </w:p>
    <w:p>
      <w:pPr>
        <w:keepNext/>
        <w:spacing w:before="360"/>
        <w:jc w:val="center"/>
        <w:rPr>
          <w:i/>
          <w:noProof/>
        </w:rPr>
      </w:pPr>
      <w:r>
        <w:rPr>
          <w:i/>
          <w:noProof/>
        </w:rPr>
        <w:t>Articolul 4</w:t>
      </w:r>
    </w:p>
    <w:p>
      <w:pPr>
        <w:rPr>
          <w:noProof/>
        </w:rPr>
      </w:pPr>
      <w:r>
        <w:rPr>
          <w:noProof/>
        </w:rPr>
        <w:t xml:space="preserve">Această decizie se publică în </w:t>
      </w:r>
      <w:r>
        <w:rPr>
          <w:i/>
          <w:iCs/>
          <w:noProof/>
        </w:rPr>
        <w:t>Jurnalul Oficial al Uniunii Europene</w:t>
      </w:r>
      <w:r>
        <w:rPr>
          <w:noProof/>
        </w:rPr>
        <w:t>.</w:t>
      </w:r>
    </w:p>
    <w:p>
      <w:pPr>
        <w:rPr>
          <w:noProof/>
        </w:rPr>
      </w:pP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FIȘĂ FINANCIARĂ LEGISLATIVĂ</w:t>
      </w:r>
    </w:p>
    <w:p>
      <w:pPr>
        <w:pStyle w:val="ManualHeading1"/>
        <w:rPr>
          <w:noProof/>
        </w:rPr>
      </w:pPr>
      <w:r>
        <w:rPr>
          <w:noProof/>
        </w:rPr>
        <w:t>1.</w:t>
      </w:r>
      <w:r>
        <w:rPr>
          <w:noProof/>
        </w:rPr>
        <w:tab/>
        <w:t xml:space="preserve">CADRUL PROPUNERII/INIȚIATIVEI </w:t>
      </w:r>
    </w:p>
    <w:p>
      <w:pPr>
        <w:pStyle w:val="ManualHeading2"/>
        <w:rPr>
          <w:b w:val="0"/>
          <w:noProof/>
        </w:rPr>
      </w:pPr>
      <w:r>
        <w:rPr>
          <w:noProof/>
        </w:rPr>
        <w:tab/>
      </w:r>
      <w:r>
        <w:rPr>
          <w:b w:val="0"/>
          <w:noProof/>
        </w:rPr>
        <w:t>1.1.</w:t>
      </w:r>
      <w:r>
        <w:rPr>
          <w:b w:val="0"/>
          <w:noProof/>
        </w:rPr>
        <w:tab/>
        <w:t xml:space="preserve">Titlul propunerii/inițiativei </w:t>
      </w:r>
    </w:p>
    <w:p>
      <w:pPr>
        <w:pStyle w:val="ManualHeading2"/>
        <w:rPr>
          <w:b w:val="0"/>
          <w:noProof/>
        </w:rPr>
      </w:pPr>
      <w:r>
        <w:rPr>
          <w:b w:val="0"/>
          <w:noProof/>
        </w:rPr>
        <w:tab/>
        <w:t>1.2.</w:t>
      </w:r>
      <w:r>
        <w:rPr>
          <w:b w:val="0"/>
          <w:noProof/>
        </w:rPr>
        <w:tab/>
        <w:t>Domeniul (domeniile) de politică în cauză în structura ABM/ABB</w:t>
      </w:r>
    </w:p>
    <w:p>
      <w:pPr>
        <w:pStyle w:val="ManualHeading2"/>
        <w:rPr>
          <w:b w:val="0"/>
          <w:noProof/>
        </w:rPr>
      </w:pPr>
      <w:r>
        <w:rPr>
          <w:b w:val="0"/>
          <w:noProof/>
        </w:rPr>
        <w:tab/>
        <w:t>1.3.</w:t>
      </w:r>
      <w:r>
        <w:rPr>
          <w:b w:val="0"/>
          <w:noProof/>
        </w:rPr>
        <w:tab/>
        <w:t xml:space="preserve">Tipul propunerii/inițiativei </w:t>
      </w:r>
    </w:p>
    <w:p>
      <w:pPr>
        <w:pStyle w:val="ManualHeading2"/>
        <w:rPr>
          <w:b w:val="0"/>
          <w:noProof/>
        </w:rPr>
      </w:pPr>
      <w:r>
        <w:rPr>
          <w:b w:val="0"/>
          <w:noProof/>
        </w:rPr>
        <w:tab/>
        <w:t>1.4.</w:t>
      </w:r>
      <w:r>
        <w:rPr>
          <w:b w:val="0"/>
          <w:noProof/>
        </w:rPr>
        <w:tab/>
        <w:t xml:space="preserve">Obiectiv(e) </w:t>
      </w:r>
    </w:p>
    <w:p>
      <w:pPr>
        <w:pStyle w:val="ManualHeading2"/>
        <w:rPr>
          <w:b w:val="0"/>
          <w:noProof/>
        </w:rPr>
      </w:pPr>
      <w:r>
        <w:rPr>
          <w:b w:val="0"/>
          <w:noProof/>
        </w:rPr>
        <w:tab/>
        <w:t>1.5.</w:t>
      </w:r>
      <w:r>
        <w:rPr>
          <w:b w:val="0"/>
          <w:noProof/>
        </w:rPr>
        <w:tab/>
        <w:t xml:space="preserve">Motivele propunerii/inițiativei </w:t>
      </w:r>
    </w:p>
    <w:p>
      <w:pPr>
        <w:pStyle w:val="ManualHeading2"/>
        <w:rPr>
          <w:b w:val="0"/>
          <w:noProof/>
        </w:rPr>
      </w:pPr>
      <w:r>
        <w:rPr>
          <w:b w:val="0"/>
          <w:noProof/>
        </w:rPr>
        <w:tab/>
        <w:t>1.6.</w:t>
      </w:r>
      <w:r>
        <w:rPr>
          <w:b w:val="0"/>
          <w:noProof/>
        </w:rPr>
        <w:tab/>
        <w:t xml:space="preserve">Durata și impactul financiar </w:t>
      </w:r>
    </w:p>
    <w:p>
      <w:pPr>
        <w:pStyle w:val="ManualHeading2"/>
        <w:rPr>
          <w:b w:val="0"/>
          <w:noProof/>
        </w:rPr>
      </w:pPr>
      <w:r>
        <w:rPr>
          <w:b w:val="0"/>
          <w:noProof/>
        </w:rPr>
        <w:tab/>
        <w:t>1.7.</w:t>
      </w:r>
      <w:r>
        <w:rPr>
          <w:b w:val="0"/>
          <w:noProof/>
        </w:rPr>
        <w:tab/>
        <w:t xml:space="preserve">Modul (modurile) de gestionare preconizat(e) </w:t>
      </w:r>
    </w:p>
    <w:p>
      <w:pPr>
        <w:pStyle w:val="ManualHeading1"/>
        <w:rPr>
          <w:noProof/>
        </w:rPr>
      </w:pPr>
      <w:r>
        <w:rPr>
          <w:noProof/>
        </w:rPr>
        <w:t>2.</w:t>
      </w:r>
      <w:r>
        <w:rPr>
          <w:noProof/>
        </w:rPr>
        <w:tab/>
        <w:t xml:space="preserve">MĂSURI DE GESTIONARE </w:t>
      </w:r>
    </w:p>
    <w:p>
      <w:pPr>
        <w:pStyle w:val="ManualHeading2"/>
        <w:rPr>
          <w:b w:val="0"/>
          <w:noProof/>
        </w:rPr>
      </w:pPr>
      <w:r>
        <w:rPr>
          <w:b w:val="0"/>
          <w:noProof/>
        </w:rPr>
        <w:tab/>
        <w:t>2.1.</w:t>
      </w:r>
      <w:r>
        <w:rPr>
          <w:b w:val="0"/>
          <w:noProof/>
        </w:rPr>
        <w:tab/>
        <w:t xml:space="preserve">Dispoziții în materie de monitorizare și de raportare </w:t>
      </w:r>
    </w:p>
    <w:p>
      <w:pPr>
        <w:pStyle w:val="ManualHeading2"/>
        <w:rPr>
          <w:b w:val="0"/>
          <w:noProof/>
        </w:rPr>
      </w:pPr>
      <w:r>
        <w:rPr>
          <w:b w:val="0"/>
          <w:noProof/>
        </w:rPr>
        <w:tab/>
        <w:t>2.2.</w:t>
      </w:r>
      <w:r>
        <w:rPr>
          <w:b w:val="0"/>
          <w:noProof/>
        </w:rPr>
        <w:tab/>
        <w:t xml:space="preserve">Sistemul de gestiune și control </w:t>
      </w:r>
    </w:p>
    <w:p>
      <w:pPr>
        <w:pStyle w:val="ManualHeading2"/>
        <w:rPr>
          <w:b w:val="0"/>
          <w:noProof/>
        </w:rPr>
      </w:pPr>
      <w:r>
        <w:rPr>
          <w:b w:val="0"/>
          <w:noProof/>
        </w:rPr>
        <w:tab/>
        <w:t>2.3.</w:t>
      </w:r>
      <w:r>
        <w:rPr>
          <w:b w:val="0"/>
          <w:noProof/>
        </w:rPr>
        <w:tab/>
        <w:t xml:space="preserve">Măsuri de prevenire a fraudelor și a neregulilor </w:t>
      </w:r>
    </w:p>
    <w:p>
      <w:pPr>
        <w:pStyle w:val="ManualHeading1"/>
        <w:rPr>
          <w:noProof/>
        </w:rPr>
      </w:pPr>
      <w:r>
        <w:rPr>
          <w:noProof/>
        </w:rPr>
        <w:t>3.</w:t>
      </w:r>
      <w:r>
        <w:rPr>
          <w:noProof/>
        </w:rPr>
        <w:tab/>
        <w:t xml:space="preserve">IMPACTUL FINANCIAR ESTIMAT AL PROPUNERII/INIȚIATIVEI </w:t>
      </w:r>
    </w:p>
    <w:p>
      <w:pPr>
        <w:pStyle w:val="ManualHeading2"/>
        <w:rPr>
          <w:b w:val="0"/>
          <w:noProof/>
        </w:rPr>
      </w:pPr>
      <w:r>
        <w:rPr>
          <w:b w:val="0"/>
          <w:noProof/>
        </w:rPr>
        <w:tab/>
        <w:t>3.1.</w:t>
      </w:r>
      <w:r>
        <w:rPr>
          <w:b w:val="0"/>
          <w:noProof/>
        </w:rPr>
        <w:tab/>
        <w:t xml:space="preserve">Rubrica (rubricile) din cadrul financiar multianual și linia (liniile) bugetară (bugetare) de cheltuieli afectată (afectate) </w:t>
      </w:r>
    </w:p>
    <w:p>
      <w:pPr>
        <w:pStyle w:val="ManualHeading2"/>
        <w:rPr>
          <w:noProof/>
        </w:rPr>
      </w:pPr>
      <w:r>
        <w:rPr>
          <w:b w:val="0"/>
          <w:noProof/>
        </w:rPr>
        <w:tab/>
        <w:t>3.2.</w:t>
      </w:r>
      <w:r>
        <w:rPr>
          <w:b w:val="0"/>
          <w:noProof/>
        </w:rPr>
        <w:tab/>
        <w:t>Impactul estimat asupra cheltuielilor</w:t>
      </w:r>
      <w:r>
        <w:rPr>
          <w:noProof/>
        </w:rPr>
        <w:t xml:space="preserve"> </w:t>
      </w:r>
    </w:p>
    <w:p>
      <w:pPr>
        <w:pStyle w:val="ManualHeading3"/>
        <w:rPr>
          <w:noProof/>
        </w:rPr>
      </w:pPr>
      <w:r>
        <w:rPr>
          <w:noProof/>
        </w:rPr>
        <w:tab/>
        <w:t>3.2.1.</w:t>
      </w:r>
      <w:r>
        <w:rPr>
          <w:noProof/>
        </w:rPr>
        <w:tab/>
        <w:t xml:space="preserve">Sinteza impactului estimat asupra cheltuielilor </w:t>
      </w:r>
    </w:p>
    <w:p>
      <w:pPr>
        <w:pStyle w:val="ManualHeading3"/>
        <w:rPr>
          <w:noProof/>
        </w:rPr>
      </w:pPr>
      <w:r>
        <w:rPr>
          <w:noProof/>
        </w:rPr>
        <w:tab/>
        <w:t>3.2.2.</w:t>
      </w:r>
      <w:r>
        <w:rPr>
          <w:noProof/>
        </w:rPr>
        <w:tab/>
        <w:t xml:space="preserve">Impactul estimat asupra creditelor operaționale </w:t>
      </w:r>
    </w:p>
    <w:p>
      <w:pPr>
        <w:pStyle w:val="ManualHeading3"/>
        <w:rPr>
          <w:noProof/>
        </w:rPr>
      </w:pPr>
      <w:r>
        <w:rPr>
          <w:noProof/>
        </w:rPr>
        <w:tab/>
        <w:t>3.2.3.</w:t>
      </w:r>
      <w:r>
        <w:rPr>
          <w:noProof/>
        </w:rPr>
        <w:tab/>
        <w:t>Impactul estimat asupra creditelor cu caracter administrativ</w:t>
      </w:r>
    </w:p>
    <w:p>
      <w:pPr>
        <w:pStyle w:val="ManualHeading3"/>
        <w:rPr>
          <w:noProof/>
        </w:rPr>
      </w:pPr>
      <w:r>
        <w:rPr>
          <w:noProof/>
        </w:rPr>
        <w:tab/>
        <w:t>3.2.4.</w:t>
      </w:r>
      <w:r>
        <w:rPr>
          <w:noProof/>
        </w:rPr>
        <w:tab/>
        <w:t>Compatibilitatea cu cadrul financiar multianual actual</w:t>
      </w:r>
    </w:p>
    <w:p>
      <w:pPr>
        <w:pStyle w:val="ManualHeading3"/>
        <w:rPr>
          <w:noProof/>
        </w:rPr>
      </w:pPr>
      <w:r>
        <w:rPr>
          <w:noProof/>
        </w:rPr>
        <w:tab/>
        <w:t>3.2.5.</w:t>
      </w:r>
      <w:r>
        <w:rPr>
          <w:noProof/>
        </w:rPr>
        <w:tab/>
        <w:t xml:space="preserve">Contribuțiile terților </w:t>
      </w:r>
    </w:p>
    <w:p>
      <w:pPr>
        <w:pStyle w:val="ManualHeading2"/>
        <w:jc w:val="left"/>
        <w:rPr>
          <w:b w:val="0"/>
          <w:noProof/>
        </w:rPr>
        <w:sectPr>
          <w:footnotePr>
            <w:numRestart w:val="eachSect"/>
          </w:footnotePr>
          <w:pgSz w:w="11907" w:h="16840" w:code="9"/>
          <w:pgMar w:top="1134" w:right="1418" w:bottom="1134" w:left="1418" w:header="709" w:footer="709" w:gutter="0"/>
          <w:cols w:space="708"/>
          <w:docGrid w:linePitch="360"/>
        </w:sectPr>
      </w:pPr>
      <w:r>
        <w:rPr>
          <w:b w:val="0"/>
          <w:noProof/>
        </w:rPr>
        <w:tab/>
        <w:t>3.3.</w:t>
      </w:r>
      <w:r>
        <w:rPr>
          <w:b w:val="0"/>
          <w:noProof/>
        </w:rPr>
        <w:tab/>
        <w:t>Impactul estimat asupra veniturilor</w:t>
      </w:r>
    </w:p>
    <w:p>
      <w:pPr>
        <w:jc w:val="center"/>
        <w:rPr>
          <w:noProof/>
        </w:rPr>
      </w:pPr>
      <w:r>
        <w:rPr>
          <w:b/>
          <w:noProof/>
          <w:u w:val="single"/>
        </w:rPr>
        <w:t>FIȘĂ FINANCIARĂ LEGISLATIVĂ</w:t>
      </w:r>
    </w:p>
    <w:p>
      <w:pPr>
        <w:pStyle w:val="ManualHeading1"/>
        <w:rPr>
          <w:noProof/>
        </w:rPr>
      </w:pPr>
      <w:r>
        <w:t>1.</w:t>
      </w:r>
      <w:r>
        <w:tab/>
      </w:r>
      <w:r>
        <w:rPr>
          <w:noProof/>
        </w:rPr>
        <w:t xml:space="preserve">CADRUL PROPUNERII/INIȚIATIVEI </w:t>
      </w:r>
    </w:p>
    <w:p>
      <w:pPr>
        <w:pStyle w:val="ManualHeading2"/>
        <w:rPr>
          <w:noProof/>
        </w:rPr>
      </w:pPr>
      <w:r>
        <w:t>1.1.</w:t>
      </w:r>
      <w:r>
        <w:tab/>
      </w:r>
      <w:r>
        <w:rPr>
          <w:noProof/>
        </w:rPr>
        <w:t xml:space="preserve">Titlul propunerii/inițiativei </w:t>
      </w:r>
    </w:p>
    <w:p>
      <w:pPr>
        <w:pStyle w:val="Text1"/>
        <w:pBdr>
          <w:top w:val="single" w:sz="4" w:space="1" w:color="auto"/>
          <w:left w:val="single" w:sz="4" w:space="4" w:color="auto"/>
          <w:bottom w:val="single" w:sz="4" w:space="1" w:color="auto"/>
          <w:right w:val="single" w:sz="4" w:space="4" w:color="auto"/>
        </w:pBdr>
        <w:rPr>
          <w:noProof/>
        </w:rPr>
      </w:pPr>
      <w:r>
        <w:rPr>
          <w:noProof/>
        </w:rPr>
        <w:t>Propunere de decizie a Consiliului privind reînnoirea Acordului de cooperare în domeniul științei și al tehnologiei dintre Comunitatea Europeană și Ucraina.</w:t>
      </w:r>
    </w:p>
    <w:p>
      <w:pPr>
        <w:pStyle w:val="ManualHeading2"/>
        <w:rPr>
          <w:noProof/>
          <w:szCs w:val="24"/>
        </w:rPr>
      </w:pPr>
      <w:r>
        <w:t>1.2.</w:t>
      </w:r>
      <w:r>
        <w:tab/>
      </w:r>
      <w:r>
        <w:rPr>
          <w:noProof/>
        </w:rPr>
        <w:t>Domeniul (domeniile) de politică în cauză în structura ABM/ABB</w:t>
      </w:r>
      <w:r>
        <w:rPr>
          <w:rStyle w:val="FootnoteReference"/>
          <w:noProof/>
        </w:rPr>
        <w:footnoteReference w:id="10"/>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sz w:val="23"/>
          <w:szCs w:val="23"/>
        </w:rPr>
        <w:t xml:space="preserve">Strategia politică și coordonarea, în special, a Secretariatului General, a Serviciului juridic, a Serviciului European de Acțiune Externă, a direcțiilor generale AGRI, BUDG, BUDG, CLIMA, CNECT, EAC, ENER, GROW, JRC, MARE și MOVE </w:t>
      </w:r>
    </w:p>
    <w:p>
      <w:pPr>
        <w:pStyle w:val="ManualHeading2"/>
        <w:rPr>
          <w:bCs/>
          <w:noProof/>
          <w:szCs w:val="24"/>
        </w:rPr>
      </w:pPr>
      <w:r>
        <w:t>1.3.</w:t>
      </w:r>
      <w:r>
        <w:tab/>
      </w:r>
      <w:r>
        <w:rPr>
          <w:noProof/>
        </w:rPr>
        <w:t xml:space="preserve">Tipul propunerii/inițiativei </w:t>
      </w:r>
    </w:p>
    <w:p>
      <w:pPr>
        <w:pStyle w:val="Text1"/>
        <w:rPr>
          <w:b/>
          <w:noProof/>
          <w:sz w:val="22"/>
        </w:rPr>
      </w:pPr>
      <w:r>
        <w:rPr>
          <w:noProof/>
          <w:sz w:val="22"/>
        </w:rPr>
        <w:sym w:font="Wingdings" w:char="F0A8"/>
      </w:r>
      <w:r>
        <w:rPr>
          <w:b/>
          <w:i/>
          <w:noProof/>
          <w:sz w:val="22"/>
        </w:rPr>
        <w:t xml:space="preserve"> </w:t>
      </w:r>
      <w:r>
        <w:rPr>
          <w:noProof/>
        </w:rPr>
        <w:t xml:space="preserve">Propunerea/inițiativa se referă la </w:t>
      </w:r>
      <w:r>
        <w:rPr>
          <w:b/>
          <w:bCs/>
          <w:noProof/>
        </w:rPr>
        <w:t>o acțiune nouă</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Propunerea/inițiativa se referă la o </w:t>
      </w:r>
      <w:r>
        <w:rPr>
          <w:b/>
          <w:bCs/>
          <w:noProof/>
        </w:rPr>
        <w:t>acțiune nouă ca urmare a unui proiect-pilot/a unei acțiuni pregătitoare</w:t>
      </w:r>
      <w:r>
        <w:rPr>
          <w:rStyle w:val="FootnoteReference"/>
          <w:b/>
          <w:noProof/>
        </w:rPr>
        <w:footnoteReference w:id="11"/>
      </w:r>
      <w:r>
        <w:rPr>
          <w:noProof/>
          <w:sz w:val="22"/>
        </w:rPr>
        <w:t xml:space="preserve"> </w:t>
      </w:r>
    </w:p>
    <w:p>
      <w:pPr>
        <w:pStyle w:val="Text1"/>
        <w:rPr>
          <w:noProof/>
          <w:sz w:val="22"/>
        </w:rPr>
      </w:pPr>
      <w:r>
        <w:rPr>
          <w:noProof/>
          <w:sz w:val="22"/>
        </w:rPr>
        <w:sym w:font="Wingdings" w:char="F0FE"/>
      </w:r>
      <w:r>
        <w:rPr>
          <w:i/>
          <w:noProof/>
          <w:sz w:val="22"/>
        </w:rPr>
        <w:t xml:space="preserve"> </w:t>
      </w:r>
      <w:r>
        <w:rPr>
          <w:noProof/>
        </w:rPr>
        <w:t xml:space="preserve">Propunerea/inițiativa se referă la </w:t>
      </w:r>
      <w:r>
        <w:rPr>
          <w:b/>
          <w:noProof/>
        </w:rPr>
        <w:t>prelungirea unei acțiuni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Propunerea/inițiativa se referă la </w:t>
      </w:r>
      <w:r>
        <w:rPr>
          <w:b/>
          <w:bCs/>
          <w:noProof/>
        </w:rPr>
        <w:t>o acțiune reorientată către o acțiune nouă</w:t>
      </w:r>
      <w:r>
        <w:rPr>
          <w:noProof/>
        </w:rPr>
        <w:t xml:space="preserve"> </w:t>
      </w:r>
    </w:p>
    <w:p>
      <w:pPr>
        <w:pStyle w:val="ManualHeading2"/>
        <w:rPr>
          <w:bCs/>
          <w:noProof/>
          <w:szCs w:val="24"/>
        </w:rPr>
      </w:pPr>
      <w:r>
        <w:t>1.4.</w:t>
      </w:r>
      <w:r>
        <w:tab/>
      </w:r>
      <w:r>
        <w:rPr>
          <w:noProof/>
        </w:rPr>
        <w:t>Obiectiv(e)</w:t>
      </w:r>
    </w:p>
    <w:p>
      <w:pPr>
        <w:pStyle w:val="ManualHeading3"/>
        <w:rPr>
          <w:noProof/>
        </w:rPr>
      </w:pPr>
      <w:r>
        <w:t>1.4.1.</w:t>
      </w:r>
      <w:r>
        <w:tab/>
      </w:r>
      <w:r>
        <w:rPr>
          <w:noProof/>
        </w:rPr>
        <w:t xml:space="preserve">Obiectiv(e) strategic(e) multianual(e) al(e) Comisiei vizat(e) de propunere/inițiativă </w:t>
      </w:r>
    </w:p>
    <w:p>
      <w:pPr>
        <w:pStyle w:val="Text1"/>
        <w:pBdr>
          <w:top w:val="single" w:sz="4" w:space="1" w:color="auto"/>
          <w:left w:val="single" w:sz="4" w:space="4" w:color="auto"/>
          <w:bottom w:val="single" w:sz="4" w:space="1" w:color="auto"/>
          <w:right w:val="single" w:sz="4" w:space="4" w:color="auto"/>
        </w:pBdr>
        <w:rPr>
          <w:noProof/>
        </w:rPr>
      </w:pPr>
      <w:r>
        <w:rPr>
          <w:noProof/>
          <w:sz w:val="23"/>
          <w:szCs w:val="23"/>
        </w:rPr>
        <w:t>Prezenta inițiativă va permite ambelor părți să își amelioreze și să își intensifice cooperarea în domeniile științifice și tehnologice de interes comun.</w:t>
      </w:r>
      <w:r>
        <w:rPr>
          <w:noProof/>
        </w:rPr>
        <w:t xml:space="preserve"> </w:t>
      </w:r>
      <w:r>
        <w:rPr>
          <w:noProof/>
          <w:sz w:val="23"/>
          <w:szCs w:val="23"/>
        </w:rPr>
        <w:t>În cadrul reuniunii Comitetului mixt de cooperare în domeniul științei și tehnologiei UE-Ucraina instituit prin acord, reuniune care a avut loc la Kiev la 29 ianuarie 2019, cele două părți au luat act de intenția lor de a reînnoi acordul pentru o perioadă suplimentară de cinci ani.</w:t>
      </w:r>
    </w:p>
    <w:p>
      <w:pPr>
        <w:pStyle w:val="ManualHeading3"/>
        <w:rPr>
          <w:bCs/>
          <w:noProof/>
          <w:szCs w:val="24"/>
        </w:rPr>
      </w:pPr>
      <w:r>
        <w:t>1.4.2.</w:t>
      </w:r>
      <w:r>
        <w:tab/>
      </w:r>
      <w:r>
        <w:rPr>
          <w:noProof/>
        </w:rPr>
        <w:t xml:space="preserve">Obiectiv(e) specific(e) și activitatea (activitățile) ABM/ABB în cauză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Obiectivul specific nr.</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Prezenta decizie va permite ambelor părți să își amelioreze cooperarea și să își dezvolte și mai mult parteneriatul strategic, prin creșterea anvergurii și a domeniului de aplicare al cooperării existente, abordând provocările globale prin promovarea accesului reciproc la programe și finanțare.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Activitatea (activitățile) ABM/ABB în cauză</w:t>
      </w:r>
    </w:p>
    <w:p>
      <w:pPr>
        <w:pStyle w:val="Text1"/>
        <w:pBdr>
          <w:top w:val="single" w:sz="4" w:space="1" w:color="auto"/>
          <w:left w:val="single" w:sz="4" w:space="4" w:color="auto"/>
          <w:bottom w:val="single" w:sz="4" w:space="1" w:color="auto"/>
          <w:right w:val="single" w:sz="4" w:space="4" w:color="auto"/>
        </w:pBdr>
        <w:rPr>
          <w:bCs/>
          <w:noProof/>
          <w:szCs w:val="24"/>
        </w:rPr>
      </w:pPr>
      <w:r>
        <w:rPr>
          <w:noProof/>
        </w:rPr>
        <w:br w:type="page"/>
        <w:t>Rezultatul (rezultatele) și impactul preconizate</w:t>
      </w:r>
    </w:p>
    <w:p>
      <w:pPr>
        <w:pStyle w:val="Text1"/>
        <w:rPr>
          <w:i/>
          <w:noProof/>
          <w:sz w:val="20"/>
        </w:rPr>
      </w:pPr>
      <w:r>
        <w:rPr>
          <w:i/>
          <w:noProof/>
          <w:sz w:val="20"/>
        </w:rPr>
        <w:t>A se preciza efectele pe care propunerea/inițiativa ar trebui să le aibă asupra beneficiarilor vizați/ grupurilor vizate.</w:t>
      </w:r>
    </w:p>
    <w:p>
      <w:pPr>
        <w:pStyle w:val="Text1"/>
        <w:pBdr>
          <w:top w:val="single" w:sz="4" w:space="1" w:color="auto"/>
          <w:left w:val="single" w:sz="4" w:space="4" w:color="auto"/>
          <w:bottom w:val="single" w:sz="4" w:space="1" w:color="auto"/>
          <w:right w:val="single" w:sz="4" w:space="4" w:color="auto"/>
        </w:pBdr>
        <w:rPr>
          <w:noProof/>
        </w:rPr>
      </w:pPr>
      <w:r>
        <w:rPr>
          <w:noProof/>
        </w:rPr>
        <w:t>Prezenta decizie va permite atât Uniunii, cât și Ucrainei să obțină beneficii comune ca urmare a progreselor științifice și tehnice realizate prin intermediul activităților de cooperare în curs. Decizia va permite schimbul de cunoștințe specifice și transferul de know-how în beneficiul comunității științifice, al industriei și al cetățenilor ambelor părți.</w:t>
      </w:r>
    </w:p>
    <w:p>
      <w:pPr>
        <w:pStyle w:val="ManualHeading3"/>
        <w:rPr>
          <w:bCs/>
          <w:noProof/>
          <w:szCs w:val="24"/>
        </w:rPr>
      </w:pPr>
      <w:r>
        <w:t>1.4.3.</w:t>
      </w:r>
      <w:r>
        <w:tab/>
      </w:r>
      <w:r>
        <w:rPr>
          <w:noProof/>
        </w:rPr>
        <w:t xml:space="preserve">Indicatori de rezultat și de impact </w:t>
      </w:r>
    </w:p>
    <w:p>
      <w:pPr>
        <w:pStyle w:val="Text1"/>
        <w:rPr>
          <w:i/>
          <w:noProof/>
          <w:sz w:val="20"/>
        </w:rPr>
      </w:pPr>
      <w:r>
        <w:rPr>
          <w:i/>
          <w:noProof/>
          <w:sz w:val="20"/>
        </w:rPr>
        <w:t>A se preciza indicatorii care permit monitorizarea punerii în aplicare a propunerii/inițiativei.</w:t>
      </w:r>
    </w:p>
    <w:p>
      <w:pPr>
        <w:pBdr>
          <w:top w:val="single" w:sz="4" w:space="1" w:color="auto"/>
          <w:left w:val="single" w:sz="4" w:space="4" w:color="auto"/>
          <w:bottom w:val="single" w:sz="4" w:space="1" w:color="auto"/>
          <w:right w:val="single" w:sz="4" w:space="4" w:color="auto"/>
        </w:pBdr>
        <w:rPr>
          <w:noProof/>
          <w:szCs w:val="24"/>
        </w:rPr>
      </w:pPr>
      <w:r>
        <w:rPr>
          <w:noProof/>
        </w:rPr>
        <w:t>Comisia va monitoriza cu regularitate toate acțiunile desfășurate în temeiul acordului, inclusiv activitățile de cooperare. Această evaluare va acoperi, printre altele, următoarele aspecte:</w:t>
      </w:r>
    </w:p>
    <w:p>
      <w:pPr>
        <w:pBdr>
          <w:top w:val="single" w:sz="4" w:space="1" w:color="auto"/>
          <w:left w:val="single" w:sz="4" w:space="4" w:color="auto"/>
          <w:bottom w:val="single" w:sz="4" w:space="1" w:color="auto"/>
          <w:right w:val="single" w:sz="4" w:space="4" w:color="auto"/>
        </w:pBdr>
        <w:rPr>
          <w:noProof/>
          <w:szCs w:val="24"/>
        </w:rPr>
      </w:pPr>
      <w:r>
        <w:rPr>
          <w:noProof/>
        </w:rPr>
        <w:t>(a) indicatorii de cooperare — analiza volumului și tipului participării entităților ucrainene la programele finanțate de UE (de exemplu, numărul propunerilor, numărul acordurilor de grant semnate, principalele legături de colaborare, principalele teme; rezultatele generate) și vice-versa (ori de câte ori sunt disponibile date);</w:t>
      </w:r>
    </w:p>
    <w:p>
      <w:pPr>
        <w:pBdr>
          <w:top w:val="single" w:sz="4" w:space="1" w:color="auto"/>
          <w:left w:val="single" w:sz="4" w:space="4" w:color="auto"/>
          <w:bottom w:val="single" w:sz="4" w:space="1" w:color="auto"/>
          <w:right w:val="single" w:sz="4" w:space="4" w:color="auto"/>
        </w:pBdr>
        <w:rPr>
          <w:noProof/>
          <w:szCs w:val="24"/>
        </w:rPr>
      </w:pPr>
      <w:r>
        <w:rPr>
          <w:noProof/>
        </w:rPr>
        <w:t>(b) indicatorii de performanță — rata de succes a entităților ucrainene care participă la programe-cadru ale UE comparativ cu alte țări care nu sunt membre ale UE și cu statele membre; analiza calității participării (de exemplu, numărul celor mai bine clasate universități care participă la program, numărul de brevete și publicații rezultate din proiecte în colaborare);</w:t>
      </w:r>
    </w:p>
    <w:p>
      <w:pPr>
        <w:pBdr>
          <w:top w:val="single" w:sz="4" w:space="1" w:color="auto"/>
          <w:left w:val="single" w:sz="4" w:space="4" w:color="auto"/>
          <w:bottom w:val="single" w:sz="4" w:space="1" w:color="auto"/>
          <w:right w:val="single" w:sz="4" w:space="4" w:color="auto"/>
        </w:pBdr>
        <w:rPr>
          <w:noProof/>
          <w:szCs w:val="24"/>
        </w:rPr>
      </w:pPr>
      <w:r>
        <w:rPr>
          <w:noProof/>
        </w:rPr>
        <w:t>(c) colectarea datelor referitoare la activitățile de cooperare și la legăturile care depășesc respectivele programe de finanțare a cercetării, precum și evaluarea impactului acestor activități, cum ar fi participarea la inițiative multilaterale și la grupuri de lucru.</w:t>
      </w:r>
    </w:p>
    <w:p>
      <w:pPr>
        <w:pStyle w:val="ManualHeading2"/>
        <w:rPr>
          <w:bCs/>
          <w:noProof/>
          <w:szCs w:val="24"/>
        </w:rPr>
      </w:pPr>
      <w:r>
        <w:t>1.5.</w:t>
      </w:r>
      <w:r>
        <w:tab/>
      </w:r>
      <w:r>
        <w:rPr>
          <w:noProof/>
        </w:rPr>
        <w:t xml:space="preserve">Motivele propunerii/inițiativei </w:t>
      </w:r>
    </w:p>
    <w:p>
      <w:pPr>
        <w:pStyle w:val="ManualHeading3"/>
        <w:rPr>
          <w:noProof/>
        </w:rPr>
      </w:pPr>
      <w:r>
        <w:t>1.5.1.</w:t>
      </w:r>
      <w:r>
        <w:tab/>
      </w:r>
      <w:r>
        <w:rPr>
          <w:noProof/>
        </w:rPr>
        <w:t xml:space="preserve">Cerință (cerințe) de îndeplinit pe termen scurt sau lung </w:t>
      </w:r>
    </w:p>
    <w:p>
      <w:pPr>
        <w:pStyle w:val="Text1"/>
        <w:pBdr>
          <w:top w:val="single" w:sz="4" w:space="1" w:color="auto"/>
          <w:left w:val="single" w:sz="4" w:space="4" w:color="auto"/>
          <w:bottom w:val="single" w:sz="4" w:space="1" w:color="auto"/>
          <w:right w:val="single" w:sz="4" w:space="4" w:color="auto"/>
        </w:pBdr>
        <w:rPr>
          <w:noProof/>
          <w:szCs w:val="24"/>
        </w:rPr>
      </w:pPr>
      <w:r>
        <w:rPr>
          <w:noProof/>
        </w:rPr>
        <w:t>Prezenta decizie va permite ambelor părți să continue să îmbunătățească și să intensifice cooperarea în domenii științifice și tehnologice cu avantaje reciproce.</w:t>
      </w:r>
    </w:p>
    <w:p>
      <w:pPr>
        <w:pStyle w:val="ManualHeading3"/>
        <w:rPr>
          <w:bCs/>
          <w:noProof/>
          <w:szCs w:val="24"/>
        </w:rPr>
      </w:pPr>
      <w:r>
        <w:t>1.5.2.</w:t>
      </w:r>
      <w:r>
        <w:tab/>
      </w:r>
      <w:r>
        <w:rPr>
          <w:noProof/>
        </w:rPr>
        <w:t>Valoarea adăugată a implicării UE</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Cooperarea în domeniul cercetării și inovării dintre UE și Ucraina a cunoscut o intensificare constantă în ultimii ani. Implicarea UE permite desfășurarea unor activități cu o acoperire și un domeniu de aplicare mai mare în beneficiul tuturor statelor membre. Reînnoirea acestui acord va permite un acces mai bun al UE la cunoștințele științifice produse în Ucraina, permițându-i totodată să se angajeze în mai multe activități de cooperare care conduc la schimburi suplimentare de cunoștințe și tehnologii. </w:t>
      </w:r>
    </w:p>
    <w:p>
      <w:pPr>
        <w:pStyle w:val="ManualHeading3"/>
        <w:rPr>
          <w:bCs/>
          <w:noProof/>
          <w:szCs w:val="24"/>
        </w:rPr>
      </w:pPr>
      <w:r>
        <w:t>1.5.3.</w:t>
      </w:r>
      <w:r>
        <w:tab/>
      </w:r>
      <w:r>
        <w:rPr>
          <w:noProof/>
        </w:rPr>
        <w:t>Învățăminte desprinse din experiențe anterioare similare</w:t>
      </w:r>
    </w:p>
    <w:p>
      <w:pPr>
        <w:pStyle w:val="Text1"/>
        <w:pBdr>
          <w:top w:val="single" w:sz="4" w:space="1" w:color="auto"/>
          <w:left w:val="single" w:sz="4" w:space="4" w:color="auto"/>
          <w:bottom w:val="single" w:sz="4" w:space="1" w:color="auto"/>
          <w:right w:val="single" w:sz="4" w:space="4" w:color="auto"/>
        </w:pBdr>
        <w:rPr>
          <w:noProof/>
          <w:szCs w:val="24"/>
        </w:rPr>
      </w:pPr>
      <w:r>
        <w:rPr>
          <w:noProof/>
        </w:rPr>
        <w:t>Pe baza experiențelor anterioare din domeniul cooperării științifice și tehnologice, se consideră că este reciproc avantajos să fie continuată cooperarea cu Ucraina în domeniul cercetării, în calitate de partener strategic al UE în domeniul cercetării și inovării.</w:t>
      </w:r>
    </w:p>
    <w:p>
      <w:pPr>
        <w:pStyle w:val="ManualHeading3"/>
        <w:rPr>
          <w:bCs/>
          <w:noProof/>
          <w:szCs w:val="24"/>
        </w:rPr>
      </w:pPr>
      <w:r>
        <w:t>1.5.4.</w:t>
      </w:r>
      <w:r>
        <w:tab/>
      </w:r>
      <w:r>
        <w:rPr>
          <w:noProof/>
        </w:rPr>
        <w:t>Compatibilitatea și posibila sinergie cu alte instrumente corespunzătoare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Reînnoirea acordului cu Ucraina este considerată pe deplin conformă cu cadrul politic general privind cooperarea internațională în domeniul cercetării și al inovării [COM(2012)497]. </w:t>
      </w:r>
    </w:p>
    <w:p>
      <w:pPr>
        <w:pStyle w:val="ManualHeading2"/>
        <w:rPr>
          <w:bCs/>
          <w:noProof/>
          <w:szCs w:val="24"/>
        </w:rPr>
      </w:pPr>
      <w:r>
        <w:rPr>
          <w:noProof/>
        </w:rPr>
        <w:br w:type="page"/>
      </w:r>
      <w:r>
        <w:t>1.6.</w:t>
      </w:r>
      <w:r>
        <w:tab/>
      </w:r>
      <w:r>
        <w:rPr>
          <w:noProof/>
        </w:rPr>
        <w:t xml:space="preserve">Durata și impactul financiar </w:t>
      </w:r>
    </w:p>
    <w:p>
      <w:pPr>
        <w:pStyle w:val="Text1"/>
        <w:rPr>
          <w:noProof/>
        </w:rPr>
      </w:pPr>
      <w:r>
        <w:rPr>
          <w:noProof/>
        </w:rPr>
        <w:sym w:font="Wingdings" w:char="F0FE"/>
      </w:r>
      <w:r>
        <w:rPr>
          <w:b/>
          <w:i/>
          <w:noProof/>
        </w:rPr>
        <w:t xml:space="preserve"> </w:t>
      </w:r>
      <w:r>
        <w:rPr>
          <w:noProof/>
        </w:rPr>
        <w:t xml:space="preserve">Propunere/inițiativă cu </w:t>
      </w:r>
      <w:r>
        <w:rPr>
          <w:b/>
          <w:noProof/>
        </w:rPr>
        <w:t xml:space="preserve">durată limitată </w:t>
      </w:r>
    </w:p>
    <w:p>
      <w:pPr>
        <w:pStyle w:val="ListDash2"/>
        <w:rPr>
          <w:noProof/>
        </w:rPr>
      </w:pPr>
      <w:r>
        <w:rPr>
          <w:noProof/>
        </w:rPr>
        <w:sym w:font="Wingdings" w:char="F0FE"/>
      </w:r>
      <w:r>
        <w:rPr>
          <w:noProof/>
        </w:rPr>
        <w:t xml:space="preserve"> Propunere/inițiativă în vigoare din [ZZ/LL]AAAA până la [ZZ/LL]AAAA </w:t>
      </w:r>
    </w:p>
    <w:p>
      <w:pPr>
        <w:pStyle w:val="ListDash2"/>
        <w:rPr>
          <w:noProof/>
        </w:rPr>
      </w:pPr>
      <w:r>
        <w:rPr>
          <w:noProof/>
        </w:rPr>
        <w:sym w:font="Wingdings" w:char="F0FE"/>
      </w:r>
      <w:r>
        <w:rPr>
          <w:noProof/>
        </w:rPr>
        <w:t xml:space="preserve"> Impact financiar din AAAA până în AAAA </w:t>
      </w:r>
    </w:p>
    <w:p>
      <w:pPr>
        <w:pStyle w:val="Text1"/>
        <w:rPr>
          <w:noProof/>
        </w:rPr>
      </w:pPr>
      <w:r>
        <w:rPr>
          <w:noProof/>
        </w:rPr>
        <w:sym w:font="Wingdings" w:char="F0A8"/>
      </w:r>
      <w:r>
        <w:rPr>
          <w:b/>
          <w:i/>
          <w:noProof/>
        </w:rPr>
        <w:t xml:space="preserve"> </w:t>
      </w:r>
      <w:r>
        <w:rPr>
          <w:noProof/>
        </w:rPr>
        <w:t xml:space="preserve">Propunere/inițiativă cu </w:t>
      </w:r>
      <w:r>
        <w:rPr>
          <w:b/>
          <w:noProof/>
        </w:rPr>
        <w:t>durată nelimitată</w:t>
      </w:r>
    </w:p>
    <w:p>
      <w:pPr>
        <w:pStyle w:val="ListDash1"/>
        <w:rPr>
          <w:noProof/>
        </w:rPr>
      </w:pPr>
      <w:r>
        <w:rPr>
          <w:noProof/>
        </w:rPr>
        <w:t>Punere în aplicare cu o perioadă de creștere în intensitate din AAAA până în AAAA,</w:t>
      </w:r>
    </w:p>
    <w:p>
      <w:pPr>
        <w:pStyle w:val="ListDash1"/>
        <w:rPr>
          <w:noProof/>
        </w:rPr>
      </w:pPr>
      <w:r>
        <w:rPr>
          <w:noProof/>
        </w:rPr>
        <w:t>urmată de o perioadă de funcționare la capacitate maximă.</w:t>
      </w:r>
    </w:p>
    <w:p>
      <w:pPr>
        <w:pStyle w:val="ManualHeading2"/>
        <w:rPr>
          <w:bCs/>
          <w:noProof/>
          <w:szCs w:val="24"/>
        </w:rPr>
      </w:pPr>
      <w:r>
        <w:t>1.7.</w:t>
      </w:r>
      <w:r>
        <w:tab/>
      </w:r>
      <w:r>
        <w:rPr>
          <w:noProof/>
        </w:rPr>
        <w:t>Modul (modurile) de gestionare preconizat(e)</w:t>
      </w:r>
      <w:r>
        <w:rPr>
          <w:rStyle w:val="FootnoteReference"/>
          <w:noProof/>
        </w:rPr>
        <w:footnoteReference w:id="12"/>
      </w:r>
    </w:p>
    <w:p>
      <w:pPr>
        <w:pStyle w:val="Text1"/>
        <w:rPr>
          <w:noProof/>
        </w:rPr>
      </w:pPr>
      <w:r>
        <w:rPr>
          <w:noProof/>
        </w:rPr>
        <w:sym w:font="Wingdings" w:char="F0FE"/>
      </w:r>
      <w:r>
        <w:rPr>
          <w:i/>
          <w:noProof/>
        </w:rPr>
        <w:t xml:space="preserve"> </w:t>
      </w:r>
      <w:r>
        <w:rPr>
          <w:b/>
          <w:noProof/>
        </w:rPr>
        <w:t>Gestiune directă</w:t>
      </w:r>
      <w:r>
        <w:rPr>
          <w:noProof/>
        </w:rPr>
        <w:t xml:space="preserve"> asigurată de Comisie</w:t>
      </w:r>
    </w:p>
    <w:p>
      <w:pPr>
        <w:pStyle w:val="ListDash2"/>
        <w:rPr>
          <w:rFonts w:cs="EUAlbertina"/>
          <w:noProof/>
        </w:rPr>
      </w:pPr>
      <w:r>
        <w:rPr>
          <w:noProof/>
        </w:rPr>
        <w:sym w:font="Wingdings" w:char="F0A8"/>
      </w:r>
      <w:r>
        <w:rPr>
          <w:noProof/>
        </w:rPr>
        <w:t xml:space="preserve"> prin intermediul departamentelor sale, inclusiv al personalului din delegațiile Uniunii; </w:t>
      </w:r>
    </w:p>
    <w:p>
      <w:pPr>
        <w:pStyle w:val="ListDash2"/>
        <w:rPr>
          <w:noProof/>
        </w:rPr>
      </w:pPr>
      <w:r>
        <w:rPr>
          <w:noProof/>
        </w:rPr>
        <w:sym w:font="Wingdings" w:char="F0A8"/>
      </w:r>
      <w:r>
        <w:rPr>
          <w:noProof/>
        </w:rPr>
        <w:t xml:space="preserve"> prin intermediul agențiilor executive </w:t>
      </w:r>
    </w:p>
    <w:p>
      <w:pPr>
        <w:pStyle w:val="Text1"/>
        <w:rPr>
          <w:noProof/>
        </w:rPr>
      </w:pPr>
      <w:r>
        <w:rPr>
          <w:noProof/>
        </w:rPr>
        <w:sym w:font="Wingdings" w:char="F0A8"/>
      </w:r>
      <w:r>
        <w:rPr>
          <w:b/>
          <w:i/>
          <w:noProof/>
        </w:rPr>
        <w:t xml:space="preserve"> </w:t>
      </w:r>
      <w:r>
        <w:rPr>
          <w:b/>
          <w:noProof/>
        </w:rPr>
        <w:t>Gestiune partajată</w:t>
      </w:r>
      <w:r>
        <w:rPr>
          <w:noProof/>
        </w:rPr>
        <w:t xml:space="preserve"> cu statele membre </w:t>
      </w:r>
    </w:p>
    <w:p>
      <w:pPr>
        <w:pStyle w:val="Text1"/>
        <w:rPr>
          <w:noProof/>
        </w:rPr>
      </w:pPr>
      <w:r>
        <w:rPr>
          <w:noProof/>
        </w:rPr>
        <w:sym w:font="Wingdings" w:char="F0A8"/>
      </w:r>
      <w:r>
        <w:rPr>
          <w:i/>
          <w:noProof/>
        </w:rPr>
        <w:t xml:space="preserve"> </w:t>
      </w:r>
      <w:r>
        <w:rPr>
          <w:b/>
          <w:noProof/>
        </w:rPr>
        <w:t>Gestiune indirectă</w:t>
      </w:r>
      <w:r>
        <w:rPr>
          <w:noProof/>
        </w:rPr>
        <w:t xml:space="preserve"> cu delegarea sarcinilor de execuție bugetară:</w:t>
      </w:r>
    </w:p>
    <w:p>
      <w:pPr>
        <w:pStyle w:val="ListDash2"/>
        <w:rPr>
          <w:noProof/>
        </w:rPr>
      </w:pPr>
      <w:r>
        <w:rPr>
          <w:noProof/>
        </w:rPr>
        <w:sym w:font="Wingdings" w:char="F0A8"/>
      </w:r>
      <w:r>
        <w:rPr>
          <w:noProof/>
        </w:rPr>
        <w:t xml:space="preserve"> țărilor terțe sau organismelor pe care le-au desemnat acestea;</w:t>
      </w:r>
    </w:p>
    <w:p>
      <w:pPr>
        <w:pStyle w:val="ListDash2"/>
        <w:rPr>
          <w:noProof/>
        </w:rPr>
      </w:pPr>
      <w:r>
        <w:rPr>
          <w:noProof/>
        </w:rPr>
        <w:sym w:font="Wingdings" w:char="F0A8"/>
      </w:r>
      <w:r>
        <w:rPr>
          <w:noProof/>
        </w:rPr>
        <w:t xml:space="preserve"> organizațiilor internaționale și agențiilor acestora (a se preciza);</w:t>
      </w:r>
    </w:p>
    <w:p>
      <w:pPr>
        <w:pStyle w:val="ListDash2"/>
        <w:rPr>
          <w:noProof/>
        </w:rPr>
      </w:pPr>
      <w:r>
        <w:rPr>
          <w:noProof/>
        </w:rPr>
        <w:sym w:font="Wingdings" w:char="F0A8"/>
      </w:r>
      <w:r>
        <w:rPr>
          <w:noProof/>
        </w:rPr>
        <w:t xml:space="preserve"> BEI și Fondului european de investiții;</w:t>
      </w:r>
    </w:p>
    <w:p>
      <w:pPr>
        <w:pStyle w:val="ListDash2"/>
        <w:rPr>
          <w:noProof/>
        </w:rPr>
      </w:pPr>
      <w:r>
        <w:rPr>
          <w:noProof/>
        </w:rPr>
        <w:sym w:font="Wingdings" w:char="F0A8"/>
      </w:r>
      <w:r>
        <w:rPr>
          <w:noProof/>
        </w:rPr>
        <w:t xml:space="preserve"> organismelor menționate la articolele 208 și 209 din Regulamentul financiar;</w:t>
      </w:r>
    </w:p>
    <w:p>
      <w:pPr>
        <w:pStyle w:val="ListDash2"/>
        <w:rPr>
          <w:noProof/>
        </w:rPr>
      </w:pPr>
      <w:r>
        <w:rPr>
          <w:noProof/>
        </w:rPr>
        <w:sym w:font="Wingdings" w:char="F0A8"/>
      </w:r>
      <w:r>
        <w:rPr>
          <w:noProof/>
        </w:rPr>
        <w:t xml:space="preserve"> organismelor de drept public;</w:t>
      </w:r>
    </w:p>
    <w:p>
      <w:pPr>
        <w:pStyle w:val="ListDash2"/>
        <w:rPr>
          <w:noProof/>
        </w:rPr>
      </w:pPr>
      <w:r>
        <w:rPr>
          <w:noProof/>
        </w:rPr>
        <w:sym w:font="Wingdings" w:char="F0A8"/>
      </w:r>
      <w:r>
        <w:rPr>
          <w:noProof/>
        </w:rPr>
        <w:t xml:space="preserve"> organismelor de drept privat cu misiune de serviciu public, în măsura în care acestea prezintă garanții financiare adecvate;</w:t>
      </w:r>
    </w:p>
    <w:p>
      <w:pPr>
        <w:pStyle w:val="ListDash2"/>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ListDash2"/>
        <w:rPr>
          <w:noProof/>
        </w:rPr>
      </w:pPr>
      <w:r>
        <w:rPr>
          <w:noProof/>
        </w:rPr>
        <w:sym w:font="Wingdings" w:char="F0A8"/>
      </w:r>
      <w:r>
        <w:rPr>
          <w:noProof/>
        </w:rPr>
        <w:t xml:space="preserve"> persoanelor cărora li se încredințează executarea unor acțiuni specifice în cadrul PESC, în temeiul titlului V din TUE, și care sunt identificate în actul de bază relevant.</w:t>
      </w:r>
    </w:p>
    <w:p>
      <w:pPr>
        <w:pStyle w:val="ListDash2"/>
        <w:rPr>
          <w:i/>
          <w:noProof/>
          <w:sz w:val="18"/>
          <w:u w:val="single"/>
        </w:rPr>
      </w:pPr>
      <w:r>
        <w:rPr>
          <w:i/>
          <w:noProof/>
          <w:sz w:val="18"/>
        </w:rPr>
        <w:t>Dacă se indică mai multe moduri de gestiune, a se furniza detalii suplimentare în secțiunea „Observații“.</w:t>
      </w:r>
    </w:p>
    <w:p>
      <w:pPr>
        <w:rPr>
          <w:noProof/>
        </w:rPr>
      </w:pPr>
      <w:r>
        <w:rPr>
          <w:noProof/>
        </w:rPr>
        <w:t xml:space="preserve">Observații </w:t>
      </w:r>
    </w:p>
    <w:p>
      <w:pPr>
        <w:pBdr>
          <w:top w:val="single" w:sz="4" w:space="1" w:color="auto"/>
          <w:left w:val="single" w:sz="4" w:space="4" w:color="auto"/>
          <w:bottom w:val="single" w:sz="4" w:space="1" w:color="auto"/>
          <w:right w:val="single" w:sz="4" w:space="4" w:color="auto"/>
        </w:pBdr>
        <w:rPr>
          <w:noProof/>
        </w:rPr>
      </w:pPr>
      <w:r>
        <w:t>[...]</w:t>
      </w:r>
    </w:p>
    <w:p>
      <w:pPr>
        <w:pBdr>
          <w:top w:val="single" w:sz="4" w:space="1" w:color="auto"/>
          <w:left w:val="single" w:sz="4" w:space="4" w:color="auto"/>
          <w:bottom w:val="single" w:sz="4" w:space="1" w:color="auto"/>
          <w:right w:val="single" w:sz="4" w:space="4" w:color="auto"/>
        </w:pBdr>
        <w:rPr>
          <w:noProof/>
        </w:rPr>
      </w:pPr>
      <w:r>
        <w:t>[...]</w:t>
      </w:r>
    </w:p>
    <w:p>
      <w:pP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MĂSURI DE GESTIONARE </w:t>
      </w:r>
    </w:p>
    <w:p>
      <w:pPr>
        <w:pStyle w:val="ManualHeading2"/>
        <w:rPr>
          <w:noProof/>
        </w:rPr>
      </w:pPr>
      <w:r>
        <w:t>2.1.</w:t>
      </w:r>
      <w:r>
        <w:tab/>
      </w:r>
      <w:r>
        <w:rPr>
          <w:noProof/>
        </w:rPr>
        <w:t xml:space="preserve">Dispoziții în materie de monitorizare și de raportare </w:t>
      </w:r>
    </w:p>
    <w:p>
      <w:pPr>
        <w:pStyle w:val="Text1"/>
        <w:rPr>
          <w:i/>
          <w:noProof/>
          <w:sz w:val="20"/>
          <w:u w:val="single"/>
        </w:rPr>
      </w:pPr>
      <w:r>
        <w:rPr>
          <w:i/>
          <w:noProof/>
          <w:sz w:val="20"/>
        </w:rPr>
        <w:t>A se preciza frecvența și condițiile aferente acestor dispoziții</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Participarea entităților ucrainene la Programul-cadru pentru cercetare și inovare și la alte activități de cooperare în temeiul acordului va fi monitorizată regulat în cadrul unor reuniuni ale comitetului mixt instituit prin articolul 6 litera (a) din acord.</w:t>
      </w:r>
    </w:p>
    <w:p>
      <w:pPr>
        <w:pStyle w:val="ManualHeading2"/>
        <w:rPr>
          <w:bCs/>
          <w:noProof/>
          <w:szCs w:val="24"/>
        </w:rPr>
      </w:pPr>
      <w:r>
        <w:t>2.2.</w:t>
      </w:r>
      <w:r>
        <w:tab/>
      </w:r>
      <w:r>
        <w:rPr>
          <w:noProof/>
        </w:rPr>
        <w:t xml:space="preserve">Sistemul de gestiune și control </w:t>
      </w:r>
    </w:p>
    <w:p>
      <w:pPr>
        <w:pStyle w:val="ManualHeading3"/>
        <w:rPr>
          <w:noProof/>
        </w:rPr>
      </w:pPr>
      <w:r>
        <w:t>2.2.1.</w:t>
      </w:r>
      <w:r>
        <w:tab/>
      </w:r>
      <w:r>
        <w:rPr>
          <w:noProof/>
        </w:rPr>
        <w:t xml:space="preserve">Riscul (riscurile) identificat(e) </w:t>
      </w:r>
    </w:p>
    <w:p>
      <w:pPr>
        <w:pStyle w:val="Text1"/>
        <w:pBdr>
          <w:top w:val="single" w:sz="4" w:space="1" w:color="auto"/>
          <w:left w:val="single" w:sz="4" w:space="4" w:color="auto"/>
          <w:bottom w:val="single" w:sz="4" w:space="1" w:color="auto"/>
          <w:right w:val="single" w:sz="4" w:space="4" w:color="auto"/>
        </w:pBdr>
        <w:rPr>
          <w:noProof/>
          <w:szCs w:val="24"/>
        </w:rPr>
      </w:pPr>
      <w:r>
        <w:rPr>
          <w:noProof/>
        </w:rPr>
        <w:t>Reuniunile și contactele bilaterale au loc periodic pentru a permite schimbul sistematic de informații și controlul acestora. Nu au fost identificate riscuri în sistemul de control.</w:t>
      </w:r>
    </w:p>
    <w:p>
      <w:pPr>
        <w:pStyle w:val="ManualHeading3"/>
        <w:rPr>
          <w:bCs/>
          <w:noProof/>
          <w:szCs w:val="24"/>
        </w:rPr>
      </w:pPr>
      <w:r>
        <w:t>2.2.2.</w:t>
      </w:r>
      <w:r>
        <w:tab/>
      </w:r>
      <w:r>
        <w:rPr>
          <w:noProof/>
        </w:rPr>
        <w:t>Informații privind sistemul de control intern instituit</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noProof/>
        </w:rPr>
      </w:pPr>
      <w:r>
        <w:t>2.2.3.</w:t>
      </w:r>
      <w:r>
        <w:tab/>
      </w:r>
      <w:r>
        <w:rPr>
          <w:noProof/>
        </w:rPr>
        <w:t xml:space="preserve">Estimarea costurilor și a beneficiilor controalelor și evaluarea nivelului prevăzut de risc de eroare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t>2.3.</w:t>
      </w:r>
      <w:r>
        <w:tab/>
      </w:r>
      <w:r>
        <w:rPr>
          <w:noProof/>
        </w:rPr>
        <w:t xml:space="preserve">Măsuri de prevenire a fraudelor și a neregulilor </w:t>
      </w:r>
    </w:p>
    <w:p>
      <w:pPr>
        <w:pStyle w:val="Text1"/>
        <w:rPr>
          <w:i/>
          <w:noProof/>
          <w:sz w:val="20"/>
        </w:rPr>
      </w:pPr>
      <w:r>
        <w:rPr>
          <w:i/>
          <w:noProof/>
          <w:sz w:val="20"/>
        </w:rPr>
        <w:t>A se preciza măsurile de prevenire și de protecție existente sau preconizate.</w:t>
      </w:r>
    </w:p>
    <w:p>
      <w:pPr>
        <w:pBdr>
          <w:top w:val="single" w:sz="4" w:space="1" w:color="auto"/>
          <w:left w:val="single" w:sz="4" w:space="4" w:color="auto"/>
          <w:bottom w:val="single" w:sz="4" w:space="1" w:color="auto"/>
          <w:right w:val="single" w:sz="4" w:space="4" w:color="auto"/>
        </w:pBdr>
        <w:rPr>
          <w:noProof/>
          <w:szCs w:val="24"/>
        </w:rPr>
      </w:pPr>
      <w:r>
        <w:rPr>
          <w:noProof/>
        </w:rPr>
        <w:t>În cazul în care, pentru implementarea programului-cadru, este necesar să se apeleze la contractanți externi sau să se acorde finanțare unor părți terțe, Comisia va efectua, după caz, audituri financiare, în special dacă are motive să se îndoiască de veridicitatea activității desfășurate sau descrise în rapoartele de activitate.</w:t>
      </w:r>
    </w:p>
    <w:p>
      <w:pPr>
        <w:pBdr>
          <w:top w:val="single" w:sz="4" w:space="1" w:color="auto"/>
          <w:left w:val="single" w:sz="4" w:space="4" w:color="auto"/>
          <w:bottom w:val="single" w:sz="4" w:space="1" w:color="auto"/>
          <w:right w:val="single" w:sz="4" w:space="4" w:color="auto"/>
        </w:pBdr>
        <w:ind w:left="142"/>
        <w:rPr>
          <w:noProof/>
          <w:szCs w:val="24"/>
        </w:rPr>
      </w:pPr>
      <w:r>
        <w:rPr>
          <w:noProof/>
        </w:rPr>
        <w:t>Auditurile financiare ale Uniunii vor fi efectuate fie de către personalul propriu, fie de către experți contabili autorizați în conformitate cu legislația părții auditate. Uniunea are libertatea de a desemna respectivii experți, evitând în același timp apariția unor eventuale conflicte de interese care ar putea fi semnalate de partea auditată. În plus, în desfășurarea activităților de cercetare, Comisia se va asigura, prin verificări eficace, că interesele financiare ale Uniunii sunt protejate, iar în cazul în care se constată nereguli, prin aplicarea de măsuri și de sancțiuni disuasive și proporționale.</w:t>
      </w:r>
    </w:p>
    <w:p>
      <w:pPr>
        <w:pBdr>
          <w:top w:val="single" w:sz="4" w:space="1" w:color="auto"/>
          <w:left w:val="single" w:sz="4" w:space="4" w:color="auto"/>
          <w:bottom w:val="single" w:sz="4" w:space="1" w:color="auto"/>
          <w:right w:val="single" w:sz="4" w:space="4" w:color="auto"/>
        </w:pBdr>
        <w:rPr>
          <w:noProof/>
          <w:szCs w:val="24"/>
        </w:rPr>
      </w:pPr>
      <w:r>
        <w:rPr>
          <w:noProof/>
        </w:rPr>
        <w:t xml:space="preserve">Pentru a atinge acest obiectiv, în toate contractele încheiate pentru implementarea programului-cadru se includ norme privind verificările, măsurile și sancțiunile, cu trimitere la Regulamentele nr. 2988/95, nr. 2185/96 și nr. 883/2013. </w:t>
      </w:r>
    </w:p>
    <w:p>
      <w:pPr>
        <w:pBdr>
          <w:top w:val="single" w:sz="4" w:space="1" w:color="auto"/>
          <w:left w:val="single" w:sz="4" w:space="4" w:color="auto"/>
          <w:bottom w:val="single" w:sz="4" w:space="1" w:color="auto"/>
          <w:right w:val="single" w:sz="4" w:space="4" w:color="auto"/>
        </w:pBdr>
        <w:rPr>
          <w:noProof/>
          <w:szCs w:val="24"/>
        </w:rPr>
      </w:pPr>
      <w:r>
        <w:rPr>
          <w:noProof/>
        </w:rPr>
        <w:t>În special, în contracte trebuie prevăzute următoarele puncte:</w:t>
      </w:r>
    </w:p>
    <w:p>
      <w:pPr>
        <w:pBdr>
          <w:top w:val="single" w:sz="4" w:space="1" w:color="auto"/>
          <w:left w:val="single" w:sz="4" w:space="4" w:color="auto"/>
          <w:bottom w:val="single" w:sz="4" w:space="1" w:color="auto"/>
          <w:right w:val="single" w:sz="4" w:space="4" w:color="auto"/>
        </w:pBdr>
        <w:rPr>
          <w:noProof/>
          <w:szCs w:val="24"/>
        </w:rPr>
      </w:pPr>
      <w:r>
        <w:rPr>
          <w:noProof/>
        </w:rPr>
        <w:t xml:space="preserve">- introducerea unor clauze specifice în contracte pentru protejarea intereselor financiare ale UE prin efectuarea de verificări și controale legate de activitatea desfășurată; </w:t>
      </w:r>
    </w:p>
    <w:p>
      <w:pPr>
        <w:pBdr>
          <w:top w:val="single" w:sz="4" w:space="1" w:color="auto"/>
          <w:left w:val="single" w:sz="4" w:space="4" w:color="auto"/>
          <w:bottom w:val="single" w:sz="4" w:space="1" w:color="auto"/>
          <w:right w:val="single" w:sz="4" w:space="4" w:color="auto"/>
        </w:pBdr>
        <w:rPr>
          <w:noProof/>
          <w:szCs w:val="24"/>
        </w:rPr>
      </w:pPr>
      <w:r>
        <w:rPr>
          <w:noProof/>
        </w:rPr>
        <w:t>- efectuarea de verificări administrative ca parte a măsurilor antifraudă, în conformitate cu Regulamentele nr. 2185/96, nr. 1073/1999 și nr. 1074/1999;</w:t>
      </w:r>
    </w:p>
    <w:p>
      <w:pPr>
        <w:pBdr>
          <w:top w:val="single" w:sz="4" w:space="1" w:color="auto"/>
          <w:left w:val="single" w:sz="4" w:space="4" w:color="auto"/>
          <w:bottom w:val="single" w:sz="4" w:space="1" w:color="auto"/>
          <w:right w:val="single" w:sz="4" w:space="4" w:color="auto"/>
        </w:pBdr>
        <w:rPr>
          <w:noProof/>
          <w:szCs w:val="24"/>
        </w:rPr>
      </w:pPr>
      <w:r>
        <w:rPr>
          <w:noProof/>
        </w:rPr>
        <w:t>- aplicarea de sancțiuni administrative pentru toate neregulile comise în mod intenționat sau din neglijență în implementarea contractelor, în conformitate cu Regulamentul-cadru nr. 2988/95, inclusiv a unui mecanism de „includere pe lista neagră”;</w:t>
      </w:r>
    </w:p>
    <w:p>
      <w:pPr>
        <w:pBdr>
          <w:top w:val="single" w:sz="4" w:space="1" w:color="auto"/>
          <w:left w:val="single" w:sz="4" w:space="4" w:color="auto"/>
          <w:bottom w:val="single" w:sz="4" w:space="1" w:color="auto"/>
          <w:right w:val="single" w:sz="4" w:space="4" w:color="auto"/>
        </w:pBdr>
        <w:rPr>
          <w:noProof/>
          <w:szCs w:val="24"/>
        </w:rPr>
      </w:pPr>
      <w:r>
        <w:rPr>
          <w:noProof/>
        </w:rPr>
        <w:t>- faptul că eventualele ordine de recuperare în caz de nereguli și fraudă trebuie să fie executorii în conformitate cu articolul 299 din Tratatul privind funcționarea Uniunii Europene.</w:t>
      </w:r>
    </w:p>
    <w:p>
      <w:pPr>
        <w:pBdr>
          <w:top w:val="single" w:sz="4" w:space="1" w:color="auto"/>
          <w:left w:val="single" w:sz="4" w:space="4" w:color="auto"/>
          <w:bottom w:val="single" w:sz="4" w:space="1" w:color="auto"/>
          <w:right w:val="single" w:sz="4" w:space="4" w:color="auto"/>
        </w:pBdr>
        <w:rPr>
          <w:noProof/>
          <w:szCs w:val="24"/>
        </w:rPr>
      </w:pPr>
      <w:r>
        <w:rPr>
          <w:noProof/>
        </w:rPr>
        <w:t>În plus, și cu titlu de măsură de rutină, personalul responsabil din cadrul Direcției Generale Cercetare și Inovare (DG R&amp;I) va realiza un program de verificare cu privire la aspectele științifice și bugetare ale cooperării. Unitatea Audit Intern din cadrul DG R&amp;I va efectua un audit intern, iar Curtea de Conturi Europeană va efectua inspecții locale.</w:t>
      </w:r>
    </w:p>
    <w:p>
      <w:pPr>
        <w:pStyle w:val="Text1"/>
        <w:pBdr>
          <w:top w:val="single" w:sz="4" w:space="1" w:color="auto"/>
          <w:left w:val="single" w:sz="4" w:space="4" w:color="auto"/>
          <w:bottom w:val="single" w:sz="4" w:space="1" w:color="auto"/>
          <w:right w:val="single" w:sz="4" w:space="4" w:color="auto"/>
        </w:pBd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IMPACTUL FINANCIAR ESTIMAT AL PROPUNERII/INIȚIATIVEI </w:t>
      </w:r>
    </w:p>
    <w:p>
      <w:pPr>
        <w:pStyle w:val="ManualHeading2"/>
        <w:rPr>
          <w:noProof/>
        </w:rPr>
      </w:pPr>
      <w:r>
        <w:t>3.1.</w:t>
      </w:r>
      <w:r>
        <w:tab/>
      </w:r>
      <w:r>
        <w:rPr>
          <w:noProof/>
        </w:rPr>
        <w:t xml:space="preserve">Rubrica (rubricile) din cadrul financiar multianual și linia (liniile) bugetară (bugetare) de cheltuieli afectată (afectate) </w:t>
      </w:r>
    </w:p>
    <w:p>
      <w:pPr>
        <w:pStyle w:val="ListBullet1"/>
        <w:rPr>
          <w:noProof/>
        </w:rPr>
      </w:pPr>
      <w:r>
        <w:rPr>
          <w:noProof/>
        </w:rPr>
        <w:t xml:space="preserve">Linii bugetare existente </w:t>
      </w:r>
    </w:p>
    <w:p>
      <w:pPr>
        <w:pStyle w:val="Text1"/>
        <w:rPr>
          <w:noProof/>
        </w:rPr>
      </w:pPr>
      <w:r>
        <w:rPr>
          <w:noProof/>
          <w:u w:val="single"/>
        </w:rPr>
        <w:t>În ordinea</w:t>
      </w:r>
      <w:r>
        <w:rPr>
          <w:noProof/>
        </w:rPr>
        <w:t xml:space="preserve"> rubricilor și a liniilor bugetare din cadrul financiar multianual.</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00"/>
        <w:gridCol w:w="1140"/>
        <w:gridCol w:w="956"/>
        <w:gridCol w:w="1080"/>
        <w:gridCol w:w="956"/>
        <w:gridCol w:w="1448"/>
      </w:tblGrid>
      <w:tr>
        <w:tc>
          <w:tcPr>
            <w:tcW w:w="1080" w:type="dxa"/>
            <w:vMerge w:val="restart"/>
            <w:vAlign w:val="center"/>
          </w:tcPr>
          <w:p>
            <w:pPr>
              <w:spacing w:before="60" w:after="60"/>
              <w:jc w:val="center"/>
              <w:rPr>
                <w:noProof/>
                <w:sz w:val="22"/>
              </w:rPr>
            </w:pPr>
            <w:r>
              <w:rPr>
                <w:noProof/>
                <w:sz w:val="18"/>
              </w:rPr>
              <w:t>Rubrica din cadrul financiar multianual</w:t>
            </w:r>
          </w:p>
        </w:tc>
        <w:tc>
          <w:tcPr>
            <w:tcW w:w="3900" w:type="dxa"/>
            <w:vAlign w:val="center"/>
          </w:tcPr>
          <w:p>
            <w:pPr>
              <w:spacing w:before="60" w:after="60"/>
              <w:jc w:val="center"/>
              <w:rPr>
                <w:noProof/>
                <w:sz w:val="22"/>
              </w:rPr>
            </w:pPr>
            <w:r>
              <w:rPr>
                <w:noProof/>
                <w:sz w:val="20"/>
              </w:rPr>
              <w:t>Linia bugetară</w:t>
            </w:r>
          </w:p>
        </w:tc>
        <w:tc>
          <w:tcPr>
            <w:tcW w:w="1140" w:type="dxa"/>
            <w:vAlign w:val="center"/>
          </w:tcPr>
          <w:p>
            <w:pPr>
              <w:spacing w:before="60" w:after="60"/>
              <w:jc w:val="center"/>
              <w:rPr>
                <w:noProof/>
                <w:sz w:val="22"/>
              </w:rPr>
            </w:pPr>
            <w:r>
              <w:rPr>
                <w:noProof/>
                <w:sz w:val="18"/>
              </w:rPr>
              <w:t>Tipul de cheltuieli</w:t>
            </w:r>
          </w:p>
        </w:tc>
        <w:tc>
          <w:tcPr>
            <w:tcW w:w="4440" w:type="dxa"/>
            <w:gridSpan w:val="4"/>
            <w:vAlign w:val="center"/>
          </w:tcPr>
          <w:p>
            <w:pPr>
              <w:spacing w:before="60" w:after="60"/>
              <w:jc w:val="center"/>
              <w:rPr>
                <w:noProof/>
                <w:sz w:val="22"/>
              </w:rPr>
            </w:pPr>
            <w:r>
              <w:rPr>
                <w:noProof/>
                <w:sz w:val="20"/>
              </w:rPr>
              <w:t xml:space="preserve">Contribuție </w:t>
            </w:r>
          </w:p>
        </w:tc>
      </w:tr>
      <w:tr>
        <w:tc>
          <w:tcPr>
            <w:tcW w:w="1080" w:type="dxa"/>
            <w:vMerge/>
            <w:vAlign w:val="center"/>
          </w:tcPr>
          <w:p>
            <w:pPr>
              <w:jc w:val="center"/>
              <w:rPr>
                <w:noProof/>
                <w:sz w:val="22"/>
              </w:rPr>
            </w:pPr>
          </w:p>
        </w:tc>
        <w:tc>
          <w:tcPr>
            <w:tcW w:w="3900" w:type="dxa"/>
            <w:vAlign w:val="center"/>
          </w:tcPr>
          <w:p>
            <w:pPr>
              <w:rPr>
                <w:noProof/>
                <w:sz w:val="22"/>
              </w:rPr>
            </w:pPr>
            <w:r>
              <w:rPr>
                <w:noProof/>
                <w:sz w:val="20"/>
              </w:rPr>
              <w:t xml:space="preserve"> </w:t>
            </w:r>
            <w:r>
              <w:rPr>
                <w:noProof/>
                <w:sz w:val="22"/>
              </w:rPr>
              <w:br/>
            </w:r>
            <w:r>
              <w:rPr>
                <w:noProof/>
                <w:sz w:val="20"/>
              </w:rPr>
              <w:t>Rubrica 1a - Competitivitate pentru creștere și locuri de muncă</w:t>
            </w:r>
          </w:p>
        </w:tc>
        <w:tc>
          <w:tcPr>
            <w:tcW w:w="1140" w:type="dxa"/>
            <w:vAlign w:val="center"/>
          </w:tcPr>
          <w:p>
            <w:pPr>
              <w:jc w:val="center"/>
              <w:rPr>
                <w:noProof/>
                <w:sz w:val="22"/>
              </w:rPr>
            </w:pPr>
            <w:r>
              <w:rPr>
                <w:noProof/>
                <w:sz w:val="18"/>
              </w:rPr>
              <w:t>Dif./Nedif.</w:t>
            </w:r>
            <w:r>
              <w:rPr>
                <w:rStyle w:val="FootnoteReference"/>
                <w:noProof/>
                <w:sz w:val="18"/>
              </w:rPr>
              <w:footnoteReference w:id="13"/>
            </w:r>
          </w:p>
        </w:tc>
        <w:tc>
          <w:tcPr>
            <w:tcW w:w="956" w:type="dxa"/>
            <w:vAlign w:val="center"/>
          </w:tcPr>
          <w:p>
            <w:pPr>
              <w:jc w:val="center"/>
              <w:rPr>
                <w:noProof/>
                <w:sz w:val="22"/>
              </w:rPr>
            </w:pPr>
            <w:r>
              <w:rPr>
                <w:noProof/>
                <w:sz w:val="18"/>
              </w:rPr>
              <w:t>din partea țărilor AELS</w:t>
            </w:r>
            <w:r>
              <w:rPr>
                <w:rStyle w:val="FootnoteReference"/>
                <w:noProof/>
                <w:sz w:val="18"/>
              </w:rPr>
              <w:footnoteReference w:id="14"/>
            </w:r>
          </w:p>
          <w:p>
            <w:pPr>
              <w:spacing w:before="0" w:after="0"/>
              <w:jc w:val="center"/>
              <w:rPr>
                <w:b/>
                <w:noProof/>
                <w:sz w:val="18"/>
              </w:rPr>
            </w:pPr>
          </w:p>
        </w:tc>
        <w:tc>
          <w:tcPr>
            <w:tcW w:w="1080" w:type="dxa"/>
            <w:vAlign w:val="center"/>
          </w:tcPr>
          <w:p>
            <w:pPr>
              <w:jc w:val="center"/>
              <w:rPr>
                <w:noProof/>
                <w:sz w:val="22"/>
              </w:rPr>
            </w:pPr>
            <w:r>
              <w:rPr>
                <w:noProof/>
                <w:sz w:val="18"/>
              </w:rPr>
              <w:t>din partea țărilor candidate</w:t>
            </w:r>
            <w:r>
              <w:rPr>
                <w:rStyle w:val="FootnoteReference"/>
                <w:noProof/>
                <w:sz w:val="18"/>
              </w:rPr>
              <w:footnoteReference w:id="15"/>
            </w:r>
          </w:p>
          <w:p>
            <w:pPr>
              <w:spacing w:before="0" w:after="0"/>
              <w:jc w:val="center"/>
              <w:rPr>
                <w:noProof/>
                <w:sz w:val="18"/>
              </w:rPr>
            </w:pPr>
          </w:p>
        </w:tc>
        <w:tc>
          <w:tcPr>
            <w:tcW w:w="956" w:type="dxa"/>
            <w:vAlign w:val="center"/>
          </w:tcPr>
          <w:p>
            <w:pPr>
              <w:jc w:val="center"/>
              <w:rPr>
                <w:noProof/>
                <w:sz w:val="18"/>
              </w:rPr>
            </w:pPr>
            <w:r>
              <w:rPr>
                <w:noProof/>
                <w:sz w:val="18"/>
              </w:rPr>
              <w:t>din partea țărilor terțe</w:t>
            </w:r>
          </w:p>
        </w:tc>
        <w:tc>
          <w:tcPr>
            <w:tcW w:w="1448" w:type="dxa"/>
            <w:vAlign w:val="center"/>
          </w:tcPr>
          <w:p>
            <w:pPr>
              <w:jc w:val="center"/>
              <w:rPr>
                <w:noProof/>
                <w:sz w:val="22"/>
              </w:rPr>
            </w:pPr>
            <w:r>
              <w:rPr>
                <w:noProof/>
                <w:sz w:val="16"/>
              </w:rPr>
              <w:t xml:space="preserve">în sensul articolului 21 alineatul (2) litera (b) din Regulamentul financiar </w:t>
            </w:r>
          </w:p>
        </w:tc>
      </w:tr>
      <w:tr>
        <w:tc>
          <w:tcPr>
            <w:tcW w:w="1080" w:type="dxa"/>
            <w:vAlign w:val="center"/>
          </w:tcPr>
          <w:p>
            <w:pPr>
              <w:jc w:val="center"/>
              <w:rPr>
                <w:noProof/>
                <w:color w:val="0000FF"/>
                <w:sz w:val="22"/>
              </w:rPr>
            </w:pPr>
            <w:r>
              <w:rPr>
                <w:noProof/>
                <w:sz w:val="20"/>
              </w:rPr>
              <w:t>1a</w:t>
            </w:r>
          </w:p>
        </w:tc>
        <w:tc>
          <w:tcPr>
            <w:tcW w:w="3900" w:type="dxa"/>
            <w:vAlign w:val="center"/>
          </w:tcPr>
          <w:p>
            <w:pPr>
              <w:spacing w:after="60"/>
              <w:jc w:val="center"/>
              <w:rPr>
                <w:noProof/>
                <w:sz w:val="22"/>
              </w:rPr>
            </w:pPr>
            <w:r>
              <w:rPr>
                <w:b/>
                <w:noProof/>
                <w:sz w:val="22"/>
              </w:rPr>
              <w:t>08.01.05.01</w:t>
            </w:r>
          </w:p>
        </w:tc>
        <w:tc>
          <w:tcPr>
            <w:tcW w:w="1140" w:type="dxa"/>
            <w:vAlign w:val="center"/>
          </w:tcPr>
          <w:p>
            <w:pPr>
              <w:jc w:val="center"/>
              <w:rPr>
                <w:noProof/>
                <w:color w:val="0000FF"/>
                <w:sz w:val="22"/>
              </w:rPr>
            </w:pPr>
            <w:r>
              <w:rPr>
                <w:noProof/>
                <w:sz w:val="22"/>
              </w:rPr>
              <w:t>Nedif.</w:t>
            </w:r>
          </w:p>
        </w:tc>
        <w:tc>
          <w:tcPr>
            <w:tcW w:w="956" w:type="dxa"/>
            <w:vAlign w:val="center"/>
          </w:tcPr>
          <w:p>
            <w:pPr>
              <w:jc w:val="center"/>
              <w:rPr>
                <w:noProof/>
                <w:sz w:val="22"/>
              </w:rPr>
            </w:pPr>
            <w:r>
              <w:rPr>
                <w:noProof/>
                <w:sz w:val="22"/>
              </w:rPr>
              <w:t>DA</w:t>
            </w:r>
          </w:p>
        </w:tc>
        <w:tc>
          <w:tcPr>
            <w:tcW w:w="1080" w:type="dxa"/>
            <w:vAlign w:val="center"/>
          </w:tcPr>
          <w:p>
            <w:pPr>
              <w:jc w:val="center"/>
              <w:rPr>
                <w:noProof/>
                <w:sz w:val="22"/>
              </w:rPr>
            </w:pPr>
            <w:r>
              <w:rPr>
                <w:noProof/>
                <w:sz w:val="22"/>
              </w:rPr>
              <w:t>DA</w:t>
            </w:r>
          </w:p>
        </w:tc>
        <w:tc>
          <w:tcPr>
            <w:tcW w:w="956" w:type="dxa"/>
            <w:vAlign w:val="center"/>
          </w:tcPr>
          <w:p>
            <w:pPr>
              <w:jc w:val="center"/>
              <w:rPr>
                <w:noProof/>
                <w:sz w:val="22"/>
              </w:rPr>
            </w:pPr>
            <w:r>
              <w:rPr>
                <w:noProof/>
                <w:sz w:val="22"/>
              </w:rPr>
              <w:t>NU</w:t>
            </w:r>
          </w:p>
        </w:tc>
        <w:tc>
          <w:tcPr>
            <w:tcW w:w="1448" w:type="dxa"/>
            <w:vAlign w:val="center"/>
          </w:tcPr>
          <w:p>
            <w:pPr>
              <w:jc w:val="center"/>
              <w:rPr>
                <w:noProof/>
                <w:sz w:val="22"/>
              </w:rPr>
            </w:pPr>
            <w:r>
              <w:rPr>
                <w:noProof/>
                <w:sz w:val="22"/>
              </w:rPr>
              <w:t>NU</w:t>
            </w:r>
          </w:p>
        </w:tc>
      </w:tr>
      <w:tr>
        <w:tc>
          <w:tcPr>
            <w:tcW w:w="1080" w:type="dxa"/>
            <w:vAlign w:val="center"/>
          </w:tcPr>
          <w:p>
            <w:pPr>
              <w:jc w:val="center"/>
              <w:rPr>
                <w:noProof/>
                <w:color w:val="0000FF"/>
                <w:sz w:val="22"/>
              </w:rPr>
            </w:pPr>
            <w:r>
              <w:rPr>
                <w:noProof/>
                <w:sz w:val="20"/>
              </w:rPr>
              <w:t>1a</w:t>
            </w:r>
          </w:p>
        </w:tc>
        <w:tc>
          <w:tcPr>
            <w:tcW w:w="3900" w:type="dxa"/>
            <w:vAlign w:val="center"/>
          </w:tcPr>
          <w:p>
            <w:pPr>
              <w:spacing w:before="60"/>
              <w:jc w:val="center"/>
            </w:pPr>
            <w:r>
              <w:rPr>
                <w:b/>
                <w:noProof/>
                <w:sz w:val="22"/>
              </w:rPr>
              <w:t>08.01.05.03</w:t>
            </w:r>
          </w:p>
        </w:tc>
        <w:tc>
          <w:tcPr>
            <w:tcW w:w="1140" w:type="dxa"/>
            <w:vAlign w:val="center"/>
          </w:tcPr>
          <w:p>
            <w:pPr>
              <w:jc w:val="center"/>
              <w:rPr>
                <w:noProof/>
                <w:sz w:val="22"/>
              </w:rPr>
            </w:pPr>
            <w:r>
              <w:rPr>
                <w:noProof/>
                <w:sz w:val="22"/>
              </w:rPr>
              <w:t>Nedif.</w:t>
            </w:r>
          </w:p>
        </w:tc>
        <w:tc>
          <w:tcPr>
            <w:tcW w:w="956" w:type="dxa"/>
            <w:vAlign w:val="center"/>
          </w:tcPr>
          <w:p>
            <w:pPr>
              <w:jc w:val="center"/>
              <w:rPr>
                <w:noProof/>
                <w:sz w:val="22"/>
              </w:rPr>
            </w:pPr>
            <w:r>
              <w:rPr>
                <w:noProof/>
                <w:sz w:val="22"/>
              </w:rPr>
              <w:t>DA</w:t>
            </w:r>
          </w:p>
        </w:tc>
        <w:tc>
          <w:tcPr>
            <w:tcW w:w="1080" w:type="dxa"/>
            <w:vAlign w:val="center"/>
          </w:tcPr>
          <w:p>
            <w:pPr>
              <w:jc w:val="center"/>
              <w:rPr>
                <w:noProof/>
                <w:sz w:val="22"/>
              </w:rPr>
            </w:pPr>
            <w:r>
              <w:rPr>
                <w:noProof/>
                <w:sz w:val="22"/>
              </w:rPr>
              <w:t>DA</w:t>
            </w:r>
          </w:p>
        </w:tc>
        <w:tc>
          <w:tcPr>
            <w:tcW w:w="956" w:type="dxa"/>
            <w:vAlign w:val="center"/>
          </w:tcPr>
          <w:p>
            <w:pPr>
              <w:jc w:val="center"/>
              <w:rPr>
                <w:noProof/>
                <w:sz w:val="22"/>
              </w:rPr>
            </w:pPr>
            <w:r>
              <w:rPr>
                <w:noProof/>
                <w:sz w:val="22"/>
              </w:rPr>
              <w:t>NU</w:t>
            </w:r>
          </w:p>
        </w:tc>
        <w:tc>
          <w:tcPr>
            <w:tcW w:w="1448" w:type="dxa"/>
            <w:vAlign w:val="center"/>
          </w:tcPr>
          <w:p>
            <w:pPr>
              <w:jc w:val="center"/>
              <w:rPr>
                <w:noProof/>
                <w:sz w:val="22"/>
              </w:rPr>
            </w:pPr>
            <w:r>
              <w:rPr>
                <w:noProof/>
                <w:sz w:val="22"/>
              </w:rPr>
              <w:t>NU</w:t>
            </w:r>
          </w:p>
        </w:tc>
      </w:tr>
    </w:tbl>
    <w:p>
      <w:pPr>
        <w:pStyle w:val="ListBullet1"/>
        <w:rPr>
          <w:noProof/>
        </w:rPr>
      </w:pPr>
      <w:r>
        <w:rPr>
          <w:noProof/>
        </w:rPr>
        <w:t xml:space="preserve">Noile linii bugetare solicitate </w:t>
      </w:r>
    </w:p>
    <w:p>
      <w:pPr>
        <w:pStyle w:val="Text1"/>
        <w:rPr>
          <w:i/>
          <w:noProof/>
          <w:sz w:val="20"/>
        </w:rPr>
      </w:pPr>
      <w:r>
        <w:rPr>
          <w:i/>
          <w:noProof/>
          <w:u w:val="single"/>
        </w:rPr>
        <w:t>În ordinea</w:t>
      </w:r>
      <w:r>
        <w:rPr>
          <w:i/>
          <w:noProof/>
        </w:rPr>
        <w:t xml:space="preserve"> rubricilor și a liniilor bugetare din cadrul financiar multianual.</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28"/>
        <w:gridCol w:w="1112"/>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din cadrul financiar multianual</w:t>
            </w:r>
          </w:p>
        </w:tc>
        <w:tc>
          <w:tcPr>
            <w:tcW w:w="3928" w:type="dxa"/>
            <w:vAlign w:val="center"/>
          </w:tcPr>
          <w:p>
            <w:pPr>
              <w:spacing w:before="60" w:after="60"/>
              <w:jc w:val="center"/>
              <w:rPr>
                <w:noProof/>
                <w:sz w:val="22"/>
              </w:rPr>
            </w:pPr>
            <w:r>
              <w:rPr>
                <w:noProof/>
                <w:sz w:val="20"/>
              </w:rPr>
              <w:t>Linia bugetară</w:t>
            </w:r>
          </w:p>
        </w:tc>
        <w:tc>
          <w:tcPr>
            <w:tcW w:w="1112" w:type="dxa"/>
            <w:vAlign w:val="center"/>
          </w:tcPr>
          <w:p>
            <w:pPr>
              <w:spacing w:before="60" w:after="60"/>
              <w:jc w:val="center"/>
              <w:rPr>
                <w:noProof/>
                <w:sz w:val="22"/>
              </w:rPr>
            </w:pPr>
            <w:r>
              <w:rPr>
                <w:noProof/>
                <w:sz w:val="18"/>
              </w:rPr>
              <w:t>Tipul de cheltuieli</w:t>
            </w:r>
          </w:p>
        </w:tc>
        <w:tc>
          <w:tcPr>
            <w:tcW w:w="4440" w:type="dxa"/>
            <w:gridSpan w:val="4"/>
            <w:vAlign w:val="center"/>
          </w:tcPr>
          <w:p>
            <w:pPr>
              <w:spacing w:before="60" w:after="60"/>
              <w:jc w:val="center"/>
              <w:rPr>
                <w:noProof/>
                <w:sz w:val="22"/>
              </w:rPr>
            </w:pPr>
            <w:r>
              <w:rPr>
                <w:noProof/>
                <w:sz w:val="20"/>
              </w:rPr>
              <w:t xml:space="preserve">Contribuție </w:t>
            </w:r>
          </w:p>
        </w:tc>
      </w:tr>
      <w:tr>
        <w:tc>
          <w:tcPr>
            <w:tcW w:w="1080" w:type="dxa"/>
            <w:vMerge/>
            <w:vAlign w:val="center"/>
          </w:tcPr>
          <w:p>
            <w:pPr>
              <w:jc w:val="center"/>
              <w:rPr>
                <w:noProof/>
                <w:sz w:val="22"/>
              </w:rPr>
            </w:pPr>
          </w:p>
        </w:tc>
        <w:tc>
          <w:tcPr>
            <w:tcW w:w="3928" w:type="dxa"/>
            <w:vAlign w:val="center"/>
          </w:tcPr>
          <w:p>
            <w:pPr>
              <w:rPr>
                <w:noProof/>
                <w:sz w:val="22"/>
              </w:rPr>
            </w:pPr>
            <w:r>
              <w:rPr>
                <w:noProof/>
                <w:sz w:val="20"/>
              </w:rPr>
              <w:t xml:space="preserve">Numărul </w:t>
            </w:r>
            <w:r>
              <w:rPr>
                <w:noProof/>
                <w:sz w:val="22"/>
              </w:rPr>
              <w:br/>
            </w:r>
            <w:r>
              <w:rPr>
                <w:noProof/>
                <w:sz w:val="20"/>
              </w:rPr>
              <w:t>[Rubrica………………………………………]</w:t>
            </w:r>
          </w:p>
        </w:tc>
        <w:tc>
          <w:tcPr>
            <w:tcW w:w="1112" w:type="dxa"/>
            <w:vAlign w:val="center"/>
          </w:tcPr>
          <w:p>
            <w:pPr>
              <w:jc w:val="center"/>
              <w:rPr>
                <w:noProof/>
                <w:sz w:val="22"/>
              </w:rPr>
            </w:pPr>
            <w:r>
              <w:rPr>
                <w:noProof/>
                <w:sz w:val="18"/>
              </w:rPr>
              <w:t>Dif./Nedif.</w:t>
            </w:r>
          </w:p>
        </w:tc>
        <w:tc>
          <w:tcPr>
            <w:tcW w:w="956" w:type="dxa"/>
            <w:vAlign w:val="center"/>
          </w:tcPr>
          <w:p>
            <w:pPr>
              <w:jc w:val="center"/>
              <w:rPr>
                <w:noProof/>
                <w:sz w:val="18"/>
              </w:rPr>
            </w:pPr>
            <w:r>
              <w:rPr>
                <w:noProof/>
                <w:sz w:val="18"/>
              </w:rPr>
              <w:t>din partea țărilor AELS</w:t>
            </w:r>
          </w:p>
        </w:tc>
        <w:tc>
          <w:tcPr>
            <w:tcW w:w="1080" w:type="dxa"/>
            <w:vAlign w:val="center"/>
          </w:tcPr>
          <w:p>
            <w:pPr>
              <w:jc w:val="center"/>
              <w:rPr>
                <w:noProof/>
                <w:sz w:val="18"/>
              </w:rPr>
            </w:pPr>
            <w:r>
              <w:rPr>
                <w:noProof/>
                <w:sz w:val="18"/>
              </w:rPr>
              <w:t>din partea țărilor candidate</w:t>
            </w:r>
          </w:p>
        </w:tc>
        <w:tc>
          <w:tcPr>
            <w:tcW w:w="956" w:type="dxa"/>
            <w:vAlign w:val="center"/>
          </w:tcPr>
          <w:p>
            <w:pPr>
              <w:jc w:val="center"/>
              <w:rPr>
                <w:noProof/>
                <w:sz w:val="18"/>
              </w:rPr>
            </w:pPr>
            <w:r>
              <w:rPr>
                <w:noProof/>
                <w:sz w:val="18"/>
              </w:rPr>
              <w:t>din partea țărilor terțe</w:t>
            </w:r>
          </w:p>
        </w:tc>
        <w:tc>
          <w:tcPr>
            <w:tcW w:w="1448" w:type="dxa"/>
            <w:vAlign w:val="center"/>
          </w:tcPr>
          <w:p>
            <w:pPr>
              <w:jc w:val="center"/>
              <w:rPr>
                <w:noProof/>
                <w:sz w:val="22"/>
              </w:rPr>
            </w:pPr>
            <w:r>
              <w:rPr>
                <w:noProof/>
                <w:sz w:val="16"/>
              </w:rPr>
              <w:t xml:space="preserve">în sensul articolului 21 alineatul (2) litera (b) din Regulamentul financiar </w:t>
            </w:r>
          </w:p>
        </w:tc>
      </w:tr>
      <w:tr>
        <w:tc>
          <w:tcPr>
            <w:tcW w:w="1080" w:type="dxa"/>
            <w:vAlign w:val="center"/>
          </w:tcPr>
          <w:p>
            <w:pPr>
              <w:jc w:val="center"/>
              <w:rPr>
                <w:noProof/>
                <w:color w:val="0000FF"/>
                <w:sz w:val="22"/>
              </w:rPr>
            </w:pPr>
          </w:p>
        </w:tc>
        <w:tc>
          <w:tcPr>
            <w:tcW w:w="3928" w:type="dxa"/>
            <w:vAlign w:val="center"/>
          </w:tcPr>
          <w:p>
            <w:pPr>
              <w:spacing w:before="60"/>
              <w:rPr>
                <w:noProof/>
                <w:sz w:val="22"/>
              </w:rPr>
            </w:pPr>
            <w:r>
              <w:rPr>
                <w:noProof/>
                <w:sz w:val="22"/>
              </w:rPr>
              <w:t>[XX.YY.YY.YY]</w:t>
            </w:r>
          </w:p>
          <w:p>
            <w:pPr>
              <w:spacing w:after="60"/>
              <w:rPr>
                <w:noProof/>
                <w:color w:val="0000FF"/>
                <w:sz w:val="22"/>
              </w:rPr>
            </w:pPr>
          </w:p>
        </w:tc>
        <w:tc>
          <w:tcPr>
            <w:tcW w:w="1112" w:type="dxa"/>
            <w:vAlign w:val="center"/>
          </w:tcPr>
          <w:p>
            <w:pPr>
              <w:jc w:val="center"/>
              <w:rPr>
                <w:noProof/>
                <w:color w:val="0000FF"/>
                <w:sz w:val="22"/>
              </w:rPr>
            </w:pPr>
          </w:p>
        </w:tc>
        <w:tc>
          <w:tcPr>
            <w:tcW w:w="956" w:type="dxa"/>
            <w:vAlign w:val="center"/>
          </w:tcPr>
          <w:p>
            <w:pPr>
              <w:jc w:val="center"/>
              <w:rPr>
                <w:noProof/>
                <w:sz w:val="22"/>
              </w:rPr>
            </w:pPr>
            <w:r>
              <w:rPr>
                <w:noProof/>
                <w:sz w:val="22"/>
              </w:rPr>
              <w:t>DA/NU</w:t>
            </w:r>
          </w:p>
        </w:tc>
        <w:tc>
          <w:tcPr>
            <w:tcW w:w="1080" w:type="dxa"/>
            <w:vAlign w:val="center"/>
          </w:tcPr>
          <w:p>
            <w:pPr>
              <w:jc w:val="center"/>
              <w:rPr>
                <w:noProof/>
                <w:color w:val="0000FF"/>
                <w:sz w:val="18"/>
              </w:rPr>
            </w:pPr>
            <w:r>
              <w:rPr>
                <w:noProof/>
                <w:sz w:val="22"/>
              </w:rPr>
              <w:t>DA/NU</w:t>
            </w:r>
          </w:p>
        </w:tc>
        <w:tc>
          <w:tcPr>
            <w:tcW w:w="956" w:type="dxa"/>
            <w:vAlign w:val="center"/>
          </w:tcPr>
          <w:p>
            <w:pPr>
              <w:jc w:val="center"/>
              <w:rPr>
                <w:noProof/>
                <w:color w:val="0000FF"/>
                <w:sz w:val="18"/>
              </w:rPr>
            </w:pPr>
            <w:r>
              <w:rPr>
                <w:noProof/>
                <w:sz w:val="22"/>
              </w:rPr>
              <w:t>DA/NU</w:t>
            </w:r>
          </w:p>
        </w:tc>
        <w:tc>
          <w:tcPr>
            <w:tcW w:w="1448" w:type="dxa"/>
            <w:vAlign w:val="center"/>
          </w:tcPr>
          <w:p>
            <w:pPr>
              <w:jc w:val="center"/>
              <w:rPr>
                <w:noProof/>
                <w:sz w:val="22"/>
              </w:rPr>
            </w:pPr>
            <w:r>
              <w:rPr>
                <w:noProof/>
                <w:sz w:val="22"/>
              </w:rPr>
              <w:t>DA/NU</w:t>
            </w:r>
          </w:p>
        </w:tc>
      </w:tr>
    </w:tbl>
    <w:p>
      <w:pPr>
        <w:rPr>
          <w:noProof/>
        </w:rPr>
        <w:sectPr>
          <w:footnotePr>
            <w:numRestart w:val="eachSect"/>
          </w:footnote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Impactul estimat asupra cheltuielilor </w:t>
      </w:r>
    </w:p>
    <w:p>
      <w:pPr>
        <w:pStyle w:val="Text1"/>
        <w:rPr>
          <w:noProof/>
        </w:rPr>
      </w:pPr>
      <w:r>
        <w:rPr>
          <w:noProof/>
          <w:highlight w:val="lightGray"/>
        </w:rPr>
        <w:t xml:space="preserve">[Această secțiune ar trebui completată utilizând </w:t>
      </w:r>
      <w:hyperlink r:id="rId13" w:history="1">
        <w:r>
          <w:rPr>
            <w:rStyle w:val="Hyperlink"/>
            <w:b/>
            <w:noProof/>
            <w:highlight w:val="lightGray"/>
          </w:rPr>
          <w:t>foaia de calcul cuprinzând datele din buget care au caracter administrativ</w:t>
        </w:r>
      </w:hyperlink>
      <w:r>
        <w:rPr>
          <w:noProof/>
          <w:highlight w:val="lightGray"/>
        </w:rPr>
        <w:t xml:space="preserve"> (al doilea document din anexa la prezenta fișă financiară) și ar trebui încărcată în CISNET pentru consultarea interservicii.]</w:t>
      </w:r>
    </w:p>
    <w:p>
      <w:pPr>
        <w:pStyle w:val="ManualHeading3"/>
        <w:rPr>
          <w:noProof/>
          <w:u w:val="single"/>
        </w:rPr>
      </w:pPr>
      <w:r>
        <w:t>3.2.1.</w:t>
      </w:r>
      <w:r>
        <w:tab/>
      </w:r>
      <w:r>
        <w:rPr>
          <w:noProof/>
        </w:rPr>
        <w:t xml:space="preserve">Sinteza impactului estimat asupra cheltuielilor </w:t>
      </w:r>
    </w:p>
    <w:p>
      <w:pPr>
        <w:jc w:val="right"/>
        <w:rPr>
          <w:noProof/>
          <w:sz w:val="20"/>
        </w:rPr>
      </w:pPr>
      <w:r>
        <w:rPr>
          <w:noProof/>
          <w:sz w:val="20"/>
        </w:rPr>
        <w:t>milioane EUR (cu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Rubrica din cadrul financiar </w:t>
            </w:r>
            <w:r>
              <w:rPr>
                <w:noProof/>
                <w:sz w:val="22"/>
              </w:rPr>
              <w:br/>
            </w:r>
            <w:r>
              <w:rPr>
                <w:b/>
                <w:noProof/>
                <w:sz w:val="22"/>
              </w:rPr>
              <w:t xml:space="preserve">multianual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rPr>
              <w:t xml:space="preserve">„Competitivitate pentru creștere și locuri de muncă”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012"/>
        <w:gridCol w:w="1013"/>
        <w:gridCol w:w="1013"/>
        <w:gridCol w:w="1012"/>
        <w:gridCol w:w="1013"/>
        <w:gridCol w:w="1013"/>
        <w:gridCol w:w="1777"/>
      </w:tblGrid>
      <w:tr>
        <w:tc>
          <w:tcPr>
            <w:tcW w:w="3960" w:type="dxa"/>
            <w:vAlign w:val="center"/>
          </w:tcPr>
          <w:p>
            <w:pPr>
              <w:jc w:val="center"/>
              <w:rPr>
                <w:noProof/>
                <w:sz w:val="22"/>
              </w:rPr>
            </w:pPr>
            <w:r>
              <w:rPr>
                <w:noProof/>
                <w:sz w:val="22"/>
              </w:rPr>
              <w:t>DG: RTD</w:t>
            </w:r>
          </w:p>
        </w:tc>
        <w:tc>
          <w:tcPr>
            <w:tcW w:w="1560" w:type="dxa"/>
            <w:gridSpan w:val="2"/>
          </w:tcPr>
          <w:p>
            <w:pPr>
              <w:rPr>
                <w:noProof/>
                <w:sz w:val="20"/>
              </w:rPr>
            </w:pPr>
          </w:p>
        </w:tc>
        <w:tc>
          <w:tcPr>
            <w:tcW w:w="534" w:type="dxa"/>
          </w:tcPr>
          <w:p>
            <w:pPr>
              <w:jc w:val="center"/>
              <w:rPr>
                <w:noProof/>
                <w:sz w:val="20"/>
              </w:rPr>
            </w:pPr>
          </w:p>
        </w:tc>
        <w:tc>
          <w:tcPr>
            <w:tcW w:w="1012" w:type="dxa"/>
            <w:vAlign w:val="center"/>
          </w:tcPr>
          <w:p>
            <w:pPr>
              <w:jc w:val="center"/>
              <w:rPr>
                <w:noProof/>
                <w:sz w:val="20"/>
              </w:rPr>
            </w:pPr>
            <w:r>
              <w:rPr>
                <w:noProof/>
                <w:sz w:val="20"/>
              </w:rPr>
              <w:t>Anul</w:t>
            </w:r>
            <w:r>
              <w:rPr>
                <w:noProof/>
                <w:sz w:val="22"/>
              </w:rPr>
              <w:br/>
            </w:r>
            <w:r>
              <w:rPr>
                <w:noProof/>
                <w:sz w:val="20"/>
              </w:rPr>
              <w:t>2019</w:t>
            </w:r>
            <w:r>
              <w:rPr>
                <w:rStyle w:val="FootnoteReference"/>
                <w:noProof/>
                <w:sz w:val="20"/>
              </w:rPr>
              <w:footnoteReference w:id="16"/>
            </w:r>
          </w:p>
        </w:tc>
        <w:tc>
          <w:tcPr>
            <w:tcW w:w="1013" w:type="dxa"/>
            <w:vAlign w:val="center"/>
          </w:tcPr>
          <w:p>
            <w:pPr>
              <w:jc w:val="center"/>
              <w:rPr>
                <w:noProof/>
                <w:sz w:val="20"/>
              </w:rPr>
            </w:pPr>
            <w:r>
              <w:rPr>
                <w:noProof/>
                <w:sz w:val="20"/>
              </w:rPr>
              <w:t>Anul</w:t>
            </w:r>
            <w:r>
              <w:rPr>
                <w:noProof/>
                <w:sz w:val="22"/>
              </w:rPr>
              <w:br/>
            </w:r>
            <w:r>
              <w:rPr>
                <w:b/>
                <w:noProof/>
                <w:sz w:val="20"/>
              </w:rPr>
              <w:t>2020</w:t>
            </w:r>
          </w:p>
        </w:tc>
        <w:tc>
          <w:tcPr>
            <w:tcW w:w="1013" w:type="dxa"/>
            <w:vAlign w:val="center"/>
          </w:tcPr>
          <w:p>
            <w:pPr>
              <w:jc w:val="center"/>
              <w:rPr>
                <w:noProof/>
                <w:sz w:val="20"/>
              </w:rPr>
            </w:pPr>
            <w:r>
              <w:rPr>
                <w:noProof/>
                <w:sz w:val="20"/>
              </w:rPr>
              <w:t>Anul</w:t>
            </w:r>
            <w:r>
              <w:rPr>
                <w:noProof/>
                <w:sz w:val="22"/>
              </w:rPr>
              <w:br/>
            </w:r>
            <w:r>
              <w:rPr>
                <w:b/>
                <w:noProof/>
                <w:sz w:val="20"/>
              </w:rPr>
              <w:t>2021</w:t>
            </w:r>
          </w:p>
        </w:tc>
        <w:tc>
          <w:tcPr>
            <w:tcW w:w="1012" w:type="dxa"/>
            <w:vAlign w:val="center"/>
          </w:tcPr>
          <w:p>
            <w:pPr>
              <w:jc w:val="center"/>
              <w:rPr>
                <w:noProof/>
                <w:sz w:val="20"/>
              </w:rPr>
            </w:pPr>
            <w:r>
              <w:rPr>
                <w:noProof/>
                <w:sz w:val="20"/>
              </w:rPr>
              <w:t>Anul</w:t>
            </w:r>
            <w:r>
              <w:rPr>
                <w:noProof/>
                <w:sz w:val="22"/>
              </w:rPr>
              <w:br/>
            </w:r>
            <w:r>
              <w:rPr>
                <w:b/>
                <w:noProof/>
                <w:sz w:val="20"/>
              </w:rPr>
              <w:t>2022</w:t>
            </w:r>
          </w:p>
        </w:tc>
        <w:tc>
          <w:tcPr>
            <w:tcW w:w="1013" w:type="dxa"/>
            <w:tcBorders>
              <w:top w:val="single" w:sz="4" w:space="0" w:color="auto"/>
              <w:left w:val="single" w:sz="4" w:space="0" w:color="auto"/>
              <w:bottom w:val="single" w:sz="4" w:space="0" w:color="auto"/>
              <w:right w:val="single" w:sz="4" w:space="0" w:color="auto"/>
            </w:tcBorders>
          </w:tcPr>
          <w:p>
            <w:pPr>
              <w:spacing w:line="256" w:lineRule="auto"/>
              <w:jc w:val="center"/>
              <w:rPr>
                <w:b/>
                <w:noProof/>
                <w:sz w:val="20"/>
              </w:rPr>
            </w:pPr>
            <w:r>
              <w:rPr>
                <w:noProof/>
                <w:sz w:val="20"/>
              </w:rPr>
              <w:t>Anul</w:t>
            </w:r>
            <w:r>
              <w:rPr>
                <w:noProof/>
                <w:sz w:val="22"/>
              </w:rPr>
              <w:br/>
            </w:r>
            <w:r>
              <w:rPr>
                <w:b/>
                <w:noProof/>
                <w:sz w:val="20"/>
              </w:rPr>
              <w:t>2023</w:t>
            </w:r>
          </w:p>
        </w:tc>
        <w:tc>
          <w:tcPr>
            <w:tcW w:w="1013" w:type="dxa"/>
            <w:tcBorders>
              <w:top w:val="single" w:sz="4" w:space="0" w:color="auto"/>
              <w:left w:val="single" w:sz="4" w:space="0" w:color="auto"/>
              <w:bottom w:val="single" w:sz="4" w:space="0" w:color="auto"/>
              <w:right w:val="single" w:sz="4" w:space="0" w:color="auto"/>
            </w:tcBorders>
          </w:tcPr>
          <w:p>
            <w:pPr>
              <w:spacing w:line="256" w:lineRule="auto"/>
              <w:jc w:val="center"/>
              <w:rPr>
                <w:b/>
                <w:noProof/>
                <w:sz w:val="20"/>
              </w:rPr>
            </w:pPr>
            <w:r>
              <w:rPr>
                <w:noProof/>
                <w:sz w:val="20"/>
              </w:rPr>
              <w:t>Anul</w:t>
            </w:r>
            <w:r>
              <w:rPr>
                <w:noProof/>
                <w:sz w:val="22"/>
              </w:rPr>
              <w:br/>
            </w:r>
            <w:r>
              <w:rPr>
                <w:b/>
                <w:noProof/>
                <w:sz w:val="20"/>
              </w:rPr>
              <w:t>2024</w:t>
            </w:r>
          </w:p>
        </w:tc>
        <w:tc>
          <w:tcPr>
            <w:tcW w:w="1777"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Credite operaționale </w:t>
            </w:r>
          </w:p>
        </w:tc>
        <w:tc>
          <w:tcPr>
            <w:tcW w:w="1012" w:type="dxa"/>
            <w:vAlign w:val="center"/>
          </w:tcPr>
          <w:p>
            <w:pPr>
              <w:rPr>
                <w:noProof/>
                <w:sz w:val="20"/>
              </w:rPr>
            </w:pPr>
          </w:p>
        </w:tc>
        <w:tc>
          <w:tcPr>
            <w:tcW w:w="1013" w:type="dxa"/>
            <w:vAlign w:val="center"/>
          </w:tcPr>
          <w:p>
            <w:pPr>
              <w:rPr>
                <w:noProof/>
                <w:sz w:val="20"/>
              </w:rPr>
            </w:pPr>
          </w:p>
        </w:tc>
        <w:tc>
          <w:tcPr>
            <w:tcW w:w="1013" w:type="dxa"/>
            <w:vAlign w:val="center"/>
          </w:tcPr>
          <w:p>
            <w:pPr>
              <w:rPr>
                <w:noProof/>
                <w:sz w:val="20"/>
              </w:rPr>
            </w:pPr>
          </w:p>
        </w:tc>
        <w:tc>
          <w:tcPr>
            <w:tcW w:w="1012" w:type="dxa"/>
            <w:vAlign w:val="center"/>
          </w:tcPr>
          <w:p>
            <w:pPr>
              <w:rPr>
                <w:noProof/>
                <w:sz w:val="20"/>
              </w:rPr>
            </w:pPr>
          </w:p>
        </w:tc>
        <w:tc>
          <w:tcPr>
            <w:tcW w:w="1013" w:type="dxa"/>
            <w:vAlign w:val="center"/>
          </w:tcPr>
          <w:p>
            <w:pPr>
              <w:rPr>
                <w:noProof/>
                <w:sz w:val="20"/>
              </w:rPr>
            </w:pPr>
          </w:p>
        </w:tc>
        <w:tc>
          <w:tcPr>
            <w:tcW w:w="1013"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Numărul liniei bugetare</w:t>
            </w:r>
          </w:p>
        </w:tc>
        <w:tc>
          <w:tcPr>
            <w:tcW w:w="1440" w:type="dxa"/>
            <w:vAlign w:val="center"/>
          </w:tcPr>
          <w:p>
            <w:pPr>
              <w:spacing w:before="20" w:after="20"/>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(1)</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Plăți</w:t>
            </w:r>
          </w:p>
        </w:tc>
        <w:tc>
          <w:tcPr>
            <w:tcW w:w="654" w:type="dxa"/>
            <w:gridSpan w:val="2"/>
            <w:vAlign w:val="center"/>
          </w:tcPr>
          <w:p>
            <w:pPr>
              <w:spacing w:before="20" w:after="20"/>
              <w:jc w:val="center"/>
              <w:rPr>
                <w:noProof/>
                <w:sz w:val="14"/>
              </w:rPr>
            </w:pPr>
            <w:r>
              <w:rPr>
                <w:noProof/>
                <w:sz w:val="14"/>
              </w:rPr>
              <w:t>(2)</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r>
      <w:tr>
        <w:tc>
          <w:tcPr>
            <w:tcW w:w="3960" w:type="dxa"/>
            <w:vMerge w:val="restart"/>
            <w:vAlign w:val="center"/>
          </w:tcPr>
          <w:p>
            <w:pPr>
              <w:rPr>
                <w:noProof/>
                <w:sz w:val="22"/>
              </w:rPr>
            </w:pPr>
            <w:r>
              <w:rPr>
                <w:noProof/>
                <w:sz w:val="20"/>
              </w:rPr>
              <w:t>Numărul liniei bugetare</w:t>
            </w:r>
          </w:p>
        </w:tc>
        <w:tc>
          <w:tcPr>
            <w:tcW w:w="1440" w:type="dxa"/>
            <w:vAlign w:val="center"/>
          </w:tcPr>
          <w:p>
            <w:pPr>
              <w:spacing w:before="20" w:after="20"/>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(1a)</w:t>
            </w:r>
          </w:p>
        </w:tc>
        <w:tc>
          <w:tcPr>
            <w:tcW w:w="1012"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2"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3"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Plăți</w:t>
            </w:r>
          </w:p>
        </w:tc>
        <w:tc>
          <w:tcPr>
            <w:tcW w:w="654" w:type="dxa"/>
            <w:gridSpan w:val="2"/>
            <w:vAlign w:val="center"/>
          </w:tcPr>
          <w:p>
            <w:pPr>
              <w:spacing w:before="20" w:after="20"/>
              <w:jc w:val="center"/>
              <w:rPr>
                <w:noProof/>
                <w:sz w:val="14"/>
              </w:rPr>
            </w:pPr>
            <w:r>
              <w:rPr>
                <w:noProof/>
                <w:sz w:val="14"/>
              </w:rPr>
              <w:t>(2 a)</w:t>
            </w:r>
          </w:p>
        </w:tc>
        <w:tc>
          <w:tcPr>
            <w:tcW w:w="1012"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2"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3"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Credite cu caracter administrativ finanțate din bugetul unor programe specifice</w:t>
            </w:r>
            <w:r>
              <w:rPr>
                <w:rStyle w:val="FootnoteReference"/>
                <w:noProof/>
                <w:sz w:val="21"/>
              </w:rPr>
              <w:footnoteReference w:id="17"/>
            </w:r>
            <w:r>
              <w:rPr>
                <w:noProof/>
                <w:sz w:val="21"/>
              </w:rPr>
              <w:t xml:space="preserve"> </w:t>
            </w:r>
          </w:p>
          <w:p>
            <w:pPr>
              <w:spacing w:before="0" w:after="0"/>
              <w:rPr>
                <w:noProof/>
                <w:sz w:val="22"/>
              </w:rPr>
            </w:pPr>
          </w:p>
        </w:tc>
        <w:tc>
          <w:tcPr>
            <w:tcW w:w="1012" w:type="dxa"/>
            <w:vAlign w:val="center"/>
          </w:tcPr>
          <w:p>
            <w:pPr>
              <w:rPr>
                <w:b/>
                <w:noProof/>
                <w:sz w:val="20"/>
              </w:rPr>
            </w:pPr>
          </w:p>
        </w:tc>
        <w:tc>
          <w:tcPr>
            <w:tcW w:w="1013" w:type="dxa"/>
            <w:vAlign w:val="center"/>
          </w:tcPr>
          <w:p>
            <w:pPr>
              <w:rPr>
                <w:b/>
                <w:noProof/>
                <w:sz w:val="20"/>
              </w:rPr>
            </w:pPr>
          </w:p>
        </w:tc>
        <w:tc>
          <w:tcPr>
            <w:tcW w:w="1013" w:type="dxa"/>
            <w:vAlign w:val="center"/>
          </w:tcPr>
          <w:p>
            <w:pPr>
              <w:rPr>
                <w:b/>
                <w:noProof/>
                <w:sz w:val="20"/>
              </w:rPr>
            </w:pPr>
          </w:p>
        </w:tc>
        <w:tc>
          <w:tcPr>
            <w:tcW w:w="1012" w:type="dxa"/>
            <w:vAlign w:val="center"/>
          </w:tcPr>
          <w:p>
            <w:pPr>
              <w:rPr>
                <w:b/>
                <w:noProof/>
                <w:sz w:val="20"/>
              </w:rPr>
            </w:pPr>
          </w:p>
        </w:tc>
        <w:tc>
          <w:tcPr>
            <w:tcW w:w="1013" w:type="dxa"/>
            <w:vAlign w:val="center"/>
          </w:tcPr>
          <w:p>
            <w:pPr>
              <w:rPr>
                <w:b/>
                <w:noProof/>
                <w:sz w:val="20"/>
              </w:rPr>
            </w:pPr>
          </w:p>
        </w:tc>
        <w:tc>
          <w:tcPr>
            <w:tcW w:w="1013"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0"/>
              </w:rPr>
            </w:pPr>
            <w:r>
              <w:rPr>
                <w:noProof/>
                <w:sz w:val="20"/>
              </w:rPr>
              <w:t xml:space="preserve">Numărul liniei bugetare: </w:t>
            </w:r>
            <w:r>
              <w:rPr>
                <w:b/>
                <w:bCs/>
                <w:noProof/>
                <w:sz w:val="18"/>
                <w:szCs w:val="18"/>
              </w:rPr>
              <w:t>08.01.05.01</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0,010</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0,050</w:t>
            </w:r>
          </w:p>
        </w:tc>
        <w:tc>
          <w:tcPr>
            <w:tcW w:w="1777"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0,300</w:t>
            </w:r>
          </w:p>
        </w:tc>
      </w:tr>
      <w:tr>
        <w:trPr>
          <w:trHeight w:val="319"/>
        </w:trPr>
        <w:tc>
          <w:tcPr>
            <w:tcW w:w="3960" w:type="dxa"/>
            <w:vAlign w:val="center"/>
          </w:tcPr>
          <w:p>
            <w:pPr>
              <w:spacing w:before="60" w:after="60"/>
              <w:rPr>
                <w:noProof/>
                <w:sz w:val="22"/>
              </w:rPr>
            </w:pPr>
            <w:r>
              <w:rPr>
                <w:noProof/>
                <w:sz w:val="20"/>
              </w:rPr>
              <w:t xml:space="preserve">Numărul liniei bugetare: </w:t>
            </w:r>
            <w:r>
              <w:rPr>
                <w:b/>
                <w:bCs/>
                <w:noProof/>
                <w:sz w:val="18"/>
                <w:szCs w:val="18"/>
              </w:rPr>
              <w:t>08.01.05.03</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0,002</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0,012</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0,012</w:t>
            </w:r>
          </w:p>
        </w:tc>
        <w:tc>
          <w:tcPr>
            <w:tcW w:w="1013" w:type="dxa"/>
            <w:tcBorders>
              <w:top w:val="single" w:sz="4" w:space="0" w:color="auto"/>
              <w:left w:val="single" w:sz="4" w:space="0" w:color="auto"/>
              <w:bottom w:val="single" w:sz="4" w:space="0" w:color="auto"/>
              <w:right w:val="single" w:sz="4" w:space="0" w:color="auto"/>
            </w:tcBorders>
          </w:tcPr>
          <w:p>
            <w:pPr>
              <w:spacing w:before="40" w:after="40" w:line="256" w:lineRule="auto"/>
              <w:jc w:val="right"/>
              <w:rPr>
                <w:b/>
                <w:noProof/>
                <w:sz w:val="20"/>
              </w:rPr>
            </w:pPr>
            <w:r>
              <w:rPr>
                <w:b/>
                <w:noProof/>
                <w:sz w:val="20"/>
              </w:rPr>
              <w:t>0,012</w:t>
            </w:r>
          </w:p>
        </w:tc>
        <w:tc>
          <w:tcPr>
            <w:tcW w:w="1013" w:type="dxa"/>
            <w:tcBorders>
              <w:top w:val="single" w:sz="4" w:space="0" w:color="auto"/>
              <w:left w:val="single" w:sz="4" w:space="0" w:color="auto"/>
              <w:bottom w:val="single" w:sz="4" w:space="0" w:color="auto"/>
              <w:right w:val="single" w:sz="4" w:space="0" w:color="auto"/>
            </w:tcBorders>
          </w:tcPr>
          <w:p>
            <w:pPr>
              <w:spacing w:before="40" w:after="40" w:line="256" w:lineRule="auto"/>
              <w:jc w:val="right"/>
              <w:rPr>
                <w:b/>
                <w:noProof/>
                <w:sz w:val="20"/>
              </w:rPr>
            </w:pPr>
            <w:r>
              <w:rPr>
                <w:b/>
                <w:noProof/>
                <w:sz w:val="20"/>
              </w:rPr>
              <w:t>0,010</w:t>
            </w:r>
          </w:p>
        </w:tc>
        <w:tc>
          <w:tcPr>
            <w:tcW w:w="1777"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r>
      <w:tr>
        <w:tc>
          <w:tcPr>
            <w:tcW w:w="3960" w:type="dxa"/>
            <w:vMerge w:val="restart"/>
            <w:vAlign w:val="center"/>
          </w:tcPr>
          <w:p>
            <w:pPr>
              <w:jc w:val="center"/>
              <w:rPr>
                <w:b/>
                <w:noProof/>
                <w:sz w:val="22"/>
              </w:rPr>
            </w:pPr>
            <w:r>
              <w:rPr>
                <w:b/>
                <w:noProof/>
                <w:sz w:val="22"/>
              </w:rPr>
              <w:t>TOTAL credite</w:t>
            </w:r>
            <w:r>
              <w:rPr>
                <w:noProof/>
                <w:sz w:val="22"/>
              </w:rPr>
              <w:br/>
            </w:r>
            <w:r>
              <w:rPr>
                <w:b/>
                <w:noProof/>
                <w:sz w:val="22"/>
              </w:rPr>
              <w:t>pentru DG RTD</w:t>
            </w:r>
          </w:p>
        </w:tc>
        <w:tc>
          <w:tcPr>
            <w:tcW w:w="1440" w:type="dxa"/>
            <w:vAlign w:val="center"/>
          </w:tcPr>
          <w:p>
            <w:pPr>
              <w:rPr>
                <w:noProof/>
                <w:sz w:val="18"/>
              </w:rPr>
            </w:pPr>
            <w:r>
              <w:rPr>
                <w:noProof/>
                <w:sz w:val="18"/>
              </w:rPr>
              <w:t>Angajamente</w:t>
            </w:r>
          </w:p>
        </w:tc>
        <w:tc>
          <w:tcPr>
            <w:tcW w:w="654" w:type="dxa"/>
            <w:gridSpan w:val="2"/>
            <w:vAlign w:val="center"/>
          </w:tcPr>
          <w:p>
            <w:pPr>
              <w:jc w:val="center"/>
              <w:rPr>
                <w:noProof/>
                <w:sz w:val="14"/>
              </w:rPr>
            </w:pPr>
            <w:r>
              <w:rPr>
                <w:noProof/>
                <w:sz w:val="14"/>
              </w:rPr>
              <w:t>=1+1a +3</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0,060</w:t>
            </w:r>
          </w:p>
        </w:tc>
        <w:tc>
          <w:tcPr>
            <w:tcW w:w="1777"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0,360</w:t>
            </w:r>
          </w:p>
        </w:tc>
      </w:tr>
      <w:tr>
        <w:tc>
          <w:tcPr>
            <w:tcW w:w="3960" w:type="dxa"/>
            <w:vMerge/>
          </w:tcPr>
          <w:p>
            <w:pPr>
              <w:rPr>
                <w:noProof/>
                <w:sz w:val="20"/>
              </w:rPr>
            </w:pPr>
          </w:p>
        </w:tc>
        <w:tc>
          <w:tcPr>
            <w:tcW w:w="1440" w:type="dxa"/>
            <w:vAlign w:val="center"/>
          </w:tcPr>
          <w:p>
            <w:pPr>
              <w:rPr>
                <w:noProof/>
                <w:sz w:val="18"/>
              </w:rPr>
            </w:pPr>
            <w:r>
              <w:rPr>
                <w:noProof/>
                <w:sz w:val="18"/>
              </w:rPr>
              <w:t>Plăți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0,060</w:t>
            </w:r>
          </w:p>
        </w:tc>
        <w:tc>
          <w:tcPr>
            <w:tcW w:w="1777"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0,360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012"/>
        <w:gridCol w:w="1012"/>
        <w:gridCol w:w="1012"/>
        <w:gridCol w:w="1012"/>
        <w:gridCol w:w="1012"/>
        <w:gridCol w:w="1012"/>
        <w:gridCol w:w="1701"/>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TOTAL credite operaționale </w:t>
            </w:r>
          </w:p>
        </w:tc>
        <w:tc>
          <w:tcPr>
            <w:tcW w:w="1440" w:type="dxa"/>
            <w:vAlign w:val="center"/>
          </w:tcPr>
          <w:p>
            <w:pPr>
              <w:spacing w:beforeLines="20" w:before="48" w:afterLines="20" w:after="48"/>
              <w:rPr>
                <w:noProof/>
                <w:sz w:val="18"/>
              </w:rPr>
            </w:pPr>
            <w:r>
              <w:rPr>
                <w:noProof/>
                <w:sz w:val="18"/>
              </w:rPr>
              <w:t>Angajamente</w:t>
            </w:r>
          </w:p>
        </w:tc>
        <w:tc>
          <w:tcPr>
            <w:tcW w:w="654" w:type="dxa"/>
            <w:vAlign w:val="center"/>
          </w:tcPr>
          <w:p>
            <w:pPr>
              <w:spacing w:beforeLines="20" w:before="48" w:afterLines="20" w:after="48"/>
              <w:jc w:val="center"/>
              <w:rPr>
                <w:noProof/>
                <w:sz w:val="14"/>
              </w:rPr>
            </w:pPr>
            <w:r>
              <w:rPr>
                <w:noProof/>
                <w:sz w:val="14"/>
              </w:rPr>
              <w:t>(4)</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0,010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r>
              <w:rPr>
                <w:b/>
                <w:noProof/>
                <w:sz w:val="20"/>
              </w:rPr>
              <w:t>0,050</w:t>
            </w: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r>
              <w:rPr>
                <w:b/>
                <w:noProof/>
                <w:sz w:val="20"/>
              </w:rPr>
              <w:t>0,300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Plăți</w:t>
            </w:r>
          </w:p>
        </w:tc>
        <w:tc>
          <w:tcPr>
            <w:tcW w:w="654" w:type="dxa"/>
            <w:vAlign w:val="center"/>
          </w:tcPr>
          <w:p>
            <w:pPr>
              <w:spacing w:beforeLines="20" w:before="48" w:afterLines="20" w:after="48"/>
              <w:jc w:val="center"/>
              <w:rPr>
                <w:noProof/>
                <w:sz w:val="14"/>
              </w:rPr>
            </w:pPr>
            <w:r>
              <w:rPr>
                <w:noProof/>
                <w:sz w:val="14"/>
              </w:rPr>
              <w:t>(5)</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0,010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r>
              <w:rPr>
                <w:b/>
                <w:noProof/>
                <w:sz w:val="20"/>
              </w:rPr>
              <w:t>0,050</w:t>
            </w: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r>
              <w:rPr>
                <w:b/>
                <w:noProof/>
                <w:sz w:val="20"/>
              </w:rPr>
              <w:t>0,300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 credite cu caracter administrativ finanțate din bugetul unor programe specifice </w:t>
            </w:r>
          </w:p>
        </w:tc>
        <w:tc>
          <w:tcPr>
            <w:tcW w:w="654" w:type="dxa"/>
            <w:vAlign w:val="center"/>
          </w:tcPr>
          <w:p>
            <w:pPr>
              <w:spacing w:beforeLines="20" w:before="48" w:afterLines="20" w:after="48"/>
              <w:jc w:val="center"/>
              <w:rPr>
                <w:noProof/>
                <w:sz w:val="14"/>
              </w:rPr>
            </w:pPr>
            <w:r>
              <w:rPr>
                <w:noProof/>
                <w:sz w:val="14"/>
              </w:rPr>
              <w:t>(6)</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0,002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0,010</w:t>
            </w:r>
          </w:p>
        </w:tc>
        <w:tc>
          <w:tcPr>
            <w:tcW w:w="1701"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0,060</w:t>
            </w:r>
          </w:p>
        </w:tc>
      </w:tr>
      <w:tr>
        <w:tc>
          <w:tcPr>
            <w:tcW w:w="3960" w:type="dxa"/>
            <w:vMerge w:val="restart"/>
            <w:shd w:val="thinDiagStripe" w:color="C0C0C0" w:fill="auto"/>
            <w:vAlign w:val="center"/>
          </w:tcPr>
          <w:p>
            <w:pPr>
              <w:jc w:val="center"/>
              <w:rPr>
                <w:b/>
                <w:noProof/>
                <w:sz w:val="22"/>
              </w:rPr>
            </w:pPr>
            <w:r>
              <w:rPr>
                <w:b/>
                <w:noProof/>
                <w:sz w:val="22"/>
              </w:rPr>
              <w:t xml:space="preserve">TOTAL credite </w:t>
            </w:r>
            <w:r>
              <w:rPr>
                <w:noProof/>
                <w:sz w:val="22"/>
              </w:rPr>
              <w:br/>
            </w:r>
            <w:r>
              <w:rPr>
                <w:b/>
                <w:noProof/>
                <w:sz w:val="22"/>
              </w:rPr>
              <w:t>încadrate la RUBRICA &lt;1a&gt;</w:t>
            </w:r>
            <w:r>
              <w:rPr>
                <w:noProof/>
                <w:sz w:val="22"/>
              </w:rPr>
              <w:t xml:space="preserve"> din cadrul financiar multianual</w:t>
            </w:r>
          </w:p>
        </w:tc>
        <w:tc>
          <w:tcPr>
            <w:tcW w:w="1440" w:type="dxa"/>
            <w:vAlign w:val="center"/>
          </w:tcPr>
          <w:p>
            <w:pPr>
              <w:rPr>
                <w:noProof/>
                <w:sz w:val="18"/>
              </w:rPr>
            </w:pPr>
            <w:r>
              <w:rPr>
                <w:noProof/>
                <w:sz w:val="18"/>
              </w:rPr>
              <w:t>Angajamente</w:t>
            </w:r>
          </w:p>
        </w:tc>
        <w:tc>
          <w:tcPr>
            <w:tcW w:w="654" w:type="dxa"/>
            <w:vAlign w:val="center"/>
          </w:tcPr>
          <w:p>
            <w:pPr>
              <w:jc w:val="center"/>
              <w:rPr>
                <w:noProof/>
                <w:sz w:val="14"/>
              </w:rPr>
            </w:pPr>
            <w:r>
              <w:rPr>
                <w:noProof/>
                <w:sz w:val="14"/>
              </w:rPr>
              <w:t>=4+ 6</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0,060</w:t>
            </w:r>
          </w:p>
        </w:tc>
        <w:tc>
          <w:tcPr>
            <w:tcW w:w="1701"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0,360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Plăți</w:t>
            </w:r>
          </w:p>
        </w:tc>
        <w:tc>
          <w:tcPr>
            <w:tcW w:w="654" w:type="dxa"/>
            <w:vAlign w:val="center"/>
          </w:tcPr>
          <w:p>
            <w:pPr>
              <w:jc w:val="center"/>
              <w:rPr>
                <w:noProof/>
                <w:sz w:val="14"/>
              </w:rPr>
            </w:pPr>
            <w:r>
              <w:rPr>
                <w:noProof/>
                <w:sz w:val="14"/>
              </w:rPr>
              <w:t>=5+ 6</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0,060</w:t>
            </w:r>
          </w:p>
        </w:tc>
        <w:tc>
          <w:tcPr>
            <w:tcW w:w="1701"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0,360</w:t>
            </w:r>
          </w:p>
        </w:tc>
      </w:tr>
    </w:tbl>
    <w:p>
      <w:pPr>
        <w:spacing w:after="40"/>
        <w:rPr>
          <w:b/>
          <w:noProof/>
          <w:sz w:val="22"/>
          <w:u w:val="single"/>
        </w:rPr>
      </w:pPr>
      <w:r>
        <w:rPr>
          <w:b/>
          <w:noProof/>
          <w:sz w:val="22"/>
          <w:u w:val="single"/>
        </w:rPr>
        <w:t>În cazul în care propunerea/inițiativa afectează mai multe rubrici:</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TOTAL credite operaționale </w:t>
            </w:r>
          </w:p>
        </w:tc>
        <w:tc>
          <w:tcPr>
            <w:tcW w:w="1440" w:type="dxa"/>
            <w:tcBorders>
              <w:top w:val="single" w:sz="4" w:space="0" w:color="FF0000"/>
            </w:tcBorders>
            <w:vAlign w:val="center"/>
          </w:tcPr>
          <w:p>
            <w:pPr>
              <w:spacing w:beforeLines="20" w:before="48" w:afterLines="20" w:after="48"/>
              <w:rPr>
                <w:noProof/>
                <w:sz w:val="18"/>
              </w:rPr>
            </w:pPr>
            <w:r>
              <w:rPr>
                <w:noProof/>
                <w:sz w:val="18"/>
              </w:rPr>
              <w:t>Angajamente</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Plăți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 credite cu caracter administrativ finanțate din bugetul unor programe specifice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TOTAL credite </w:t>
            </w:r>
            <w:r>
              <w:rPr>
                <w:noProof/>
                <w:sz w:val="22"/>
              </w:rPr>
              <w:br/>
            </w:r>
            <w:r>
              <w:rPr>
                <w:b/>
                <w:noProof/>
                <w:sz w:val="22"/>
              </w:rPr>
              <w:t>în cadrul RUBRICILOR 1-4</w:t>
            </w:r>
            <w:r>
              <w:rPr>
                <w:noProof/>
                <w:sz w:val="22"/>
              </w:rPr>
              <w:br/>
              <w:t>din cadrul financiar multianual</w:t>
            </w:r>
            <w:r>
              <w:rPr>
                <w:noProof/>
                <w:sz w:val="22"/>
              </w:rPr>
              <w:br/>
            </w:r>
            <w:r>
              <w:rPr>
                <w:noProof/>
                <w:sz w:val="20"/>
              </w:rPr>
              <w:t>(suma de referință)</w:t>
            </w:r>
          </w:p>
        </w:tc>
        <w:tc>
          <w:tcPr>
            <w:tcW w:w="1440" w:type="dxa"/>
            <w:vAlign w:val="center"/>
          </w:tcPr>
          <w:p>
            <w:pPr>
              <w:rPr>
                <w:noProof/>
                <w:sz w:val="18"/>
              </w:rPr>
            </w:pPr>
            <w:r>
              <w:rPr>
                <w:noProof/>
                <w:sz w:val="18"/>
              </w:rPr>
              <w:t>Angajamente</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Plăți</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Rubrica din cadrul financiar </w:t>
            </w:r>
            <w:r>
              <w:rPr>
                <w:noProof/>
                <w:sz w:val="22"/>
              </w:rPr>
              <w:br/>
            </w:r>
            <w:r>
              <w:rPr>
                <w:b/>
                <w:noProof/>
                <w:sz w:val="22"/>
              </w:rPr>
              <w:t xml:space="preserve">multianual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„Cheltuieli administrative”</w:t>
            </w: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31"/>
        <w:gridCol w:w="837"/>
        <w:gridCol w:w="13"/>
        <w:gridCol w:w="2693"/>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noProof/>
                <w:sz w:val="20"/>
              </w:rPr>
            </w:pPr>
            <w:r>
              <w:rPr>
                <w:noProof/>
                <w:sz w:val="20"/>
              </w:rPr>
              <w:t>Anul</w:t>
            </w:r>
            <w:r>
              <w:rPr>
                <w:noProof/>
                <w:sz w:val="22"/>
              </w:rPr>
              <w:br/>
            </w:r>
            <w:r>
              <w:rPr>
                <w:b/>
                <w:noProof/>
                <w:sz w:val="20"/>
              </w:rPr>
              <w:t>2019</w:t>
            </w:r>
          </w:p>
        </w:tc>
        <w:tc>
          <w:tcPr>
            <w:tcW w:w="868"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noProof/>
                <w:sz w:val="20"/>
              </w:rPr>
            </w:pPr>
            <w:r>
              <w:rPr>
                <w:noProof/>
                <w:sz w:val="20"/>
              </w:rPr>
              <w:t>Anul</w:t>
            </w:r>
            <w:r>
              <w:rPr>
                <w:noProof/>
                <w:sz w:val="22"/>
              </w:rPr>
              <w:br/>
            </w:r>
            <w:r>
              <w:rPr>
                <w:b/>
                <w:noProof/>
                <w:sz w:val="20"/>
              </w:rPr>
              <w:t>2020</w:t>
            </w:r>
          </w:p>
        </w:tc>
        <w:tc>
          <w:tcPr>
            <w:tcW w:w="868"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noProof/>
                <w:sz w:val="20"/>
              </w:rPr>
            </w:pPr>
            <w:r>
              <w:rPr>
                <w:noProof/>
                <w:sz w:val="20"/>
              </w:rPr>
              <w:t>Anul</w:t>
            </w:r>
            <w:r>
              <w:rPr>
                <w:noProof/>
                <w:sz w:val="22"/>
              </w:rPr>
              <w:br/>
            </w:r>
            <w:r>
              <w:rPr>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noProof/>
                <w:sz w:val="20"/>
              </w:rPr>
            </w:pPr>
            <w:r>
              <w:rPr>
                <w:noProof/>
                <w:sz w:val="20"/>
              </w:rPr>
              <w:t>Anul</w:t>
            </w:r>
            <w:r>
              <w:rPr>
                <w:noProof/>
                <w:sz w:val="22"/>
              </w:rPr>
              <w:br/>
            </w:r>
            <w:r>
              <w:rPr>
                <w:b/>
                <w:noProof/>
                <w:sz w:val="20"/>
              </w:rPr>
              <w:t>2022</w:t>
            </w:r>
          </w:p>
        </w:tc>
        <w:tc>
          <w:tcPr>
            <w:tcW w:w="899"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b/>
                <w:noProof/>
                <w:sz w:val="20"/>
              </w:rPr>
            </w:pPr>
            <w:r>
              <w:rPr>
                <w:noProof/>
                <w:sz w:val="20"/>
              </w:rPr>
              <w:t>Anul</w:t>
            </w:r>
            <w:r>
              <w:rPr>
                <w:b/>
                <w:noProof/>
                <w:sz w:val="20"/>
              </w:rPr>
              <w:t xml:space="preserve"> 2023</w:t>
            </w:r>
          </w:p>
        </w:tc>
        <w:tc>
          <w:tcPr>
            <w:tcW w:w="850"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b/>
                <w:noProof/>
                <w:sz w:val="20"/>
              </w:rPr>
            </w:pPr>
            <w:r>
              <w:rPr>
                <w:noProof/>
                <w:sz w:val="20"/>
              </w:rPr>
              <w:t xml:space="preserve">Anul </w:t>
            </w:r>
            <w:r>
              <w:rPr>
                <w:b/>
                <w:noProof/>
                <w:sz w:val="20"/>
              </w:rPr>
              <w:t>2024</w:t>
            </w:r>
          </w:p>
        </w:tc>
        <w:tc>
          <w:tcPr>
            <w:tcW w:w="2693" w:type="dxa"/>
            <w:vAlign w:val="center"/>
          </w:tcPr>
          <w:p>
            <w:pPr>
              <w:jc w:val="center"/>
              <w:rPr>
                <w:b/>
                <w:noProof/>
                <w:sz w:val="20"/>
              </w:rPr>
            </w:pPr>
            <w:r>
              <w:rPr>
                <w:b/>
                <w:noProof/>
                <w:sz w:val="20"/>
              </w:rPr>
              <w:t>TOTAL</w:t>
            </w:r>
          </w:p>
        </w:tc>
      </w:tr>
      <w:tr>
        <w:trPr>
          <w:gridAfter w:val="11"/>
          <w:wAfter w:w="10008" w:type="dxa"/>
        </w:trPr>
        <w:tc>
          <w:tcPr>
            <w:tcW w:w="3960" w:type="dxa"/>
            <w:vAlign w:val="center"/>
          </w:tcPr>
          <w:p>
            <w:pPr>
              <w:spacing w:before="60" w:after="60"/>
              <w:jc w:val="center"/>
              <w:rPr>
                <w:noProof/>
                <w:sz w:val="22"/>
              </w:rPr>
            </w:pPr>
            <w:r>
              <w:rPr>
                <w:noProof/>
                <w:sz w:val="22"/>
              </w:rPr>
              <w:t>DG: RTD</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Resurse umane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2706" w:type="dxa"/>
            <w:gridSpan w:val="2"/>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Alte cheltuieli administrative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2706" w:type="dxa"/>
            <w:gridSpan w:val="2"/>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TOTAL DG RTD</w:t>
            </w:r>
          </w:p>
        </w:tc>
        <w:tc>
          <w:tcPr>
            <w:tcW w:w="2094" w:type="dxa"/>
            <w:gridSpan w:val="2"/>
            <w:vAlign w:val="center"/>
          </w:tcPr>
          <w:p>
            <w:pPr>
              <w:rPr>
                <w:noProof/>
                <w:sz w:val="14"/>
              </w:rPr>
            </w:pPr>
            <w:r>
              <w:rPr>
                <w:noProof/>
                <w:sz w:val="18"/>
              </w:rPr>
              <w:t xml:space="preserve">Credite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2706" w:type="dxa"/>
            <w:gridSpan w:val="2"/>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TOTAL credite</w:t>
            </w:r>
            <w:r>
              <w:rPr>
                <w:noProof/>
                <w:sz w:val="22"/>
              </w:rPr>
              <w:br/>
            </w:r>
            <w:r>
              <w:rPr>
                <w:b/>
                <w:noProof/>
                <w:sz w:val="22"/>
              </w:rPr>
              <w:t>în cadrul RUBRICII 5</w:t>
            </w:r>
            <w:r>
              <w:rPr>
                <w:noProof/>
                <w:sz w:val="22"/>
              </w:rPr>
              <w:br/>
              <w:t>din cadrul financiar multianual</w:t>
            </w:r>
            <w:r>
              <w:rPr>
                <w:b/>
                <w:noProof/>
                <w:sz w:val="22"/>
              </w:rPr>
              <w:t xml:space="preserve"> </w:t>
            </w:r>
          </w:p>
        </w:tc>
        <w:tc>
          <w:tcPr>
            <w:tcW w:w="2094" w:type="dxa"/>
            <w:vAlign w:val="center"/>
          </w:tcPr>
          <w:p>
            <w:pPr>
              <w:spacing w:before="40" w:after="40"/>
              <w:rPr>
                <w:noProof/>
                <w:sz w:val="22"/>
              </w:rPr>
            </w:pPr>
            <w:r>
              <w:rPr>
                <w:noProof/>
                <w:sz w:val="18"/>
              </w:rPr>
              <w:t>(Total angajamente = Total plăți)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milioane EUR (cu trei zecimale)</w:t>
      </w: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99"/>
        <w:gridCol w:w="850"/>
        <w:gridCol w:w="2693"/>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Anul</w:t>
            </w:r>
            <w:r>
              <w:rPr>
                <w:noProof/>
                <w:sz w:val="22"/>
              </w:rPr>
              <w:br/>
            </w:r>
            <w:r>
              <w:rPr>
                <w:b/>
                <w:noProof/>
                <w:sz w:val="20"/>
              </w:rPr>
              <w:t>2019</w:t>
            </w:r>
            <w:r>
              <w:rPr>
                <w:rStyle w:val="FootnoteReference"/>
                <w:b/>
                <w:noProof/>
                <w:sz w:val="20"/>
              </w:rPr>
              <w:footnoteReference w:id="18"/>
            </w:r>
          </w:p>
        </w:tc>
        <w:tc>
          <w:tcPr>
            <w:tcW w:w="868" w:type="dxa"/>
            <w:vAlign w:val="center"/>
          </w:tcPr>
          <w:p>
            <w:pPr>
              <w:jc w:val="center"/>
              <w:rPr>
                <w:noProof/>
                <w:sz w:val="20"/>
              </w:rPr>
            </w:pPr>
            <w:r>
              <w:rPr>
                <w:noProof/>
                <w:sz w:val="20"/>
              </w:rPr>
              <w:t>Anul</w:t>
            </w:r>
            <w:r>
              <w:rPr>
                <w:noProof/>
                <w:sz w:val="22"/>
              </w:rPr>
              <w:br/>
            </w:r>
            <w:r>
              <w:rPr>
                <w:b/>
                <w:noProof/>
                <w:sz w:val="20"/>
              </w:rPr>
              <w:t>2020</w:t>
            </w:r>
          </w:p>
        </w:tc>
        <w:tc>
          <w:tcPr>
            <w:tcW w:w="868" w:type="dxa"/>
            <w:vAlign w:val="center"/>
          </w:tcPr>
          <w:p>
            <w:pPr>
              <w:jc w:val="center"/>
              <w:rPr>
                <w:noProof/>
                <w:sz w:val="20"/>
              </w:rPr>
            </w:pPr>
            <w:r>
              <w:rPr>
                <w:noProof/>
                <w:sz w:val="20"/>
              </w:rPr>
              <w:t>Anul</w:t>
            </w:r>
            <w:r>
              <w:rPr>
                <w:noProof/>
                <w:sz w:val="22"/>
              </w:rPr>
              <w:br/>
            </w:r>
            <w:r>
              <w:rPr>
                <w:b/>
                <w:noProof/>
                <w:sz w:val="20"/>
              </w:rPr>
              <w:t>2021</w:t>
            </w:r>
          </w:p>
        </w:tc>
        <w:tc>
          <w:tcPr>
            <w:tcW w:w="868" w:type="dxa"/>
            <w:vAlign w:val="center"/>
          </w:tcPr>
          <w:p>
            <w:pPr>
              <w:jc w:val="center"/>
              <w:rPr>
                <w:noProof/>
                <w:sz w:val="20"/>
              </w:rPr>
            </w:pPr>
            <w:r>
              <w:rPr>
                <w:noProof/>
                <w:sz w:val="20"/>
              </w:rPr>
              <w:t>Anul</w:t>
            </w:r>
            <w:r>
              <w:rPr>
                <w:noProof/>
                <w:sz w:val="22"/>
              </w:rPr>
              <w:br/>
            </w:r>
            <w:r>
              <w:rPr>
                <w:b/>
                <w:noProof/>
                <w:sz w:val="20"/>
              </w:rPr>
              <w:t>2022</w:t>
            </w:r>
          </w:p>
        </w:tc>
        <w:tc>
          <w:tcPr>
            <w:tcW w:w="899" w:type="dxa"/>
          </w:tcPr>
          <w:p>
            <w:pPr>
              <w:jc w:val="center"/>
              <w:rPr>
                <w:noProof/>
                <w:sz w:val="18"/>
              </w:rPr>
            </w:pPr>
            <w:r>
              <w:rPr>
                <w:noProof/>
                <w:sz w:val="20"/>
              </w:rPr>
              <w:t>Anul</w:t>
            </w:r>
            <w:r>
              <w:rPr>
                <w:noProof/>
                <w:sz w:val="22"/>
              </w:rPr>
              <w:br/>
            </w:r>
            <w:r>
              <w:rPr>
                <w:b/>
                <w:noProof/>
                <w:sz w:val="20"/>
              </w:rPr>
              <w:t>2023</w:t>
            </w:r>
          </w:p>
        </w:tc>
        <w:tc>
          <w:tcPr>
            <w:tcW w:w="850" w:type="dxa"/>
            <w:vAlign w:val="center"/>
          </w:tcPr>
          <w:p>
            <w:pPr>
              <w:jc w:val="center"/>
              <w:rPr>
                <w:b/>
                <w:noProof/>
                <w:sz w:val="18"/>
              </w:rPr>
            </w:pPr>
            <w:r>
              <w:rPr>
                <w:noProof/>
                <w:sz w:val="18"/>
              </w:rPr>
              <w:t>Anul</w:t>
            </w:r>
            <w:r>
              <w:rPr>
                <w:b/>
                <w:noProof/>
                <w:sz w:val="18"/>
              </w:rPr>
              <w:t xml:space="preserve"> 2024</w:t>
            </w:r>
          </w:p>
        </w:tc>
        <w:tc>
          <w:tcPr>
            <w:tcW w:w="2693"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sz w:val="22"/>
              </w:rPr>
            </w:pPr>
            <w:r>
              <w:rPr>
                <w:b/>
                <w:noProof/>
                <w:sz w:val="22"/>
              </w:rPr>
              <w:t xml:space="preserve">TOTAL credite </w:t>
            </w:r>
            <w:r>
              <w:rPr>
                <w:noProof/>
                <w:sz w:val="22"/>
              </w:rPr>
              <w:br/>
            </w:r>
            <w:r>
              <w:rPr>
                <w:b/>
                <w:noProof/>
                <w:sz w:val="22"/>
              </w:rPr>
              <w:t>în cadrul RUBRICILOR 1-5</w:t>
            </w:r>
            <w:r>
              <w:rPr>
                <w:noProof/>
                <w:sz w:val="22"/>
              </w:rPr>
              <w:br/>
              <w:t>din cadrul financiar multianual</w:t>
            </w:r>
            <w:r>
              <w:rPr>
                <w:b/>
                <w:noProof/>
                <w:sz w:val="22"/>
              </w:rPr>
              <w:t xml:space="preserve"> </w:t>
            </w:r>
          </w:p>
        </w:tc>
        <w:tc>
          <w:tcPr>
            <w:tcW w:w="2094" w:type="dxa"/>
            <w:gridSpan w:val="2"/>
            <w:vAlign w:val="center"/>
          </w:tcPr>
          <w:p>
            <w:pPr>
              <w:rPr>
                <w:noProof/>
                <w:sz w:val="14"/>
              </w:rPr>
            </w:pPr>
            <w:r>
              <w:rPr>
                <w:noProof/>
                <w:sz w:val="18"/>
              </w:rPr>
              <w:t>Angajamente</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0,012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99"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0,060</w:t>
            </w:r>
          </w:p>
        </w:tc>
        <w:tc>
          <w:tcPr>
            <w:tcW w:w="2693"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0,360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Plăți</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0,012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99"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0,060</w:t>
            </w:r>
          </w:p>
        </w:tc>
        <w:tc>
          <w:tcPr>
            <w:tcW w:w="2693"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0,360</w:t>
            </w:r>
          </w:p>
        </w:tc>
      </w:tr>
    </w:tbl>
    <w:p>
      <w:pPr>
        <w:rPr>
          <w:noProof/>
        </w:rPr>
        <w:sectPr>
          <w:headerReference w:type="default" r:id="rId14"/>
          <w:footerReference w:type="default" r:id="rId15"/>
          <w:headerReference w:type="first" r:id="rId16"/>
          <w:footerReference w:type="first" r:id="rId17"/>
          <w:footnotePr>
            <w:numRestart w:val="eachSect"/>
          </w:footnotePr>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Impactul estimat asupra creditelor operaționale </w:t>
      </w:r>
    </w:p>
    <w:p>
      <w:pPr>
        <w:pStyle w:val="ListDash1"/>
        <w:rPr>
          <w:noProof/>
        </w:rPr>
      </w:pPr>
      <w:r>
        <w:rPr>
          <w:noProof/>
        </w:rPr>
        <w:sym w:font="Wingdings" w:char="F0FE"/>
      </w:r>
      <w:r>
        <w:rPr>
          <w:noProof/>
        </w:rPr>
        <w:t xml:space="preserve"> Propunerea/inițiativa nu implică utilizarea de credite operaționale </w:t>
      </w:r>
    </w:p>
    <w:p>
      <w:pPr>
        <w:jc w:val="right"/>
        <w:rPr>
          <w:noProof/>
          <w:sz w:val="20"/>
        </w:rPr>
      </w:pPr>
      <w:r>
        <w:rPr>
          <w:noProof/>
          <w:sz w:val="20"/>
        </w:rPr>
        <w:t>Credite de angajament în milioane EUR (cu trei zecimale)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A se indica obiectivele și realizările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Anul</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Anul</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Anul</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Anul</w:t>
            </w:r>
            <w:r>
              <w:rPr>
                <w:noProof/>
                <w:sz w:val="22"/>
              </w:rPr>
              <w:br/>
            </w:r>
            <w:r>
              <w:rPr>
                <w:b/>
                <w:noProof/>
                <w:sz w:val="18"/>
              </w:rPr>
              <w:t>N+3</w:t>
            </w:r>
          </w:p>
        </w:tc>
        <w:tc>
          <w:tcPr>
            <w:tcW w:w="3600" w:type="dxa"/>
            <w:gridSpan w:val="6"/>
            <w:vAlign w:val="center"/>
          </w:tcPr>
          <w:p>
            <w:pPr>
              <w:jc w:val="center"/>
              <w:rPr>
                <w:noProof/>
                <w:sz w:val="18"/>
                <w:szCs w:val="18"/>
              </w:rPr>
            </w:pPr>
            <w:r>
              <w:rPr>
                <w:noProof/>
                <w:sz w:val="18"/>
              </w:rPr>
              <w:t>A se introduce atâția ani câți sunt considerați necesari pentru a reflecta durata impactului (a se vedea punctul 1.6)</w:t>
            </w:r>
          </w:p>
        </w:tc>
        <w:tc>
          <w:tcPr>
            <w:tcW w:w="1620" w:type="dxa"/>
            <w:gridSpan w:val="2"/>
            <w:tcBorders>
              <w:left w:val="nil"/>
              <w:bottom w:val="nil"/>
            </w:tcBorders>
            <w:vAlign w:val="center"/>
          </w:tcPr>
          <w:p>
            <w:pPr>
              <w:ind w:right="-29"/>
              <w:jc w:val="center"/>
              <w:rPr>
                <w:noProof/>
                <w:sz w:val="18"/>
                <w:szCs w:val="18"/>
              </w:rPr>
            </w:pPr>
            <w:r>
              <w:rPr>
                <w:b/>
                <w:noProof/>
                <w:sz w:val="18"/>
              </w:rPr>
              <w:t>TOTAL</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REALIZĂRI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w:t>
            </w:r>
            <w:r>
              <w:rPr>
                <w:rStyle w:val="FootnoteReference"/>
                <w:noProof/>
                <w:sz w:val="18"/>
              </w:rPr>
              <w:footnoteReference w:id="19"/>
            </w:r>
          </w:p>
          <w:p>
            <w:pPr>
              <w:spacing w:before="0" w:after="0"/>
              <w:jc w:val="center"/>
              <w:rPr>
                <w:noProof/>
                <w:sz w:val="18"/>
                <w:szCs w:val="18"/>
              </w:rPr>
            </w:pPr>
          </w:p>
        </w:tc>
        <w:tc>
          <w:tcPr>
            <w:tcW w:w="701" w:type="dxa"/>
            <w:vAlign w:val="center"/>
          </w:tcPr>
          <w:p>
            <w:pPr>
              <w:jc w:val="center"/>
              <w:rPr>
                <w:noProof/>
                <w:sz w:val="18"/>
                <w:szCs w:val="18"/>
              </w:rPr>
            </w:pPr>
            <w:r>
              <w:rPr>
                <w:noProof/>
                <w:sz w:val="18"/>
              </w:rPr>
              <w:t>Costuri medii</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Total nr.</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Costuri totale</w:t>
            </w:r>
          </w:p>
        </w:tc>
      </w:tr>
      <w:tr>
        <w:trPr>
          <w:jc w:val="center"/>
        </w:trPr>
        <w:tc>
          <w:tcPr>
            <w:tcW w:w="2844" w:type="dxa"/>
            <w:gridSpan w:val="3"/>
            <w:vAlign w:val="center"/>
          </w:tcPr>
          <w:p>
            <w:pPr>
              <w:spacing w:before="60" w:after="60"/>
              <w:ind w:right="-29"/>
              <w:jc w:val="center"/>
              <w:rPr>
                <w:noProof/>
                <w:sz w:val="18"/>
                <w:szCs w:val="18"/>
              </w:rPr>
            </w:pPr>
            <w:r>
              <w:rPr>
                <w:noProof/>
                <w:sz w:val="18"/>
              </w:rPr>
              <w:t>OBIECTIVUL SPECIFIC NR. 1</w:t>
            </w:r>
            <w:r>
              <w:rPr>
                <w:rStyle w:val="FootnoteReference"/>
                <w:noProof/>
                <w:sz w:val="18"/>
              </w:rPr>
              <w:footnoteReference w:id="20"/>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Subtotal pentru obiectivul specific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OBIECTIVUL SPECIFIC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Subtotal pentru obiectivul specific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 TOTAL</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footnotePr>
            <w:numRestart w:val="eachSect"/>
          </w:footnote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Impactul estimat asupra creditelor cu caracter administrativ</w:t>
      </w:r>
    </w:p>
    <w:p>
      <w:pPr>
        <w:pStyle w:val="ManualHeading4"/>
        <w:rPr>
          <w:noProof/>
        </w:rPr>
      </w:pPr>
      <w:r>
        <w:t>3.2.3.1.</w:t>
      </w:r>
      <w:r>
        <w:tab/>
      </w:r>
      <w:r>
        <w:rPr>
          <w:noProof/>
        </w:rPr>
        <w:t xml:space="preserve">Sinteză </w:t>
      </w:r>
    </w:p>
    <w:p>
      <w:pPr>
        <w:pStyle w:val="ListDash1"/>
        <w:rPr>
          <w:noProof/>
        </w:rPr>
      </w:pPr>
      <w:r>
        <w:rPr>
          <w:noProof/>
        </w:rPr>
        <w:sym w:font="Wingdings" w:char="F0A8"/>
      </w:r>
      <w:r>
        <w:rPr>
          <w:noProof/>
        </w:rPr>
        <w:tab/>
        <w:t xml:space="preserve">Propunerea/inițiativa nu implică utilizarea de credite cu caracter administrativ </w:t>
      </w:r>
    </w:p>
    <w:p>
      <w:pPr>
        <w:pStyle w:val="ListDash1"/>
        <w:rPr>
          <w:noProof/>
        </w:rPr>
      </w:pPr>
      <w:r>
        <w:rPr>
          <w:noProof/>
        </w:rPr>
        <w:sym w:font="Wingdings" w:char="F0FE"/>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65"/>
        <w:gridCol w:w="1066"/>
        <w:gridCol w:w="1066"/>
        <w:gridCol w:w="1066"/>
        <w:gridCol w:w="1066"/>
        <w:gridCol w:w="1066"/>
        <w:gridCol w:w="2245"/>
      </w:tblGrid>
      <w:tr>
        <w:trPr>
          <w:trHeight w:val="585"/>
        </w:trPr>
        <w:tc>
          <w:tcPr>
            <w:tcW w:w="1980" w:type="dxa"/>
          </w:tcPr>
          <w:p>
            <w:pPr>
              <w:spacing w:before="60" w:after="60" w:line="200" w:lineRule="exact"/>
              <w:rPr>
                <w:noProof/>
                <w:sz w:val="16"/>
                <w:szCs w:val="16"/>
              </w:rPr>
            </w:pPr>
          </w:p>
        </w:tc>
        <w:tc>
          <w:tcPr>
            <w:tcW w:w="1065"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Anul</w:t>
            </w:r>
            <w:r>
              <w:rPr>
                <w:noProof/>
                <w:sz w:val="22"/>
              </w:rPr>
              <w:br/>
            </w:r>
            <w:r>
              <w:rPr>
                <w:b/>
                <w:noProof/>
                <w:sz w:val="16"/>
              </w:rPr>
              <w:t>2019</w:t>
            </w:r>
            <w:r>
              <w:rPr>
                <w:rStyle w:val="FootnoteReference"/>
                <w:b/>
                <w:noProof/>
                <w:sz w:val="16"/>
              </w:rPr>
              <w:footnoteReference w:id="21"/>
            </w:r>
          </w:p>
        </w:tc>
        <w:tc>
          <w:tcPr>
            <w:tcW w:w="1066"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Anul</w:t>
            </w:r>
            <w:r>
              <w:rPr>
                <w:noProof/>
                <w:sz w:val="22"/>
              </w:rPr>
              <w:br/>
            </w:r>
            <w:r>
              <w:rPr>
                <w:b/>
                <w:noProof/>
                <w:sz w:val="16"/>
              </w:rPr>
              <w:t>2020</w:t>
            </w:r>
          </w:p>
        </w:tc>
        <w:tc>
          <w:tcPr>
            <w:tcW w:w="1066"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Anul</w:t>
            </w:r>
            <w:r>
              <w:rPr>
                <w:noProof/>
                <w:sz w:val="22"/>
              </w:rPr>
              <w:br/>
            </w:r>
            <w:r>
              <w:rPr>
                <w:b/>
                <w:noProof/>
                <w:sz w:val="16"/>
              </w:rPr>
              <w:t>2021</w:t>
            </w:r>
          </w:p>
        </w:tc>
        <w:tc>
          <w:tcPr>
            <w:tcW w:w="1066"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Anul</w:t>
            </w:r>
            <w:r>
              <w:rPr>
                <w:noProof/>
                <w:sz w:val="22"/>
              </w:rPr>
              <w:br/>
            </w:r>
            <w:r>
              <w:rPr>
                <w:b/>
                <w:noProof/>
                <w:sz w:val="16"/>
              </w:rPr>
              <w:t>2022</w:t>
            </w:r>
          </w:p>
        </w:tc>
        <w:tc>
          <w:tcPr>
            <w:tcW w:w="1066" w:type="dxa"/>
            <w:tcBorders>
              <w:top w:val="single" w:sz="2" w:space="0" w:color="auto"/>
              <w:left w:val="single" w:sz="2" w:space="0" w:color="auto"/>
              <w:bottom w:val="single" w:sz="2" w:space="0" w:color="auto"/>
              <w:right w:val="single" w:sz="2" w:space="0" w:color="auto"/>
            </w:tcBorders>
          </w:tcPr>
          <w:p>
            <w:pPr>
              <w:spacing w:before="60" w:after="60" w:line="200" w:lineRule="exact"/>
              <w:jc w:val="center"/>
              <w:rPr>
                <w:b/>
                <w:noProof/>
                <w:sz w:val="16"/>
              </w:rPr>
            </w:pPr>
            <w:r>
              <w:rPr>
                <w:noProof/>
                <w:sz w:val="16"/>
              </w:rPr>
              <w:t>Anul</w:t>
            </w:r>
            <w:r>
              <w:rPr>
                <w:noProof/>
                <w:sz w:val="22"/>
              </w:rPr>
              <w:br/>
            </w:r>
            <w:r>
              <w:rPr>
                <w:b/>
                <w:noProof/>
                <w:sz w:val="16"/>
              </w:rPr>
              <w:t>2023</w:t>
            </w:r>
          </w:p>
        </w:tc>
        <w:tc>
          <w:tcPr>
            <w:tcW w:w="1066" w:type="dxa"/>
            <w:tcBorders>
              <w:top w:val="single" w:sz="2" w:space="0" w:color="auto"/>
              <w:left w:val="single" w:sz="2" w:space="0" w:color="auto"/>
              <w:bottom w:val="single" w:sz="2" w:space="0" w:color="auto"/>
              <w:right w:val="single" w:sz="2" w:space="0" w:color="auto"/>
            </w:tcBorders>
          </w:tcPr>
          <w:p>
            <w:pPr>
              <w:spacing w:before="60" w:after="60" w:line="200" w:lineRule="exact"/>
              <w:jc w:val="center"/>
              <w:rPr>
                <w:b/>
                <w:noProof/>
                <w:sz w:val="16"/>
              </w:rPr>
            </w:pPr>
            <w:r>
              <w:rPr>
                <w:noProof/>
                <w:sz w:val="16"/>
              </w:rPr>
              <w:t>Anul</w:t>
            </w:r>
            <w:r>
              <w:rPr>
                <w:noProof/>
                <w:sz w:val="22"/>
              </w:rPr>
              <w:br/>
            </w:r>
            <w:r>
              <w:rPr>
                <w:b/>
                <w:noProof/>
                <w:sz w:val="16"/>
              </w:rPr>
              <w:t>2024</w:t>
            </w:r>
          </w:p>
        </w:tc>
        <w:tc>
          <w:tcPr>
            <w:tcW w:w="2245"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43"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65"/>
        <w:gridCol w:w="1066"/>
        <w:gridCol w:w="1066"/>
        <w:gridCol w:w="1066"/>
        <w:gridCol w:w="1066"/>
        <w:gridCol w:w="1066"/>
        <w:gridCol w:w="2268"/>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w:t>
            </w:r>
            <w:r>
              <w:rPr>
                <w:noProof/>
                <w:sz w:val="22"/>
              </w:rPr>
              <w:br/>
            </w:r>
            <w:r>
              <w:rPr>
                <w:b/>
                <w:noProof/>
                <w:sz w:val="16"/>
              </w:rPr>
              <w:t>din cadrul financiar multianual</w:t>
            </w:r>
          </w:p>
        </w:tc>
        <w:tc>
          <w:tcPr>
            <w:tcW w:w="1065"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2268"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65"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2268"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administrative </w:t>
            </w:r>
          </w:p>
        </w:tc>
        <w:tc>
          <w:tcPr>
            <w:tcW w:w="1065"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2268"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RUBRICA 5</w:t>
            </w:r>
            <w:r>
              <w:rPr>
                <w:noProof/>
                <w:sz w:val="22"/>
              </w:rPr>
              <w:br/>
            </w:r>
            <w:r>
              <w:rPr>
                <w:b/>
                <w:noProof/>
                <w:sz w:val="16"/>
              </w:rPr>
              <w:t>din cadrul financiar multianual</w:t>
            </w:r>
          </w:p>
        </w:tc>
        <w:tc>
          <w:tcPr>
            <w:tcW w:w="1065"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2268"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43"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2183"/>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În afara RUBRICII 5</w:t>
            </w:r>
            <w:r>
              <w:rPr>
                <w:rStyle w:val="FootnoteReference"/>
                <w:b/>
                <w:noProof/>
                <w:sz w:val="16"/>
              </w:rPr>
              <w:footnoteReference w:id="22"/>
            </w:r>
            <w:r>
              <w:rPr>
                <w:noProof/>
                <w:sz w:val="22"/>
              </w:rPr>
              <w:br/>
            </w:r>
            <w:r>
              <w:rPr>
                <w:b/>
                <w:noProof/>
                <w:sz w:val="16"/>
              </w:rPr>
              <w:t>din cadrul financiar multianual</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2183"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rPr>
            </w:pPr>
            <w:r>
              <w:rPr>
                <w:b/>
                <w:bCs/>
                <w:noProof/>
                <w:sz w:val="20"/>
                <w:szCs w:val="20"/>
              </w:rPr>
              <w:t>0,010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rPr>
            </w:pPr>
            <w:r>
              <w:rPr>
                <w:b/>
                <w:bCs/>
                <w:noProof/>
                <w:sz w:val="20"/>
                <w:szCs w:val="20"/>
              </w:rPr>
              <w:t>0,060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rPr>
            </w:pPr>
            <w:r>
              <w:rPr>
                <w:b/>
                <w:bCs/>
                <w:noProof/>
                <w:sz w:val="20"/>
                <w:szCs w:val="20"/>
              </w:rPr>
              <w:t>0,060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bCs/>
                <w:noProof/>
                <w:sz w:val="20"/>
                <w:szCs w:val="20"/>
              </w:rPr>
            </w:pPr>
            <w:r>
              <w:rPr>
                <w:b/>
                <w:bCs/>
                <w:noProof/>
                <w:sz w:val="20"/>
                <w:szCs w:val="20"/>
              </w:rPr>
              <w:t>0,060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rPr>
            </w:pPr>
            <w:r>
              <w:rPr>
                <w:b/>
                <w:noProof/>
                <w:sz w:val="20"/>
                <w:szCs w:val="20"/>
              </w:rPr>
              <w:t>0,060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rPr>
            </w:pPr>
            <w:r>
              <w:rPr>
                <w:b/>
                <w:noProof/>
                <w:sz w:val="20"/>
                <w:szCs w:val="20"/>
              </w:rPr>
              <w:t>0,050</w:t>
            </w:r>
          </w:p>
        </w:tc>
        <w:tc>
          <w:tcPr>
            <w:tcW w:w="2183"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rPr>
            </w:pPr>
            <w:r>
              <w:rPr>
                <w:b/>
                <w:noProof/>
                <w:sz w:val="20"/>
                <w:szCs w:val="20"/>
              </w:rPr>
              <w:t>0,300</w:t>
            </w:r>
          </w:p>
        </w:tc>
      </w:tr>
      <w:tr>
        <w:trPr>
          <w:trHeight w:val="585"/>
        </w:trPr>
        <w:tc>
          <w:tcPr>
            <w:tcW w:w="1980" w:type="dxa"/>
            <w:vAlign w:val="center"/>
          </w:tcPr>
          <w:p>
            <w:pPr>
              <w:spacing w:before="60" w:after="60" w:line="200" w:lineRule="exact"/>
              <w:ind w:left="72"/>
              <w:jc w:val="left"/>
              <w:rPr>
                <w:noProof/>
                <w:sz w:val="16"/>
                <w:szCs w:val="16"/>
              </w:rPr>
            </w:pPr>
            <w:r>
              <w:rPr>
                <w:noProof/>
                <w:sz w:val="16"/>
              </w:rPr>
              <w:t>Alte cheltuieli administrative</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0,002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0,010</w:t>
            </w:r>
          </w:p>
        </w:tc>
        <w:tc>
          <w:tcPr>
            <w:tcW w:w="218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r>
              <w:rPr>
                <w:b/>
                <w:noProof/>
                <w:sz w:val="20"/>
              </w:rPr>
              <w:t>0,060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în afara RUBRICII 5</w:t>
            </w:r>
            <w:r>
              <w:rPr>
                <w:noProof/>
                <w:sz w:val="22"/>
              </w:rPr>
              <w:br/>
            </w:r>
            <w:r>
              <w:rPr>
                <w:b/>
                <w:noProof/>
                <w:sz w:val="16"/>
              </w:rPr>
              <w:t>din cadrul financiar multianual</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rPr>
            </w:pPr>
            <w:r>
              <w:rPr>
                <w:b/>
                <w:noProof/>
                <w:sz w:val="20"/>
              </w:rPr>
              <w:t>0,012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rPr>
            </w:pPr>
            <w:r>
              <w:rPr>
                <w:b/>
                <w:noProof/>
                <w:sz w:val="20"/>
              </w:rPr>
              <w:t>0,072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rPr>
            </w:pPr>
            <w:r>
              <w:rPr>
                <w:b/>
                <w:noProof/>
                <w:sz w:val="20"/>
              </w:rPr>
              <w:t>0,072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bCs/>
                <w:noProof/>
                <w:sz w:val="20"/>
                <w:szCs w:val="20"/>
              </w:rPr>
            </w:pPr>
            <w:r>
              <w:rPr>
                <w:b/>
                <w:noProof/>
                <w:sz w:val="20"/>
              </w:rPr>
              <w:t>0,072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rPr>
            </w:pPr>
            <w:r>
              <w:rPr>
                <w:b/>
                <w:noProof/>
                <w:sz w:val="20"/>
              </w:rPr>
              <w:t>0,072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rPr>
            </w:pPr>
            <w:r>
              <w:rPr>
                <w:b/>
                <w:noProof/>
                <w:sz w:val="20"/>
              </w:rPr>
              <w:t>0,060</w:t>
            </w:r>
          </w:p>
        </w:tc>
        <w:tc>
          <w:tcPr>
            <w:tcW w:w="2183"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rPr>
            </w:pPr>
            <w:r>
              <w:rPr>
                <w:b/>
                <w:noProof/>
                <w:sz w:val="20"/>
              </w:rPr>
              <w:t>0,360</w:t>
            </w:r>
          </w:p>
        </w:tc>
      </w:tr>
    </w:tbl>
    <w:p>
      <w:pPr>
        <w:spacing w:line="200" w:lineRule="exact"/>
        <w:rPr>
          <w:noProof/>
          <w:sz w:val="16"/>
          <w:szCs w:val="16"/>
        </w:rPr>
      </w:pPr>
    </w:p>
    <w:tbl>
      <w:tblPr>
        <w:tblW w:w="10643"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2183"/>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0,012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0,060</w:t>
            </w:r>
          </w:p>
        </w:tc>
        <w:tc>
          <w:tcPr>
            <w:tcW w:w="2183"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highlight w:val="yellow"/>
              </w:rPr>
            </w:pPr>
            <w:r>
              <w:rPr>
                <w:b/>
                <w:noProof/>
                <w:sz w:val="20"/>
              </w:rPr>
              <w:t>0,360</w:t>
            </w:r>
          </w:p>
        </w:tc>
      </w:tr>
    </w:tbl>
    <w:p>
      <w:pPr>
        <w:rPr>
          <w:noProof/>
          <w:sz w:val="18"/>
        </w:rPr>
        <w:sectPr>
          <w:headerReference w:type="default" r:id="rId18"/>
          <w:footerReference w:type="default" r:id="rId19"/>
          <w:headerReference w:type="first" r:id="rId20"/>
          <w:footerReference w:type="first" r:id="rId21"/>
          <w:footnotePr>
            <w:numRestart w:val="eachSect"/>
          </w:footnotePr>
          <w:pgSz w:w="11907" w:h="16840"/>
          <w:pgMar w:top="1134" w:right="1418" w:bottom="1134" w:left="1418" w:header="709" w:footer="709" w:gutter="0"/>
          <w:cols w:space="708"/>
          <w:docGrid w:linePitch="360"/>
        </w:sectPr>
      </w:pPr>
      <w:r>
        <w:rPr>
          <w:noProof/>
          <w:sz w:val="18"/>
        </w:rPr>
        <w:t>Necesarul de credite în materie de resurse umane și de alte cheltuieli de natură administrativă va fi acoperit de creditele DG­ului care sunt deja alocate pentru gestionarea acțiunii și/sau realocate intern în cadrul DG-ului, completate, după caz, prin resurse suplimentare ce ar putea fi alocate DG-ului care gestionează acțiunea în cadrul procedurii de alocare anuală și în lumina constrângerilor bugetare.</w:t>
      </w:r>
    </w:p>
    <w:p>
      <w:pPr>
        <w:pStyle w:val="ManualHeading4"/>
        <w:rPr>
          <w:bCs/>
          <w:noProof/>
          <w:szCs w:val="24"/>
        </w:rPr>
      </w:pPr>
      <w:r>
        <w:t>3.2.3.2.</w:t>
      </w:r>
      <w:r>
        <w:tab/>
      </w:r>
      <w:r>
        <w:rPr>
          <w:noProof/>
        </w:rPr>
        <w:t>Necesarul de resurse umane estimat</w:t>
      </w:r>
    </w:p>
    <w:p>
      <w:pPr>
        <w:pStyle w:val="ListDash1"/>
        <w:rPr>
          <w:noProof/>
        </w:rPr>
      </w:pPr>
      <w:r>
        <w:rPr>
          <w:noProof/>
        </w:rPr>
        <w:sym w:font="Wingdings" w:char="F0A8"/>
      </w:r>
      <w:r>
        <w:rPr>
          <w:noProof/>
        </w:rPr>
        <w:tab/>
        <w:t xml:space="preserve">Propunerea/inițiativa nu implică utilizarea de resurse umane. </w:t>
      </w:r>
    </w:p>
    <w:p>
      <w:pPr>
        <w:pStyle w:val="ListDash1"/>
        <w:rPr>
          <w:noProof/>
        </w:rPr>
      </w:pPr>
      <w:r>
        <w:rPr>
          <w:noProof/>
        </w:rPr>
        <w:sym w:font="Wingdings" w:char="F0FE"/>
      </w:r>
      <w:r>
        <w:rPr>
          <w:noProof/>
        </w:rPr>
        <w:tab/>
        <w:t>Propunerea/inițiativa implică utilizarea de resurse umane, conform explicațiilor de mai jos:</w:t>
      </w:r>
    </w:p>
    <w:p>
      <w:pPr>
        <w:spacing w:after="60"/>
        <w:jc w:val="right"/>
        <w:rPr>
          <w:i/>
          <w:noProof/>
          <w:sz w:val="20"/>
        </w:rPr>
      </w:pPr>
      <w:r>
        <w:rPr>
          <w:i/>
          <w:noProof/>
          <w:sz w:val="20"/>
        </w:rPr>
        <w:t>Estimarea trebuie exprimată în unități echivalente normă întreagă</w:t>
      </w:r>
    </w:p>
    <w:tbl>
      <w:tblPr>
        <w:tblW w:w="46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57"/>
        <w:gridCol w:w="1987"/>
        <w:gridCol w:w="616"/>
        <w:gridCol w:w="832"/>
        <w:gridCol w:w="834"/>
        <w:gridCol w:w="715"/>
        <w:gridCol w:w="630"/>
        <w:gridCol w:w="318"/>
        <w:gridCol w:w="948"/>
      </w:tblGrid>
      <w:tr>
        <w:trPr>
          <w:trHeight w:val="289"/>
          <w:jc w:val="center"/>
        </w:trPr>
        <w:tc>
          <w:tcPr>
            <w:tcW w:w="2171" w:type="pct"/>
            <w:gridSpan w:val="2"/>
            <w:tcBorders>
              <w:top w:val="single" w:sz="6" w:space="0" w:color="auto"/>
              <w:left w:val="single" w:sz="6" w:space="0" w:color="auto"/>
              <w:bottom w:val="single" w:sz="6" w:space="0" w:color="auto"/>
              <w:right w:val="single" w:sz="6" w:space="0" w:color="auto"/>
            </w:tcBorders>
          </w:tcPr>
          <w:p>
            <w:pPr>
              <w:spacing w:before="40" w:after="40" w:line="256" w:lineRule="auto"/>
              <w:jc w:val="center"/>
              <w:rPr>
                <w:i/>
                <w:noProof/>
                <w:sz w:val="16"/>
                <w:szCs w:val="16"/>
              </w:rPr>
            </w:pPr>
          </w:p>
        </w:tc>
        <w:tc>
          <w:tcPr>
            <w:tcW w:w="346" w:type="pct"/>
            <w:tcBorders>
              <w:top w:val="single" w:sz="6" w:space="0" w:color="auto"/>
              <w:left w:val="single" w:sz="6" w:space="0" w:color="auto"/>
              <w:bottom w:val="single" w:sz="6" w:space="0" w:color="auto"/>
              <w:right w:val="single" w:sz="6" w:space="0" w:color="auto"/>
            </w:tcBorders>
            <w:vAlign w:val="center"/>
            <w:hideMark/>
          </w:tcPr>
          <w:p>
            <w:pPr>
              <w:spacing w:before="20" w:after="20" w:line="256" w:lineRule="auto"/>
              <w:jc w:val="center"/>
              <w:rPr>
                <w:noProof/>
                <w:sz w:val="16"/>
                <w:szCs w:val="16"/>
              </w:rPr>
            </w:pPr>
            <w:r>
              <w:rPr>
                <w:noProof/>
                <w:sz w:val="20"/>
              </w:rPr>
              <w:t>Anul</w:t>
            </w:r>
            <w:r>
              <w:rPr>
                <w:noProof/>
                <w:sz w:val="22"/>
              </w:rPr>
              <w:br/>
            </w:r>
            <w:r>
              <w:rPr>
                <w:b/>
                <w:noProof/>
                <w:sz w:val="16"/>
              </w:rPr>
              <w:t>2019</w:t>
            </w:r>
          </w:p>
        </w:tc>
        <w:tc>
          <w:tcPr>
            <w:tcW w:w="483" w:type="pct"/>
            <w:tcBorders>
              <w:top w:val="single" w:sz="6" w:space="0" w:color="auto"/>
              <w:left w:val="single" w:sz="6" w:space="0" w:color="auto"/>
              <w:bottom w:val="single" w:sz="6" w:space="0" w:color="auto"/>
              <w:right w:val="single" w:sz="6" w:space="0" w:color="auto"/>
            </w:tcBorders>
            <w:vAlign w:val="center"/>
            <w:hideMark/>
          </w:tcPr>
          <w:p>
            <w:pPr>
              <w:spacing w:before="20" w:after="20" w:line="256" w:lineRule="auto"/>
              <w:jc w:val="center"/>
              <w:rPr>
                <w:noProof/>
                <w:sz w:val="16"/>
                <w:szCs w:val="16"/>
              </w:rPr>
            </w:pPr>
            <w:r>
              <w:rPr>
                <w:noProof/>
                <w:sz w:val="20"/>
              </w:rPr>
              <w:t>Anul</w:t>
            </w:r>
            <w:r>
              <w:rPr>
                <w:noProof/>
                <w:sz w:val="22"/>
              </w:rPr>
              <w:br/>
            </w:r>
            <w:r>
              <w:rPr>
                <w:b/>
                <w:noProof/>
                <w:sz w:val="16"/>
              </w:rPr>
              <w:t>2020</w:t>
            </w:r>
          </w:p>
        </w:tc>
        <w:tc>
          <w:tcPr>
            <w:tcW w:w="484" w:type="pct"/>
            <w:tcBorders>
              <w:top w:val="single" w:sz="6" w:space="0" w:color="auto"/>
              <w:left w:val="single" w:sz="6" w:space="0" w:color="auto"/>
              <w:bottom w:val="single" w:sz="6" w:space="0" w:color="auto"/>
              <w:right w:val="single" w:sz="6" w:space="0" w:color="auto"/>
            </w:tcBorders>
            <w:vAlign w:val="center"/>
            <w:hideMark/>
          </w:tcPr>
          <w:p>
            <w:pPr>
              <w:spacing w:before="20" w:after="20" w:line="256" w:lineRule="auto"/>
              <w:jc w:val="center"/>
              <w:rPr>
                <w:noProof/>
                <w:sz w:val="16"/>
                <w:szCs w:val="16"/>
              </w:rPr>
            </w:pPr>
            <w:r>
              <w:rPr>
                <w:noProof/>
                <w:sz w:val="16"/>
                <w:szCs w:val="16"/>
              </w:rPr>
              <w:t>Anul</w:t>
            </w:r>
          </w:p>
          <w:p>
            <w:pPr>
              <w:spacing w:before="20" w:after="20" w:line="256" w:lineRule="auto"/>
              <w:jc w:val="center"/>
              <w:rPr>
                <w:noProof/>
                <w:sz w:val="16"/>
                <w:szCs w:val="16"/>
              </w:rPr>
            </w:pPr>
            <w:r>
              <w:rPr>
                <w:b/>
                <w:noProof/>
                <w:sz w:val="16"/>
                <w:szCs w:val="16"/>
              </w:rPr>
              <w:t>2021</w:t>
            </w:r>
          </w:p>
        </w:tc>
        <w:tc>
          <w:tcPr>
            <w:tcW w:w="415" w:type="pct"/>
            <w:tcBorders>
              <w:top w:val="single" w:sz="6" w:space="0" w:color="auto"/>
              <w:left w:val="single" w:sz="6" w:space="0" w:color="auto"/>
              <w:bottom w:val="single" w:sz="6" w:space="0" w:color="auto"/>
              <w:right w:val="single" w:sz="6" w:space="0" w:color="auto"/>
            </w:tcBorders>
            <w:vAlign w:val="center"/>
            <w:hideMark/>
          </w:tcPr>
          <w:p>
            <w:pPr>
              <w:spacing w:before="20" w:after="20" w:line="256" w:lineRule="auto"/>
              <w:jc w:val="center"/>
              <w:rPr>
                <w:noProof/>
                <w:sz w:val="16"/>
                <w:szCs w:val="16"/>
              </w:rPr>
            </w:pPr>
            <w:r>
              <w:rPr>
                <w:noProof/>
                <w:sz w:val="16"/>
                <w:szCs w:val="16"/>
              </w:rPr>
              <w:t>Anul</w:t>
            </w:r>
          </w:p>
          <w:p>
            <w:pPr>
              <w:spacing w:before="20" w:after="20" w:line="256" w:lineRule="auto"/>
              <w:jc w:val="center"/>
              <w:rPr>
                <w:noProof/>
                <w:sz w:val="16"/>
                <w:szCs w:val="16"/>
              </w:rPr>
            </w:pPr>
            <w:r>
              <w:rPr>
                <w:b/>
                <w:noProof/>
                <w:sz w:val="16"/>
                <w:szCs w:val="16"/>
              </w:rPr>
              <w:t>2022</w:t>
            </w:r>
          </w:p>
        </w:tc>
        <w:tc>
          <w:tcPr>
            <w:tcW w:w="551" w:type="pct"/>
            <w:gridSpan w:val="2"/>
            <w:tcBorders>
              <w:top w:val="single" w:sz="6" w:space="0" w:color="auto"/>
              <w:left w:val="single" w:sz="6" w:space="0" w:color="auto"/>
              <w:bottom w:val="single" w:sz="6" w:space="0" w:color="auto"/>
              <w:right w:val="single" w:sz="6" w:space="0" w:color="auto"/>
            </w:tcBorders>
            <w:vAlign w:val="center"/>
            <w:hideMark/>
          </w:tcPr>
          <w:p>
            <w:pPr>
              <w:spacing w:before="20" w:after="20" w:line="256" w:lineRule="auto"/>
              <w:jc w:val="center"/>
              <w:rPr>
                <w:noProof/>
                <w:sz w:val="16"/>
                <w:szCs w:val="16"/>
              </w:rPr>
            </w:pPr>
            <w:r>
              <w:rPr>
                <w:noProof/>
                <w:sz w:val="16"/>
                <w:szCs w:val="16"/>
              </w:rPr>
              <w:t>Anul</w:t>
            </w:r>
          </w:p>
          <w:p>
            <w:pPr>
              <w:spacing w:line="256" w:lineRule="auto"/>
              <w:jc w:val="center"/>
              <w:rPr>
                <w:b/>
                <w:noProof/>
                <w:sz w:val="16"/>
              </w:rPr>
            </w:pPr>
            <w:r>
              <w:rPr>
                <w:b/>
                <w:noProof/>
                <w:sz w:val="16"/>
                <w:szCs w:val="16"/>
              </w:rPr>
              <w:t>2023</w:t>
            </w:r>
          </w:p>
        </w:tc>
        <w:tc>
          <w:tcPr>
            <w:tcW w:w="551" w:type="pct"/>
            <w:tcBorders>
              <w:top w:val="single" w:sz="6" w:space="0" w:color="auto"/>
              <w:left w:val="single" w:sz="6" w:space="0" w:color="auto"/>
              <w:bottom w:val="single" w:sz="6" w:space="0" w:color="auto"/>
              <w:right w:val="single" w:sz="6" w:space="0" w:color="auto"/>
            </w:tcBorders>
            <w:vAlign w:val="center"/>
            <w:hideMark/>
          </w:tcPr>
          <w:p>
            <w:pPr>
              <w:spacing w:before="20" w:after="20" w:line="256" w:lineRule="auto"/>
              <w:jc w:val="center"/>
              <w:rPr>
                <w:noProof/>
                <w:sz w:val="16"/>
                <w:szCs w:val="16"/>
              </w:rPr>
            </w:pPr>
            <w:r>
              <w:rPr>
                <w:noProof/>
                <w:sz w:val="16"/>
                <w:szCs w:val="16"/>
              </w:rPr>
              <w:t>Anul</w:t>
            </w:r>
          </w:p>
          <w:p>
            <w:pPr>
              <w:spacing w:line="256" w:lineRule="auto"/>
              <w:jc w:val="center"/>
              <w:rPr>
                <w:b/>
                <w:noProof/>
                <w:sz w:val="16"/>
                <w:szCs w:val="16"/>
              </w:rPr>
            </w:pPr>
            <w:r>
              <w:rPr>
                <w:b/>
                <w:noProof/>
                <w:sz w:val="16"/>
                <w:szCs w:val="16"/>
              </w:rPr>
              <w:t>2024</w:t>
            </w:r>
          </w:p>
        </w:tc>
      </w:tr>
      <w:tr>
        <w:trPr>
          <w:trHeight w:val="289"/>
          <w:jc w:val="center"/>
        </w:trPr>
        <w:tc>
          <w:tcPr>
            <w:tcW w:w="3483" w:type="pct"/>
            <w:gridSpan w:val="5"/>
            <w:tcBorders>
              <w:top w:val="single" w:sz="6" w:space="0" w:color="auto"/>
              <w:left w:val="single" w:sz="6" w:space="0" w:color="auto"/>
              <w:bottom w:val="single" w:sz="6" w:space="0" w:color="auto"/>
              <w:right w:val="single" w:sz="6" w:space="0" w:color="auto"/>
            </w:tcBorders>
            <w:hideMark/>
          </w:tcPr>
          <w:p>
            <w:pPr>
              <w:spacing w:before="20" w:after="20" w:line="256" w:lineRule="auto"/>
              <w:rPr>
                <w:noProof/>
                <w:sz w:val="16"/>
                <w:szCs w:val="16"/>
              </w:rPr>
            </w:pPr>
            <w:r>
              <w:rPr>
                <w:b/>
                <w:noProof/>
                <w:sz w:val="16"/>
              </w:rPr>
              <w:sym w:font="Wingdings" w:char="F09F"/>
            </w:r>
            <w:r>
              <w:rPr>
                <w:b/>
                <w:noProof/>
                <w:sz w:val="16"/>
              </w:rPr>
              <w:t>Posturi din schema de personal (funcționari și agenți temporari)</w:t>
            </w:r>
          </w:p>
        </w:tc>
        <w:tc>
          <w:tcPr>
            <w:tcW w:w="415" w:type="pct"/>
            <w:tcBorders>
              <w:top w:val="single" w:sz="6" w:space="0" w:color="auto"/>
              <w:left w:val="single" w:sz="6" w:space="0" w:color="auto"/>
              <w:bottom w:val="single" w:sz="6" w:space="0" w:color="auto"/>
              <w:right w:val="single" w:sz="6" w:space="0" w:color="auto"/>
            </w:tcBorders>
            <w:vAlign w:val="center"/>
          </w:tcPr>
          <w:p>
            <w:pPr>
              <w:spacing w:before="20" w:after="20" w:line="256" w:lineRule="auto"/>
              <w:jc w:val="center"/>
              <w:rPr>
                <w:noProof/>
                <w:sz w:val="16"/>
                <w:szCs w:val="16"/>
              </w:rPr>
            </w:pPr>
          </w:p>
        </w:tc>
        <w:tc>
          <w:tcPr>
            <w:tcW w:w="551" w:type="pct"/>
            <w:gridSpan w:val="2"/>
            <w:tcBorders>
              <w:top w:val="single" w:sz="6" w:space="0" w:color="auto"/>
              <w:left w:val="single" w:sz="6" w:space="0" w:color="auto"/>
              <w:bottom w:val="single" w:sz="6" w:space="0" w:color="auto"/>
              <w:right w:val="single" w:sz="6" w:space="0" w:color="auto"/>
            </w:tcBorders>
          </w:tcPr>
          <w:p>
            <w:pPr>
              <w:spacing w:line="256" w:lineRule="auto"/>
              <w:jc w:val="center"/>
              <w:rPr>
                <w:noProof/>
                <w:sz w:val="16"/>
                <w:szCs w:val="16"/>
              </w:rPr>
            </w:pPr>
          </w:p>
        </w:tc>
        <w:tc>
          <w:tcPr>
            <w:tcW w:w="551" w:type="pct"/>
            <w:tcBorders>
              <w:top w:val="single" w:sz="6" w:space="0" w:color="auto"/>
              <w:left w:val="single" w:sz="6" w:space="0" w:color="auto"/>
              <w:bottom w:val="single" w:sz="6" w:space="0" w:color="auto"/>
              <w:right w:val="single" w:sz="6" w:space="0" w:color="auto"/>
            </w:tcBorders>
            <w:vAlign w:val="center"/>
          </w:tcPr>
          <w:p>
            <w:pPr>
              <w:spacing w:line="256" w:lineRule="auto"/>
              <w:jc w:val="center"/>
              <w:rPr>
                <w:noProof/>
                <w:sz w:val="16"/>
                <w:szCs w:val="16"/>
              </w:rPr>
            </w:pPr>
          </w:p>
        </w:tc>
      </w:tr>
      <w:tr>
        <w:trPr>
          <w:trHeight w:val="289"/>
          <w:jc w:val="center"/>
        </w:trPr>
        <w:tc>
          <w:tcPr>
            <w:tcW w:w="2171"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4"/>
              <w:jc w:val="left"/>
              <w:rPr>
                <w:b/>
                <w:noProof/>
                <w:sz w:val="16"/>
                <w:szCs w:val="16"/>
              </w:rPr>
            </w:pPr>
            <w:r>
              <w:rPr>
                <w:noProof/>
                <w:sz w:val="16"/>
              </w:rPr>
              <w:t>XX 01 01 01 (la sediu și în reprezentanțele Comisiei)</w:t>
            </w:r>
          </w:p>
        </w:tc>
        <w:tc>
          <w:tcPr>
            <w:tcW w:w="3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5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5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71"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4"/>
              <w:jc w:val="left"/>
              <w:rPr>
                <w:noProof/>
                <w:sz w:val="16"/>
                <w:szCs w:val="16"/>
              </w:rPr>
            </w:pPr>
            <w:r>
              <w:rPr>
                <w:noProof/>
                <w:sz w:val="16"/>
              </w:rPr>
              <w:t>XX 01 01 02 (în delegații)</w:t>
            </w:r>
          </w:p>
        </w:tc>
        <w:tc>
          <w:tcPr>
            <w:tcW w:w="3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5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5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71"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4"/>
              <w:jc w:val="left"/>
              <w:rPr>
                <w:noProof/>
                <w:sz w:val="16"/>
                <w:szCs w:val="16"/>
              </w:rPr>
            </w:pPr>
            <w:r>
              <w:rPr>
                <w:noProof/>
                <w:sz w:val="16"/>
              </w:rPr>
              <w:t>08 01 05 01 (cercetare indirectă)</w:t>
            </w:r>
          </w:p>
        </w:tc>
        <w:tc>
          <w:tcPr>
            <w:tcW w:w="346"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0,1</w:t>
            </w:r>
          </w:p>
        </w:tc>
        <w:tc>
          <w:tcPr>
            <w:tcW w:w="48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0,5</w:t>
            </w:r>
          </w:p>
        </w:tc>
        <w:tc>
          <w:tcPr>
            <w:tcW w:w="484"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0,5</w:t>
            </w:r>
          </w:p>
        </w:tc>
        <w:tc>
          <w:tcPr>
            <w:tcW w:w="415"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0,5</w:t>
            </w:r>
          </w:p>
        </w:tc>
        <w:tc>
          <w:tcPr>
            <w:tcW w:w="551"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56" w:lineRule="auto"/>
              <w:jc w:val="center"/>
              <w:rPr>
                <w:noProof/>
                <w:sz w:val="16"/>
                <w:szCs w:val="16"/>
              </w:rPr>
            </w:pPr>
            <w:r>
              <w:rPr>
                <w:noProof/>
                <w:sz w:val="16"/>
                <w:szCs w:val="16"/>
              </w:rPr>
              <w:t>0,5</w:t>
            </w:r>
          </w:p>
        </w:tc>
        <w:tc>
          <w:tcPr>
            <w:tcW w:w="551"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0,4</w:t>
            </w:r>
          </w:p>
        </w:tc>
      </w:tr>
      <w:tr>
        <w:trPr>
          <w:trHeight w:val="289"/>
          <w:jc w:val="center"/>
        </w:trPr>
        <w:tc>
          <w:tcPr>
            <w:tcW w:w="2171"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4"/>
              <w:jc w:val="left"/>
              <w:rPr>
                <w:noProof/>
                <w:sz w:val="16"/>
                <w:szCs w:val="16"/>
              </w:rPr>
            </w:pPr>
            <w:r>
              <w:rPr>
                <w:noProof/>
                <w:sz w:val="16"/>
              </w:rPr>
              <w:t>10 01 05 01 (cercetare directă)</w:t>
            </w:r>
          </w:p>
        </w:tc>
        <w:tc>
          <w:tcPr>
            <w:tcW w:w="3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5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5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gridAfter w:val="2"/>
          <w:wAfter w:w="736" w:type="pct"/>
          <w:trHeight w:val="248"/>
          <w:jc w:val="center"/>
        </w:trPr>
        <w:tc>
          <w:tcPr>
            <w:tcW w:w="3483" w:type="pct"/>
            <w:gridSpan w:val="5"/>
            <w:tcBorders>
              <w:top w:val="single" w:sz="6" w:space="0" w:color="auto"/>
              <w:left w:val="single" w:sz="6" w:space="0" w:color="auto"/>
              <w:bottom w:val="single" w:sz="6" w:space="0" w:color="auto"/>
              <w:right w:val="single" w:sz="6" w:space="0" w:color="auto"/>
            </w:tcBorders>
            <w:vAlign w:val="center"/>
          </w:tcPr>
          <w:p>
            <w:pPr>
              <w:spacing w:before="60" w:after="60" w:line="256" w:lineRule="auto"/>
              <w:jc w:val="left"/>
              <w:rPr>
                <w:b/>
                <w:noProof/>
                <w:sz w:val="16"/>
                <w:szCs w:val="16"/>
              </w:rPr>
            </w:pPr>
            <w:r>
              <w:rPr>
                <w:b/>
                <w:noProof/>
                <w:sz w:val="16"/>
              </w:rPr>
              <w:sym w:font="Wingdings" w:char="F09F"/>
            </w:r>
            <w:r>
              <w:rPr>
                <w:b/>
                <w:noProof/>
                <w:sz w:val="16"/>
              </w:rPr>
              <w:t>Personal extern (în echivalent normă întreagă</w:t>
            </w:r>
            <w:r>
              <w:rPr>
                <w:b/>
                <w:noProof/>
                <w:sz w:val="16"/>
                <w:szCs w:val="16"/>
              </w:rPr>
              <w:t xml:space="preserve">: </w:t>
            </w:r>
            <w:r>
              <w:rPr>
                <w:b/>
                <w:bCs/>
                <w:noProof/>
                <w:sz w:val="16"/>
                <w:szCs w:val="16"/>
              </w:rPr>
              <w:t>ENI</w:t>
            </w:r>
            <w:r>
              <w:rPr>
                <w:noProof/>
                <w:sz w:val="16"/>
                <w:szCs w:val="16"/>
              </w:rPr>
              <w:t>)</w:t>
            </w:r>
            <w:r>
              <w:rPr>
                <w:rStyle w:val="FootnoteReference"/>
                <w:noProof/>
              </w:rPr>
              <w:footnoteReference w:id="23"/>
            </w:r>
          </w:p>
          <w:p>
            <w:pPr>
              <w:spacing w:before="0" w:after="0" w:line="256" w:lineRule="auto"/>
              <w:jc w:val="left"/>
              <w:rPr>
                <w:noProof/>
                <w:sz w:val="16"/>
                <w:szCs w:val="16"/>
              </w:rPr>
            </w:pPr>
          </w:p>
        </w:tc>
        <w:tc>
          <w:tcPr>
            <w:tcW w:w="781" w:type="pct"/>
            <w:gridSpan w:val="2"/>
            <w:tcBorders>
              <w:top w:val="single" w:sz="6" w:space="0" w:color="auto"/>
              <w:left w:val="single" w:sz="6" w:space="0" w:color="auto"/>
              <w:bottom w:val="single" w:sz="6" w:space="0" w:color="auto"/>
              <w:right w:val="single" w:sz="6" w:space="0" w:color="auto"/>
            </w:tcBorders>
          </w:tcPr>
          <w:p>
            <w:pPr>
              <w:spacing w:before="60" w:after="60" w:line="256" w:lineRule="auto"/>
              <w:jc w:val="left"/>
              <w:rPr>
                <w:b/>
                <w:noProof/>
                <w:sz w:val="16"/>
              </w:rPr>
            </w:pPr>
          </w:p>
        </w:tc>
      </w:tr>
      <w:tr>
        <w:trPr>
          <w:trHeight w:val="289"/>
          <w:jc w:val="center"/>
        </w:trPr>
        <w:tc>
          <w:tcPr>
            <w:tcW w:w="2171"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b/>
                <w:noProof/>
                <w:sz w:val="16"/>
                <w:szCs w:val="16"/>
              </w:rPr>
            </w:pPr>
            <w:r>
              <w:rPr>
                <w:noProof/>
                <w:sz w:val="16"/>
              </w:rPr>
              <w:t>XX 01 02 01 (AC, END, INT din „pachetul global”)</w:t>
            </w:r>
          </w:p>
        </w:tc>
        <w:tc>
          <w:tcPr>
            <w:tcW w:w="3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5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5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71"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noProof/>
                <w:sz w:val="16"/>
                <w:szCs w:val="16"/>
              </w:rPr>
            </w:pPr>
            <w:r>
              <w:rPr>
                <w:noProof/>
                <w:sz w:val="16"/>
              </w:rPr>
              <w:t>XX 01 02 02 (AC, AL, END, INT și JED în delegații)</w:t>
            </w:r>
          </w:p>
        </w:tc>
        <w:tc>
          <w:tcPr>
            <w:tcW w:w="3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5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5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1019" w:type="pct"/>
            <w:vMerge w:val="restar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ind w:left="986"/>
              <w:jc w:val="left"/>
              <w:rPr>
                <w:b/>
                <w:noProof/>
                <w:sz w:val="16"/>
                <w:szCs w:val="16"/>
              </w:rPr>
            </w:pPr>
            <w:r>
              <w:rPr>
                <w:b/>
                <w:noProof/>
                <w:sz w:val="16"/>
                <w:szCs w:val="16"/>
              </w:rPr>
              <w:t>XX</w:t>
            </w:r>
            <w:r>
              <w:rPr>
                <w:noProof/>
                <w:sz w:val="16"/>
                <w:szCs w:val="16"/>
              </w:rPr>
              <w:t xml:space="preserve"> 01 04 </w:t>
            </w:r>
            <w:r>
              <w:rPr>
                <w:b/>
                <w:noProof/>
                <w:sz w:val="16"/>
                <w:szCs w:val="16"/>
              </w:rPr>
              <w:t>aa</w:t>
            </w:r>
            <w:r>
              <w:rPr>
                <w:b/>
                <w:i/>
                <w:noProof/>
                <w:sz w:val="16"/>
              </w:rPr>
              <w:t xml:space="preserve"> </w:t>
            </w:r>
            <w:r>
              <w:rPr>
                <w:rStyle w:val="FootnoteReference"/>
                <w:noProof/>
              </w:rPr>
              <w:footnoteReference w:id="24"/>
            </w:r>
          </w:p>
          <w:p>
            <w:pPr>
              <w:spacing w:beforeLines="20" w:before="48" w:afterLines="20" w:after="48" w:line="256" w:lineRule="auto"/>
              <w:ind w:left="986"/>
              <w:jc w:val="left"/>
              <w:rPr>
                <w:b/>
                <w:noProof/>
                <w:sz w:val="16"/>
                <w:szCs w:val="16"/>
              </w:rPr>
            </w:pPr>
          </w:p>
        </w:tc>
        <w:tc>
          <w:tcPr>
            <w:tcW w:w="115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ind w:left="986"/>
              <w:jc w:val="left"/>
              <w:rPr>
                <w:b/>
                <w:noProof/>
                <w:sz w:val="16"/>
                <w:szCs w:val="16"/>
              </w:rPr>
            </w:pPr>
            <w:r>
              <w:rPr>
                <w:noProof/>
                <w:sz w:val="16"/>
              </w:rPr>
              <w:t>- la sediu</w:t>
            </w:r>
          </w:p>
          <w:p>
            <w:pPr>
              <w:spacing w:beforeLines="20" w:before="48" w:afterLines="20" w:after="48" w:line="256" w:lineRule="auto"/>
              <w:ind w:left="986"/>
              <w:jc w:val="left"/>
              <w:rPr>
                <w:b/>
                <w:noProof/>
                <w:sz w:val="16"/>
                <w:szCs w:val="16"/>
              </w:rPr>
            </w:pPr>
          </w:p>
        </w:tc>
        <w:tc>
          <w:tcPr>
            <w:tcW w:w="3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ind w:left="850"/>
              <w:rPr>
                <w:noProof/>
                <w:sz w:val="16"/>
                <w:szCs w:val="16"/>
              </w:rPr>
            </w:pPr>
          </w:p>
        </w:tc>
        <w:tc>
          <w:tcPr>
            <w:tcW w:w="48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5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5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line="256" w:lineRule="auto"/>
              <w:jc w:val="left"/>
              <w:rPr>
                <w:b/>
                <w:noProof/>
                <w:sz w:val="16"/>
                <w:szCs w:val="16"/>
              </w:rPr>
            </w:pPr>
          </w:p>
        </w:tc>
        <w:tc>
          <w:tcPr>
            <w:tcW w:w="1151"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b/>
                <w:noProof/>
                <w:sz w:val="16"/>
                <w:szCs w:val="16"/>
              </w:rPr>
            </w:pPr>
            <w:r>
              <w:rPr>
                <w:noProof/>
                <w:sz w:val="16"/>
              </w:rPr>
              <w:t xml:space="preserve">- în delegații </w:t>
            </w:r>
          </w:p>
        </w:tc>
        <w:tc>
          <w:tcPr>
            <w:tcW w:w="3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ind w:left="850"/>
              <w:rPr>
                <w:noProof/>
                <w:sz w:val="16"/>
                <w:szCs w:val="16"/>
              </w:rPr>
            </w:pPr>
          </w:p>
        </w:tc>
        <w:tc>
          <w:tcPr>
            <w:tcW w:w="48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5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5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71"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noProof/>
                <w:sz w:val="16"/>
                <w:szCs w:val="16"/>
              </w:rPr>
            </w:pPr>
            <w:r>
              <w:rPr>
                <w:b/>
                <w:noProof/>
                <w:sz w:val="16"/>
                <w:szCs w:val="16"/>
              </w:rPr>
              <w:t>XX</w:t>
            </w:r>
            <w:r>
              <w:rPr>
                <w:noProof/>
                <w:sz w:val="16"/>
                <w:szCs w:val="16"/>
              </w:rPr>
              <w:t xml:space="preserve"> 01 05 02 (AC, END, INT – cercetare indirectă)</w:t>
            </w:r>
          </w:p>
        </w:tc>
        <w:tc>
          <w:tcPr>
            <w:tcW w:w="3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5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5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71"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noProof/>
                <w:sz w:val="16"/>
                <w:szCs w:val="16"/>
              </w:rPr>
            </w:pPr>
            <w:r>
              <w:rPr>
                <w:noProof/>
                <w:sz w:val="16"/>
              </w:rPr>
              <w:t>10 01 05 02 (AC, INT, END – cercetare directă)</w:t>
            </w:r>
          </w:p>
        </w:tc>
        <w:tc>
          <w:tcPr>
            <w:tcW w:w="3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5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5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71" w:type="pct"/>
            <w:gridSpan w:val="2"/>
            <w:tcBorders>
              <w:top w:val="single" w:sz="6" w:space="0" w:color="auto"/>
              <w:left w:val="single" w:sz="6" w:space="0" w:color="auto"/>
              <w:bottom w:val="double" w:sz="4" w:space="0" w:color="auto"/>
              <w:right w:val="single" w:sz="6" w:space="0" w:color="auto"/>
            </w:tcBorders>
            <w:vAlign w:val="center"/>
            <w:hideMark/>
          </w:tcPr>
          <w:p>
            <w:pPr>
              <w:spacing w:beforeLines="20" w:before="48" w:afterLines="20" w:after="48" w:line="256" w:lineRule="auto"/>
              <w:ind w:left="984"/>
              <w:jc w:val="left"/>
              <w:rPr>
                <w:noProof/>
                <w:sz w:val="16"/>
                <w:szCs w:val="16"/>
              </w:rPr>
            </w:pPr>
            <w:r>
              <w:rPr>
                <w:noProof/>
                <w:sz w:val="16"/>
              </w:rPr>
              <w:t>Alte linii bugetare (a se preciza)</w:t>
            </w:r>
          </w:p>
        </w:tc>
        <w:tc>
          <w:tcPr>
            <w:tcW w:w="34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c>
          <w:tcPr>
            <w:tcW w:w="48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c>
          <w:tcPr>
            <w:tcW w:w="484"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c>
          <w:tcPr>
            <w:tcW w:w="415"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c>
          <w:tcPr>
            <w:tcW w:w="551" w:type="pct"/>
            <w:gridSpan w:val="2"/>
            <w:tcBorders>
              <w:top w:val="single" w:sz="6" w:space="0" w:color="auto"/>
              <w:left w:val="single" w:sz="6" w:space="0" w:color="auto"/>
              <w:bottom w:val="double" w:sz="4" w:space="0" w:color="auto"/>
              <w:right w:val="single" w:sz="6" w:space="0" w:color="auto"/>
            </w:tcBorders>
          </w:tcPr>
          <w:p>
            <w:pPr>
              <w:spacing w:beforeLines="20" w:before="48" w:afterLines="20" w:after="48" w:line="256" w:lineRule="auto"/>
              <w:jc w:val="center"/>
              <w:rPr>
                <w:noProof/>
                <w:sz w:val="16"/>
                <w:szCs w:val="16"/>
              </w:rPr>
            </w:pPr>
          </w:p>
        </w:tc>
        <w:tc>
          <w:tcPr>
            <w:tcW w:w="551"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71" w:type="pct"/>
            <w:gridSpan w:val="2"/>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noProof/>
                <w:sz w:val="16"/>
                <w:szCs w:val="16"/>
              </w:rPr>
            </w:pPr>
            <w:r>
              <w:rPr>
                <w:b/>
                <w:noProof/>
                <w:sz w:val="16"/>
              </w:rPr>
              <w:t>TOTAL</w:t>
            </w:r>
          </w:p>
        </w:tc>
        <w:tc>
          <w:tcPr>
            <w:tcW w:w="346"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0,1</w:t>
            </w:r>
          </w:p>
        </w:tc>
        <w:tc>
          <w:tcPr>
            <w:tcW w:w="483"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0,5</w:t>
            </w:r>
          </w:p>
        </w:tc>
        <w:tc>
          <w:tcPr>
            <w:tcW w:w="484"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0,5</w:t>
            </w:r>
          </w:p>
        </w:tc>
        <w:tc>
          <w:tcPr>
            <w:tcW w:w="415"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0,5</w:t>
            </w:r>
          </w:p>
        </w:tc>
        <w:tc>
          <w:tcPr>
            <w:tcW w:w="551" w:type="pct"/>
            <w:gridSpan w:val="2"/>
            <w:tcBorders>
              <w:top w:val="double" w:sz="4" w:space="0" w:color="auto"/>
              <w:left w:val="single" w:sz="6" w:space="0" w:color="auto"/>
              <w:bottom w:val="single" w:sz="6" w:space="0" w:color="auto"/>
              <w:right w:val="single" w:sz="6" w:space="0" w:color="auto"/>
            </w:tcBorders>
            <w:hideMark/>
          </w:tcPr>
          <w:p>
            <w:pPr>
              <w:spacing w:beforeLines="20" w:before="48" w:afterLines="20" w:after="48" w:line="256" w:lineRule="auto"/>
              <w:jc w:val="center"/>
              <w:rPr>
                <w:b/>
                <w:noProof/>
                <w:sz w:val="16"/>
                <w:szCs w:val="16"/>
              </w:rPr>
            </w:pPr>
            <w:r>
              <w:rPr>
                <w:noProof/>
                <w:sz w:val="16"/>
                <w:szCs w:val="16"/>
              </w:rPr>
              <w:t>0,5</w:t>
            </w:r>
          </w:p>
        </w:tc>
        <w:tc>
          <w:tcPr>
            <w:tcW w:w="551"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0,4</w:t>
            </w:r>
          </w:p>
        </w:tc>
      </w:tr>
    </w:tbl>
    <w:p>
      <w:pPr>
        <w:pStyle w:val="Text1"/>
        <w:spacing w:before="60" w:after="60"/>
        <w:ind w:left="851"/>
        <w:rPr>
          <w:noProof/>
          <w:sz w:val="18"/>
          <w:szCs w:val="18"/>
        </w:rPr>
      </w:pPr>
      <w:r>
        <w:rPr>
          <w:b/>
          <w:noProof/>
          <w:sz w:val="18"/>
          <w:szCs w:val="18"/>
        </w:rPr>
        <w:t>XX</w:t>
      </w:r>
      <w:r>
        <w:rPr>
          <w:noProof/>
          <w:sz w:val="18"/>
          <w:szCs w:val="18"/>
        </w:rPr>
        <w:t xml:space="preserve"> este domeniul de politică sau titlul din buget în cauză.</w:t>
      </w:r>
    </w:p>
    <w:p>
      <w:pPr>
        <w:pStyle w:val="Text1"/>
        <w:rPr>
          <w:noProof/>
          <w:sz w:val="18"/>
          <w:szCs w:val="18"/>
        </w:rPr>
      </w:pPr>
      <w:r>
        <w:rPr>
          <w:noProof/>
          <w:sz w:val="18"/>
        </w:rPr>
        <w:t>Necesarul de resurse umane va fi asigurat din efectivele de personal ale DG-ului în cauză alocate deja pentru gestionarea acțiunii și/sau realocate intern în cadrul DG-ului, completate, după caz, prin resurse suplimentare ce ar putea fi alocate DG-ului care gestionează acțiunea în cadrul procedurii de alocare anuală și în lumina constrângerilor bugetare.</w:t>
      </w:r>
    </w:p>
    <w:p>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Funcționari și agenți temporari</w:t>
            </w:r>
          </w:p>
        </w:tc>
        <w:tc>
          <w:tcPr>
            <w:tcW w:w="7200" w:type="dxa"/>
          </w:tcPr>
          <w:p>
            <w:pPr>
              <w:spacing w:line="256" w:lineRule="auto"/>
              <w:rPr>
                <w:noProof/>
                <w:sz w:val="20"/>
              </w:rPr>
            </w:pPr>
            <w:r>
              <w:rPr>
                <w:noProof/>
                <w:sz w:val="20"/>
              </w:rPr>
              <w:t>Pregătirea și gestionarea reuniunilor comitetului mixt instituit în temeiul articolului 6 litera (a) din acord, precum și monitorizarea funcționării și punerii în aplicare a acordului.</w:t>
            </w:r>
          </w:p>
          <w:p>
            <w:pPr>
              <w:rPr>
                <w:noProof/>
                <w:sz w:val="20"/>
              </w:rPr>
            </w:pPr>
            <w:r>
              <w:rPr>
                <w:noProof/>
                <w:sz w:val="20"/>
              </w:rPr>
              <w:t>Calculele sunt efectuate proporțional având în vedere durata acordului.</w:t>
            </w:r>
          </w:p>
        </w:tc>
      </w:tr>
      <w:tr>
        <w:tc>
          <w:tcPr>
            <w:tcW w:w="3240" w:type="dxa"/>
          </w:tcPr>
          <w:p>
            <w:pPr>
              <w:spacing w:before="60" w:after="60"/>
              <w:rPr>
                <w:noProof/>
                <w:sz w:val="20"/>
              </w:rPr>
            </w:pPr>
            <w:r>
              <w:rPr>
                <w:noProof/>
                <w:sz w:val="20"/>
              </w:rPr>
              <w:t>Personal extern</w:t>
            </w:r>
          </w:p>
        </w:tc>
        <w:tc>
          <w:tcPr>
            <w:tcW w:w="7200" w:type="dxa"/>
          </w:tcPr>
          <w:p>
            <w:pPr>
              <w:rPr>
                <w:noProof/>
                <w:sz w:val="20"/>
              </w:rPr>
            </w:pPr>
          </w:p>
        </w:tc>
      </w:tr>
    </w:tbl>
    <w:p>
      <w:pPr>
        <w:rPr>
          <w:noProof/>
        </w:rPr>
        <w:sectPr>
          <w:footnotePr>
            <w:numRestart w:val="eachSect"/>
          </w:footnote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Compatibilitatea cu cadrul financiar multianual actual </w:t>
      </w:r>
    </w:p>
    <w:p>
      <w:pPr>
        <w:pStyle w:val="ListDash1"/>
        <w:rPr>
          <w:noProof/>
        </w:rPr>
      </w:pPr>
      <w:r>
        <w:rPr>
          <w:noProof/>
        </w:rPr>
        <w:sym w:font="Wingdings" w:char="F0FE"/>
      </w:r>
      <w:r>
        <w:rPr>
          <w:noProof/>
        </w:rPr>
        <w:tab/>
        <w:t>Propunerea/inițiativa este compatibilă cu cadrul financiar multianual actual.</w:t>
      </w:r>
    </w:p>
    <w:p>
      <w:pPr>
        <w:pStyle w:val="Text1"/>
        <w:pBdr>
          <w:top w:val="single" w:sz="4" w:space="1" w:color="auto"/>
          <w:left w:val="single" w:sz="4" w:space="4" w:color="auto"/>
          <w:bottom w:val="single" w:sz="4" w:space="1" w:color="auto"/>
          <w:right w:val="single" w:sz="4" w:space="4" w:color="auto"/>
        </w:pBdr>
        <w:rPr>
          <w:noProof/>
        </w:rPr>
      </w:pPr>
      <w:r>
        <w:rPr>
          <w:noProof/>
          <w:sz w:val="20"/>
        </w:rPr>
        <w:t>Cadrul financiar multianual pentru perioada 2021-2027 urmează să fie adoptat de Parlamentul European și de Consiliu.</w:t>
      </w:r>
    </w:p>
    <w:p>
      <w:pPr>
        <w:pStyle w:val="ManualHeading3"/>
        <w:rPr>
          <w:bCs/>
          <w:noProof/>
          <w:szCs w:val="24"/>
        </w:rPr>
      </w:pPr>
      <w:r>
        <w:t>3.2.5.</w:t>
      </w:r>
      <w:r>
        <w:tab/>
      </w:r>
      <w:r>
        <w:rPr>
          <w:noProof/>
        </w:rPr>
        <w:t xml:space="preserve">Contribuțiile terților </w:t>
      </w:r>
    </w:p>
    <w:p>
      <w:pPr>
        <w:pStyle w:val="ListDash1"/>
        <w:rPr>
          <w:noProof/>
        </w:rPr>
      </w:pPr>
      <w:r>
        <w:rPr>
          <w:noProof/>
        </w:rPr>
        <w:t xml:space="preserve">Propunerea/inițiativa nu prevede cofinanțare din partea terților. </w:t>
      </w:r>
    </w:p>
    <w:p>
      <w:pPr>
        <w:pStyle w:val="ListDash1"/>
        <w:rPr>
          <w:noProof/>
        </w:rPr>
      </w:pPr>
    </w:p>
    <w:p>
      <w:pPr>
        <w:jc w:val="right"/>
        <w:rPr>
          <w:noProof/>
          <w:sz w:val="20"/>
        </w:rPr>
      </w:pPr>
      <w:r>
        <w:rPr>
          <w:noProof/>
          <w:sz w:val="20"/>
        </w:rPr>
        <w:t>Credite de angajament în milioane EUR (cu trei zecimale)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Anul</w:t>
            </w:r>
            <w:r>
              <w:rPr>
                <w:noProof/>
                <w:sz w:val="22"/>
              </w:rPr>
              <w:br/>
            </w:r>
            <w:r>
              <w:rPr>
                <w:b/>
                <w:noProof/>
                <w:sz w:val="20"/>
              </w:rPr>
              <w:t>N</w:t>
            </w:r>
          </w:p>
        </w:tc>
        <w:tc>
          <w:tcPr>
            <w:tcW w:w="964" w:type="dxa"/>
            <w:vAlign w:val="center"/>
          </w:tcPr>
          <w:p>
            <w:pPr>
              <w:jc w:val="center"/>
              <w:rPr>
                <w:noProof/>
                <w:sz w:val="20"/>
              </w:rPr>
            </w:pPr>
            <w:r>
              <w:rPr>
                <w:noProof/>
                <w:sz w:val="20"/>
              </w:rPr>
              <w:t>Anul</w:t>
            </w:r>
            <w:r>
              <w:rPr>
                <w:noProof/>
                <w:sz w:val="22"/>
              </w:rPr>
              <w:br/>
            </w:r>
            <w:r>
              <w:rPr>
                <w:b/>
                <w:noProof/>
                <w:sz w:val="20"/>
              </w:rPr>
              <w:t>N+1</w:t>
            </w:r>
          </w:p>
        </w:tc>
        <w:tc>
          <w:tcPr>
            <w:tcW w:w="964" w:type="dxa"/>
            <w:vAlign w:val="center"/>
          </w:tcPr>
          <w:p>
            <w:pPr>
              <w:jc w:val="center"/>
              <w:rPr>
                <w:noProof/>
                <w:sz w:val="20"/>
              </w:rPr>
            </w:pPr>
            <w:r>
              <w:rPr>
                <w:noProof/>
                <w:sz w:val="20"/>
              </w:rPr>
              <w:t>Anul</w:t>
            </w:r>
            <w:r>
              <w:rPr>
                <w:noProof/>
                <w:sz w:val="22"/>
              </w:rPr>
              <w:br/>
            </w:r>
            <w:r>
              <w:rPr>
                <w:b/>
                <w:noProof/>
                <w:sz w:val="20"/>
              </w:rPr>
              <w:t>N+2</w:t>
            </w:r>
          </w:p>
        </w:tc>
        <w:tc>
          <w:tcPr>
            <w:tcW w:w="964" w:type="dxa"/>
            <w:vAlign w:val="center"/>
          </w:tcPr>
          <w:p>
            <w:pPr>
              <w:jc w:val="center"/>
              <w:rPr>
                <w:noProof/>
                <w:sz w:val="20"/>
              </w:rPr>
            </w:pPr>
            <w:r>
              <w:rPr>
                <w:noProof/>
                <w:sz w:val="20"/>
              </w:rPr>
              <w:t>Anul</w:t>
            </w:r>
            <w:r>
              <w:rPr>
                <w:noProof/>
                <w:sz w:val="22"/>
              </w:rPr>
              <w:br/>
            </w:r>
            <w:r>
              <w:rPr>
                <w:b/>
                <w:noProof/>
                <w:sz w:val="20"/>
              </w:rPr>
              <w:t>N+3</w:t>
            </w:r>
          </w:p>
        </w:tc>
        <w:tc>
          <w:tcPr>
            <w:tcW w:w="2892" w:type="dxa"/>
            <w:gridSpan w:val="3"/>
            <w:vAlign w:val="center"/>
          </w:tcPr>
          <w:p>
            <w:pPr>
              <w:jc w:val="center"/>
              <w:rPr>
                <w:b/>
                <w:noProof/>
                <w:sz w:val="20"/>
              </w:rPr>
            </w:pPr>
            <w:r>
              <w:rPr>
                <w:noProof/>
                <w:sz w:val="20"/>
              </w:rPr>
              <w:t>A se introduce atâția ani câți sunt considerați necesari pentru a reflecta durata impactului (a se vedea punctul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sz w:val="22"/>
              </w:rPr>
            </w:pPr>
            <w:r>
              <w:rPr>
                <w:noProof/>
                <w:sz w:val="20"/>
              </w:rPr>
              <w:t>A se preciza organismul care asigură cofinanțarea</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credite cofinanțate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Impactul estimat asupra veniturilor </w:t>
      </w:r>
    </w:p>
    <w:p>
      <w:pPr>
        <w:pStyle w:val="ListDash1"/>
        <w:rPr>
          <w:noProof/>
        </w:rPr>
      </w:pPr>
      <w:r>
        <w:rPr>
          <w:noProof/>
        </w:rPr>
        <w:sym w:font="Wingdings" w:char="F0FE"/>
      </w:r>
      <w:r>
        <w:rPr>
          <w:noProof/>
        </w:rPr>
        <w:tab/>
        <w:t>Propunerea/inițiativa nu are impact financiar asupra veniturilor.</w:t>
      </w:r>
    </w:p>
    <w:p>
      <w:pPr>
        <w:pStyle w:val="ListDash1"/>
        <w:rPr>
          <w:noProof/>
        </w:rPr>
      </w:pPr>
      <w:r>
        <w:rPr>
          <w:noProof/>
        </w:rPr>
        <w:sym w:font="Wingdings" w:char="F0A8"/>
      </w:r>
      <w:r>
        <w:rPr>
          <w:noProof/>
        </w:rPr>
        <w:tab/>
        <w:t>Propunerea/inițiativa are următorul impact financiar:</w:t>
      </w:r>
    </w:p>
    <w:p>
      <w:pPr>
        <w:pStyle w:val="ListNumberLevel3"/>
        <w:rPr>
          <w:noProof/>
        </w:rPr>
      </w:pPr>
      <w:r>
        <w:rPr>
          <w:noProof/>
        </w:rPr>
        <w:sym w:font="Wingdings" w:char="F0A8"/>
      </w:r>
      <w:r>
        <w:rPr>
          <w:noProof/>
        </w:rPr>
        <w:tab/>
        <w:t xml:space="preserve">asupra resurselor proprii </w:t>
      </w:r>
    </w:p>
    <w:p>
      <w:pPr>
        <w:pStyle w:val="ListNumberLevel3"/>
        <w:rPr>
          <w:noProof/>
        </w:rPr>
      </w:pPr>
      <w:r>
        <w:rPr>
          <w:noProof/>
        </w:rPr>
        <w:sym w:font="Wingdings" w:char="F0A8"/>
      </w:r>
      <w:r>
        <w:rPr>
          <w:noProof/>
        </w:rPr>
        <w:tab/>
        <w:t xml:space="preserve">asupra veniturilor diverse </w:t>
      </w:r>
    </w:p>
    <w:p>
      <w:pPr>
        <w:jc w:val="right"/>
        <w:rPr>
          <w:i/>
          <w:noProof/>
          <w:sz w:val="20"/>
        </w:rPr>
      </w:pPr>
      <w:r>
        <w:rPr>
          <w:noProof/>
        </w:rPr>
        <w:t>milioane EUR (cu 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bugetară pentru venituri:</w:t>
            </w:r>
          </w:p>
        </w:tc>
        <w:tc>
          <w:tcPr>
            <w:tcW w:w="1276" w:type="dxa"/>
            <w:vMerge w:val="restart"/>
            <w:vAlign w:val="center"/>
          </w:tcPr>
          <w:p>
            <w:pPr>
              <w:jc w:val="center"/>
              <w:rPr>
                <w:noProof/>
                <w:sz w:val="18"/>
              </w:rPr>
            </w:pPr>
            <w:r>
              <w:rPr>
                <w:noProof/>
                <w:sz w:val="18"/>
              </w:rPr>
              <w:t>Credite disponibile pentru exercițiul financiar în curs</w:t>
            </w:r>
          </w:p>
        </w:tc>
        <w:tc>
          <w:tcPr>
            <w:tcW w:w="7200" w:type="dxa"/>
            <w:gridSpan w:val="7"/>
            <w:vAlign w:val="center"/>
          </w:tcPr>
          <w:p>
            <w:pPr>
              <w:jc w:val="center"/>
              <w:rPr>
                <w:noProof/>
                <w:sz w:val="18"/>
              </w:rPr>
            </w:pPr>
            <w:r>
              <w:rPr>
                <w:noProof/>
                <w:sz w:val="18"/>
              </w:rPr>
              <w:t>Impactul propunerii/inițiativei</w:t>
            </w:r>
            <w:r>
              <w:rPr>
                <w:rStyle w:val="FootnoteReference"/>
                <w:noProof/>
                <w:sz w:val="18"/>
              </w:rPr>
              <w:footnoteReference w:id="2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Anul</w:t>
            </w:r>
            <w:r>
              <w:rPr>
                <w:noProof/>
                <w:sz w:val="22"/>
              </w:rPr>
              <w:br/>
            </w:r>
            <w:r>
              <w:rPr>
                <w:b/>
                <w:noProof/>
                <w:sz w:val="18"/>
              </w:rPr>
              <w:t>N</w:t>
            </w:r>
          </w:p>
        </w:tc>
        <w:tc>
          <w:tcPr>
            <w:tcW w:w="900" w:type="dxa"/>
            <w:vAlign w:val="center"/>
          </w:tcPr>
          <w:p>
            <w:pPr>
              <w:jc w:val="center"/>
              <w:rPr>
                <w:noProof/>
                <w:sz w:val="18"/>
              </w:rPr>
            </w:pPr>
            <w:r>
              <w:rPr>
                <w:noProof/>
                <w:sz w:val="18"/>
              </w:rPr>
              <w:t>Anul</w:t>
            </w:r>
            <w:r>
              <w:rPr>
                <w:noProof/>
                <w:sz w:val="22"/>
              </w:rPr>
              <w:br/>
            </w:r>
            <w:r>
              <w:rPr>
                <w:b/>
                <w:noProof/>
                <w:sz w:val="18"/>
              </w:rPr>
              <w:t>N+1</w:t>
            </w:r>
          </w:p>
        </w:tc>
        <w:tc>
          <w:tcPr>
            <w:tcW w:w="900" w:type="dxa"/>
            <w:vAlign w:val="center"/>
          </w:tcPr>
          <w:p>
            <w:pPr>
              <w:jc w:val="center"/>
              <w:rPr>
                <w:noProof/>
                <w:sz w:val="18"/>
              </w:rPr>
            </w:pPr>
            <w:r>
              <w:rPr>
                <w:noProof/>
                <w:sz w:val="18"/>
              </w:rPr>
              <w:t>Anul</w:t>
            </w:r>
            <w:r>
              <w:rPr>
                <w:noProof/>
                <w:sz w:val="22"/>
              </w:rPr>
              <w:br/>
            </w:r>
            <w:r>
              <w:rPr>
                <w:b/>
                <w:noProof/>
                <w:sz w:val="18"/>
              </w:rPr>
              <w:t>N+2</w:t>
            </w:r>
          </w:p>
        </w:tc>
        <w:tc>
          <w:tcPr>
            <w:tcW w:w="1080" w:type="dxa"/>
            <w:vAlign w:val="center"/>
          </w:tcPr>
          <w:p>
            <w:pPr>
              <w:jc w:val="center"/>
              <w:rPr>
                <w:noProof/>
                <w:sz w:val="18"/>
              </w:rPr>
            </w:pPr>
            <w:r>
              <w:rPr>
                <w:noProof/>
                <w:sz w:val="18"/>
              </w:rPr>
              <w:t>Anul</w:t>
            </w:r>
            <w:r>
              <w:rPr>
                <w:noProof/>
                <w:sz w:val="22"/>
              </w:rPr>
              <w:br/>
            </w:r>
            <w:r>
              <w:rPr>
                <w:b/>
                <w:noProof/>
                <w:sz w:val="18"/>
              </w:rPr>
              <w:t>N+3</w:t>
            </w:r>
          </w:p>
        </w:tc>
        <w:tc>
          <w:tcPr>
            <w:tcW w:w="3240" w:type="dxa"/>
            <w:gridSpan w:val="3"/>
            <w:vAlign w:val="center"/>
          </w:tcPr>
          <w:p>
            <w:pPr>
              <w:jc w:val="center"/>
              <w:rPr>
                <w:b/>
                <w:noProof/>
                <w:sz w:val="18"/>
              </w:rPr>
            </w:pPr>
            <w:r>
              <w:rPr>
                <w:noProof/>
                <w:sz w:val="18"/>
              </w:rPr>
              <w:t>A se introduce atâția ani câți sunt considerați necesari pentru a reflecta durata impactului (a se vedea punctul 1.6)</w:t>
            </w:r>
          </w:p>
        </w:tc>
      </w:tr>
      <w:tr>
        <w:trPr>
          <w:trHeight w:val="388"/>
        </w:trPr>
        <w:tc>
          <w:tcPr>
            <w:tcW w:w="2144" w:type="dxa"/>
            <w:vAlign w:val="center"/>
          </w:tcPr>
          <w:p>
            <w:pPr>
              <w:spacing w:before="40" w:after="40"/>
              <w:rPr>
                <w:noProof/>
                <w:sz w:val="18"/>
              </w:rPr>
            </w:pPr>
            <w:r>
              <w:rPr>
                <w:noProof/>
                <w:sz w:val="18"/>
              </w:rPr>
              <w:t>Articolul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Pentru diversele venituri „alocate”, a se preciza linia bugetară (liniile bugetare) de cheltuieli afectată (afectate).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A se preciza metoda de calcul a impactului asupra veniturilor.</w:t>
      </w:r>
    </w:p>
    <w:p>
      <w:pPr>
        <w:pStyle w:val="Text1"/>
        <w:pBdr>
          <w:top w:val="single" w:sz="4" w:space="1" w:color="auto"/>
          <w:left w:val="single" w:sz="4" w:space="4" w:color="auto"/>
          <w:bottom w:val="single" w:sz="4" w:space="1" w:color="auto"/>
          <w:right w:val="single" w:sz="4" w:space="4" w:color="auto"/>
        </w:pBdr>
        <w:rPr>
          <w:noProof/>
        </w:rPr>
      </w:pPr>
    </w:p>
    <w:sectPr>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color w:val="FF0000"/>
          <w:highlight w:val="yellow"/>
        </w:rPr>
      </w:pPr>
      <w:r>
        <w:rPr>
          <w:rStyle w:val="FootnoteReference"/>
        </w:rPr>
        <w:footnoteRef/>
      </w:r>
      <w:r>
        <w:tab/>
        <w:t>JO L 036, 12.2.2003, p. 32.</w:t>
      </w:r>
    </w:p>
  </w:footnote>
  <w:footnote w:id="2">
    <w:p>
      <w:pPr>
        <w:pStyle w:val="FootnoteText"/>
      </w:pPr>
      <w:r>
        <w:rPr>
          <w:rStyle w:val="FootnoteReference"/>
        </w:rPr>
        <w:footnoteRef/>
      </w:r>
      <w:r>
        <w:tab/>
        <w:t xml:space="preserve">Decizia 2011/182/UE a Consiliului din 9 martie 2011 privind reînnoirea Acordului de cooperare în domeniul științei și al tehnologiei între Comunitatea Europeană și Ucraina (JO L 79, 25.3.2011, p. 3). </w:t>
      </w:r>
    </w:p>
  </w:footnote>
  <w:footnote w:id="3">
    <w:p>
      <w:pPr>
        <w:pStyle w:val="FootnoteText"/>
      </w:pPr>
      <w:r>
        <w:rPr>
          <w:rStyle w:val="FootnoteReference"/>
        </w:rPr>
        <w:footnoteRef/>
      </w:r>
      <w:r>
        <w:tab/>
        <w:t>Decizia (UE) 2015/344 a Consiliului de reînnoire a Acordului de cooperare în domeniul științei și al tehnologiei între Comunitatea Europeană și Ucraina (JO L 60, 4.3.2015, p. 37).</w:t>
      </w:r>
    </w:p>
  </w:footnote>
  <w:footnote w:id="4">
    <w:p>
      <w:pPr>
        <w:pStyle w:val="FootnoteText"/>
      </w:pPr>
      <w:r>
        <w:rPr>
          <w:rStyle w:val="FootnoteReference"/>
        </w:rPr>
        <w:footnoteRef/>
      </w:r>
      <w:r>
        <w:tab/>
        <w:t xml:space="preserve">Consolidarea și concentrarea cooperării internaționale a UE în domeniul cercetării și al inovării: o abordare strategică, COM(2012) 497. </w:t>
      </w:r>
    </w:p>
  </w:footnote>
  <w:footnote w:id="5">
    <w:p>
      <w:pPr>
        <w:pStyle w:val="FootnoteText"/>
      </w:pPr>
      <w:r>
        <w:rPr>
          <w:rStyle w:val="FootnoteReference"/>
        </w:rPr>
        <w:footnoteRef/>
      </w:r>
      <w:r>
        <w:tab/>
        <w:t>JO C , , p. .</w:t>
      </w:r>
    </w:p>
  </w:footnote>
  <w:footnote w:id="6">
    <w:p>
      <w:pPr>
        <w:pStyle w:val="FootnoteText"/>
        <w:jc w:val="left"/>
        <w:rPr>
          <w:sz w:val="24"/>
          <w:szCs w:val="24"/>
        </w:rPr>
      </w:pPr>
      <w:r>
        <w:rPr>
          <w:rStyle w:val="FootnoteReference"/>
        </w:rPr>
        <w:footnoteRef/>
      </w:r>
      <w:r>
        <w:tab/>
        <w:t>Decizia 2003/96/CE a Consiliului din 6 februarie 2003 privind încheierea Acordului de cooperare în domeniul științei și al tehnologiei între Comunitatea Europeană și Ucraina (JO L 36, 12.2.2003, p. 31).</w:t>
      </w:r>
    </w:p>
  </w:footnote>
  <w:footnote w:id="7">
    <w:p>
      <w:pPr>
        <w:pStyle w:val="FootnoteText"/>
        <w:jc w:val="left"/>
        <w:rPr>
          <w:sz w:val="24"/>
          <w:szCs w:val="24"/>
        </w:rPr>
      </w:pPr>
      <w:r>
        <w:rPr>
          <w:rStyle w:val="FootnoteReference"/>
        </w:rPr>
        <w:footnoteRef/>
      </w:r>
      <w:r>
        <w:tab/>
        <w:t>Acordul de cooperare în domeniul științei și al tehnologiei între Comunitatea Europeană și Ucraina (JO L 36, 12.2.2003, p. 32).</w:t>
      </w:r>
    </w:p>
  </w:footnote>
  <w:footnote w:id="8">
    <w:p>
      <w:pPr>
        <w:pStyle w:val="FootnoteText"/>
        <w:jc w:val="left"/>
        <w:rPr>
          <w:sz w:val="24"/>
          <w:szCs w:val="24"/>
        </w:rPr>
      </w:pPr>
      <w:r>
        <w:rPr>
          <w:rStyle w:val="FootnoteReference"/>
        </w:rPr>
        <w:footnoteRef/>
      </w:r>
      <w:r>
        <w:tab/>
        <w:t>Decizia 2011/182/UE a Consiliului din 9 martie 2011 privind reînnoirea Acordului de cooperare în domeniul științei și al tehnologiei între Comunitatea Europeană și Ucraina (JO L 79, 25.3.2011, p. 3).</w:t>
      </w:r>
    </w:p>
  </w:footnote>
  <w:footnote w:id="9">
    <w:p>
      <w:pPr>
        <w:pStyle w:val="FootnoteText"/>
        <w:jc w:val="left"/>
        <w:rPr>
          <w:sz w:val="24"/>
          <w:szCs w:val="24"/>
        </w:rPr>
      </w:pPr>
      <w:r>
        <w:rPr>
          <w:rStyle w:val="FootnoteReference"/>
        </w:rPr>
        <w:footnoteRef/>
      </w:r>
      <w:r>
        <w:tab/>
        <w:t>Decizia (UE) 2015/344 a Consiliului din 17 februarie 2015 de reînnoire a Acordului de cooperare în domeniul științei și al tehnologiei între Comunitatea Europeană și Ucraina (JO L 60, 4.3.2015, p. 37).</w:t>
      </w:r>
    </w:p>
  </w:footnote>
  <w:footnote w:id="10">
    <w:p>
      <w:pPr>
        <w:pStyle w:val="FootnoteText"/>
        <w:rPr>
          <w:szCs w:val="24"/>
        </w:rPr>
      </w:pPr>
      <w:r>
        <w:rPr>
          <w:rStyle w:val="FootnoteReference"/>
        </w:rPr>
        <w:footnoteRef/>
      </w:r>
      <w:r>
        <w:tab/>
        <w:t>ABM: gestionarea pe activități; ABB: întocmirea bugetului pe activități.</w:t>
      </w:r>
    </w:p>
  </w:footnote>
  <w:footnote w:id="11">
    <w:p>
      <w:pPr>
        <w:pStyle w:val="FootnoteText"/>
        <w:rPr>
          <w:szCs w:val="24"/>
        </w:rPr>
      </w:pPr>
      <w:r>
        <w:rPr>
          <w:rStyle w:val="FootnoteReference"/>
        </w:rPr>
        <w:footnoteRef/>
      </w:r>
      <w:r>
        <w:tab/>
        <w:t>Astfel cum sunt menționate la articolul 54 alineatul (2) litera (a) sau (b) din Regulamentul financiar.</w:t>
      </w:r>
    </w:p>
  </w:footnote>
  <w:footnote w:id="12">
    <w:p>
      <w:pPr>
        <w:pStyle w:val="FootnoteText"/>
        <w:rPr>
          <w:szCs w:val="24"/>
        </w:rPr>
      </w:pPr>
      <w:r>
        <w:rPr>
          <w:rStyle w:val="FootnoteReference"/>
        </w:rPr>
        <w:footnoteRef/>
      </w:r>
      <w:r>
        <w:tab/>
        <w:t xml:space="preserve">Explicații detaliate privind modurile de gestiune, precum și trimiterile la Regulamentul financiar sunt disponibile pe site-ul BudgWeb: </w:t>
      </w:r>
      <w:hyperlink r:id="rId1" w:history="1">
        <w:r>
          <w:rPr>
            <w:rStyle w:val="Hyperlink"/>
            <w:sz w:val="18"/>
          </w:rPr>
          <w:t>http://www.cc.cec/budg/man/budgmanag/budgmanag_en.html</w:t>
        </w:r>
      </w:hyperlink>
    </w:p>
  </w:footnote>
  <w:footnote w:id="13">
    <w:p>
      <w:pPr>
        <w:pStyle w:val="FootnoteText"/>
        <w:rPr>
          <w:szCs w:val="24"/>
        </w:rPr>
      </w:pPr>
      <w:r>
        <w:rPr>
          <w:rStyle w:val="FootnoteReference"/>
        </w:rPr>
        <w:footnoteRef/>
      </w:r>
      <w:r>
        <w:tab/>
        <w:t>Dif. = credite diferențiate / Nedif. = credite nediferențiate.</w:t>
      </w:r>
    </w:p>
  </w:footnote>
  <w:footnote w:id="14">
    <w:p>
      <w:pPr>
        <w:pStyle w:val="FootnoteText"/>
        <w:rPr>
          <w:szCs w:val="24"/>
        </w:rPr>
      </w:pPr>
      <w:r>
        <w:rPr>
          <w:rStyle w:val="FootnoteReference"/>
        </w:rPr>
        <w:footnoteRef/>
      </w:r>
      <w:r>
        <w:tab/>
        <w:t xml:space="preserve">AELS: Asociația Europeană a Liberului Schimb. </w:t>
      </w:r>
    </w:p>
  </w:footnote>
  <w:footnote w:id="15">
    <w:p>
      <w:pPr>
        <w:pStyle w:val="FootnoteText"/>
        <w:rPr>
          <w:szCs w:val="24"/>
        </w:rPr>
      </w:pPr>
      <w:r>
        <w:rPr>
          <w:rStyle w:val="FootnoteReference"/>
        </w:rPr>
        <w:footnoteRef/>
      </w:r>
      <w:r>
        <w:tab/>
        <w:t>Țările candidate și, după caz, candidații potențiali din Balcanii de Vest.</w:t>
      </w:r>
    </w:p>
  </w:footnote>
  <w:footnote w:id="16">
    <w:p>
      <w:pPr>
        <w:pStyle w:val="FootnoteText"/>
        <w:rPr>
          <w:szCs w:val="24"/>
        </w:rPr>
      </w:pPr>
      <w:r>
        <w:rPr>
          <w:rStyle w:val="FootnoteReference"/>
        </w:rPr>
        <w:footnoteRef/>
      </w:r>
      <w:r>
        <w:tab/>
        <w:t>Anul 2019 este anul în care începe punerea în aplicare a propunerii/inițiativei. Sumele pentru 2019 și 2024 corespund unei perioade de două luni și, respectiv, de zece luni.</w:t>
      </w:r>
    </w:p>
  </w:footnote>
  <w:footnote w:id="17">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18">
    <w:p>
      <w:pPr>
        <w:pStyle w:val="FootnoteText"/>
        <w:rPr>
          <w:szCs w:val="24"/>
        </w:rPr>
      </w:pPr>
      <w:r>
        <w:rPr>
          <w:rStyle w:val="FootnoteReference"/>
        </w:rPr>
        <w:footnoteRef/>
      </w:r>
      <w:r>
        <w:tab/>
        <w:t>Anul 2019 este anul în care începe punerea în aplicare a propunerii/inițiativei. Sumele pentru 2019 și 2024 corespund unei perioade de două luni și, respectiv, de zece luni.</w:t>
      </w:r>
    </w:p>
  </w:footnote>
  <w:footnote w:id="19">
    <w:p>
      <w:pPr>
        <w:pStyle w:val="FootnoteText"/>
        <w:rPr>
          <w:szCs w:val="24"/>
        </w:rPr>
      </w:pPr>
      <w:r>
        <w:rPr>
          <w:rStyle w:val="FootnoteReference"/>
        </w:rPr>
        <w:footnoteRef/>
      </w:r>
      <w:r>
        <w:tab/>
        <w:t>Realizările se referă la produsele și serviciile care vor fi furnizate (de ex.: numărul de schimburi de studenți finanțate, numărul de km de străzi construiți etc.).</w:t>
      </w:r>
    </w:p>
  </w:footnote>
  <w:footnote w:id="20">
    <w:p>
      <w:pPr>
        <w:pStyle w:val="FootnoteText"/>
        <w:rPr>
          <w:szCs w:val="24"/>
        </w:rPr>
      </w:pPr>
      <w:r>
        <w:rPr>
          <w:rStyle w:val="FootnoteReference"/>
        </w:rPr>
        <w:footnoteRef/>
      </w:r>
      <w:r>
        <w:tab/>
        <w:t>Conform descrierii de la punctul 1.4.2. „Obiectiv(e) specific(e)…”.</w:t>
      </w:r>
    </w:p>
  </w:footnote>
  <w:footnote w:id="21">
    <w:p>
      <w:pPr>
        <w:pStyle w:val="FootnoteText"/>
        <w:rPr>
          <w:szCs w:val="24"/>
        </w:rPr>
      </w:pPr>
      <w:r>
        <w:rPr>
          <w:rStyle w:val="FootnoteReference"/>
        </w:rPr>
        <w:footnoteRef/>
      </w:r>
      <w:r>
        <w:tab/>
        <w:t>Anul 2019 este anul în care începe punerea în aplicare a propunerii/inițiativei. Sumele pentru 2019 și 2024 corespund unei perioade de două luni și, respectiv, de zece luni.</w:t>
      </w:r>
    </w:p>
  </w:footnote>
  <w:footnote w:id="22">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23">
    <w:p>
      <w:pPr>
        <w:pStyle w:val="FootnoteText"/>
        <w:rPr>
          <w:szCs w:val="24"/>
        </w:rPr>
      </w:pPr>
      <w:r>
        <w:rPr>
          <w:rStyle w:val="FootnoteReference"/>
        </w:rPr>
        <w:footnoteRef/>
      </w:r>
      <w:r>
        <w:tab/>
        <w:t xml:space="preserve">AC= agent contractual; AL = agent local; END = expert național detașat; INT = personal pus la dispoziție de agenții de muncă temporară; JED = expert tânăr în delegații. </w:t>
      </w:r>
    </w:p>
  </w:footnote>
  <w:footnote w:id="24">
    <w:p>
      <w:pPr>
        <w:pStyle w:val="FootnoteText"/>
        <w:rPr>
          <w:szCs w:val="24"/>
        </w:rPr>
      </w:pPr>
      <w:r>
        <w:rPr>
          <w:rStyle w:val="FootnoteReference"/>
        </w:rPr>
        <w:footnoteRef/>
      </w:r>
      <w:r>
        <w:tab/>
        <w:t>Subplafonul pentru personal extern acoperit din creditele operaționale (fostele linii „BA”).</w:t>
      </w:r>
    </w:p>
  </w:footnote>
  <w:footnote w:id="25">
    <w:p>
      <w:pPr>
        <w:pStyle w:val="FootnoteText"/>
        <w:rPr>
          <w:szCs w:val="24"/>
        </w:rPr>
      </w:pPr>
      <w:r>
        <w:rPr>
          <w:rStyle w:val="FootnoteReference"/>
        </w:rPr>
        <w:footnoteRef/>
      </w:r>
      <w:r>
        <w:tab/>
        <w:t>În ceea ce privește resursele proprii tradiționale (taxe vamale, cotizații pentru zahăr), sumele indicate trebuie să fie sume nete, și anume sume brute după deducerea unei cote de 25 % pentru costuri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21"/>
  </w:num>
  <w:num w:numId="19">
    <w:abstractNumId w:val="11"/>
  </w:num>
  <w:num w:numId="20">
    <w:abstractNumId w:val="24"/>
  </w:num>
  <w:num w:numId="21">
    <w:abstractNumId w:val="6"/>
  </w:num>
  <w:num w:numId="22">
    <w:abstractNumId w:val="12"/>
  </w:num>
  <w:num w:numId="23">
    <w:abstractNumId w:val="4"/>
  </w:num>
  <w:num w:numId="24">
    <w:abstractNumId w:val="23"/>
  </w:num>
  <w:num w:numId="25">
    <w:abstractNumId w:val="3"/>
  </w:num>
  <w:num w:numId="26">
    <w:abstractNumId w:val="13"/>
  </w:num>
  <w:num w:numId="27">
    <w:abstractNumId w:val="19"/>
  </w:num>
  <w:num w:numId="28">
    <w:abstractNumId w:val="20"/>
  </w:num>
  <w:num w:numId="29">
    <w:abstractNumId w:val="5"/>
  </w:num>
  <w:num w:numId="30">
    <w:abstractNumId w:val="17"/>
  </w:num>
  <w:num w:numId="31">
    <w:abstractNumId w:val="28"/>
  </w:num>
  <w:num w:numId="32">
    <w:abstractNumId w:val="21"/>
  </w:num>
  <w:num w:numId="33">
    <w:abstractNumId w:val="11"/>
  </w:num>
  <w:num w:numId="34">
    <w:abstractNumId w:val="24"/>
  </w:num>
  <w:num w:numId="35">
    <w:abstractNumId w:val="6"/>
  </w:num>
  <w:num w:numId="36">
    <w:abstractNumId w:val="12"/>
  </w:num>
  <w:num w:numId="37">
    <w:abstractNumId w:val="4"/>
  </w:num>
  <w:num w:numId="38">
    <w:abstractNumId w:val="23"/>
  </w:num>
  <w:num w:numId="39">
    <w:abstractNumId w:val="3"/>
  </w:num>
  <w:num w:numId="40">
    <w:abstractNumId w:val="13"/>
  </w:num>
  <w:num w:numId="41">
    <w:abstractNumId w:val="19"/>
  </w:num>
  <w:num w:numId="42">
    <w:abstractNumId w:val="20"/>
  </w:num>
  <w:num w:numId="43">
    <w:abstractNumId w:val="5"/>
  </w:num>
  <w:num w:numId="44">
    <w:abstractNumId w:val="17"/>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23 15:43:5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5D1819C-F9AA-4CE1-A887-3E404A0FAFDD"/>
    <w:docVar w:name="LW_COVERPAGE_TYPE" w:val="1"/>
    <w:docVar w:name="LW_CROSSREFERENCE" w:val="&lt;UNUSED&gt;"/>
    <w:docVar w:name="LW_DocType" w:val="COM"/>
    <w:docVar w:name="LW_EMISSION" w:val="30.1.2020"/>
    <w:docVar w:name="LW_EMISSION_ISODATE" w:val="2020-01-30"/>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016"/>
    <w:docVar w:name="LW_REF.II.NEW.CP_YEAR" w:val="2020"/>
    <w:docVar w:name="LW_REF.INST.NEW" w:val="COM"/>
    <w:docVar w:name="LW_REF.INST.NEW_ADOPTED" w:val="final"/>
    <w:docVar w:name="LW_REF.INST.NEW_TEXT" w:val="(2020) 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de reînnoire a Acordului de cooperare în domeniul \u537?tiin\u539?ei \u537?i al tehnologiei dintre Comunitatea European\u259? \u537?i Ucraina"/>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ro-RO"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ro-RO"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ro-RO"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ro-RO"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6CAFB-1D22-4D10-86C9-309152FE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21</Pages>
  <Words>4048</Words>
  <Characters>24288</Characters>
  <Application>Microsoft Office Word</Application>
  <DocSecurity>0</DocSecurity>
  <Lines>1349</Lines>
  <Paragraphs>643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2019-12-09T15:52:00Z</cp:lastPrinted>
  <dcterms:created xsi:type="dcterms:W3CDTF">2020-01-16T10:52:00Z</dcterms:created>
  <dcterms:modified xsi:type="dcterms:W3CDTF">2020-01-23T14:43:00Z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