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AE85BD1-8DF9-4A5A-9988-CCA4CE685127"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Bdr>
          <w:top w:val="nil"/>
          <w:left w:val="nil"/>
          <w:bottom w:val="nil"/>
          <w:right w:val="nil"/>
          <w:between w:val="nil"/>
          <w:bar w:val="nil"/>
        </w:pBdr>
        <w:spacing w:before="0" w:after="240"/>
        <w:rPr>
          <w:rFonts w:eastAsia="Arial Unicode MS"/>
          <w:noProof/>
        </w:rPr>
      </w:pPr>
      <w:r>
        <w:rPr>
          <w:noProof/>
        </w:rPr>
        <w:t>Evropska komisija s tem priporočilom poziva Svet Evropske unije, naj odobri začetek pogajanj o novem partnerstvu z Združenim kraljestvom Velika Britanija in Severna Irska, Komisijo imenuje za pogajalca Unije in na pogajalca naslovi smernice ter določi posebni odbor, v posvetovanju s katerim se vodijo pogajanja.</w:t>
      </w:r>
    </w:p>
    <w:p>
      <w:pPr>
        <w:pStyle w:val="ManualHeading1"/>
        <w:rPr>
          <w:noProof/>
        </w:rPr>
      </w:pPr>
      <w:r>
        <w:rPr>
          <w:noProof/>
        </w:rPr>
        <w:t>2.</w:t>
      </w:r>
      <w:r>
        <w:rPr>
          <w:noProof/>
        </w:rPr>
        <w:tab/>
        <w:t>OZADJE</w:t>
      </w:r>
    </w:p>
    <w:p>
      <w:pPr>
        <w:pBdr>
          <w:top w:val="nil"/>
          <w:left w:val="nil"/>
          <w:bottom w:val="nil"/>
          <w:right w:val="nil"/>
          <w:between w:val="nil"/>
          <w:bar w:val="nil"/>
        </w:pBdr>
        <w:spacing w:before="0" w:after="240"/>
        <w:rPr>
          <w:noProof/>
        </w:rPr>
      </w:pPr>
      <w:r>
        <w:rPr>
          <w:noProof/>
        </w:rPr>
        <w:t>Združeno kraljestvo je 1. februarja 2020 izstopilo iz Evropske unije in Evropske skupnosti za atomsko energijo (Euratom).</w:t>
      </w:r>
    </w:p>
    <w:p>
      <w:pPr>
        <w:pBdr>
          <w:top w:val="nil"/>
          <w:left w:val="nil"/>
          <w:bottom w:val="nil"/>
          <w:right w:val="nil"/>
          <w:between w:val="nil"/>
          <w:bar w:val="nil"/>
        </w:pBdr>
        <w:spacing w:before="0" w:after="240"/>
        <w:rPr>
          <w:noProof/>
        </w:rPr>
      </w:pPr>
      <w:r>
        <w:rPr>
          <w:noProof/>
        </w:rPr>
        <w:t>Podrobnosti izstopa so določene v Sporazumu o izstopu Združenega kraljestva Velika Britanija in Severna Irska (v nadaljnjem besedilu: Združeno kraljestvo) iz Evropske unije in Evropske skupnosti za atomsko energijo (v nadaljnjem besedilu: sporazum o izstopu)</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Sporazum o izstopu je začel veljati 1. februarja 2020 in določa prehodno obdobje, v katerem se v skladu z navedenim sporazumom za Združeno kraljestvo in v njem uporablja pravo Unije. To obdobje se bo končalo 31. decembra 2020, razen če skupni odbor, ustanovljen na podlagi sporazuma o izstopu, pred 1. julijem 2020 sprejme en sam sklep o podaljšanju prehodnega obdobja za največ eno ali dve leti.</w:t>
      </w:r>
    </w:p>
    <w:p>
      <w:pPr>
        <w:pBdr>
          <w:top w:val="nil"/>
          <w:left w:val="nil"/>
          <w:bottom w:val="nil"/>
          <w:right w:val="nil"/>
          <w:between w:val="nil"/>
          <w:bar w:val="nil"/>
        </w:pBdr>
        <w:spacing w:before="0" w:after="240"/>
        <w:rPr>
          <w:noProof/>
        </w:rPr>
      </w:pPr>
      <w:r>
        <w:rPr>
          <w:noProof/>
        </w:rPr>
        <w:t>Evropski svet je v smernicah z dne 23. marca 2018 znova poudaril, da je Unija odločena z Združenim kraljestvom v prihodnosti imeti čim tesnejše partnerstvo. V skladu s temi smernicami bi moralo tako partnerstvo zajemati trgovinsko in gospodarsko sodelovanje ter druga področja, zlasti boj proti terorizmu in mednarodni kriminaliteti ter varnost, obrambo in zunanjo politiko. Evropski svet je te smernice določil za namene splošnega dogovora o okviru prihodnjih odnosov, ki naj bi bil natančneje pojasnjen v politični izjavi, priloženi sporazumu o izstopu in navedeni v njem.</w:t>
      </w:r>
    </w:p>
    <w:p>
      <w:pPr>
        <w:pBdr>
          <w:top w:val="nil"/>
          <w:left w:val="nil"/>
          <w:bottom w:val="nil"/>
          <w:right w:val="nil"/>
          <w:between w:val="nil"/>
          <w:bar w:val="nil"/>
        </w:pBdr>
        <w:spacing w:before="0" w:after="240"/>
        <w:rPr>
          <w:noProof/>
        </w:rPr>
      </w:pPr>
      <w:r>
        <w:rPr>
          <w:noProof/>
        </w:rPr>
        <w:t>Politična izjava, priložena sporazumu o izstopu, določa okvir prihodnjih odnosov med Evropsko unijo in Združenim kraljestvom (v nadaljnjem besedilu: politična izjava)</w:t>
      </w:r>
      <w:r>
        <w:rPr>
          <w:rStyle w:val="FootnoteReference"/>
          <w:noProof/>
        </w:rPr>
        <w:footnoteReference w:id="2"/>
      </w:r>
      <w:r>
        <w:rPr>
          <w:noProof/>
        </w:rPr>
        <w:t>. Vzpostavlja parametre „ambicioznega, obsežnega, globokega in prožnega partnerstva v okviru trgovinskega in gospodarskega sodelovanja na podlagi celovitega in uravnoteženega prostotrgovinskega sporazuma, kazenskega pregona in kazenskega pravosodja, zunanje politike, varnosti in obrambe ter širših področij sodelovanja“.</w:t>
      </w:r>
    </w:p>
    <w:p>
      <w:pPr>
        <w:pBdr>
          <w:top w:val="nil"/>
          <w:left w:val="nil"/>
          <w:bottom w:val="nil"/>
          <w:right w:val="nil"/>
          <w:between w:val="nil"/>
          <w:bar w:val="nil"/>
        </w:pBdr>
        <w:spacing w:before="0" w:after="240"/>
        <w:rPr>
          <w:noProof/>
        </w:rPr>
      </w:pPr>
      <w:r>
        <w:rPr>
          <w:noProof/>
        </w:rPr>
        <w:t>Člen 184 sporazuma o izstopu določa: „Unija in Združeno kraljestvo si v dobri veri in ob popolnem spoštovanju njunih pravnih redov čim bolj prizadevata, da sprejmeta potrebne ukrepe za pospešena pogajanja o sporazumih, ki urejajo njune prihodnje odnose, navedene v politični deklaraciji z dne 17. oktobra 2019, in da izvedeta ustrezne postopke za ratifikacijo ali sklenitev navedenih sporazumov, da se zagotovi, kolikor je to mogoče, da se navedeni sporazumi začnejo uporabljati od konca prehodnega obdobja.“</w:t>
      </w:r>
    </w:p>
    <w:p>
      <w:pPr>
        <w:pBdr>
          <w:top w:val="nil"/>
          <w:left w:val="nil"/>
          <w:bottom w:val="nil"/>
          <w:right w:val="nil"/>
          <w:between w:val="nil"/>
          <w:bar w:val="nil"/>
        </w:pBdr>
        <w:spacing w:before="0" w:after="240"/>
        <w:rPr>
          <w:rFonts w:eastAsia="Arial Unicode MS"/>
          <w:noProof/>
        </w:rPr>
      </w:pPr>
      <w:r>
        <w:rPr>
          <w:noProof/>
        </w:rPr>
        <w:t xml:space="preserve">Evropski svet je v sklepih z dne 13. decembra 2019 znova potrdil, da si želi čim tesnejših prihodnjih odnosov z Združenim kraljestvom v skladu s politično izjavo ter ob upoštevanju predhodno dogovorjenih smernic in izjav Evropskega sveta, zlasti tistih z </w:t>
      </w:r>
      <w:r>
        <w:rPr>
          <w:noProof/>
        </w:rPr>
        <w:lastRenderedPageBreak/>
        <w:t>dne 25. Novembra 2018. Zlasti je ponovno poudaril, da bodo morali prihodnji odnosi z Združenim kraljestvom temeljiti na ravnotežju med pravicami in obveznostmi ter zagotavljati enake konkurenčne pogoje. Evropski svet je Komisijo pozval, naj „takoj po izstopu Združenega kraljestva Svetu predloži osnutek celovitega mandata za pogajanja o prihodnjih odnosih s to državo“.</w:t>
      </w:r>
    </w:p>
    <w:p>
      <w:pPr>
        <w:pStyle w:val="ManualHeading1"/>
        <w:rPr>
          <w:noProof/>
        </w:rPr>
      </w:pPr>
      <w:r>
        <w:rPr>
          <w:noProof/>
        </w:rPr>
        <w:t>3.</w:t>
      </w:r>
      <w:r>
        <w:rPr>
          <w:noProof/>
        </w:rPr>
        <w:tab/>
        <w:t>NOVO PARTNERSTVO</w:t>
      </w:r>
    </w:p>
    <w:p>
      <w:pPr>
        <w:pBdr>
          <w:top w:val="nil"/>
          <w:left w:val="nil"/>
          <w:bottom w:val="nil"/>
          <w:right w:val="nil"/>
          <w:between w:val="nil"/>
          <w:bar w:val="nil"/>
        </w:pBdr>
        <w:spacing w:before="0" w:after="240"/>
        <w:rPr>
          <w:noProof/>
        </w:rPr>
      </w:pPr>
      <w:r>
        <w:rPr>
          <w:noProof/>
        </w:rPr>
        <w:t xml:space="preserve">Ambiciozno in celovito novo partnerstvo, predvideno v tem priporočilu, odraža sklepe in smernice Evropskega sveta ter temelji na politični izjavi. </w:t>
      </w:r>
    </w:p>
    <w:p>
      <w:pPr>
        <w:pBdr>
          <w:top w:val="nil"/>
          <w:left w:val="nil"/>
          <w:bottom w:val="nil"/>
          <w:right w:val="nil"/>
          <w:between w:val="nil"/>
          <w:bar w:val="nil"/>
        </w:pBdr>
        <w:spacing w:before="0" w:after="240"/>
        <w:rPr>
          <w:noProof/>
        </w:rPr>
      </w:pPr>
      <w:r>
        <w:rPr>
          <w:noProof/>
        </w:rPr>
        <w:t>Predvideno partnerstvo je urejeno v enotnem svežnju, ki ga sestavljajo trije glavni elementi:</w:t>
      </w:r>
    </w:p>
    <w:p>
      <w:pPr>
        <w:pStyle w:val="Tiret1"/>
        <w:numPr>
          <w:ilvl w:val="0"/>
          <w:numId w:val="9"/>
        </w:numPr>
        <w:rPr>
          <w:noProof/>
        </w:rPr>
      </w:pPr>
      <w:r>
        <w:rPr>
          <w:noProof/>
        </w:rPr>
        <w:t>splošna ureditev (vključno z določbami o osnovnih vrednotah in načelih ter o upravljanju);</w:t>
      </w:r>
    </w:p>
    <w:p>
      <w:pPr>
        <w:pStyle w:val="Tiret1"/>
        <w:rPr>
          <w:noProof/>
        </w:rPr>
      </w:pPr>
      <w:r>
        <w:rPr>
          <w:noProof/>
        </w:rPr>
        <w:t>gospodarska ureditev (vključno z določbami o trgovini in jamstvi glede enakih konkurenčnih pogojev) ter</w:t>
      </w:r>
    </w:p>
    <w:p>
      <w:pPr>
        <w:pStyle w:val="Tiret1"/>
        <w:rPr>
          <w:noProof/>
        </w:rPr>
      </w:pPr>
      <w:r>
        <w:rPr>
          <w:noProof/>
        </w:rPr>
        <w:t>varnostna ureditev (vključno z določbami o sodelovanju pri kazenskem pregonu in pravosodnem sodelovanju v kazenskih zadevah ter o zunanji politiki, varnosti in obrambi).</w:t>
      </w:r>
    </w:p>
    <w:p>
      <w:pPr>
        <w:pBdr>
          <w:top w:val="nil"/>
          <w:left w:val="nil"/>
          <w:bottom w:val="nil"/>
          <w:right w:val="nil"/>
          <w:between w:val="nil"/>
          <w:bar w:val="nil"/>
        </w:pBdr>
        <w:spacing w:before="0" w:after="240"/>
        <w:rPr>
          <w:noProof/>
        </w:rPr>
      </w:pPr>
      <w:r>
        <w:rPr>
          <w:noProof/>
        </w:rPr>
        <w:t>Predvideno partnerstvo temelji na priznavanju, da na pravilih temelječ mednarodni red, varstvo pravic posameznikov in pravne države, visoki standardi varstva pravic delavcev in potrošnikov ter okolja, boj proti podnebnim spremembam ter svobodna in pravična trgovina krepijo blaginjo in varnost.</w:t>
      </w:r>
    </w:p>
    <w:p>
      <w:pPr>
        <w:pStyle w:val="Text1"/>
        <w:ind w:left="0"/>
        <w:rPr>
          <w:noProof/>
        </w:rPr>
      </w:pPr>
      <w:r>
        <w:rPr>
          <w:noProof/>
        </w:rPr>
        <w:t>Partnerstvo, predvideno v tem priporočilu, je po obsegu celovito, kar je v skladu s sklepi Evropskega sveta z dne 13. decembra 2019. Vključuje vsa interesna področja, ki so navedena v politični izjavi: trgovinsko in gospodarsko sodelovanje, sodelovanje pri kazenskem pregonu in pravosodno sodelovanje v kazenskih zadevah, zunanjo politiko, varnost in obrambo, sodelovanje v programih Unije ter tematska področja sodelovanja. Komisija si prizadeva, da bi čim več od navedenega dosegla v prehodnem obdobju, o morebitnih preostalih vprašanjih pa bi nadaljevala pogajanja po koncu prehodnega obdobja.</w:t>
      </w:r>
    </w:p>
    <w:p>
      <w:pPr>
        <w:pBdr>
          <w:top w:val="nil"/>
          <w:left w:val="nil"/>
          <w:bottom w:val="nil"/>
          <w:right w:val="nil"/>
          <w:between w:val="nil"/>
          <w:bar w:val="nil"/>
        </w:pBdr>
        <w:spacing w:before="0" w:after="240"/>
        <w:rPr>
          <w:noProof/>
        </w:rPr>
      </w:pPr>
      <w:r>
        <w:rPr>
          <w:noProof/>
        </w:rPr>
        <w:t xml:space="preserve">Predvideno partnerstvo naj bi spoštovalo avtonomijo odločanja in pravnega reda Unije, celovitost njenega enotnega trga in carinske unije ter nedeljivost štirih svoboščin. Zagotavljati bi moralo zaščito finančnih interesov Unije in odražati status Združenega kraljestva kot tretje države zunaj schengenskega območja, ki ne more imeti enakih pravic in enakih ugodnosti kot članica. Predvideno partnerstvo bi moralo temeljiti na splošnem okviru upravljanja, ki bi zajemal vsa področja sodelovanja. </w:t>
      </w:r>
    </w:p>
    <w:p>
      <w:pPr>
        <w:pBdr>
          <w:top w:val="nil"/>
          <w:left w:val="nil"/>
          <w:bottom w:val="nil"/>
          <w:right w:val="nil"/>
          <w:between w:val="nil"/>
          <w:bar w:val="nil"/>
        </w:pBdr>
        <w:spacing w:before="0" w:after="240"/>
        <w:rPr>
          <w:noProof/>
        </w:rPr>
      </w:pPr>
      <w:r>
        <w:rPr>
          <w:noProof/>
        </w:rPr>
        <w:t>Glede ozemeljskega področja uporabe predvidenega partnerstva je treba opozoriti, da je bila v izjave za zapisnik zasedanja Evropskega sveta z dne 25. novembra 2018 vključena naslednja izjava Evropskega sveta in Komisije: „Gibraltar po izstopu Združenega kraljestva iz Unije ne bo vključen v ozemeljsko področje uporabe sporazumov, ki bodo sklenjeni med Unijo in Združenim kraljestvom. Vendar to ne izključuje možnosti ločenih sporazumov med Unijo in Združenim kraljestvom glede Gibraltarja. Brez poseganja v pristojnosti Unije in ob polnem spoštovanju ozemeljske celovitosti njenih držav članic, kot jo zagotavlja člen 4(2) Pogodbe o Evropski uniji, bo za takšne ločene sporazume potrebno predhodno soglasje Kraljevine Španije.“</w:t>
      </w:r>
    </w:p>
    <w:p>
      <w:pPr>
        <w:pStyle w:val="ManualHeading1"/>
        <w:rPr>
          <w:noProof/>
        </w:rPr>
      </w:pPr>
      <w:r>
        <w:rPr>
          <w:noProof/>
        </w:rPr>
        <w:lastRenderedPageBreak/>
        <w:t>4.</w:t>
      </w:r>
      <w:r>
        <w:rPr>
          <w:noProof/>
        </w:rPr>
        <w:tab/>
        <w:t>POGAJANJA</w:t>
      </w:r>
    </w:p>
    <w:p>
      <w:pPr>
        <w:rPr>
          <w:noProof/>
        </w:rPr>
      </w:pPr>
      <w:r>
        <w:rPr>
          <w:noProof/>
        </w:rPr>
        <w:t>Komisija se bo pogajala v skladu s pogajalskimi smernicami iz priloge k temu sklepu in ob posvetovanju s posebnim odborom, ki ga imenuje Svet.</w:t>
      </w:r>
    </w:p>
    <w:p>
      <w:pPr>
        <w:rPr>
          <w:noProof/>
        </w:rPr>
      </w:pPr>
      <w:r>
        <w:rPr>
          <w:noProof/>
        </w:rPr>
        <w:t xml:space="preserve">Komisija se bo pogajala ob stalnem usklajevanju s Svetom in njegovimi pripravljalnimi telesi ter se bo s pripravljalnimi telesi Sveta pravočasno posvetovala in jim poročala ter pravočasno zagotovila vse potrebne informacije in dokumente v zvezi s pogajanji. </w:t>
      </w:r>
    </w:p>
    <w:p>
      <w:pPr>
        <w:rPr>
          <w:noProof/>
        </w:rPr>
      </w:pPr>
      <w:r>
        <w:rPr>
          <w:noProof/>
        </w:rPr>
        <w:t>Komisija bo o pogajanjih pravočasno in v celoti obveščala Evropski parlament.</w:t>
      </w:r>
    </w:p>
    <w:p>
      <w:pPr>
        <w:rPr>
          <w:noProof/>
        </w:rPr>
      </w:pPr>
      <w:r>
        <w:rPr>
          <w:noProof/>
        </w:rPr>
        <w:t>Komisija se bo o zadevah s področja skupne zunanje in varnostne politike pogajala v sodelovanju ter v dogovoru z visokim predstavnikom Unije za zunanje zadeve in varnostno politiko.</w:t>
      </w:r>
    </w:p>
    <w:p>
      <w:pPr>
        <w:pStyle w:val="ManualHeading1"/>
        <w:rPr>
          <w:noProof/>
        </w:rPr>
      </w:pPr>
      <w:r>
        <w:rPr>
          <w:noProof/>
        </w:rPr>
        <w:t>5.</w:t>
      </w:r>
      <w:r>
        <w:rPr>
          <w:noProof/>
        </w:rPr>
        <w:tab/>
        <w:t>PRAVNA PODLAGA</w:t>
      </w:r>
    </w:p>
    <w:p>
      <w:pPr>
        <w:rPr>
          <w:noProof/>
          <w:szCs w:val="24"/>
        </w:rPr>
      </w:pPr>
      <w:r>
        <w:rPr>
          <w:noProof/>
        </w:rPr>
        <w:t>Postopkovna pravna podlaga za sklep o pooblastilu za začetek pogajanj in dajanje smernic pogajalcu je člen 218(3) in (4) PDEU. Na tej stopnji je zaradi celovitega obsega predvidenega partnerstva ter ambicioznih in dolgoročnih odnosov, ki se z njim želijo vzpostaviti, ustrezna materialna pravna podlaga za sklep o pooblastilu za začetek pogajanj in dajanje smernic pogajalcu člen 217 PDEU. Poleg tega bi morala pravna podlaga za sklep, kolikor priloga k sklepu vsebuje pogajalske smernice v zvezi z zadevami, ki spadajo na področje Pogodbe Euratom, vključevati člen 101 Pogodbe Euratom. Pravna podlaga za sklep, ki se priporoča, bi torej morala biti člen 218(3) in (4) PDEU ter člen 101 Pogodbe Euratom. Materialno pravno podlago za podpis in sklenitev novega partnerstva bo mogoče določiti šele ob koncu pogajanj.</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Priporočilo</w:t>
      </w:r>
    </w:p>
    <w:p>
      <w:pPr>
        <w:pStyle w:val="Typedudocument"/>
        <w:rPr>
          <w:noProof/>
        </w:rPr>
      </w:pPr>
      <w:r>
        <w:rPr>
          <w:noProof/>
        </w:rPr>
        <w:t>SKLEP SVETA</w:t>
      </w:r>
    </w:p>
    <w:p>
      <w:pPr>
        <w:pStyle w:val="Titreobjet"/>
        <w:rPr>
          <w:noProof/>
        </w:rPr>
      </w:pPr>
      <w:r>
        <w:rPr>
          <w:noProof/>
        </w:rPr>
        <w:t>o pooblastilu za začetek pogajanj o novem partnerstvu z Združenim kraljestvom Velika Britanija in Severna Irska</w:t>
      </w:r>
    </w:p>
    <w:p>
      <w:pPr>
        <w:pStyle w:val="Institutionquiagit"/>
        <w:rPr>
          <w:noProof/>
        </w:rPr>
      </w:pPr>
      <w:r>
        <w:rPr>
          <w:noProof/>
        </w:rPr>
        <w:t>SVET EVROPSKE UNIJE JE –</w:t>
      </w:r>
    </w:p>
    <w:p>
      <w:pPr>
        <w:spacing w:line="360" w:lineRule="auto"/>
        <w:rPr>
          <w:noProof/>
        </w:rPr>
      </w:pPr>
      <w:r>
        <w:rPr>
          <w:noProof/>
        </w:rPr>
        <w:t xml:space="preserve">ob upoštevanju Pogodbe o delovanju Evropske unije ter zlasti člena 217 v povezavi s členom 218(3) in (4) Pogodbe, </w:t>
      </w:r>
    </w:p>
    <w:p>
      <w:pPr>
        <w:spacing w:line="360" w:lineRule="auto"/>
        <w:rPr>
          <w:noProof/>
          <w:szCs w:val="24"/>
        </w:rPr>
      </w:pPr>
      <w:r>
        <w:rPr>
          <w:noProof/>
        </w:rPr>
        <w:t>ob upoštevanju Pogodbe o ustanovitvi Evropske skupnosti za atomsko energijo in zlasti člena 101 Pogodbe,</w:t>
      </w:r>
    </w:p>
    <w:p>
      <w:pPr>
        <w:spacing w:line="360" w:lineRule="auto"/>
        <w:rPr>
          <w:noProof/>
        </w:rPr>
      </w:pPr>
      <w:r>
        <w:rPr>
          <w:noProof/>
        </w:rPr>
        <w:t>ob upoštevanju priporočila Evropske komisije,</w:t>
      </w:r>
    </w:p>
    <w:p>
      <w:pPr>
        <w:spacing w:line="360" w:lineRule="auto"/>
        <w:rPr>
          <w:noProof/>
        </w:rPr>
      </w:pPr>
      <w:r>
        <w:rPr>
          <w:noProof/>
        </w:rPr>
        <w:t>ob upoštevanju naslednjega:</w:t>
      </w:r>
    </w:p>
    <w:p>
      <w:pPr>
        <w:pStyle w:val="ManualConsidrant"/>
        <w:rPr>
          <w:noProof/>
        </w:rPr>
      </w:pPr>
      <w:r>
        <w:rPr>
          <w:noProof/>
        </w:rPr>
        <w:t>(1)</w:t>
      </w:r>
      <w:r>
        <w:rPr>
          <w:noProof/>
        </w:rPr>
        <w:tab/>
        <w:t xml:space="preserve">Združeno kraljestvo Velika Britanija in Severna Irska (v nadaljnjem besedilu: Združeno kraljestvo) je 1. februarja 2020 izstopilo iz Evropske unije. </w:t>
      </w:r>
    </w:p>
    <w:p>
      <w:pPr>
        <w:pStyle w:val="ManualConsidrant"/>
        <w:rPr>
          <w:noProof/>
        </w:rPr>
      </w:pPr>
      <w:r>
        <w:rPr>
          <w:noProof/>
        </w:rPr>
        <w:t>(2)</w:t>
      </w:r>
      <w:r>
        <w:rPr>
          <w:noProof/>
        </w:rPr>
        <w:tab/>
        <w:t>Podrobnosti izstopa so določene v Sporazumu o izstopu Združenega kraljestva Velika Britanija in Severna Irska iz Evropske unije in Evropske skupnosti za atomsko energijo (v nadaljnjem besedilu: sporazum o izstopu), o katerem so potekala pogajanja in ki je bil sklenjen v skladu s členom 50 Pogodbe o Evropski uniji</w:t>
      </w:r>
      <w:r>
        <w:rPr>
          <w:rStyle w:val="FootnoteReference"/>
          <w:noProof/>
        </w:rPr>
        <w:footnoteReference w:id="3"/>
      </w:r>
      <w:r>
        <w:rPr>
          <w:noProof/>
        </w:rPr>
        <w:t xml:space="preserve">. </w:t>
      </w:r>
    </w:p>
    <w:p>
      <w:pPr>
        <w:pStyle w:val="ManualConsidrant"/>
        <w:rPr>
          <w:noProof/>
        </w:rPr>
      </w:pPr>
      <w:r>
        <w:rPr>
          <w:noProof/>
        </w:rPr>
        <w:t>(3)</w:t>
      </w:r>
      <w:r>
        <w:rPr>
          <w:noProof/>
        </w:rPr>
        <w:tab/>
        <w:t>Sporazum o izstopu je začel veljati 1. februarja 2020 in določa prehodno obdobje, v katerem se v skladu z navedenim sporazumom za Združeno kraljestvo in v njem uporablja pravo Unije. To obdobje se bo končalo 31. decembra 2020, razen če skupni odbor, ustanovljen na podlagi sporazuma o izstopu, pred 1. julijem 2020 sprejme en sam sklep o podaljšanju prehodnega obdobja za največ eno ali dve leti.</w:t>
      </w:r>
    </w:p>
    <w:p>
      <w:pPr>
        <w:pStyle w:val="ManualConsidrant"/>
        <w:rPr>
          <w:noProof/>
        </w:rPr>
      </w:pPr>
      <w:r>
        <w:rPr>
          <w:noProof/>
        </w:rPr>
        <w:t>(4)</w:t>
      </w:r>
      <w:r>
        <w:rPr>
          <w:noProof/>
        </w:rPr>
        <w:tab/>
        <w:t>Evropski svet je v smernicah z dne 23. marca 2018 znova poudaril, da je Unija odločena z Združenim kraljestvom v prihodnosti imeti čim tesnejše partnerstvo. V skladu s temi smernicami bi moralo tako partnerstvo zajemati trgovino in ekonomsko sodelovanje ter druga področja, zlasti boj proti terorizmu in mednarodni kriminaliteti ter varnost, obrambo in zunanjo politiko. Evropski svet je te smernice določil za namene splošnega dogovora o okviru prihodnjih odnosov, ki naj bi bil natančneje pojasnjen v politični izjavi, priloženi sporazumu o izstopu in navedeni v njem.</w:t>
      </w:r>
    </w:p>
    <w:p>
      <w:pPr>
        <w:pStyle w:val="ManualConsidrant"/>
        <w:rPr>
          <w:noProof/>
        </w:rPr>
      </w:pPr>
      <w:r>
        <w:rPr>
          <w:noProof/>
        </w:rPr>
        <w:t>(5)</w:t>
      </w:r>
      <w:r>
        <w:rPr>
          <w:noProof/>
        </w:rPr>
        <w:tab/>
        <w:t>Politična izjava, priložena sporazumu o izstopu, določa okvir prihodnjih odnosov med Evropsko unijo in Združenim kraljestvom (v nadaljnjem besedilu: politična izjava)</w:t>
      </w:r>
      <w:r>
        <w:rPr>
          <w:rStyle w:val="FootnoteReference"/>
          <w:noProof/>
        </w:rPr>
        <w:footnoteReference w:id="4"/>
      </w:r>
      <w:r>
        <w:rPr>
          <w:noProof/>
        </w:rPr>
        <w:t xml:space="preserve">. Vzpostavlja parametre ambicioznega, obsežnega, globokega in prožnega partnerstva v okviru trgovinskega in gospodarskega sodelovanja na podlagi celovitega in uravnoteženega prostotrgovinskega sporazuma, kazenskega pregona in kazenskega pravosodja, zunanje politike, varnosti in obrambe ter širših področij sodelovanja. </w:t>
      </w:r>
    </w:p>
    <w:p>
      <w:pPr>
        <w:pStyle w:val="ManualConsidrant"/>
        <w:rPr>
          <w:noProof/>
        </w:rPr>
      </w:pPr>
      <w:r>
        <w:rPr>
          <w:noProof/>
        </w:rPr>
        <w:lastRenderedPageBreak/>
        <w:t>(6)</w:t>
      </w:r>
      <w:r>
        <w:rPr>
          <w:noProof/>
        </w:rPr>
        <w:tab/>
        <w:t>Člen 184 sporazuma o izstopu določa, da si Unija in Združeno kraljestvo v dobri veri in ob popolnem spoštovanju njunih pravnih redov čim bolj prizadevata, da sprejmeta potrebne ukrepe za pospešena pogajanja o sporazumih, ki urejajo njune prihodnje odnose, navedene v politični deklaraciji, in da izvedeta ustrezne postopke za ratifikacijo ali sklenitev navedenih sporazumov, da se zagotovi, kolikor je to mogoče, da se navedeni sporazumi začnejo uporabljati od konca prehodnega obdobja.</w:t>
      </w:r>
    </w:p>
    <w:p>
      <w:pPr>
        <w:pStyle w:val="ManualConsidrant"/>
        <w:rPr>
          <w:noProof/>
        </w:rPr>
      </w:pPr>
      <w:r>
        <w:rPr>
          <w:noProof/>
        </w:rPr>
        <w:t>(7)</w:t>
      </w:r>
      <w:r>
        <w:rPr>
          <w:noProof/>
        </w:rPr>
        <w:tab/>
        <w:t>Evropski svet je v sklepih z dne 13. decembra 2019 znova potrdil, da si želi čim tesnejših prihodnjih odnosov z Združenim kraljestvom v skladu s politično izjavo ter ob upoštevanju predhodno dogovorjenih smernic in izjav Evropskega sveta, zlasti tistih z dne 25. novembra 2018. Zlasti je ponovno poudaril, da bodo morali prihodnji odnosi z Združenim kraljestvom temeljiti na ravnotežju med pravicami in obveznostmi ter zagotavljati enake konkurenčne pogoje. Evropski svet je Komisijo pozval, naj „takoj po izstopu Združenega kraljestva Svetu predloži osnutek celovitega mandata za pogajanja o prihodnjih odnosih s to državo“. Evropski svet je izjavil, da bo pozorno spremljal pogajanja in po potrebi podal nadaljnje splošne politične usmeritve.</w:t>
      </w:r>
    </w:p>
    <w:p>
      <w:pPr>
        <w:pStyle w:val="ManualConsidrant"/>
        <w:rPr>
          <w:noProof/>
        </w:rPr>
      </w:pPr>
      <w:r>
        <w:rPr>
          <w:noProof/>
        </w:rPr>
        <w:t>(8)</w:t>
      </w:r>
      <w:r>
        <w:rPr>
          <w:noProof/>
        </w:rPr>
        <w:tab/>
        <w:t>Zato bi bilo treba začeti pogajanja za sklenitev novega partnerstva z Združenim kraljestvom Velika Britanija in Severna Irska. Komisijo bi bilo treba imenovati za pogajalca Unije. Komisija bi se morala o zadevah s področja skupne zunanje in varnostne politike pogajati v dogovoru z visokim predstavnikom Unije za zunanje zadeve in varnostno politiko –</w:t>
      </w:r>
    </w:p>
    <w:p>
      <w:pPr>
        <w:pStyle w:val="Formuledadoption"/>
        <w:rPr>
          <w:noProof/>
        </w:rPr>
      </w:pPr>
      <w:r>
        <w:rPr>
          <w:noProof/>
        </w:rPr>
        <w:t xml:space="preserve">SPREJEL NASLEDNJI SKLEP: </w:t>
      </w:r>
    </w:p>
    <w:p>
      <w:pPr>
        <w:pStyle w:val="Titrearticle"/>
        <w:spacing w:line="360" w:lineRule="auto"/>
        <w:rPr>
          <w:noProof/>
        </w:rPr>
      </w:pPr>
      <w:r>
        <w:rPr>
          <w:noProof/>
        </w:rPr>
        <w:t>Člen 1</w:t>
      </w:r>
    </w:p>
    <w:p>
      <w:pPr>
        <w:spacing w:before="0" w:after="200" w:line="360" w:lineRule="auto"/>
        <w:contextualSpacing/>
        <w:rPr>
          <w:noProof/>
        </w:rPr>
      </w:pPr>
      <w:r>
        <w:rPr>
          <w:noProof/>
        </w:rPr>
        <w:t>Komisija je pooblaščena za začetek pogajanj o novem partnerstvu z Združenim kraljestvom Velika Britanija in Severna Irska.</w:t>
      </w:r>
    </w:p>
    <w:p>
      <w:pPr>
        <w:pStyle w:val="Titrearticle"/>
        <w:spacing w:line="360" w:lineRule="auto"/>
        <w:rPr>
          <w:noProof/>
        </w:rPr>
      </w:pPr>
      <w:r>
        <w:rPr>
          <w:noProof/>
        </w:rPr>
        <w:t>Člen 2</w:t>
      </w:r>
    </w:p>
    <w:p>
      <w:pPr>
        <w:spacing w:before="0" w:after="200" w:line="360" w:lineRule="auto"/>
        <w:contextualSpacing/>
        <w:rPr>
          <w:noProof/>
          <w:szCs w:val="24"/>
        </w:rPr>
      </w:pPr>
      <w:r>
        <w:rPr>
          <w:noProof/>
        </w:rPr>
        <w:t>Komisija je imenovana za pogajalca Unije.</w:t>
      </w:r>
    </w:p>
    <w:p>
      <w:pPr>
        <w:pStyle w:val="Titrearticle"/>
        <w:spacing w:line="360" w:lineRule="auto"/>
        <w:rPr>
          <w:noProof/>
        </w:rPr>
      </w:pPr>
      <w:r>
        <w:rPr>
          <w:noProof/>
        </w:rPr>
        <w:t>Člen 3</w:t>
      </w:r>
    </w:p>
    <w:p>
      <w:pPr>
        <w:spacing w:before="0" w:after="200" w:line="360" w:lineRule="auto"/>
        <w:contextualSpacing/>
        <w:rPr>
          <w:noProof/>
          <w:szCs w:val="24"/>
        </w:rPr>
      </w:pPr>
      <w:r>
        <w:rPr>
          <w:noProof/>
        </w:rPr>
        <w:t>Komisija se pogaja ob posvetovanju z [ime posebnega odbora] in na podlagi smernic iz Priloge.</w:t>
      </w:r>
    </w:p>
    <w:p>
      <w:pPr>
        <w:pStyle w:val="Titrearticle"/>
        <w:spacing w:line="360" w:lineRule="auto"/>
        <w:rPr>
          <w:noProof/>
        </w:rPr>
      </w:pPr>
      <w:r>
        <w:rPr>
          <w:noProof/>
        </w:rPr>
        <w:t>Člen 4</w:t>
      </w:r>
    </w:p>
    <w:p>
      <w:pPr>
        <w:keepNext/>
        <w:keepLines/>
        <w:spacing w:line="360" w:lineRule="auto"/>
        <w:rPr>
          <w:noProof/>
        </w:rPr>
      </w:pPr>
      <w:r>
        <w:rPr>
          <w:noProof/>
        </w:rPr>
        <w:t>Ta sklep je naslovljen na Komisijo.</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UL L 29, 31.1.2020, str. 7. </w:t>
      </w:r>
    </w:p>
  </w:footnote>
  <w:footnote w:id="2">
    <w:p>
      <w:pPr>
        <w:pStyle w:val="FootnoteText"/>
      </w:pPr>
      <w:r>
        <w:rPr>
          <w:rStyle w:val="FootnoteReference"/>
        </w:rPr>
        <w:footnoteRef/>
      </w:r>
      <w:r>
        <w:tab/>
        <w:t>UL C 34, 31.1.2020, str. 1.</w:t>
      </w:r>
    </w:p>
  </w:footnote>
  <w:footnote w:id="3">
    <w:p>
      <w:pPr>
        <w:pStyle w:val="FootnoteText"/>
      </w:pPr>
      <w:r>
        <w:rPr>
          <w:rStyle w:val="FootnoteReference"/>
        </w:rPr>
        <w:footnoteRef/>
      </w:r>
      <w:r>
        <w:tab/>
        <w:t>UL L 29, 31.1.2020, str. 7.</w:t>
      </w:r>
    </w:p>
  </w:footnote>
  <w:footnote w:id="4">
    <w:p>
      <w:pPr>
        <w:pStyle w:val="FootnoteText"/>
      </w:pPr>
      <w:r>
        <w:rPr>
          <w:rStyle w:val="FootnoteReference"/>
        </w:rPr>
        <w:footnoteRef/>
      </w:r>
      <w:r>
        <w:tab/>
        <w:t>UL C 34, 31.1.2020,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22D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CE71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C848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C8A3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02C2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943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5AA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C712B5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31 15:4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E85BD1-8DF9-4A5A-9988-CCA4CE685127"/>
    <w:docVar w:name="LW_COVERPAGE_TYPE" w:val="1"/>
    <w:docVar w:name="LW_CROSSREFERENCE" w:val="&lt;UNUSED&gt;"/>
    <w:docVar w:name="LW_DocType" w:val="COM"/>
    <w:docVar w:name="LW_EMISSION" w:val="3.2.2020"/>
    <w:docVar w:name="LW_EMISSION_ISODATE" w:val="2020-02-03"/>
    <w:docVar w:name="LW_EMISSION_LOCATION" w:val="BRX"/>
    <w:docVar w:name="LW_EMISSION_PREFIX" w:val="Bruselj,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poro\u269?ilo"/>
    <w:docVar w:name="LW_STATUT.CP" w:val="Priporo\u269?ilo"/>
    <w:docVar w:name="LW_SUPERTITRE" w:val="&lt;UNUSED&gt;"/>
    <w:docVar w:name="LW_TITRE.OBJ" w:val="o pooblastilu za za\u269?etek pogajanj o novem partnerstvu z Zdru\u382?enim kraljestvom Velika Britanija in Severna Irska"/>
    <w:docVar w:name="LW_TITRE.OBJ.CP" w:val="o pooblastilu za za\u269?etek pogajanj o novem partnerstvu z Zdru\u382?enim kraljestvom Velika Britanija in Severna Irska"/>
    <w:docVar w:name="LW_TYPE.DOC" w:val="SKLEP SVETA"/>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3346">
      <w:bodyDiv w:val="1"/>
      <w:marLeft w:val="0"/>
      <w:marRight w:val="0"/>
      <w:marTop w:val="0"/>
      <w:marBottom w:val="0"/>
      <w:divBdr>
        <w:top w:val="none" w:sz="0" w:space="0" w:color="auto"/>
        <w:left w:val="none" w:sz="0" w:space="0" w:color="auto"/>
        <w:bottom w:val="none" w:sz="0" w:space="0" w:color="auto"/>
        <w:right w:val="none" w:sz="0" w:space="0" w:color="auto"/>
      </w:divBdr>
    </w:div>
    <w:div w:id="1406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1733</Words>
  <Characters>10247</Characters>
  <Application>Microsoft Office Word</Application>
  <DocSecurity>0</DocSecurity>
  <Lines>173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2020-01-31T11:38:00Z</dcterms:created>
  <dcterms:modified xsi:type="dcterms:W3CDTF">2020-01-31T14:40:00Z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SG-001</vt:lpwstr>
  </property>
  <property fmtid="{D5CDD505-2E9C-101B-9397-08002B2CF9AE}" pid="7" name="Category">
    <vt:lpwstr>COM/PL/ORG/NOEEA</vt:lpwstr>
  </property>
  <property fmtid="{D5CDD505-2E9C-101B-9397-08002B2CF9AE}" pid="8" name="DQCStatus">
    <vt:lpwstr>Green (DQC version 03)</vt:lpwstr>
  </property>
</Properties>
</file>