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C053B6B-2B96-419B-8ADE-E42F495D60F2" style="width:450.8pt;height:3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Bdr>
          <w:top w:val="nil"/>
          <w:left w:val="nil"/>
          <w:bottom w:val="nil"/>
          <w:right w:val="nil"/>
          <w:between w:val="nil"/>
          <w:bar w:val="nil"/>
        </w:pBdr>
        <w:spacing w:before="0" w:after="240"/>
        <w:rPr>
          <w:rFonts w:eastAsia="Arial Unicode MS"/>
          <w:noProof/>
        </w:rPr>
      </w:pPr>
      <w:r>
        <w:rPr>
          <w:noProof/>
        </w:rPr>
        <w:t>Med denne henstilling opfordrer Europa-Kommissionen Rådet for Den Europæiske Union til at give bemyndigelse til, at der indledes forhandlinger om et nyt partnerskab med Det Forenede Kongerige Storbritannien og Nordirland, at udpege Kommissionen som Unionens forhandler og at give forhandleren direktiver og udpege et særligt udvalg, som der skal føres samråd med under forhandlingerne.</w:t>
      </w:r>
    </w:p>
    <w:p>
      <w:pPr>
        <w:pStyle w:val="ManualHeading1"/>
        <w:rPr>
          <w:noProof/>
        </w:rPr>
      </w:pPr>
      <w:r>
        <w:rPr>
          <w:noProof/>
        </w:rPr>
        <w:t>2.</w:t>
      </w:r>
      <w:r>
        <w:rPr>
          <w:noProof/>
        </w:rPr>
        <w:tab/>
        <w:t>KONTEKST</w:t>
      </w:r>
    </w:p>
    <w:p>
      <w:pPr>
        <w:pBdr>
          <w:top w:val="nil"/>
          <w:left w:val="nil"/>
          <w:bottom w:val="nil"/>
          <w:right w:val="nil"/>
          <w:between w:val="nil"/>
          <w:bar w:val="nil"/>
        </w:pBdr>
        <w:spacing w:before="0" w:after="240"/>
        <w:rPr>
          <w:noProof/>
        </w:rPr>
      </w:pPr>
      <w:r>
        <w:rPr>
          <w:noProof/>
        </w:rPr>
        <w:t>Den 1. februar 2020 udtrådte Det Forenede Kongerige af Den Europæiske Union og Det Europæiske Atomenergifællesskab (Euratom).</w:t>
      </w:r>
    </w:p>
    <w:p>
      <w:pPr>
        <w:pBdr>
          <w:top w:val="nil"/>
          <w:left w:val="nil"/>
          <w:bottom w:val="nil"/>
          <w:right w:val="nil"/>
          <w:between w:val="nil"/>
          <w:bar w:val="nil"/>
        </w:pBdr>
        <w:spacing w:before="0" w:after="240"/>
        <w:rPr>
          <w:noProof/>
        </w:rPr>
      </w:pPr>
      <w:r>
        <w:rPr>
          <w:noProof/>
        </w:rPr>
        <w:t>De nærmere bestemmelser for udtrædelsen er fastlagt i aftalen om Det Forenede Kongerige Storbritannien og Nordirlands ("Det Forenede Kongerige") udtræden af Den Europæiske Union og Det Europæiske Atomenergifællesskab ("udtrædelsesaftalen")</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Udtrædelsesaftalen trådte kraft den 1. februar 2020 og indeholder bestemmelser om en overgangsperiode, hvor EU-retten finder anvendelse på og i Det Forenede Kongerige i overensstemmelse med samme aftale. Denne periode udløber den 31. december 2020, medmindre det blandede udvalg, der er nedsat ved udtrædelsesaftalen, inden den 1. juli 2020 vedtager en enkelt afgørelse om forlængelse af overgangsperioden med op til et eller to år.</w:t>
      </w:r>
    </w:p>
    <w:p>
      <w:pPr>
        <w:pBdr>
          <w:top w:val="nil"/>
          <w:left w:val="nil"/>
          <w:bottom w:val="nil"/>
          <w:right w:val="nil"/>
          <w:between w:val="nil"/>
          <w:bar w:val="nil"/>
        </w:pBdr>
        <w:spacing w:before="0" w:after="240"/>
        <w:rPr>
          <w:noProof/>
        </w:rPr>
      </w:pPr>
      <w:r>
        <w:rPr>
          <w:noProof/>
        </w:rPr>
        <w:t>I retningslinjerne af 23. marts 2018 gentog Det Europæiske Råd, at Unionen er fast besluttet på at have et så tæt partnerskab som muligt med Det Forenede Kongerige i fremtiden. Ifølge disse retningslinjer bør et sådant partnerskab omfatte handel og økonomisk samarbejde samt andre områder, navnlig bekæmpelse af terrorisme og international kriminalitet samt sikkerhed, forsvar og udenrigspolitik. Det Europæiske Råd fastsatte disse retningslinjer med henblik på den overordnede forståelse af rammen for de fremtidige forbindelser, som skulle uddybes i en politisk erklæring, der skulle ledsage og være henvist til i udtrædelsesaftalen.</w:t>
      </w:r>
    </w:p>
    <w:p>
      <w:pPr>
        <w:pBdr>
          <w:top w:val="nil"/>
          <w:left w:val="nil"/>
          <w:bottom w:val="nil"/>
          <w:right w:val="nil"/>
          <w:between w:val="nil"/>
          <w:bar w:val="nil"/>
        </w:pBdr>
        <w:spacing w:before="0" w:after="240"/>
        <w:rPr>
          <w:noProof/>
        </w:rPr>
      </w:pPr>
      <w:r>
        <w:rPr>
          <w:noProof/>
        </w:rPr>
        <w:t>Den politiske erklæring, der ledsagede udtrædelsesaftalen, fastlægger rammerne for de fremtidige forbindelser mellem Den Europæiske Union og Det Forenede Kongerige ("politisk erklæring")</w:t>
      </w:r>
      <w:r>
        <w:rPr>
          <w:rStyle w:val="FootnoteReference"/>
          <w:noProof/>
        </w:rPr>
        <w:footnoteReference w:id="2"/>
      </w:r>
      <w:r>
        <w:rPr>
          <w:noProof/>
        </w:rPr>
        <w:t>. Den fastsætter parametrene for "et ambitiøst, bredt, vidtgående og fleksibelt partnerskab om handel og økonomisk samarbejde med en omfattende og afbalanceret frihandelsaftale i centrum, retshåndhævelse og strafferet, udenrigspolitik, sikkerhed og forsvar og bredere samarbejdsområder".</w:t>
      </w:r>
    </w:p>
    <w:p>
      <w:pPr>
        <w:pBdr>
          <w:top w:val="nil"/>
          <w:left w:val="nil"/>
          <w:bottom w:val="nil"/>
          <w:right w:val="nil"/>
          <w:between w:val="nil"/>
          <w:bar w:val="nil"/>
        </w:pBdr>
        <w:spacing w:before="0" w:after="240"/>
        <w:rPr>
          <w:noProof/>
        </w:rPr>
      </w:pPr>
      <w:r>
        <w:rPr>
          <w:noProof/>
        </w:rPr>
        <w:t>Udtrædelsesaftalens artikel 184 fastsætter følgende: "Unionen og Det Forenede Kongerige bestræber sig på i god tro og med fuld respekt af deres respektive retsordener at tage de nødvendige skridt til hurtigt at forhandle de aftaler, der regulerer deres i den politiske erklæring af 17. oktober 2019 omhandlede fremtidige forbindelser på plads og gennemføre de relevante procedurer for ratifikation eller indgåelse af disse aftaler med henblik på at sikre, at disse aftaler så vidt muligt finder anvendelse fra overgangsperiodens udløb."</w:t>
      </w:r>
    </w:p>
    <w:p>
      <w:pPr>
        <w:pBdr>
          <w:top w:val="nil"/>
          <w:left w:val="nil"/>
          <w:bottom w:val="nil"/>
          <w:right w:val="nil"/>
          <w:between w:val="nil"/>
          <w:bar w:val="nil"/>
        </w:pBdr>
        <w:spacing w:before="0" w:after="240"/>
        <w:rPr>
          <w:rFonts w:eastAsia="Arial Unicode MS"/>
          <w:noProof/>
        </w:rPr>
      </w:pPr>
      <w:r>
        <w:rPr>
          <w:noProof/>
        </w:rPr>
        <w:t xml:space="preserve">I sine konklusioner af 13. december 2019 bekræftede Det Europæiske Råd på ny sit ønske om at have så nære fremtidige forbindelser som muligt med Det Forenede Kongerige i </w:t>
      </w:r>
      <w:r>
        <w:rPr>
          <w:noProof/>
        </w:rPr>
        <w:lastRenderedPageBreak/>
        <w:t>overensstemmelse med den politiske erklæring og under overholdelse af de af Det Europæiske Råd tidligere vedtagne retningslinjer såvel som erklæringer, navnlig dem fra den 25. november 2018. Det Europæiske Råd gentog navnlig, at de fremtidige forbindelser med Det Forenede Kongerige skal være baseret på en balance mellem rettigheder og forpligtelser og sikre lige vilkår. Det Europæiske Råd opfordrede Kommissionen til at forelægge Rådet "et udkast til et omfattende mandat for de fremtidige forbindelser med Det Forenede Kongerige umiddelbart efter dets udtræden".</w:t>
      </w:r>
    </w:p>
    <w:p>
      <w:pPr>
        <w:pStyle w:val="ManualHeading1"/>
        <w:rPr>
          <w:noProof/>
        </w:rPr>
      </w:pPr>
      <w:r>
        <w:rPr>
          <w:noProof/>
        </w:rPr>
        <w:t>3.</w:t>
      </w:r>
      <w:r>
        <w:rPr>
          <w:noProof/>
        </w:rPr>
        <w:tab/>
        <w:t>DET NYE PARTNERSKAB</w:t>
      </w:r>
    </w:p>
    <w:p>
      <w:pPr>
        <w:pBdr>
          <w:top w:val="nil"/>
          <w:left w:val="nil"/>
          <w:bottom w:val="nil"/>
          <w:right w:val="nil"/>
          <w:between w:val="nil"/>
          <w:bar w:val="nil"/>
        </w:pBdr>
        <w:spacing w:before="0" w:after="240"/>
        <w:rPr>
          <w:noProof/>
        </w:rPr>
      </w:pPr>
      <w:r>
        <w:rPr>
          <w:noProof/>
        </w:rPr>
        <w:t xml:space="preserve">Det ambitiøse og omfattende nye partnerskab, der er omhandlet i denne henstilling, afspejler Det Europæiske Råds konklusioner og retningslinjer og bygger på den politiske erklæring. </w:t>
      </w:r>
    </w:p>
    <w:p>
      <w:pPr>
        <w:pBdr>
          <w:top w:val="nil"/>
          <w:left w:val="nil"/>
          <w:bottom w:val="nil"/>
          <w:right w:val="nil"/>
          <w:between w:val="nil"/>
          <w:bar w:val="nil"/>
        </w:pBdr>
        <w:spacing w:before="0" w:after="240"/>
        <w:rPr>
          <w:noProof/>
        </w:rPr>
      </w:pPr>
      <w:r>
        <w:rPr>
          <w:noProof/>
        </w:rPr>
        <w:t>Det påtænkte partnerskab består af en samlet pakke, der omfatter tre hovedkomponenter:</w:t>
      </w:r>
    </w:p>
    <w:p>
      <w:pPr>
        <w:pStyle w:val="Tiret1"/>
        <w:numPr>
          <w:ilvl w:val="0"/>
          <w:numId w:val="9"/>
        </w:numPr>
        <w:rPr>
          <w:noProof/>
        </w:rPr>
      </w:pPr>
      <w:r>
        <w:rPr>
          <w:noProof/>
        </w:rPr>
        <w:t>generelle ordninger (herunder bestemmelser om grundlæggende værdier og principper og om forvaltning),</w:t>
      </w:r>
    </w:p>
    <w:p>
      <w:pPr>
        <w:pStyle w:val="Tiret1"/>
        <w:rPr>
          <w:noProof/>
        </w:rPr>
      </w:pPr>
      <w:r>
        <w:rPr>
          <w:noProof/>
        </w:rPr>
        <w:t>økonomiske ordninger (herunder bestemmelser om handel og sikring af lige vilkår) og</w:t>
      </w:r>
    </w:p>
    <w:p>
      <w:pPr>
        <w:pStyle w:val="Tiret1"/>
        <w:rPr>
          <w:noProof/>
        </w:rPr>
      </w:pPr>
      <w:r>
        <w:rPr>
          <w:noProof/>
        </w:rPr>
        <w:t>sikkerhedsordninger (herunder bestemmelser om retshåndhævelsessamarbejde og retligt samarbejde i straffesager og om udenrigspolitik, sikkerhed og forsvar).</w:t>
      </w:r>
    </w:p>
    <w:p>
      <w:pPr>
        <w:pBdr>
          <w:top w:val="nil"/>
          <w:left w:val="nil"/>
          <w:bottom w:val="nil"/>
          <w:right w:val="nil"/>
          <w:between w:val="nil"/>
          <w:bar w:val="nil"/>
        </w:pBdr>
        <w:spacing w:before="0" w:after="240"/>
        <w:rPr>
          <w:noProof/>
        </w:rPr>
      </w:pPr>
      <w:r>
        <w:rPr>
          <w:noProof/>
        </w:rPr>
        <w:t>Det påtænkte partnerskab er baseret på anerkendelsen af, at velstand og sikkerhed styrkes gennem den regelbaserede verdensorden, forsvaret for individuelle rettigheder og retsstatsprincippet, høje standarder for beskyttelse af arbejdstager- og forbrugerrettigheder og miljø samt bekæmpelse af klimaændringer og fri og fair handel.</w:t>
      </w:r>
    </w:p>
    <w:p>
      <w:pPr>
        <w:pStyle w:val="Text1"/>
        <w:rPr>
          <w:noProof/>
        </w:rPr>
      </w:pPr>
      <w:r>
        <w:rPr>
          <w:noProof/>
        </w:rPr>
        <w:t>Det partnerskab, der påtænkes i denne henstilling, er omfattende, hvilket er i overensstemmelse med Det Europæiske Råds konklusioner af 13. december 2019. Det dækker alle de interesseområder, der er beskrevet i den politiske erklæring: handel og økonomisk samarbejde, retshåndhævelsessamarbejde og retligt samarbejde i straffesager, udenrigspolitik, sikkerhed og forsvar, deltagelse i EU-programmer samt tematiske samarbejdsområder. Kommissionen er parat til at nå så meget som muligt af dette i overgangsperioden og videreføre forhandlingerne om eventuelle resterende spørgsmål efter overgangsperiodens udløb.</w:t>
      </w:r>
    </w:p>
    <w:p>
      <w:pPr>
        <w:pBdr>
          <w:top w:val="nil"/>
          <w:left w:val="nil"/>
          <w:bottom w:val="nil"/>
          <w:right w:val="nil"/>
          <w:between w:val="nil"/>
          <w:bar w:val="nil"/>
        </w:pBdr>
        <w:spacing w:before="0" w:after="240"/>
        <w:rPr>
          <w:noProof/>
        </w:rPr>
      </w:pPr>
      <w:r>
        <w:rPr>
          <w:noProof/>
        </w:rPr>
        <w:t xml:space="preserve">Det påtænkte partnerskab vil respektere Unionens beslutningsautonomi og retsorden, det indre markeds og toldunionens integritet og de fire friheders udelelighed. Det bør sikre beskyttelsen af Unionens finansielle interesser og afspejle Det Forenede Kongeriges status som et tredjeland uden for Schengenområdet, der ikke kan have de samme rettigheder og de samme fordele som et medlem. Det påtænkte partnerskab bør baseres på en overordnet forvaltningsramme, der dækker alle samarbejdsområder. </w:t>
      </w:r>
    </w:p>
    <w:p>
      <w:pPr>
        <w:pBdr>
          <w:top w:val="nil"/>
          <w:left w:val="nil"/>
          <w:bottom w:val="nil"/>
          <w:right w:val="nil"/>
          <w:between w:val="nil"/>
          <w:bar w:val="nil"/>
        </w:pBdr>
        <w:spacing w:before="0" w:after="240"/>
        <w:rPr>
          <w:noProof/>
        </w:rPr>
      </w:pPr>
      <w:r>
        <w:rPr>
          <w:noProof/>
        </w:rPr>
        <w:t xml:space="preserve">Med hensyn til det påtænkte partnerskabs territoriale anvendelsesområde skal det erindres, at følgende erklæring fra Det Europæiske Råd og Kommissionen indgår i de erklæringer, der er optaget i protokollen for Det Europæiske Råds møde den 25. november 2018: "Efter Det Forenede Kongerige forlader Unionen, vil Gibraltar ikke indgå i det territoriale anvendelsesområde for de aftaler, som indgås mellem Unionen og Det Forenede Kongerige. Imidlertid udelukker dette ikke muligheden for at have særskilte aftaler mellem Unionen og Det Forenede Kongerige om Gibraltar. Uden at det berører Unionens kompetencer og med fuld respekt for dens medlemsstaters territoriale integritet som garanteret ved artikel 4, stk. 2, </w:t>
      </w:r>
      <w:r>
        <w:rPr>
          <w:noProof/>
        </w:rPr>
        <w:lastRenderedPageBreak/>
        <w:t>i traktaten om Den Europæiske Union, vil disse særskilte aftaler kræve en forudgående aftale med Kongeriget Spanien."</w:t>
      </w:r>
    </w:p>
    <w:p>
      <w:pPr>
        <w:pStyle w:val="ManualHeading1"/>
        <w:rPr>
          <w:noProof/>
        </w:rPr>
      </w:pPr>
      <w:r>
        <w:rPr>
          <w:noProof/>
        </w:rPr>
        <w:t>4.</w:t>
      </w:r>
      <w:r>
        <w:rPr>
          <w:noProof/>
        </w:rPr>
        <w:tab/>
        <w:t>FORHANDLINGERNE</w:t>
      </w:r>
    </w:p>
    <w:p>
      <w:pPr>
        <w:rPr>
          <w:noProof/>
        </w:rPr>
      </w:pPr>
      <w:r>
        <w:rPr>
          <w:noProof/>
        </w:rPr>
        <w:t>Kommissionen vil føre forhandlingerne i overensstemmelse med forhandlingsdirektiverne i bilaget til afgørelsen og i samråd med et særligt udvalg udpeget af Rådet.</w:t>
      </w:r>
    </w:p>
    <w:p>
      <w:pPr>
        <w:rPr>
          <w:noProof/>
        </w:rPr>
      </w:pPr>
      <w:r>
        <w:rPr>
          <w:noProof/>
        </w:rPr>
        <w:t xml:space="preserve">Kommissionen vil føre forhandlingerne i løbende samråd med Rådet og dets forberedende organer, vil rettidigt høre og aflægge rapport til Rådets forberedende organer og vil rettidigt fremlægge alle nødvendige oplysninger og dokumenter vedrørende forhandlingerne. </w:t>
      </w:r>
    </w:p>
    <w:p>
      <w:pPr>
        <w:rPr>
          <w:noProof/>
        </w:rPr>
      </w:pPr>
      <w:r>
        <w:rPr>
          <w:noProof/>
        </w:rPr>
        <w:t>Kommissionen vil rettidigt holde Europa-Parlamentet fuldt underrettet om forhandlingerne.</w:t>
      </w:r>
    </w:p>
    <w:p>
      <w:pPr>
        <w:rPr>
          <w:noProof/>
        </w:rPr>
      </w:pPr>
      <w:r>
        <w:rPr>
          <w:noProof/>
        </w:rPr>
        <w:t>Kommissionen vil føre forhandlingerne i samarbejde med Unionens højtstående repræsentant for udenrigsanliggender og sikkerhedspolitik og efter aftale med vedkommende om spørgsmål, der vedrører den fælles udenrigs- og sikkerhedspolitik.</w:t>
      </w:r>
    </w:p>
    <w:p>
      <w:pPr>
        <w:pStyle w:val="ManualHeading1"/>
        <w:rPr>
          <w:noProof/>
        </w:rPr>
      </w:pPr>
      <w:r>
        <w:rPr>
          <w:noProof/>
        </w:rPr>
        <w:t>5.</w:t>
      </w:r>
      <w:r>
        <w:rPr>
          <w:noProof/>
        </w:rPr>
        <w:tab/>
        <w:t>RETSGRUNDLAG</w:t>
      </w:r>
    </w:p>
    <w:p>
      <w:pPr>
        <w:rPr>
          <w:noProof/>
          <w:szCs w:val="24"/>
        </w:rPr>
      </w:pPr>
      <w:r>
        <w:rPr>
          <w:noProof/>
        </w:rPr>
        <w:t>Det proceduremæssige retsgrundlag for en afgørelse om bemyndigelse til at indlede forhandlinger og give forhandleren direktiver er artikel 218, stk. 3 og 4, i TEUF. På grund af det påtænkte partnerskabs omfattende rækkevidde og de ambitiøse og langsigtede forbindelser, som det har til formål at etablere, er det passende materielle retsgrundlag for afgørelsen om bemyndigelse til at indlede forhandlinger og give forhandleren direktiver på dette stadium artikel 217 i TEUF. For så vidt som bilaget til afgørelsen indeholder forhandlingsdirektiver vedrørende spørgsmål, der henhører under Euratomtraktaten, bør retsgrundlaget for afgørelsen også omfatte Euratomtraktatens artikel 101. Retsgrundlaget for den anbefalede afgørelse bør derfor være artikel 218, stk. 3 og 4, i TEUF og Euratomtraktatens artikel 101. Det materielle retsgrundlag for undertegnelsen og indgåelsen af det nye partnerskab kan først fastlægges ved afslutningen af forhandlingerne.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Henstilling med henblik på</w:t>
      </w:r>
    </w:p>
    <w:p>
      <w:pPr>
        <w:pStyle w:val="Typedudocument"/>
        <w:rPr>
          <w:noProof/>
        </w:rPr>
      </w:pPr>
      <w:r>
        <w:rPr>
          <w:noProof/>
        </w:rPr>
        <w:t>RÅDETS AFGØRELSE</w:t>
      </w:r>
    </w:p>
    <w:p>
      <w:pPr>
        <w:pStyle w:val="Titreobjet"/>
        <w:rPr>
          <w:noProof/>
        </w:rPr>
      </w:pPr>
      <w:r>
        <w:rPr>
          <w:noProof/>
        </w:rPr>
        <w:t>om bemyndigelse til at indlede forhandlinger om et nyt partnerskab med Det Forenede Kongerige Storbritannien og Nordirland</w:t>
      </w:r>
    </w:p>
    <w:p>
      <w:pPr>
        <w:pStyle w:val="Institutionquiagit"/>
        <w:rPr>
          <w:noProof/>
        </w:rPr>
      </w:pPr>
      <w:r>
        <w:rPr>
          <w:noProof/>
        </w:rPr>
        <w:t>RÅDET FOR DEN EUROPÆISKE UNION HAR —</w:t>
      </w:r>
    </w:p>
    <w:p>
      <w:pPr>
        <w:spacing w:line="360" w:lineRule="auto"/>
        <w:rPr>
          <w:noProof/>
        </w:rPr>
      </w:pPr>
      <w:r>
        <w:rPr>
          <w:noProof/>
        </w:rPr>
        <w:t xml:space="preserve">under henvisning til traktaten om Den Europæiske Unions funktionsmåde, særlig artikel 217 sammenholdt med artikel 218, stk. 3 og 4, </w:t>
      </w:r>
    </w:p>
    <w:p>
      <w:pPr>
        <w:spacing w:line="360" w:lineRule="auto"/>
        <w:rPr>
          <w:noProof/>
          <w:szCs w:val="24"/>
        </w:rPr>
      </w:pPr>
      <w:r>
        <w:rPr>
          <w:noProof/>
        </w:rPr>
        <w:t>under henvisning til traktaten om oprettelse af Det Europæiske Atomenergifællesskab, særlig artikel 101,</w:t>
      </w:r>
    </w:p>
    <w:p>
      <w:pPr>
        <w:spacing w:line="360" w:lineRule="auto"/>
        <w:rPr>
          <w:noProof/>
        </w:rPr>
      </w:pPr>
      <w:r>
        <w:rPr>
          <w:noProof/>
        </w:rPr>
        <w:t>under henvisning til henstilling fra Europa-Kommissionen, og</w:t>
      </w:r>
    </w:p>
    <w:p>
      <w:pPr>
        <w:spacing w:line="360" w:lineRule="auto"/>
        <w:rPr>
          <w:noProof/>
        </w:rPr>
      </w:pPr>
      <w:r>
        <w:rPr>
          <w:noProof/>
        </w:rPr>
        <w:t>ud fra følgende betragtninger:</w:t>
      </w:r>
    </w:p>
    <w:p>
      <w:pPr>
        <w:pStyle w:val="ManualConsidrant"/>
        <w:rPr>
          <w:noProof/>
        </w:rPr>
      </w:pPr>
      <w:r>
        <w:rPr>
          <w:noProof/>
        </w:rPr>
        <w:t>(1)</w:t>
      </w:r>
      <w:r>
        <w:rPr>
          <w:noProof/>
        </w:rPr>
        <w:tab/>
        <w:t xml:space="preserve">Den 1. februar 2020 udtrådte Det Forenede Kongerige Storbritannien og Nordirland ("Det Forenede Kongerige") af Den Europæiske Union. </w:t>
      </w:r>
    </w:p>
    <w:p>
      <w:pPr>
        <w:pStyle w:val="ManualConsidrant"/>
        <w:rPr>
          <w:noProof/>
        </w:rPr>
      </w:pPr>
      <w:r>
        <w:rPr>
          <w:noProof/>
        </w:rPr>
        <w:t>(2)</w:t>
      </w:r>
      <w:r>
        <w:rPr>
          <w:noProof/>
        </w:rPr>
        <w:tab/>
        <w:t>De nærmere bestemmelser for udtrædelsen er fastlagt i aftalen om Det Forenede Kongerige Storbritannien og Nordirlands udtræden af Den Europæiske Union og Det Europæiske Atomenergifællesskab ("udtrædelsesaftalen"), som er blevet forhandlet og indgået i overensstemmelse med artikel 50 i traktaten om Den Europæiske Union</w:t>
      </w:r>
      <w:r>
        <w:rPr>
          <w:rStyle w:val="FootnoteReference"/>
          <w:noProof/>
        </w:rPr>
        <w:footnoteReference w:id="3"/>
      </w:r>
      <w:r>
        <w:rPr>
          <w:noProof/>
        </w:rPr>
        <w:t xml:space="preserve">. </w:t>
      </w:r>
    </w:p>
    <w:p>
      <w:pPr>
        <w:pStyle w:val="ManualConsidrant"/>
        <w:rPr>
          <w:noProof/>
        </w:rPr>
      </w:pPr>
      <w:r>
        <w:rPr>
          <w:noProof/>
        </w:rPr>
        <w:t>(3)</w:t>
      </w:r>
      <w:r>
        <w:rPr>
          <w:noProof/>
        </w:rPr>
        <w:tab/>
        <w:t>Udtrædelsesaftalen trådte kraft den 1. februar 2020 og indeholder bestemmelser om en overgangsperiode, hvor EU-retten finder anvendelse på og i Det Forenede Kongerige i overensstemmelse med samme aftale. Denne periode udløber den 31. december 2020, medmindre det blandede udvalg, der er nedsat ved udtrædelsesaftalen, inden den 1. juli 2020 vedtager en enkelt afgørelse om forlængelse af overgangsperioden med op til et eller to år.</w:t>
      </w:r>
    </w:p>
    <w:p>
      <w:pPr>
        <w:pStyle w:val="ManualConsidrant"/>
        <w:rPr>
          <w:noProof/>
        </w:rPr>
      </w:pPr>
      <w:r>
        <w:rPr>
          <w:noProof/>
        </w:rPr>
        <w:t>(4)</w:t>
      </w:r>
      <w:r>
        <w:rPr>
          <w:noProof/>
        </w:rPr>
        <w:tab/>
        <w:t>I retningslinjerne af 23. marts 2018 gentog Det Europæiske Råd, at Unionen er fast besluttet på at have et så tæt partnerskab som muligt med Det Forenede Kongerige i fremtiden. Ifølge disse retningslinjer bør et sådant partnerskab omfatte handel og økonomisk samarbejde samt andre områder, navnlig bekæmpelse af terrorisme og international kriminalitet samt sikkerhed, forsvar og udenrigspolitik. Det Europæiske Råd fastsatte disse retningslinjer med henblik på den overordnede forståelse af rammen for de fremtidige forbindelser, som skulle uddybes i en politisk erklæring, der skulle ledsage og være henvist til i udtrædelsesaftalen.</w:t>
      </w:r>
    </w:p>
    <w:p>
      <w:pPr>
        <w:pStyle w:val="ManualConsidrant"/>
        <w:rPr>
          <w:noProof/>
        </w:rPr>
      </w:pPr>
      <w:r>
        <w:rPr>
          <w:noProof/>
        </w:rPr>
        <w:t>(5)</w:t>
      </w:r>
      <w:r>
        <w:rPr>
          <w:noProof/>
        </w:rPr>
        <w:tab/>
        <w:t>Den politiske erklæring, der ledsagede udtrædelsesaftalen, fastlægger rammerne for de fremtidige forbindelser mellem Den Europæiske Union og Det Forenede Kongerige ("politisk erklæring")</w:t>
      </w:r>
      <w:r>
        <w:rPr>
          <w:rStyle w:val="FootnoteReference"/>
          <w:noProof/>
        </w:rPr>
        <w:footnoteReference w:id="4"/>
      </w:r>
      <w:r>
        <w:rPr>
          <w:noProof/>
        </w:rPr>
        <w:t xml:space="preserve">. Den fastsætter parametrene for et ambitiøst, bredt, vidtgående og fleksibelt partnerskab om handel og økonomisk samarbejde med en omfattende og </w:t>
      </w:r>
      <w:r>
        <w:rPr>
          <w:noProof/>
        </w:rPr>
        <w:lastRenderedPageBreak/>
        <w:t xml:space="preserve">afbalanceret frihandelsaftale i centrum, retshåndhævelse og strafferet, udenrigspolitik, sikkerhed og forsvar og bredere samarbejdsområder. </w:t>
      </w:r>
    </w:p>
    <w:p>
      <w:pPr>
        <w:pStyle w:val="ManualConsidrant"/>
        <w:rPr>
          <w:noProof/>
        </w:rPr>
      </w:pPr>
      <w:r>
        <w:rPr>
          <w:noProof/>
        </w:rPr>
        <w:t>(6)</w:t>
      </w:r>
      <w:r>
        <w:rPr>
          <w:noProof/>
        </w:rPr>
        <w:tab/>
        <w:t>I udtrædelsesaftalens artikel 184 fastsættes det, at Unionen og Det Forenede Kongerige bestræber sig på i god tro og med fuld respekt af deres respektive retsordener at tage de nødvendige skridt til hurtigt at forhandle de aftaler, der regulerer deres i den politiske erklæring omhandlede fremtidige forbindelser på plads og gennemføre de relevante procedurer for ratifikation eller indgåelse af disse aftaler med henblik på at sikre, at disse aftaler så vidt muligt finder anvendelse fra overgangsperiodens udløb.</w:t>
      </w:r>
    </w:p>
    <w:p>
      <w:pPr>
        <w:pStyle w:val="ManualConsidrant"/>
        <w:rPr>
          <w:noProof/>
        </w:rPr>
      </w:pPr>
      <w:r>
        <w:rPr>
          <w:noProof/>
        </w:rPr>
        <w:t>(7)</w:t>
      </w:r>
      <w:r>
        <w:rPr>
          <w:noProof/>
        </w:rPr>
        <w:tab/>
        <w:t>I sine konklusioner af 13. december 2019 bekræftede Det Europæiske Råd på ny sit ønske om at have så nære fremtidige forbindelser som muligt med Det Forenede Kongerige i overensstemmelse med den politiske erklæring og under overholdelse af de af Det Europæiske Råd tidligere vedtagne retningslinjer såvel som erklæringer, navnlig dem fra den 25. november 2018. Det Europæiske Råd gentog navnlig, at de fremtidige forbindelser med Det Forenede Kongerige skal være baseret på en balance mellem rettigheder og forpligtelser og sikre lige vilkår. Det Europæiske Råd opfordrede Kommissionen til at forelægge Rådet "et udkast til et omfattende mandat for de fremtidige forbindelser med Det Forenede Kongerige umiddelbart efter dets udtræden". Det Europæiske Råd erklærede, at det vil følge forhandlingerne nøje og om nødvendigt vedtage yderligere generelle politiske retningslinjer.</w:t>
      </w:r>
    </w:p>
    <w:p>
      <w:pPr>
        <w:pStyle w:val="ManualConsidrant"/>
        <w:rPr>
          <w:noProof/>
        </w:rPr>
      </w:pPr>
      <w:r>
        <w:rPr>
          <w:noProof/>
        </w:rPr>
        <w:t>(8)</w:t>
      </w:r>
      <w:r>
        <w:rPr>
          <w:noProof/>
        </w:rPr>
        <w:tab/>
        <w:t>Derfor bør der indledes forhandlinger med henblik på at etablere et nyt partnerskab med Det Forenede Kongerige Storbritannien og Nordirland. Kommissionen bør udpeges som Unionens forhandler. Med hensyn til spørgsmål, der vedrører den fælles udenrigs- og sikkerhedspolitik, bør Kommissionen føre forhandlinger i samråd med Unionens højtstående repræsentant for udenrigsanliggender og sikkerhedspolitik —</w:t>
      </w:r>
    </w:p>
    <w:p>
      <w:pPr>
        <w:pStyle w:val="Formuledadoption"/>
        <w:rPr>
          <w:noProof/>
        </w:rPr>
      </w:pPr>
      <w:r>
        <w:rPr>
          <w:noProof/>
        </w:rPr>
        <w:t xml:space="preserve">VEDTAGET DENNE AFGØRELSE: </w:t>
      </w:r>
    </w:p>
    <w:p>
      <w:pPr>
        <w:pStyle w:val="Titrearticle"/>
        <w:spacing w:line="360" w:lineRule="auto"/>
        <w:rPr>
          <w:noProof/>
        </w:rPr>
      </w:pPr>
      <w:r>
        <w:rPr>
          <w:noProof/>
        </w:rPr>
        <w:t>Artikel 1</w:t>
      </w:r>
    </w:p>
    <w:p>
      <w:pPr>
        <w:spacing w:before="0" w:after="200" w:line="360" w:lineRule="auto"/>
        <w:contextualSpacing/>
        <w:rPr>
          <w:noProof/>
        </w:rPr>
      </w:pPr>
      <w:r>
        <w:rPr>
          <w:noProof/>
        </w:rPr>
        <w:t>Kommissionen bemyndiges herved til at indlede forhandlinger om et nyt partnerskab med Det Forenede Kongerige Storbritannien og Nordirland.</w:t>
      </w:r>
    </w:p>
    <w:p>
      <w:pPr>
        <w:pStyle w:val="Titrearticle"/>
        <w:spacing w:line="360" w:lineRule="auto"/>
        <w:rPr>
          <w:noProof/>
        </w:rPr>
      </w:pPr>
      <w:r>
        <w:rPr>
          <w:noProof/>
        </w:rPr>
        <w:t>Artikel 2</w:t>
      </w:r>
    </w:p>
    <w:p>
      <w:pPr>
        <w:spacing w:before="0" w:after="200" w:line="360" w:lineRule="auto"/>
        <w:contextualSpacing/>
        <w:rPr>
          <w:noProof/>
          <w:szCs w:val="24"/>
        </w:rPr>
      </w:pPr>
      <w:r>
        <w:rPr>
          <w:noProof/>
        </w:rPr>
        <w:t>Kommissionen udpeges herved som Unionens forhandler.</w:t>
      </w:r>
    </w:p>
    <w:p>
      <w:pPr>
        <w:pStyle w:val="Titrearticle"/>
        <w:spacing w:line="360" w:lineRule="auto"/>
        <w:rPr>
          <w:noProof/>
        </w:rPr>
      </w:pPr>
      <w:r>
        <w:rPr>
          <w:noProof/>
        </w:rPr>
        <w:t>Artikel 3</w:t>
      </w:r>
    </w:p>
    <w:p>
      <w:pPr>
        <w:spacing w:before="0" w:after="200" w:line="360" w:lineRule="auto"/>
        <w:contextualSpacing/>
        <w:rPr>
          <w:noProof/>
          <w:szCs w:val="24"/>
        </w:rPr>
      </w:pPr>
      <w:r>
        <w:rPr>
          <w:noProof/>
        </w:rPr>
        <w:t>Kommissionen fører forhandlingerne i samråd med [navnet på det særlige udvalg] og på grundlag af direktiverne i bilaget.</w:t>
      </w:r>
    </w:p>
    <w:p>
      <w:pPr>
        <w:pStyle w:val="Titrearticle"/>
        <w:spacing w:line="360" w:lineRule="auto"/>
        <w:rPr>
          <w:noProof/>
        </w:rPr>
      </w:pPr>
      <w:r>
        <w:rPr>
          <w:noProof/>
        </w:rPr>
        <w:lastRenderedPageBreak/>
        <w:t>Artikel 4</w:t>
      </w:r>
    </w:p>
    <w:p>
      <w:pPr>
        <w:keepNext/>
        <w:keepLines/>
        <w:spacing w:line="360" w:lineRule="auto"/>
        <w:rPr>
          <w:noProof/>
        </w:rPr>
      </w:pPr>
      <w:r>
        <w:rPr>
          <w:noProof/>
        </w:rPr>
        <w:t>Denne afgørelse er rettet til Kommissionen.</w:t>
      </w: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EUT L 29 af 31.1.2020, s. 7. </w:t>
      </w:r>
    </w:p>
  </w:footnote>
  <w:footnote w:id="2">
    <w:p>
      <w:pPr>
        <w:pStyle w:val="FootnoteText"/>
      </w:pPr>
      <w:r>
        <w:rPr>
          <w:rStyle w:val="FootnoteReference"/>
        </w:rPr>
        <w:footnoteRef/>
      </w:r>
      <w:r>
        <w:tab/>
        <w:t>EUT C 34 af 31.1.2020, s. 1.</w:t>
      </w:r>
    </w:p>
  </w:footnote>
  <w:footnote w:id="3">
    <w:p>
      <w:pPr>
        <w:pStyle w:val="FootnoteText"/>
      </w:pPr>
      <w:r>
        <w:rPr>
          <w:rStyle w:val="FootnoteReference"/>
        </w:rPr>
        <w:footnoteRef/>
      </w:r>
      <w:r>
        <w:tab/>
        <w:t>EUT L 29 af 31.1.2020, s. 7.</w:t>
      </w:r>
    </w:p>
  </w:footnote>
  <w:footnote w:id="4">
    <w:p>
      <w:pPr>
        <w:pStyle w:val="FootnoteText"/>
      </w:pPr>
      <w:r>
        <w:rPr>
          <w:rStyle w:val="FootnoteReference"/>
        </w:rPr>
        <w:footnoteRef/>
      </w:r>
      <w:r>
        <w:tab/>
        <w:t>EUT C 34 af 31.1.2020,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22D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CE71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C84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C8A3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02C2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943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5AA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12B5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31 15:37: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AC053B6B-2B96-419B-8ADE-E42F495D60F2"/>
    <w:docVar w:name="LW_COVERPAGE_TYPE" w:val="1"/>
    <w:docVar w:name="LW_CROSSREFERENCE" w:val="&lt;UNUSED&gt;"/>
    <w:docVar w:name="LW_DocType" w:val="COM"/>
    <w:docVar w:name="LW_EMISSION" w:val="3.2.2020"/>
    <w:docVar w:name="LW_EMISSION_ISODATE" w:val="2020-02-03"/>
    <w:docVar w:name="LW_EMISSION_LOCATION" w:val="BRX"/>
    <w:docVar w:name="LW_EMISSION_PREFIX" w:val="Bruxelles, den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Henstilling med henblik på"/>
    <w:docVar w:name="LW_SUPERTITRE" w:val="&lt;UNUSED&gt;"/>
    <w:docVar w:name="LW_TITRE.OBJ.CP" w:val="om bemyndigelse til at indlede forhandlinger om et nyt partnerskab med Det Forenede Kongerige Storbritannien og Nordirland"/>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346">
      <w:bodyDiv w:val="1"/>
      <w:marLeft w:val="0"/>
      <w:marRight w:val="0"/>
      <w:marTop w:val="0"/>
      <w:marBottom w:val="0"/>
      <w:divBdr>
        <w:top w:val="none" w:sz="0" w:space="0" w:color="auto"/>
        <w:left w:val="none" w:sz="0" w:space="0" w:color="auto"/>
        <w:bottom w:val="none" w:sz="0" w:space="0" w:color="auto"/>
        <w:right w:val="none" w:sz="0" w:space="0" w:color="auto"/>
      </w:divBdr>
    </w:div>
    <w:div w:id="1406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1808</Words>
  <Characters>11302</Characters>
  <Application>Microsoft Office Word</Application>
  <DocSecurity>0</DocSecurity>
  <Lines>185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2020-01-31T13:03:00Z</dcterms:created>
  <dcterms:modified xsi:type="dcterms:W3CDTF">2020-01-31T14:37:00Z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SG-001</vt:lpwstr>
  </property>
  <property fmtid="{D5CDD505-2E9C-101B-9397-08002B2CF9AE}" pid="7" name="Category">
    <vt:lpwstr>COM/PL/ORG/NOEEA</vt:lpwstr>
  </property>
  <property fmtid="{D5CDD505-2E9C-101B-9397-08002B2CF9AE}" pid="8" name="DQCStatus">
    <vt:lpwstr>Green (DQC version 03)</vt:lpwstr>
  </property>
</Properties>
</file>