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937BC91-A67F-4BE4-9AC2-640726FBF0A2" style="width:450.8pt;height:420.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spacing w:after="360"/>
        <w:jc w:val="center"/>
        <w:outlineLvl w:val="0"/>
        <w:rPr>
          <w:b/>
          <w:noProof/>
          <w:sz w:val="28"/>
          <w:szCs w:val="28"/>
          <w:u w:val="single"/>
        </w:rPr>
      </w:pPr>
      <w:bookmarkStart w:id="1" w:name="_GoBack"/>
      <w:bookmarkEnd w:id="1"/>
      <w:r>
        <w:rPr>
          <w:b/>
          <w:bCs/>
          <w:noProof/>
          <w:sz w:val="28"/>
          <w:szCs w:val="28"/>
          <w:u w:val="single"/>
        </w:rPr>
        <w:lastRenderedPageBreak/>
        <w:t>Príloha I: Nové iniciatívy</w:t>
      </w:r>
      <w:r>
        <w:rPr>
          <w:rStyle w:val="FootnoteReference"/>
          <w:noProof/>
          <w:sz w:val="20"/>
        </w:rPr>
        <w:footnoteReference w:id="2"/>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4252"/>
        <w:gridCol w:w="10064"/>
      </w:tblGrid>
      <w:tr>
        <w:trPr>
          <w:cantSplit/>
          <w:tblHeader/>
        </w:trPr>
        <w:tc>
          <w:tcPr>
            <w:tcW w:w="511" w:type="dxa"/>
            <w:tcBorders>
              <w:top w:val="single" w:sz="4" w:space="0" w:color="auto"/>
              <w:left w:val="single" w:sz="4" w:space="0" w:color="auto"/>
              <w:bottom w:val="single" w:sz="4" w:space="0" w:color="auto"/>
              <w:right w:val="single" w:sz="4" w:space="0" w:color="auto"/>
            </w:tcBorders>
            <w:shd w:val="clear" w:color="auto" w:fill="99CCFF"/>
            <w:vAlign w:val="center"/>
          </w:tcPr>
          <w:p>
            <w:pPr>
              <w:spacing w:after="0"/>
              <w:rPr>
                <w:b/>
                <w:bCs/>
                <w:noProof/>
                <w:sz w:val="20"/>
              </w:rPr>
            </w:pPr>
            <w:r>
              <w:rPr>
                <w:b/>
                <w:bCs/>
                <w:noProof/>
                <w:sz w:val="20"/>
              </w:rPr>
              <w:t>Č.</w:t>
            </w:r>
          </w:p>
        </w:tc>
        <w:tc>
          <w:tcPr>
            <w:tcW w:w="4252" w:type="dxa"/>
            <w:tcBorders>
              <w:top w:val="single" w:sz="4" w:space="0" w:color="auto"/>
              <w:left w:val="single" w:sz="4" w:space="0" w:color="auto"/>
              <w:bottom w:val="single" w:sz="4" w:space="0" w:color="auto"/>
              <w:right w:val="single" w:sz="4" w:space="0" w:color="auto"/>
            </w:tcBorders>
            <w:shd w:val="clear" w:color="auto" w:fill="99CCFF"/>
            <w:vAlign w:val="center"/>
          </w:tcPr>
          <w:p>
            <w:pPr>
              <w:spacing w:before="60" w:after="60"/>
              <w:jc w:val="center"/>
              <w:rPr>
                <w:b/>
                <w:bCs/>
                <w:noProof/>
                <w:sz w:val="20"/>
              </w:rPr>
            </w:pPr>
            <w:r>
              <w:rPr>
                <w:b/>
                <w:bCs/>
                <w:noProof/>
                <w:sz w:val="20"/>
              </w:rPr>
              <w:t>Cieľ politiky</w:t>
            </w:r>
          </w:p>
        </w:tc>
        <w:tc>
          <w:tcPr>
            <w:tcW w:w="10064" w:type="dxa"/>
            <w:tcBorders>
              <w:top w:val="single" w:sz="4" w:space="0" w:color="auto"/>
              <w:left w:val="single" w:sz="4" w:space="0" w:color="auto"/>
              <w:bottom w:val="single" w:sz="4" w:space="0" w:color="auto"/>
              <w:right w:val="single" w:sz="4" w:space="0" w:color="auto"/>
            </w:tcBorders>
            <w:shd w:val="clear" w:color="auto" w:fill="99CCFF"/>
            <w:vAlign w:val="center"/>
          </w:tcPr>
          <w:p>
            <w:pPr>
              <w:spacing w:after="0"/>
              <w:jc w:val="center"/>
              <w:rPr>
                <w:b/>
                <w:bCs/>
                <w:noProof/>
                <w:sz w:val="20"/>
              </w:rPr>
            </w:pPr>
            <w:r>
              <w:rPr>
                <w:b/>
                <w:bCs/>
                <w:noProof/>
                <w:sz w:val="20"/>
              </w:rPr>
              <w:t>Iniciatívy</w:t>
            </w:r>
          </w:p>
        </w:tc>
      </w:tr>
      <w:tr>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pPr>
              <w:keepNext/>
              <w:spacing w:before="60" w:after="60"/>
              <w:jc w:val="left"/>
              <w:rPr>
                <w:b/>
                <w:bCs/>
                <w:noProof/>
                <w:color w:val="FFFFFF" w:themeColor="background1"/>
                <w:sz w:val="20"/>
              </w:rPr>
            </w:pPr>
            <w:r>
              <w:rPr>
                <w:b/>
                <w:bCs/>
                <w:noProof/>
                <w:color w:val="FFFFFF" w:themeColor="background1"/>
                <w:sz w:val="20"/>
              </w:rPr>
              <w:t>Európsky ekologický dohovor</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jc w:val="left"/>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Európsky ekologický dohovor</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Oznámenie o európskom ekologickom dohovore</w:t>
            </w:r>
            <w:r>
              <w:rPr>
                <w:noProof/>
                <w:sz w:val="20"/>
              </w:rPr>
              <w:t xml:space="preserve"> (nelegislatívna iniciatíva, 4. štvrťrok 2019); </w:t>
            </w:r>
            <w:r>
              <w:rPr>
                <w:noProof/>
                <w:sz w:val="20"/>
              </w:rPr>
              <w:br/>
            </w:r>
            <w:r>
              <w:rPr>
                <w:b/>
                <w:bCs/>
                <w:noProof/>
                <w:sz w:val="20"/>
              </w:rPr>
              <w:t>Európsky právny predpis v oblasti klímy, v ktorom je zakotvený cieľ dosiahnutia klimatickej neutrality do roku 2050</w:t>
            </w:r>
            <w:r>
              <w:rPr>
                <w:noProof/>
                <w:sz w:val="20"/>
              </w:rPr>
              <w:t xml:space="preserve"> (legislatívna iniciatíva, článok 192 ods. 1 ZFEÚ, 1. štvrťrok 2020); </w:t>
            </w:r>
            <w:r>
              <w:rPr>
                <w:noProof/>
                <w:sz w:val="20"/>
              </w:rPr>
              <w:br/>
            </w:r>
            <w:r>
              <w:rPr>
                <w:b/>
                <w:bCs/>
                <w:noProof/>
                <w:sz w:val="20"/>
              </w:rPr>
              <w:t>Európsky klimatický pakt</w:t>
            </w:r>
            <w:r>
              <w:rPr>
                <w:noProof/>
                <w:sz w:val="20"/>
              </w:rPr>
              <w:t xml:space="preserve"> (nelegislatívna iniciatíva, 3. štvrťrok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noProof/>
                <w:sz w:val="20"/>
              </w:rPr>
            </w:pPr>
            <w:r>
              <w:rPr>
                <w:b/>
                <w:noProof/>
                <w:sz w:val="20"/>
              </w:rPr>
              <w:t>Financovanie udržateľnej transformácie</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jc w:val="left"/>
              <w:rPr>
                <w:noProof/>
                <w:sz w:val="20"/>
              </w:rPr>
            </w:pPr>
            <w:r>
              <w:rPr>
                <w:b/>
                <w:bCs/>
                <w:noProof/>
                <w:sz w:val="20"/>
              </w:rPr>
              <w:t>Investičný plán pre udržateľnú Európu</w:t>
            </w:r>
            <w:r>
              <w:rPr>
                <w:noProof/>
                <w:sz w:val="20"/>
              </w:rPr>
              <w:t xml:space="preserve"> (nelegislatívna iniciatíva, 1. štvrťrok 2020); </w:t>
            </w:r>
            <w:r>
              <w:rPr>
                <w:noProof/>
                <w:sz w:val="20"/>
              </w:rPr>
              <w:br/>
            </w:r>
            <w:r>
              <w:rPr>
                <w:b/>
                <w:bCs/>
                <w:noProof/>
                <w:sz w:val="20"/>
              </w:rPr>
              <w:t>Fond pre spravodlivú transformáciu</w:t>
            </w:r>
            <w:r>
              <w:rPr>
                <w:noProof/>
                <w:sz w:val="20"/>
              </w:rPr>
              <w:t xml:space="preserve"> (legislatívna iniciatíva, článok 175 ZFEÚ, 1. štvrťrok 2020); </w:t>
            </w:r>
            <w:r>
              <w:rPr>
                <w:noProof/>
                <w:sz w:val="20"/>
              </w:rPr>
              <w:br/>
            </w:r>
            <w:r>
              <w:rPr>
                <w:b/>
                <w:bCs/>
                <w:noProof/>
                <w:sz w:val="20"/>
              </w:rPr>
              <w:t>Obnovená stratégia udržateľného financovania</w:t>
            </w:r>
            <w:r>
              <w:rPr>
                <w:noProof/>
                <w:sz w:val="20"/>
              </w:rPr>
              <w:t xml:space="preserve"> (nelegislatívna iniciatíva, 3. štvrťrok 2020);</w:t>
            </w:r>
          </w:p>
          <w:p>
            <w:pPr>
              <w:spacing w:after="0"/>
              <w:jc w:val="left"/>
              <w:rPr>
                <w:noProof/>
                <w:sz w:val="20"/>
              </w:rPr>
            </w:pPr>
            <w:r>
              <w:rPr>
                <w:b/>
                <w:bCs/>
                <w:noProof/>
                <w:sz w:val="20"/>
              </w:rPr>
              <w:t>Preskúmanie smernice o zverejňovaní nefinančných informácií</w:t>
            </w:r>
            <w:r>
              <w:rPr>
                <w:noProof/>
                <w:sz w:val="20"/>
              </w:rPr>
              <w:t xml:space="preserve"> (legislatívna iniciatíva, vrátane posúdenia vplyvu, článok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Príspevok Komisie na konferenciu COP26 v Glasgowe</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Plán cieľov v oblasti klímy do roku 2030</w:t>
            </w:r>
            <w:r>
              <w:rPr>
                <w:noProof/>
                <w:sz w:val="20"/>
              </w:rPr>
              <w:t xml:space="preserve"> (nelegislatívna iniciatíva vrátane posúdenia vplyvu, 3. štvrťrok 2020); </w:t>
            </w:r>
            <w:r>
              <w:rPr>
                <w:noProof/>
                <w:sz w:val="20"/>
              </w:rPr>
              <w:br/>
            </w:r>
            <w:r>
              <w:rPr>
                <w:b/>
                <w:bCs/>
                <w:noProof/>
                <w:sz w:val="20"/>
              </w:rPr>
              <w:t>Nová stratégia EÚ pre adaptáciu na zmenu klímy</w:t>
            </w:r>
            <w:r>
              <w:rPr>
                <w:noProof/>
                <w:sz w:val="20"/>
              </w:rPr>
              <w:t xml:space="preserve"> (nelegislatívna iniciatíva, 4. štvrťrok 2020);</w:t>
            </w:r>
          </w:p>
          <w:p>
            <w:pPr>
              <w:spacing w:after="0"/>
              <w:jc w:val="left"/>
              <w:rPr>
                <w:noProof/>
                <w:sz w:val="20"/>
              </w:rPr>
            </w:pPr>
            <w:r>
              <w:rPr>
                <w:b/>
                <w:bCs/>
                <w:noProof/>
                <w:sz w:val="20"/>
              </w:rPr>
              <w:t>Nová stratégia lesného hospodárstva EÚ</w:t>
            </w:r>
            <w:r>
              <w:rPr>
                <w:noProof/>
                <w:sz w:val="20"/>
              </w:rPr>
              <w:t xml:space="preserve"> (nelegislatívna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noProof/>
                <w:color w:val="000000"/>
                <w:sz w:val="20"/>
              </w:rPr>
            </w:pPr>
            <w:r>
              <w:rPr>
                <w:b/>
                <w:noProof/>
                <w:sz w:val="20"/>
              </w:rPr>
              <w:t>Udržateľnosť potravinových systémov</w:t>
            </w:r>
          </w:p>
        </w:tc>
        <w:tc>
          <w:tcPr>
            <w:tcW w:w="10064" w:type="dxa"/>
            <w:tcBorders>
              <w:bottom w:val="single" w:sz="4" w:space="0" w:color="auto"/>
            </w:tcBorders>
            <w:tcMar>
              <w:top w:w="85" w:type="dxa"/>
              <w:bottom w:w="85" w:type="dxa"/>
            </w:tcMar>
          </w:tcPr>
          <w:p>
            <w:pPr>
              <w:spacing w:after="0"/>
              <w:jc w:val="left"/>
              <w:rPr>
                <w:noProof/>
                <w:color w:val="FF0000"/>
                <w:sz w:val="20"/>
              </w:rPr>
            </w:pPr>
            <w:r>
              <w:rPr>
                <w:b/>
                <w:bCs/>
                <w:noProof/>
                <w:sz w:val="20"/>
              </w:rPr>
              <w:t>Stratégia „z farmy na stôl“</w:t>
            </w:r>
            <w:r>
              <w:rPr>
                <w:noProof/>
                <w:sz w:val="20"/>
              </w:rPr>
              <w:t xml:space="preserve"> (nelegislatívna iniciatíva, 1.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Dekarbonizácia energie</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Stratégia pre inteligentnú integráciu odvetví</w:t>
            </w:r>
            <w:r>
              <w:rPr>
                <w:noProof/>
                <w:sz w:val="20"/>
              </w:rPr>
              <w:t xml:space="preserve"> (nelegislatívna iniciatíva, 2. štvrťrok 2020);</w:t>
            </w:r>
          </w:p>
          <w:p>
            <w:pPr>
              <w:spacing w:after="0"/>
              <w:jc w:val="left"/>
              <w:rPr>
                <w:noProof/>
                <w:sz w:val="20"/>
              </w:rPr>
            </w:pPr>
            <w:r>
              <w:rPr>
                <w:b/>
                <w:noProof/>
                <w:sz w:val="20"/>
              </w:rPr>
              <w:t>Vlna obnovy</w:t>
            </w:r>
            <w:r>
              <w:rPr>
                <w:noProof/>
                <w:sz w:val="20"/>
              </w:rPr>
              <w:t xml:space="preserve"> (nelegislatívna iniciatíva, 3. štvrťrok 2020);</w:t>
            </w:r>
          </w:p>
          <w:p>
            <w:pPr>
              <w:spacing w:after="0"/>
              <w:jc w:val="left"/>
              <w:rPr>
                <w:noProof/>
                <w:sz w:val="20"/>
              </w:rPr>
            </w:pPr>
            <w:r>
              <w:rPr>
                <w:b/>
                <w:noProof/>
                <w:sz w:val="20"/>
              </w:rPr>
              <w:t>Energia z obnoviteľných zdrojov na mori</w:t>
            </w:r>
            <w:r>
              <w:rPr>
                <w:noProof/>
                <w:sz w:val="20"/>
              </w:rPr>
              <w:t xml:space="preserve"> (nelegislatívna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jc w:val="left"/>
              <w:rPr>
                <w:b/>
                <w:bCs/>
                <w:noProof/>
                <w:color w:val="000000"/>
                <w:sz w:val="20"/>
              </w:rPr>
            </w:pPr>
            <w:r>
              <w:rPr>
                <w:b/>
                <w:bCs/>
                <w:noProof/>
                <w:sz w:val="20"/>
              </w:rPr>
              <w:t>Udržateľná výroba a spotreba</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Nový akčný plán EÚ pre obehové hospodárstvo</w:t>
            </w:r>
            <w:r>
              <w:rPr>
                <w:noProof/>
                <w:sz w:val="20"/>
              </w:rPr>
              <w:t xml:space="preserve"> (nelegislatívna iniciatíva, 1. štvrťrok 2020);</w:t>
            </w:r>
          </w:p>
          <w:p>
            <w:pPr>
              <w:spacing w:after="0"/>
              <w:jc w:val="left"/>
              <w:rPr>
                <w:b/>
                <w:bCs/>
                <w:noProof/>
                <w:sz w:val="20"/>
              </w:rPr>
            </w:pPr>
            <w:r>
              <w:rPr>
                <w:b/>
                <w:bCs/>
                <w:noProof/>
                <w:sz w:val="20"/>
              </w:rPr>
              <w:t>Posilnenie postavenia spotrebiteľa pre ekologickú transformáciu</w:t>
            </w:r>
            <w:r>
              <w:rPr>
                <w:noProof/>
                <w:sz w:val="20"/>
              </w:rPr>
              <w:t xml:space="preserve"> (legislatívna iniciatíva vrátane posúdenia vplyvu, článok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Ochrana nášho životného prostredia</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Stratégia EÚ v oblasti biodiverzity do roku 2030</w:t>
            </w:r>
            <w:r>
              <w:rPr>
                <w:noProof/>
                <w:sz w:val="20"/>
              </w:rPr>
              <w:t xml:space="preserve"> (nelegislatívna iniciatíva, 1. štvrťrok 2020);</w:t>
            </w:r>
          </w:p>
          <w:p>
            <w:pPr>
              <w:spacing w:after="0"/>
              <w:jc w:val="left"/>
              <w:rPr>
                <w:noProof/>
                <w:sz w:val="20"/>
              </w:rPr>
            </w:pPr>
            <w:r>
              <w:rPr>
                <w:b/>
                <w:bCs/>
                <w:noProof/>
                <w:sz w:val="20"/>
              </w:rPr>
              <w:t>8. environmentálny akčný program</w:t>
            </w:r>
            <w:r>
              <w:rPr>
                <w:noProof/>
                <w:sz w:val="20"/>
              </w:rPr>
              <w:t xml:space="preserve"> (legislatívna iniciatíva, článok 192 ods. 3 ZFEÚ, 2. štvrťrok 2020);</w:t>
            </w:r>
            <w:r>
              <w:rPr>
                <w:b/>
                <w:bCs/>
                <w:noProof/>
                <w:sz w:val="20"/>
              </w:rPr>
              <w:br/>
            </w:r>
            <w:r>
              <w:rPr>
                <w:b/>
                <w:noProof/>
                <w:sz w:val="20"/>
              </w:rPr>
              <w:t>Stratégia v oblasti chemických látok na dosiahnutie udržateľnosti</w:t>
            </w:r>
            <w:r>
              <w:rPr>
                <w:noProof/>
                <w:sz w:val="20"/>
              </w:rPr>
              <w:t xml:space="preserve"> (nelegislatívna iniciatíva, 3.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Udržateľná a inteligentná mobilita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Stratégia pre udržateľnú a inteligentnú mobilitu</w:t>
            </w:r>
            <w:r>
              <w:rPr>
                <w:noProof/>
                <w:sz w:val="20"/>
              </w:rPr>
              <w:t xml:space="preserve"> (nelegislatívna iniciatíva, 4. štvrťrok 2020);</w:t>
            </w:r>
          </w:p>
          <w:p>
            <w:pPr>
              <w:spacing w:after="0"/>
              <w:jc w:val="left"/>
              <w:rPr>
                <w:noProof/>
                <w:sz w:val="20"/>
              </w:rPr>
            </w:pPr>
            <w:r>
              <w:rPr>
                <w:b/>
                <w:bCs/>
                <w:noProof/>
                <w:sz w:val="20"/>
              </w:rPr>
              <w:t>„ReFuelEU Aviation“ – udržateľné letecké palivá</w:t>
            </w:r>
            <w:r>
              <w:rPr>
                <w:noProof/>
                <w:sz w:val="20"/>
              </w:rPr>
              <w:t xml:space="preserve"> (legislatívna iniciatíva vrátane posúdenia vplyvu, článok 100 ods. 2 ZFEÚ a/alebo článok 192 ods. 1 ZFEÚ, 4. štvrťrok 2020);</w:t>
            </w:r>
          </w:p>
          <w:p>
            <w:pPr>
              <w:spacing w:after="0"/>
              <w:jc w:val="left"/>
              <w:rPr>
                <w:noProof/>
                <w:sz w:val="20"/>
              </w:rPr>
            </w:pPr>
            <w:r>
              <w:rPr>
                <w:b/>
                <w:bCs/>
                <w:noProof/>
                <w:sz w:val="20"/>
              </w:rPr>
              <w:t>„FuelEU Maritime“ – ekologický európsky námorný priestor</w:t>
            </w:r>
            <w:r>
              <w:rPr>
                <w:noProof/>
                <w:sz w:val="20"/>
              </w:rPr>
              <w:t xml:space="preserve"> (legislatívna iniciatíva vrátane posúdenia vplyvu, článok 100 ods. 2 ZFEÚ a/alebo článok 192 ods. 1 ZFEÚ, 4. štvrťrok 2020)</w:t>
            </w:r>
          </w:p>
        </w:tc>
      </w:tr>
      <w:tr>
        <w:trPr>
          <w:cantSplit/>
        </w:trPr>
        <w:tc>
          <w:tcPr>
            <w:tcW w:w="14827" w:type="dxa"/>
            <w:gridSpan w:val="3"/>
            <w:tcBorders>
              <w:bottom w:val="single" w:sz="4" w:space="0" w:color="auto"/>
            </w:tcBorders>
            <w:shd w:val="clear" w:color="auto" w:fill="18BAA8" w:themeFill="accent2"/>
          </w:tcPr>
          <w:p>
            <w:pPr>
              <w:keepNext/>
              <w:spacing w:before="60" w:after="60"/>
              <w:rPr>
                <w:b/>
                <w:bCs/>
                <w:noProof/>
                <w:sz w:val="20"/>
              </w:rPr>
            </w:pPr>
            <w:r>
              <w:rPr>
                <w:b/>
                <w:bCs/>
                <w:noProof/>
                <w:color w:val="FFFFFF" w:themeColor="background1"/>
                <w:sz w:val="20"/>
              </w:rPr>
              <w:t>Európa pripravená na digitálny vek</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Európa pripravená na digitálny vek</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Stratégia pre Európu – Európa pripravená na digitálny vek</w:t>
            </w:r>
            <w:r>
              <w:rPr>
                <w:noProof/>
                <w:sz w:val="20"/>
              </w:rPr>
              <w:t xml:space="preserve"> (nelegislatívna iniciatíva, 1. štvrťrok 2020);</w:t>
            </w:r>
          </w:p>
          <w:p>
            <w:pPr>
              <w:spacing w:after="0"/>
              <w:jc w:val="left"/>
              <w:rPr>
                <w:noProof/>
                <w:color w:val="000000" w:themeColor="text1"/>
                <w:sz w:val="20"/>
              </w:rPr>
            </w:pPr>
            <w:r>
              <w:rPr>
                <w:b/>
                <w:bCs/>
                <w:noProof/>
                <w:sz w:val="20"/>
              </w:rPr>
              <w:t>Akčný plán digitálneho vzdelávania (aktualizácia)</w:t>
            </w:r>
            <w:r>
              <w:rPr>
                <w:noProof/>
                <w:sz w:val="20"/>
              </w:rPr>
              <w:t xml:space="preserve"> (nelegislatívna iniciatíva, 2.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Európsky prístup k umelej inteligencii</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color w:val="000000" w:themeColor="text1"/>
                <w:sz w:val="20"/>
              </w:rPr>
            </w:pPr>
            <w:r>
              <w:rPr>
                <w:b/>
                <w:bCs/>
                <w:noProof/>
                <w:sz w:val="20"/>
              </w:rPr>
              <w:t>Biela kniha o umelej inteligencii</w:t>
            </w:r>
            <w:r>
              <w:rPr>
                <w:noProof/>
                <w:sz w:val="20"/>
              </w:rPr>
              <w:t xml:space="preserve"> (nelegislatívna iniciatíva, 1. štvrťrok 2020);</w:t>
            </w:r>
          </w:p>
          <w:p>
            <w:pPr>
              <w:spacing w:after="0"/>
              <w:jc w:val="left"/>
              <w:rPr>
                <w:noProof/>
                <w:color w:val="000000" w:themeColor="text1"/>
                <w:sz w:val="20"/>
              </w:rPr>
            </w:pPr>
            <w:r>
              <w:rPr>
                <w:b/>
                <w:noProof/>
                <w:sz w:val="20"/>
              </w:rPr>
              <w:t>Európska stratégia v oblasti údajov</w:t>
            </w:r>
            <w:r>
              <w:rPr>
                <w:noProof/>
                <w:sz w:val="20"/>
              </w:rPr>
              <w:t xml:space="preserve"> (nelegislatívna iniciatíva, 1. štvrťrok 2020);</w:t>
            </w:r>
          </w:p>
          <w:p>
            <w:pPr>
              <w:spacing w:after="0"/>
              <w:jc w:val="left"/>
              <w:rPr>
                <w:noProof/>
                <w:sz w:val="20"/>
              </w:rPr>
            </w:pPr>
            <w:r>
              <w:rPr>
                <w:b/>
                <w:bCs/>
                <w:noProof/>
                <w:sz w:val="20"/>
              </w:rPr>
              <w:t>Opatrenia nadväzujúce na bielu knihu o umelej inteligencii vrátane bezpečnosti, zodpovednosti, základných práv a údajov</w:t>
            </w:r>
            <w:r>
              <w:rPr>
                <w:noProof/>
                <w:sz w:val="20"/>
              </w:rPr>
              <w:t xml:space="preserve"> (legislatívna iniciatíva vrátane posúdenia vplyvu, článok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Digitálne služby</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Akt o digitálnych službách</w:t>
            </w:r>
            <w:r>
              <w:rPr>
                <w:noProof/>
                <w:sz w:val="20"/>
              </w:rPr>
              <w:t xml:space="preserve"> (legislatívna iniciatíva vrátane posúdenia vplyvu, článok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Zvyšovanie kybernetickej bezpečnosti</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b/>
                <w:bCs/>
                <w:noProof/>
                <w:color w:val="000000" w:themeColor="text1"/>
                <w:sz w:val="20"/>
              </w:rPr>
            </w:pPr>
            <w:r>
              <w:rPr>
                <w:b/>
                <w:bCs/>
                <w:noProof/>
                <w:sz w:val="20"/>
              </w:rPr>
              <w:t>Preskúmanie smernice o bezpečnosti sietí a informačných systémov (smernica NIS)</w:t>
            </w:r>
            <w:r>
              <w:rPr>
                <w:noProof/>
                <w:sz w:val="20"/>
              </w:rPr>
              <w:t xml:space="preserve"> (legislatívna iniciatíva vrátane posúdenia vplyvu, článok 114 ZFEÚ, 4. štvrťrok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Digitalizácia pre spotrebiteľov</w:t>
            </w:r>
          </w:p>
        </w:tc>
        <w:tc>
          <w:tcPr>
            <w:tcW w:w="10064" w:type="dxa"/>
            <w:shd w:val="clear" w:color="auto" w:fill="FFFFFF" w:themeFill="background1"/>
            <w:tcMar>
              <w:top w:w="85" w:type="dxa"/>
              <w:bottom w:w="85" w:type="dxa"/>
            </w:tcMar>
          </w:tcPr>
          <w:p>
            <w:pPr>
              <w:spacing w:after="0"/>
              <w:rPr>
                <w:noProof/>
                <w:sz w:val="20"/>
              </w:rPr>
            </w:pPr>
            <w:r>
              <w:rPr>
                <w:b/>
                <w:bCs/>
                <w:noProof/>
                <w:sz w:val="20"/>
              </w:rPr>
              <w:t>Spoločné nabíjačky pre mobilné telefóny a podobné zariadenia</w:t>
            </w:r>
            <w:r>
              <w:rPr>
                <w:noProof/>
                <w:sz w:val="20"/>
              </w:rPr>
              <w:t xml:space="preserve"> (legislatívna iniciatíva vrátane posúdenia vplyvu, článok 114 ZFEÚ, 3. štvrťrok 2020);</w:t>
            </w:r>
          </w:p>
          <w:p>
            <w:pPr>
              <w:spacing w:after="0"/>
              <w:rPr>
                <w:noProof/>
                <w:sz w:val="20"/>
              </w:rPr>
            </w:pPr>
            <w:r>
              <w:rPr>
                <w:b/>
                <w:bCs/>
                <w:noProof/>
                <w:sz w:val="20"/>
              </w:rPr>
              <w:t>Preskúmanie nariadenia o roamingu</w:t>
            </w:r>
            <w:r>
              <w:rPr>
                <w:noProof/>
                <w:sz w:val="20"/>
              </w:rPr>
              <w:t xml:space="preserve"> (legislatívna iniciatíva vrátane posúdenia vplyvu, článok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Nová priemyselná stratégia pre Európu</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Priemyselná stratégia</w:t>
            </w:r>
            <w:r>
              <w:rPr>
                <w:noProof/>
                <w:sz w:val="20"/>
              </w:rPr>
              <w:t xml:space="preserve"> (nelegislatívna iniciatíva, 1. štvrťrok 2020);</w:t>
            </w:r>
          </w:p>
          <w:p>
            <w:pPr>
              <w:spacing w:after="0"/>
              <w:jc w:val="left"/>
              <w:rPr>
                <w:noProof/>
                <w:sz w:val="20"/>
              </w:rPr>
            </w:pPr>
            <w:r>
              <w:rPr>
                <w:b/>
                <w:bCs/>
                <w:noProof/>
                <w:sz w:val="20"/>
              </w:rPr>
              <w:t>Správa o prekážkach jednotného trhu</w:t>
            </w:r>
            <w:r>
              <w:rPr>
                <w:noProof/>
                <w:sz w:val="20"/>
              </w:rPr>
              <w:t xml:space="preserve"> (nelegislatívna iniciatíva, 1. štvrťrok 2020);</w:t>
            </w:r>
          </w:p>
          <w:p>
            <w:pPr>
              <w:spacing w:after="0"/>
              <w:jc w:val="left"/>
              <w:rPr>
                <w:noProof/>
                <w:sz w:val="20"/>
              </w:rPr>
            </w:pPr>
            <w:r>
              <w:rPr>
                <w:b/>
                <w:bCs/>
                <w:noProof/>
                <w:sz w:val="20"/>
              </w:rPr>
              <w:t>Akčný plán EÚ pre presadzovanie jednotného trhu</w:t>
            </w:r>
            <w:r>
              <w:rPr>
                <w:noProof/>
                <w:sz w:val="20"/>
              </w:rPr>
              <w:t xml:space="preserve"> (nelegislatívna iniciatíva, 1. štvrťrok 2020);</w:t>
            </w:r>
          </w:p>
          <w:p>
            <w:pPr>
              <w:spacing w:after="0"/>
              <w:jc w:val="left"/>
              <w:rPr>
                <w:noProof/>
                <w:sz w:val="20"/>
              </w:rPr>
            </w:pPr>
            <w:r>
              <w:rPr>
                <w:b/>
                <w:bCs/>
                <w:noProof/>
                <w:sz w:val="20"/>
              </w:rPr>
              <w:t>Stratégia pre MSP</w:t>
            </w:r>
            <w:r>
              <w:rPr>
                <w:noProof/>
                <w:sz w:val="20"/>
              </w:rPr>
              <w:t xml:space="preserve"> (nelegislatívna iniciatíva, 1. štvrťrok 2020);</w:t>
            </w:r>
          </w:p>
          <w:p>
            <w:pPr>
              <w:spacing w:after="0"/>
              <w:jc w:val="left"/>
              <w:rPr>
                <w:noProof/>
                <w:sz w:val="20"/>
              </w:rPr>
            </w:pPr>
            <w:r>
              <w:rPr>
                <w:b/>
                <w:bCs/>
                <w:noProof/>
                <w:sz w:val="20"/>
              </w:rPr>
              <w:t>Biela kniha o nástroji pre zahraničné subvencie</w:t>
            </w:r>
            <w:r>
              <w:rPr>
                <w:noProof/>
                <w:sz w:val="20"/>
              </w:rPr>
              <w:t xml:space="preserve"> (nelegislatívna iniciatíva, 2. štvrťrok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b/>
                <w:bCs/>
                <w:noProof/>
                <w:sz w:val="20"/>
              </w:rPr>
            </w:pPr>
            <w:r>
              <w:rPr>
                <w:b/>
                <w:bCs/>
                <w:noProof/>
                <w:sz w:val="20"/>
              </w:rPr>
              <w:t>Balík v oblasti leteckých služieb</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jc w:val="left"/>
              <w:rPr>
                <w:noProof/>
                <w:sz w:val="20"/>
              </w:rPr>
            </w:pPr>
            <w:r>
              <w:rPr>
                <w:b/>
                <w:bCs/>
                <w:noProof/>
                <w:sz w:val="20"/>
              </w:rPr>
              <w:t>Revízia letiskových poplatkov</w:t>
            </w:r>
            <w:r>
              <w:rPr>
                <w:noProof/>
                <w:sz w:val="20"/>
              </w:rPr>
              <w:t xml:space="preserve"> (legislatívna iniciatíva vrátane posúdenia vplyvu, článok 100 ods. 2 ZFEÚ, 4. štvrťrok 2020) </w:t>
            </w:r>
            <w:r>
              <w:rPr>
                <w:b/>
                <w:bCs/>
                <w:noProof/>
                <w:sz w:val="20"/>
              </w:rPr>
              <w:t>Revízia poskytovania leteckých služieb</w:t>
            </w:r>
            <w:r>
              <w:rPr>
                <w:noProof/>
                <w:sz w:val="20"/>
              </w:rPr>
              <w:t xml:space="preserve"> (legislatívna iniciatíva vrátane posúdenia vplyvu, článok 100 ods. 2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Smerom k Európskemu výskumnému priestoru</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Oznámenie o budúcnosti výskumu a inovácií a o Európskom výskumnom priestore</w:t>
            </w:r>
            <w:r>
              <w:rPr>
                <w:noProof/>
                <w:sz w:val="20"/>
              </w:rPr>
              <w:t xml:space="preserve"> (nelegislatívna iniciatíva, 2. štvrťrok 2020);</w:t>
            </w:r>
          </w:p>
          <w:p>
            <w:pPr>
              <w:spacing w:after="0"/>
              <w:jc w:val="left"/>
              <w:rPr>
                <w:noProof/>
                <w:sz w:val="20"/>
              </w:rPr>
            </w:pPr>
            <w:r>
              <w:rPr>
                <w:b/>
                <w:bCs/>
                <w:noProof/>
                <w:sz w:val="20"/>
              </w:rPr>
              <w:t>Oznámenie o výskumných a inovačných misiách v rámci programu Horizont Európa</w:t>
            </w:r>
            <w:r>
              <w:rPr>
                <w:noProof/>
                <w:sz w:val="20"/>
              </w:rPr>
              <w:t xml:space="preserve"> (nelegislatívna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Digitálne financie</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Akčný plán pre finančné technológie vrátane stratégie týkajúcej sa integrovaného platobného trhu EÚ</w:t>
            </w:r>
            <w:r>
              <w:rPr>
                <w:noProof/>
                <w:sz w:val="20"/>
              </w:rPr>
              <w:t xml:space="preserve"> (nelegislatívna iniciatíva, 3. štvrťrok 2020);</w:t>
            </w:r>
            <w:r>
              <w:rPr>
                <w:noProof/>
                <w:sz w:val="20"/>
              </w:rPr>
              <w:br/>
            </w:r>
            <w:r>
              <w:rPr>
                <w:b/>
                <w:bCs/>
                <w:noProof/>
                <w:sz w:val="20"/>
              </w:rPr>
              <w:t>Návrh o kryptoaktívach</w:t>
            </w:r>
            <w:r>
              <w:rPr>
                <w:noProof/>
                <w:sz w:val="20"/>
              </w:rPr>
              <w:t xml:space="preserve"> (legislatívna iniciatíva vrátane posúdenia vplyvu, článok 114 ZFEÚ, 3. štvrťrok 2020)</w:t>
            </w:r>
          </w:p>
          <w:p>
            <w:pPr>
              <w:spacing w:after="0"/>
              <w:jc w:val="left"/>
              <w:rPr>
                <w:noProof/>
                <w:sz w:val="20"/>
              </w:rPr>
            </w:pPr>
            <w:r>
              <w:rPr>
                <w:b/>
                <w:bCs/>
                <w:noProof/>
                <w:sz w:val="20"/>
              </w:rPr>
              <w:t>Medzisektorový akt o finančných službách na účely operačnej a kybernetickej odolnosti</w:t>
            </w:r>
            <w:r>
              <w:rPr>
                <w:noProof/>
                <w:sz w:val="20"/>
              </w:rPr>
              <w:t xml:space="preserve"> (legislatívna iniciatíva vrátane posúdenia vplyvu, článok 114 ZFEÚ, 3. štvrťrok 2020)</w:t>
            </w:r>
          </w:p>
        </w:tc>
      </w:tr>
      <w:tr>
        <w:trPr>
          <w:cantSplit/>
        </w:trPr>
        <w:tc>
          <w:tcPr>
            <w:tcW w:w="14827" w:type="dxa"/>
            <w:gridSpan w:val="3"/>
            <w:tcBorders>
              <w:bottom w:val="single" w:sz="4" w:space="0" w:color="auto"/>
            </w:tcBorders>
            <w:shd w:val="clear" w:color="auto" w:fill="F68A42" w:themeFill="accent3"/>
          </w:tcPr>
          <w:p>
            <w:pPr>
              <w:keepNext/>
              <w:spacing w:before="60" w:after="60"/>
              <w:rPr>
                <w:b/>
                <w:bCs/>
                <w:noProof/>
                <w:sz w:val="20"/>
              </w:rPr>
            </w:pPr>
            <w:r>
              <w:rPr>
                <w:b/>
                <w:bCs/>
                <w:noProof/>
                <w:color w:val="FFFFFF" w:themeColor="background1"/>
                <w:sz w:val="20"/>
              </w:rPr>
              <w:t>Hospodárstvo, ktoré pracuje v prospech ľudí</w:t>
            </w:r>
          </w:p>
        </w:tc>
      </w:tr>
      <w:tr>
        <w:trPr>
          <w:cantSplit/>
        </w:trPr>
        <w:tc>
          <w:tcPr>
            <w:tcW w:w="511" w:type="dxa"/>
            <w:tcBorders>
              <w:right w:val="single" w:sz="4" w:space="0" w:color="auto"/>
            </w:tcBorders>
          </w:tcPr>
          <w:p>
            <w:pPr>
              <w:pStyle w:val="ListParagraph"/>
              <w:numPr>
                <w:ilvl w:val="0"/>
                <w:numId w:val="18"/>
              </w:numPr>
              <w:spacing w:after="0"/>
              <w:ind w:left="426"/>
              <w:rPr>
                <w:noProof/>
                <w:color w:val="FFFFFF" w:themeColor="background1"/>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Sociálna Európa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b/>
                <w:bCs/>
                <w:noProof/>
                <w:sz w:val="20"/>
              </w:rPr>
            </w:pPr>
            <w:r>
              <w:rPr>
                <w:b/>
                <w:bCs/>
                <w:noProof/>
                <w:sz w:val="20"/>
              </w:rPr>
              <w:t>Silná sociálna Európa pre spravodlivé transformácie</w:t>
            </w:r>
            <w:r>
              <w:rPr>
                <w:noProof/>
                <w:sz w:val="20"/>
              </w:rPr>
              <w:t xml:space="preserve"> (nelegislatívna iniciatíva, 1. štvrťrok 2020); </w:t>
            </w:r>
            <w:r>
              <w:rPr>
                <w:noProof/>
                <w:sz w:val="20"/>
              </w:rPr>
              <w:br/>
            </w:r>
            <w:r>
              <w:rPr>
                <w:b/>
                <w:bCs/>
                <w:noProof/>
                <w:sz w:val="20"/>
              </w:rPr>
              <w:t>Spravodlivé minimálne mzdy pre pracovníkov v EÚ</w:t>
            </w:r>
            <w:r>
              <w:rPr>
                <w:noProof/>
                <w:sz w:val="20"/>
              </w:rPr>
              <w:t xml:space="preserve"> (nelegislatívna iniciatíva, článok 153 ods. 1 písm. b), článok 153 ods. 2 a článok 154 ZFEÚ, 1./3. štvrťrok 2020);</w:t>
            </w:r>
            <w:r>
              <w:rPr>
                <w:noProof/>
                <w:sz w:val="20"/>
              </w:rPr>
              <w:br/>
            </w:r>
            <w:r>
              <w:rPr>
                <w:b/>
                <w:bCs/>
                <w:noProof/>
                <w:sz w:val="20"/>
              </w:rPr>
              <w:t>Posilnenie záruky pre mladých ľudí</w:t>
            </w:r>
            <w:r>
              <w:rPr>
                <w:noProof/>
                <w:sz w:val="20"/>
              </w:rPr>
              <w:t xml:space="preserve"> (nelegislatívna iniciatíva, 2. štvrťrok 2020);</w:t>
            </w:r>
            <w:r>
              <w:rPr>
                <w:noProof/>
                <w:sz w:val="20"/>
              </w:rPr>
              <w:br/>
            </w:r>
            <w:r>
              <w:rPr>
                <w:b/>
                <w:bCs/>
                <w:noProof/>
                <w:sz w:val="20"/>
              </w:rPr>
              <w:t>Európsky systém zaistenia v nezamestnanosti</w:t>
            </w:r>
            <w:r>
              <w:rPr>
                <w:noProof/>
                <w:sz w:val="20"/>
              </w:rPr>
              <w:t xml:space="preserve"> (legislatívna iniciatíva vrátane posúdenia vplyvu, 4. štvrťrok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Správa hospodárskych záležitostí</w:t>
            </w:r>
          </w:p>
        </w:tc>
        <w:tc>
          <w:tcPr>
            <w:tcW w:w="10064" w:type="dxa"/>
            <w:tcBorders>
              <w:bottom w:val="single" w:sz="4" w:space="0" w:color="auto"/>
            </w:tcBorders>
            <w:shd w:val="clear" w:color="auto" w:fill="auto"/>
            <w:tcMar>
              <w:top w:w="85" w:type="dxa"/>
              <w:bottom w:w="85" w:type="dxa"/>
            </w:tcMar>
          </w:tcPr>
          <w:p>
            <w:pPr>
              <w:spacing w:after="0"/>
              <w:rPr>
                <w:b/>
                <w:bCs/>
                <w:noProof/>
                <w:sz w:val="20"/>
              </w:rPr>
            </w:pPr>
            <w:r>
              <w:rPr>
                <w:b/>
                <w:bCs/>
                <w:noProof/>
                <w:sz w:val="20"/>
              </w:rPr>
              <w:t>Preskúmanie rámca správy hospodárskych záležitostí</w:t>
            </w:r>
            <w:r>
              <w:rPr>
                <w:noProof/>
                <w:sz w:val="20"/>
              </w:rPr>
              <w:t xml:space="preserve"> (nelegislatívna iniciatíva, 1. štvrťrok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b/>
                <w:bCs/>
                <w:noProof/>
                <w:sz w:val="20"/>
              </w:rPr>
            </w:pPr>
            <w:r>
              <w:rPr>
                <w:b/>
                <w:bCs/>
                <w:noProof/>
                <w:sz w:val="20"/>
              </w:rPr>
              <w:t>Prehĺbenie Únie kapitálových trhov</w:t>
            </w:r>
          </w:p>
        </w:tc>
        <w:tc>
          <w:tcPr>
            <w:tcW w:w="10064" w:type="dxa"/>
            <w:tcBorders>
              <w:left w:val="single" w:sz="4" w:space="0" w:color="auto"/>
              <w:bottom w:val="single" w:sz="4" w:space="0" w:color="auto"/>
              <w:right w:val="single" w:sz="4" w:space="0" w:color="auto"/>
            </w:tcBorders>
            <w:shd w:val="clear" w:color="auto" w:fill="auto"/>
            <w:tcMar>
              <w:top w:w="85" w:type="dxa"/>
              <w:bottom w:w="85" w:type="dxa"/>
            </w:tcMar>
          </w:tcPr>
          <w:p>
            <w:pPr>
              <w:spacing w:after="0"/>
              <w:jc w:val="left"/>
              <w:rPr>
                <w:noProof/>
                <w:sz w:val="20"/>
              </w:rPr>
            </w:pPr>
            <w:r>
              <w:rPr>
                <w:b/>
                <w:bCs/>
                <w:noProof/>
                <w:sz w:val="20"/>
              </w:rPr>
              <w:t>Akčný plán pre úniu kapitálových trhov</w:t>
            </w:r>
            <w:r>
              <w:rPr>
                <w:noProof/>
                <w:sz w:val="20"/>
              </w:rPr>
              <w:t xml:space="preserve"> (nelegislatívna iniciatíva, 3. štvrťrok 2020);</w:t>
            </w:r>
          </w:p>
          <w:p>
            <w:pPr>
              <w:spacing w:after="0"/>
              <w:jc w:val="left"/>
              <w:rPr>
                <w:noProof/>
                <w:sz w:val="20"/>
              </w:rPr>
            </w:pPr>
            <w:r>
              <w:rPr>
                <w:b/>
                <w:bCs/>
                <w:noProof/>
                <w:sz w:val="20"/>
              </w:rPr>
              <w:t>Preskúmanie regulačného rámca pre investičné spoločnosti a účastníkov trhu (MiFIDII a MiFIR) vrátane vytvorenia konsolidovaného informačného systému EÚ</w:t>
            </w:r>
            <w:r>
              <w:rPr>
                <w:noProof/>
                <w:sz w:val="20"/>
              </w:rPr>
              <w:t xml:space="preserve"> (legislatívna iniciatíva vrátane posúdenia vplyvu, článok 53 ods. 1 a článok 114 ods. 1 ZFEÚ, 3. štvrťrok 2020);</w:t>
            </w:r>
          </w:p>
          <w:p>
            <w:pPr>
              <w:spacing w:after="0"/>
              <w:jc w:val="left"/>
              <w:rPr>
                <w:noProof/>
                <w:sz w:val="20"/>
              </w:rPr>
            </w:pPr>
            <w:r>
              <w:rPr>
                <w:b/>
                <w:bCs/>
                <w:noProof/>
                <w:sz w:val="20"/>
              </w:rPr>
              <w:t>Preskúmanie nariadenia o referenčných hodnotách</w:t>
            </w:r>
            <w:r>
              <w:rPr>
                <w:noProof/>
                <w:sz w:val="20"/>
              </w:rPr>
              <w:t xml:space="preserve"> (legislatívna iniciatíva vrátane posúdenia vplyvu, článok 114 ods. 1 ZFEÚ, 3.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Dobudovanie bankovej únie</w:t>
            </w:r>
          </w:p>
        </w:tc>
        <w:tc>
          <w:tcPr>
            <w:tcW w:w="10064" w:type="dxa"/>
            <w:tcMar>
              <w:top w:w="85" w:type="dxa"/>
              <w:bottom w:w="85" w:type="dxa"/>
            </w:tcMar>
          </w:tcPr>
          <w:p>
            <w:pPr>
              <w:spacing w:after="0"/>
              <w:jc w:val="left"/>
              <w:rPr>
                <w:noProof/>
                <w:sz w:val="20"/>
              </w:rPr>
            </w:pPr>
            <w:r>
              <w:rPr>
                <w:b/>
                <w:bCs/>
                <w:noProof/>
                <w:sz w:val="20"/>
              </w:rPr>
              <w:t>Akčný plán na boj proti praniu špinavých peňazí</w:t>
            </w:r>
            <w:r>
              <w:rPr>
                <w:noProof/>
                <w:sz w:val="20"/>
              </w:rPr>
              <w:t xml:space="preserve"> (nelegislatívna iniciatíva, 1. štvrťrok 2020);</w:t>
            </w:r>
          </w:p>
          <w:p>
            <w:pPr>
              <w:spacing w:after="0"/>
              <w:jc w:val="left"/>
              <w:rPr>
                <w:noProof/>
                <w:sz w:val="20"/>
              </w:rPr>
            </w:pPr>
            <w:r>
              <w:rPr>
                <w:b/>
                <w:bCs/>
                <w:noProof/>
                <w:sz w:val="20"/>
              </w:rPr>
              <w:t>Preskúmanie právnych predpisov týkajúcich sa kapitálových požiadaviek</w:t>
            </w:r>
            <w:r>
              <w:rPr>
                <w:noProof/>
                <w:sz w:val="20"/>
              </w:rPr>
              <w:t xml:space="preserve"> [legislatívna iniciatíva vrátane posúdenia vplyvu, článok 114 ZFEÚ (CRR) a článok 53 ZFEÚ (CRD), 2. štvrťrok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Účinné zdaňovanie</w:t>
            </w:r>
          </w:p>
        </w:tc>
        <w:tc>
          <w:tcPr>
            <w:tcW w:w="10064" w:type="dxa"/>
            <w:shd w:val="clear" w:color="auto" w:fill="FFFFFF" w:themeFill="background1"/>
            <w:tcMar>
              <w:top w:w="85" w:type="dxa"/>
              <w:bottom w:w="85" w:type="dxa"/>
            </w:tcMar>
          </w:tcPr>
          <w:p>
            <w:pPr>
              <w:pStyle w:val="Default"/>
              <w:rPr>
                <w:noProof/>
                <w:sz w:val="20"/>
                <w:szCs w:val="20"/>
              </w:rPr>
            </w:pPr>
            <w:r>
              <w:rPr>
                <w:b/>
                <w:bCs/>
                <w:noProof/>
                <w:sz w:val="20"/>
                <w:szCs w:val="20"/>
              </w:rPr>
              <w:t>Zdaňovanie podnikov v 21. storočí</w:t>
            </w:r>
            <w:r>
              <w:rPr>
                <w:noProof/>
                <w:sz w:val="20"/>
                <w:szCs w:val="20"/>
              </w:rPr>
              <w:t xml:space="preserve"> (nelegislatívna iniciatíva, 2. štvrťrok 2020);</w:t>
            </w:r>
          </w:p>
          <w:p>
            <w:pPr>
              <w:pStyle w:val="Default"/>
              <w:rPr>
                <w:noProof/>
                <w:sz w:val="20"/>
                <w:szCs w:val="20"/>
              </w:rPr>
            </w:pPr>
            <w:r>
              <w:rPr>
                <w:b/>
                <w:bCs/>
                <w:noProof/>
                <w:sz w:val="20"/>
                <w:szCs w:val="20"/>
              </w:rPr>
              <w:t>Akčný plán na boj proti daňovým podvodom a na zjednodušenie zdaňovania</w:t>
            </w:r>
            <w:r>
              <w:rPr>
                <w:noProof/>
                <w:sz w:val="20"/>
                <w:szCs w:val="20"/>
              </w:rPr>
              <w:t xml:space="preserve"> (legislatívna a nelegislatívna iniciatíva vrátane posúdenia vplyvu, články 113 a 115 ZFEÚ, 2.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Balík v oblasti colnej únie</w:t>
            </w:r>
          </w:p>
        </w:tc>
        <w:tc>
          <w:tcPr>
            <w:tcW w:w="10064" w:type="dxa"/>
            <w:tcBorders>
              <w:bottom w:val="single" w:sz="4" w:space="0" w:color="auto"/>
            </w:tcBorders>
            <w:tcMar>
              <w:top w:w="85" w:type="dxa"/>
              <w:bottom w:w="85" w:type="dxa"/>
            </w:tcMar>
          </w:tcPr>
          <w:p>
            <w:pPr>
              <w:pStyle w:val="Default"/>
              <w:rPr>
                <w:noProof/>
                <w:sz w:val="20"/>
                <w:szCs w:val="20"/>
              </w:rPr>
            </w:pPr>
            <w:r>
              <w:rPr>
                <w:b/>
                <w:noProof/>
                <w:sz w:val="20"/>
                <w:szCs w:val="20"/>
              </w:rPr>
              <w:t xml:space="preserve">Akčný plán pre colnú úniu </w:t>
            </w:r>
            <w:r>
              <w:rPr>
                <w:noProof/>
                <w:sz w:val="20"/>
                <w:szCs w:val="20"/>
              </w:rPr>
              <w:t>(nelegislatívna iniciatíva, 2. štvrťrok 2020);</w:t>
            </w:r>
          </w:p>
          <w:p>
            <w:pPr>
              <w:pStyle w:val="Default"/>
              <w:rPr>
                <w:noProof/>
                <w:sz w:val="20"/>
                <w:szCs w:val="20"/>
              </w:rPr>
            </w:pPr>
            <w:r>
              <w:rPr>
                <w:b/>
                <w:bCs/>
                <w:noProof/>
                <w:sz w:val="20"/>
                <w:szCs w:val="20"/>
              </w:rPr>
              <w:t>Návrh o centrálnom elektronickom priečinku pre colnú správu</w:t>
            </w:r>
            <w:r>
              <w:rPr>
                <w:noProof/>
                <w:sz w:val="20"/>
                <w:szCs w:val="20"/>
              </w:rPr>
              <w:t xml:space="preserve"> (legislatívna iniciatíva vrátane posúdenia vplyvu, články 33 a 114 ZFEÚ, 3. štvrťrok 2020)</w:t>
            </w:r>
          </w:p>
        </w:tc>
      </w:tr>
      <w:tr>
        <w:trPr>
          <w:cantSplit/>
        </w:trPr>
        <w:tc>
          <w:tcPr>
            <w:tcW w:w="14827" w:type="dxa"/>
            <w:gridSpan w:val="3"/>
            <w:tcBorders>
              <w:bottom w:val="single" w:sz="4" w:space="0" w:color="auto"/>
            </w:tcBorders>
            <w:shd w:val="clear" w:color="auto" w:fill="585EAA" w:themeFill="accent4"/>
          </w:tcPr>
          <w:p>
            <w:pPr>
              <w:keepNext/>
              <w:spacing w:before="60" w:after="60"/>
              <w:rPr>
                <w:b/>
                <w:bCs/>
                <w:noProof/>
                <w:sz w:val="20"/>
              </w:rPr>
            </w:pPr>
            <w:r>
              <w:rPr>
                <w:b/>
                <w:bCs/>
                <w:noProof/>
                <w:color w:val="FFFFFF" w:themeColor="background1"/>
                <w:sz w:val="20"/>
              </w:rPr>
              <w:t>Silnejšia Európa vo svete</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Medzinárodná spolupráca</w:t>
            </w:r>
          </w:p>
        </w:tc>
        <w:tc>
          <w:tcPr>
            <w:tcW w:w="10064" w:type="dxa"/>
            <w:tcBorders>
              <w:bottom w:val="single" w:sz="4" w:space="0" w:color="auto"/>
            </w:tcBorders>
            <w:tcMar>
              <w:top w:w="85" w:type="dxa"/>
              <w:bottom w:w="85" w:type="dxa"/>
            </w:tcMar>
          </w:tcPr>
          <w:p>
            <w:pPr>
              <w:spacing w:after="0"/>
              <w:jc w:val="left"/>
              <w:rPr>
                <w:noProof/>
                <w:sz w:val="20"/>
              </w:rPr>
            </w:pPr>
            <w:r>
              <w:rPr>
                <w:b/>
                <w:noProof/>
                <w:sz w:val="20"/>
              </w:rPr>
              <w:t>Podpísanie a uzavretie dohody medzi EÚ a krajinami Afriky, Karibiku a Tichomoria</w:t>
            </w:r>
            <w:r>
              <w:rPr>
                <w:noProof/>
                <w:sz w:val="20"/>
              </w:rPr>
              <w:t xml:space="preserve"> (legislatívna iniciatíva, články 217 a 218 ZFEÚ, 3.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color w:val="000000" w:themeColor="text1"/>
                <w:sz w:val="20"/>
              </w:rPr>
            </w:pPr>
            <w:r>
              <w:rPr>
                <w:b/>
                <w:bCs/>
                <w:noProof/>
                <w:sz w:val="20"/>
              </w:rPr>
              <w:t>Finančná suverenita</w:t>
            </w:r>
          </w:p>
        </w:tc>
        <w:tc>
          <w:tcPr>
            <w:tcW w:w="10064" w:type="dxa"/>
            <w:tcBorders>
              <w:bottom w:val="single" w:sz="4" w:space="0" w:color="auto"/>
            </w:tcBorders>
            <w:tcMar>
              <w:top w:w="85" w:type="dxa"/>
              <w:bottom w:w="85" w:type="dxa"/>
            </w:tcMar>
          </w:tcPr>
          <w:p>
            <w:pPr>
              <w:spacing w:after="0"/>
              <w:jc w:val="left"/>
              <w:rPr>
                <w:noProof/>
                <w:sz w:val="20"/>
              </w:rPr>
            </w:pPr>
            <w:r>
              <w:rPr>
                <w:b/>
                <w:noProof/>
                <w:sz w:val="20"/>
              </w:rPr>
              <w:t xml:space="preserve">Posilnenie hospodárskej a finančnej suverenity Európy </w:t>
            </w:r>
            <w:r>
              <w:rPr>
                <w:noProof/>
                <w:sz w:val="20"/>
              </w:rPr>
              <w:t>(nelegislatívna iniciatíva, 3.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Stratégia pre Afriku</w:t>
            </w:r>
          </w:p>
        </w:tc>
        <w:tc>
          <w:tcPr>
            <w:tcW w:w="10064" w:type="dxa"/>
            <w:tcMar>
              <w:top w:w="85" w:type="dxa"/>
              <w:bottom w:w="85" w:type="dxa"/>
            </w:tcMar>
          </w:tcPr>
          <w:p>
            <w:pPr>
              <w:spacing w:after="0"/>
              <w:jc w:val="left"/>
              <w:rPr>
                <w:noProof/>
                <w:sz w:val="20"/>
              </w:rPr>
            </w:pPr>
            <w:r>
              <w:rPr>
                <w:b/>
                <w:bCs/>
                <w:noProof/>
                <w:sz w:val="20"/>
              </w:rPr>
              <w:t>Smerom ku komplexnej stratégii pre Afriku</w:t>
            </w:r>
            <w:r>
              <w:rPr>
                <w:noProof/>
                <w:sz w:val="20"/>
              </w:rPr>
              <w:t xml:space="preserve"> (nelegislatívna iniciatíva, 1.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Rozšírenie</w:t>
            </w:r>
          </w:p>
        </w:tc>
        <w:tc>
          <w:tcPr>
            <w:tcW w:w="10064" w:type="dxa"/>
            <w:tcMar>
              <w:top w:w="85" w:type="dxa"/>
              <w:bottom w:w="85" w:type="dxa"/>
            </w:tcMar>
          </w:tcPr>
          <w:p>
            <w:pPr>
              <w:spacing w:after="0"/>
              <w:jc w:val="left"/>
              <w:rPr>
                <w:b/>
                <w:noProof/>
                <w:sz w:val="20"/>
              </w:rPr>
            </w:pPr>
            <w:r>
              <w:rPr>
                <w:b/>
                <w:noProof/>
                <w:sz w:val="20"/>
              </w:rPr>
              <w:t>Posilnenie prístupového procesu – Dôveryhodná perspektíva pristúpenia k EÚ pre západný Balkán</w:t>
            </w:r>
            <w:r>
              <w:rPr>
                <w:noProof/>
                <w:sz w:val="20"/>
              </w:rPr>
              <w:t xml:space="preserve"> (nelegislatívna iniciatíva, 1. štvrťrok 2020);</w:t>
            </w:r>
          </w:p>
          <w:p>
            <w:pPr>
              <w:spacing w:after="0"/>
              <w:jc w:val="left"/>
              <w:rPr>
                <w:b/>
                <w:bCs/>
                <w:noProof/>
                <w:sz w:val="20"/>
              </w:rPr>
            </w:pPr>
            <w:r>
              <w:rPr>
                <w:b/>
                <w:noProof/>
                <w:sz w:val="20"/>
              </w:rPr>
              <w:t>Zintenzívnenie našej spolupráce s krajinami západného Balkánu – Príspevok Komisie na samit EÚ – západný Balkán</w:t>
            </w:r>
            <w:r>
              <w:rPr>
                <w:noProof/>
                <w:sz w:val="20"/>
              </w:rPr>
              <w:t xml:space="preserve"> (nelegislatívna iniciatíva, 2.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 xml:space="preserve">Východné partnerstvo </w:t>
            </w:r>
          </w:p>
        </w:tc>
        <w:tc>
          <w:tcPr>
            <w:tcW w:w="10064" w:type="dxa"/>
            <w:tcMar>
              <w:top w:w="85" w:type="dxa"/>
              <w:bottom w:w="85" w:type="dxa"/>
            </w:tcMar>
          </w:tcPr>
          <w:p>
            <w:pPr>
              <w:spacing w:after="0"/>
              <w:jc w:val="left"/>
              <w:rPr>
                <w:b/>
                <w:bCs/>
                <w:noProof/>
                <w:sz w:val="20"/>
              </w:rPr>
            </w:pPr>
            <w:r>
              <w:rPr>
                <w:b/>
                <w:bCs/>
                <w:noProof/>
                <w:sz w:val="20"/>
              </w:rPr>
              <w:t>Východné partnerstvo po roku 2020</w:t>
            </w:r>
            <w:r>
              <w:rPr>
                <w:noProof/>
                <w:sz w:val="20"/>
              </w:rPr>
              <w:t xml:space="preserve"> (nelegislatívna iniciatíva, 1.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Ľudské práva, demokracia a rodová rovnosť</w:t>
            </w:r>
          </w:p>
        </w:tc>
        <w:tc>
          <w:tcPr>
            <w:tcW w:w="10064" w:type="dxa"/>
            <w:tcMar>
              <w:top w:w="85" w:type="dxa"/>
              <w:bottom w:w="85" w:type="dxa"/>
            </w:tcMar>
          </w:tcPr>
          <w:p>
            <w:pPr>
              <w:spacing w:after="0"/>
              <w:jc w:val="left"/>
              <w:rPr>
                <w:b/>
                <w:bCs/>
                <w:noProof/>
                <w:sz w:val="20"/>
              </w:rPr>
            </w:pPr>
            <w:r>
              <w:rPr>
                <w:b/>
                <w:bCs/>
                <w:noProof/>
                <w:sz w:val="20"/>
              </w:rPr>
              <w:t>Akčný plán pre ľudské práva a demokraciu (2020 – 2024)</w:t>
            </w:r>
            <w:r>
              <w:rPr>
                <w:noProof/>
                <w:sz w:val="20"/>
              </w:rPr>
              <w:t xml:space="preserve"> (legislatívna a nelegislatívna iniciatíva, 1. štvrťrok 2020);</w:t>
            </w:r>
            <w:r>
              <w:rPr>
                <w:b/>
                <w:bCs/>
                <w:noProof/>
                <w:sz w:val="20"/>
              </w:rPr>
              <w:br/>
              <w:t>Akčný plán EÚ pre rodovú rovnosť a posilnenie postavenia žien vo vonkajších vzťahoch na roky 2021 – 2025</w:t>
            </w:r>
            <w:r>
              <w:rPr>
                <w:noProof/>
                <w:sz w:val="20"/>
              </w:rPr>
              <w:t xml:space="preserve"> (nelegislatívna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Reforma WTO</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Iniciatíva v oblasti reformy WTO</w:t>
            </w:r>
            <w:r>
              <w:rPr>
                <w:noProof/>
                <w:sz w:val="20"/>
              </w:rPr>
              <w:t xml:space="preserve"> (nelegislatívna iniciatíva, 4. štvrťrok 2020);</w:t>
            </w:r>
          </w:p>
        </w:tc>
      </w:tr>
      <w:tr>
        <w:trPr>
          <w:cantSplit/>
        </w:trPr>
        <w:tc>
          <w:tcPr>
            <w:tcW w:w="14827" w:type="dxa"/>
            <w:gridSpan w:val="3"/>
            <w:tcBorders>
              <w:bottom w:val="single" w:sz="4" w:space="0" w:color="auto"/>
            </w:tcBorders>
            <w:shd w:val="clear" w:color="auto" w:fill="DA5C57" w:themeFill="accent6"/>
          </w:tcPr>
          <w:p>
            <w:pPr>
              <w:keepNext/>
              <w:spacing w:before="60" w:after="60"/>
              <w:rPr>
                <w:b/>
                <w:bCs/>
                <w:noProof/>
                <w:sz w:val="20"/>
              </w:rPr>
            </w:pPr>
            <w:r>
              <w:rPr>
                <w:b/>
                <w:bCs/>
                <w:noProof/>
                <w:color w:val="FFFFFF" w:themeColor="background1"/>
                <w:sz w:val="20"/>
              </w:rPr>
              <w:t>Podpora európskeho spôsobu života</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Podpora zručností, vzdelávania a začleňovania</w:t>
            </w:r>
          </w:p>
        </w:tc>
        <w:tc>
          <w:tcPr>
            <w:tcW w:w="10064" w:type="dxa"/>
            <w:tcMar>
              <w:top w:w="85" w:type="dxa"/>
              <w:bottom w:w="85" w:type="dxa"/>
            </w:tcMar>
          </w:tcPr>
          <w:p>
            <w:pPr>
              <w:spacing w:after="0"/>
              <w:jc w:val="left"/>
              <w:rPr>
                <w:noProof/>
                <w:sz w:val="20"/>
              </w:rPr>
            </w:pPr>
            <w:r>
              <w:rPr>
                <w:b/>
                <w:bCs/>
                <w:noProof/>
                <w:sz w:val="20"/>
              </w:rPr>
              <w:t>Aktualizovaný program v oblasti zručností pre Európu</w:t>
            </w:r>
            <w:r>
              <w:rPr>
                <w:noProof/>
                <w:sz w:val="20"/>
              </w:rPr>
              <w:t xml:space="preserve"> (nelegislatívna iniciatíva, 1. štvrťrok 2020);</w:t>
            </w:r>
            <w:r>
              <w:rPr>
                <w:noProof/>
                <w:sz w:val="20"/>
              </w:rPr>
              <w:br/>
            </w:r>
            <w:r>
              <w:rPr>
                <w:b/>
                <w:bCs/>
                <w:noProof/>
                <w:sz w:val="20"/>
              </w:rPr>
              <w:t>Vytvorenie európskeho vzdelávacieho priestoru</w:t>
            </w:r>
            <w:r>
              <w:rPr>
                <w:noProof/>
                <w:sz w:val="20"/>
              </w:rPr>
              <w:t xml:space="preserve"> (nelegislatívna iniciatíva, 3. štvrťrok 2020);</w:t>
            </w:r>
          </w:p>
          <w:p>
            <w:pPr>
              <w:spacing w:after="0"/>
              <w:jc w:val="left"/>
              <w:rPr>
                <w:noProof/>
                <w:sz w:val="20"/>
              </w:rPr>
            </w:pPr>
            <w:r>
              <w:rPr>
                <w:b/>
                <w:bCs/>
                <w:noProof/>
                <w:sz w:val="20"/>
              </w:rPr>
              <w:t xml:space="preserve">Akčný plán pre integráciu a začlenenie </w:t>
            </w:r>
            <w:r>
              <w:rPr>
                <w:noProof/>
                <w:sz w:val="20"/>
              </w:rPr>
              <w:t>(nelegislatívna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Nový pakt o migrácii a azyle</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Nový pakt o migrácii a azyle a sprievodné právne návrhy</w:t>
            </w:r>
            <w:r>
              <w:rPr>
                <w:noProof/>
                <w:sz w:val="20"/>
              </w:rPr>
              <w:t xml:space="preserve"> (nelegislatívna a legislatívna iniciatíva, články 78 a 79 ZFEÚ, 1. štvrťrok 2020)</w:t>
            </w:r>
            <w:r>
              <w:rPr>
                <w:b/>
                <w:bCs/>
                <w:noProof/>
                <w:sz w:val="20"/>
              </w:rPr>
              <w:br/>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noProof/>
                <w:sz w:val="20"/>
              </w:rPr>
            </w:pPr>
            <w:r>
              <w:rPr>
                <w:b/>
                <w:bCs/>
                <w:noProof/>
                <w:sz w:val="20"/>
              </w:rPr>
              <w:t>Posilnenie bezpečnosti Európy</w:t>
            </w:r>
          </w:p>
        </w:tc>
        <w:tc>
          <w:tcPr>
            <w:tcW w:w="10064" w:type="dxa"/>
            <w:tcMar>
              <w:top w:w="85" w:type="dxa"/>
              <w:bottom w:w="85" w:type="dxa"/>
            </w:tcMar>
          </w:tcPr>
          <w:p>
            <w:pPr>
              <w:spacing w:after="0"/>
              <w:jc w:val="left"/>
              <w:rPr>
                <w:noProof/>
                <w:sz w:val="20"/>
              </w:rPr>
            </w:pPr>
            <w:r>
              <w:rPr>
                <w:b/>
                <w:bCs/>
                <w:noProof/>
                <w:sz w:val="20"/>
              </w:rPr>
              <w:t>Nová stratégia pre bezpečnostnú úniu</w:t>
            </w:r>
            <w:r>
              <w:rPr>
                <w:noProof/>
                <w:sz w:val="20"/>
              </w:rPr>
              <w:t xml:space="preserve"> (nelegislatívna iniciatíva, 2. štvrťrok 2020);</w:t>
            </w:r>
          </w:p>
          <w:p>
            <w:pPr>
              <w:spacing w:after="0"/>
              <w:jc w:val="left"/>
              <w:rPr>
                <w:noProof/>
                <w:sz w:val="20"/>
              </w:rPr>
            </w:pPr>
            <w:r>
              <w:rPr>
                <w:b/>
                <w:bCs/>
                <w:noProof/>
                <w:sz w:val="20"/>
              </w:rPr>
              <w:t>Posilnenie mandátu Europolu</w:t>
            </w:r>
            <w:r>
              <w:rPr>
                <w:noProof/>
                <w:sz w:val="20"/>
              </w:rPr>
              <w:t xml:space="preserve"> (legislatívna iniciatíva vrátane posúdenia vplyvu, článok 88 ZFEÚ, 4. štvrťrok 2020), </w:t>
            </w:r>
            <w:r>
              <w:rPr>
                <w:noProof/>
                <w:sz w:val="20"/>
              </w:rPr>
              <w:br/>
            </w:r>
            <w:r>
              <w:rPr>
                <w:b/>
                <w:bCs/>
                <w:noProof/>
                <w:sz w:val="20"/>
              </w:rPr>
              <w:t>Návrh dodatočných opatrení v oblasti ochrany kritickej infraštruktúry</w:t>
            </w:r>
            <w:r>
              <w:rPr>
                <w:noProof/>
                <w:sz w:val="20"/>
              </w:rPr>
              <w:t xml:space="preserve"> (legislatívna iniciatíva vrátane posúdenia vplyvu, 4. štvrťrok 2020);</w:t>
            </w:r>
          </w:p>
          <w:p>
            <w:pPr>
              <w:spacing w:after="0"/>
              <w:jc w:val="left"/>
              <w:rPr>
                <w:noProof/>
                <w:sz w:val="20"/>
              </w:rPr>
            </w:pPr>
            <w:r>
              <w:rPr>
                <w:b/>
                <w:bCs/>
                <w:noProof/>
                <w:sz w:val="20"/>
              </w:rPr>
              <w:t>Nová stratégia EÚ zameraná na odstránenie obchodovania s ľuďmi</w:t>
            </w:r>
            <w:r>
              <w:rPr>
                <w:noProof/>
                <w:sz w:val="20"/>
              </w:rPr>
              <w:t xml:space="preserve"> (nelegislatívna iniciatíva, 4. štvrťrok 2020)</w:t>
            </w:r>
          </w:p>
          <w:p>
            <w:pPr>
              <w:spacing w:after="0"/>
              <w:jc w:val="left"/>
              <w:rPr>
                <w:noProof/>
                <w:sz w:val="20"/>
              </w:rPr>
            </w:pPr>
            <w:r>
              <w:rPr>
                <w:b/>
                <w:bCs/>
                <w:noProof/>
                <w:sz w:val="20"/>
              </w:rPr>
              <w:t>Stratégia EÚ na účinnejší boj proti sexuálnemu zneužívaniu detí</w:t>
            </w:r>
            <w:r>
              <w:rPr>
                <w:noProof/>
                <w:sz w:val="20"/>
              </w:rPr>
              <w:t xml:space="preserve"> (nelegislatívna iniciatíva, 2. štvrťrok 2020) </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Ochrana zdravia</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Európsky plán na boj proti rakovine</w:t>
            </w:r>
            <w:r>
              <w:rPr>
                <w:noProof/>
                <w:sz w:val="20"/>
              </w:rPr>
              <w:t xml:space="preserve"> (nelegislatívna iniciatíva, 4. štvrťrok 2020);</w:t>
            </w:r>
            <w:r>
              <w:rPr>
                <w:noProof/>
                <w:sz w:val="20"/>
              </w:rPr>
              <w:br/>
            </w:r>
            <w:r>
              <w:rPr>
                <w:b/>
                <w:bCs/>
                <w:noProof/>
                <w:sz w:val="20"/>
              </w:rPr>
              <w:t>Farmaceutická stratégia pre Európu</w:t>
            </w:r>
            <w:r>
              <w:rPr>
                <w:noProof/>
                <w:sz w:val="20"/>
              </w:rPr>
              <w:t xml:space="preserve"> (nelegislatívna iniciatíva, 4. štvrťrok 2020);</w:t>
            </w:r>
          </w:p>
        </w:tc>
      </w:tr>
      <w:tr>
        <w:trPr>
          <w:cantSplit/>
        </w:trPr>
        <w:tc>
          <w:tcPr>
            <w:tcW w:w="14827" w:type="dxa"/>
            <w:gridSpan w:val="3"/>
            <w:tcBorders>
              <w:bottom w:val="single" w:sz="4" w:space="0" w:color="auto"/>
            </w:tcBorders>
            <w:shd w:val="clear" w:color="auto" w:fill="00ADDC" w:themeFill="accent5"/>
          </w:tcPr>
          <w:p>
            <w:pPr>
              <w:keepNext/>
              <w:spacing w:before="60" w:after="60"/>
              <w:rPr>
                <w:b/>
                <w:bCs/>
                <w:noProof/>
                <w:sz w:val="20"/>
              </w:rPr>
            </w:pPr>
            <w:r>
              <w:rPr>
                <w:b/>
                <w:bCs/>
                <w:noProof/>
                <w:color w:val="FFFFFF" w:themeColor="background1"/>
                <w:sz w:val="20"/>
              </w:rPr>
              <w:t>Nový impulz pre európsku demokraciu</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Program pre spotrebiteľov</w:t>
            </w:r>
          </w:p>
        </w:tc>
        <w:tc>
          <w:tcPr>
            <w:tcW w:w="10064" w:type="dxa"/>
            <w:tcBorders>
              <w:bottom w:val="single" w:sz="4" w:space="0" w:color="auto"/>
            </w:tcBorders>
            <w:tcMar>
              <w:top w:w="85" w:type="dxa"/>
              <w:bottom w:w="85" w:type="dxa"/>
            </w:tcMar>
          </w:tcPr>
          <w:p>
            <w:pPr>
              <w:spacing w:after="0"/>
              <w:rPr>
                <w:noProof/>
                <w:sz w:val="20"/>
              </w:rPr>
            </w:pPr>
            <w:r>
              <w:rPr>
                <w:b/>
                <w:noProof/>
                <w:sz w:val="20"/>
              </w:rPr>
              <w:t>Nový program pre spotrebiteľov</w:t>
            </w:r>
            <w:r>
              <w:rPr>
                <w:noProof/>
                <w:sz w:val="20"/>
              </w:rPr>
              <w:t xml:space="preserve"> (nelegislatívna iniciatíva, 4.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noProof/>
                <w:sz w:val="20"/>
              </w:rPr>
            </w:pPr>
            <w:r>
              <w:rPr>
                <w:b/>
                <w:bCs/>
                <w:noProof/>
                <w:sz w:val="20"/>
              </w:rPr>
              <w:t>Riešenie vplyvu demografických zmien</w:t>
            </w:r>
          </w:p>
        </w:tc>
        <w:tc>
          <w:tcPr>
            <w:tcW w:w="10064" w:type="dxa"/>
            <w:tcMar>
              <w:top w:w="85" w:type="dxa"/>
              <w:bottom w:w="85" w:type="dxa"/>
            </w:tcMar>
          </w:tcPr>
          <w:p>
            <w:pPr>
              <w:spacing w:after="0"/>
              <w:jc w:val="left"/>
              <w:rPr>
                <w:b/>
                <w:bCs/>
                <w:noProof/>
                <w:sz w:val="20"/>
              </w:rPr>
            </w:pPr>
            <w:r>
              <w:rPr>
                <w:b/>
                <w:bCs/>
                <w:noProof/>
                <w:sz w:val="20"/>
              </w:rPr>
              <w:t>Správa</w:t>
            </w:r>
            <w:r>
              <w:rPr>
                <w:b/>
                <w:noProof/>
                <w:sz w:val="20"/>
              </w:rPr>
              <w:t xml:space="preserve"> o vplyve demografických zmien </w:t>
            </w:r>
            <w:r>
              <w:rPr>
                <w:noProof/>
                <w:sz w:val="20"/>
              </w:rPr>
              <w:t>(nelegislatívna iniciatíva, 1. štvrťrok 2020);</w:t>
            </w:r>
            <w:r>
              <w:rPr>
                <w:b/>
                <w:bCs/>
                <w:noProof/>
                <w:sz w:val="20"/>
              </w:rPr>
              <w:br/>
              <w:t>Zelená kniha o starnutí</w:t>
            </w:r>
            <w:r>
              <w:rPr>
                <w:noProof/>
                <w:sz w:val="20"/>
              </w:rPr>
              <w:t xml:space="preserve"> (nelegislatívna iniciatíva, 4. štvrťrok 2020) </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jc w:val="left"/>
              <w:rPr>
                <w:noProof/>
                <w:sz w:val="20"/>
              </w:rPr>
            </w:pPr>
            <w:r>
              <w:rPr>
                <w:b/>
                <w:bCs/>
                <w:noProof/>
                <w:sz w:val="20"/>
              </w:rPr>
              <w:t>Iniciatívy v oblasti rovnosti a nediskriminácie</w:t>
            </w:r>
          </w:p>
        </w:tc>
        <w:tc>
          <w:tcPr>
            <w:tcW w:w="10064" w:type="dxa"/>
            <w:tcMar>
              <w:top w:w="85" w:type="dxa"/>
              <w:bottom w:w="85" w:type="dxa"/>
            </w:tcMar>
          </w:tcPr>
          <w:p>
            <w:pPr>
              <w:spacing w:after="0"/>
              <w:jc w:val="left"/>
              <w:rPr>
                <w:noProof/>
                <w:sz w:val="20"/>
              </w:rPr>
            </w:pPr>
            <w:r>
              <w:rPr>
                <w:b/>
                <w:bCs/>
                <w:noProof/>
                <w:sz w:val="20"/>
              </w:rPr>
              <w:t>Európska stratégia rodovej rovnosti</w:t>
            </w:r>
            <w:r>
              <w:rPr>
                <w:noProof/>
                <w:sz w:val="20"/>
              </w:rPr>
              <w:t xml:space="preserve"> (nelegislatívna iniciatíva, 1. štvrťrok 2020)</w:t>
            </w:r>
            <w:r>
              <w:rPr>
                <w:b/>
                <w:bCs/>
                <w:noProof/>
                <w:sz w:val="20"/>
              </w:rPr>
              <w:t xml:space="preserve"> a následné záväzné opatrenia na zabezpečenie transparentnosti odmeňovania</w:t>
            </w:r>
            <w:r>
              <w:rPr>
                <w:noProof/>
                <w:sz w:val="20"/>
              </w:rPr>
              <w:t xml:space="preserve"> (legislatívna iniciatíva vrátane posúdenia vplyvu, článok 157 ZFEÚ, 4. štvrťrok 2020);</w:t>
            </w:r>
            <w:r>
              <w:rPr>
                <w:noProof/>
                <w:sz w:val="20"/>
              </w:rPr>
              <w:br/>
            </w:r>
            <w:r>
              <w:rPr>
                <w:b/>
                <w:bCs/>
                <w:noProof/>
                <w:sz w:val="20"/>
              </w:rPr>
              <w:t>Stratégia pre rovnosť LGBTI osôb</w:t>
            </w:r>
            <w:r>
              <w:rPr>
                <w:noProof/>
                <w:sz w:val="20"/>
              </w:rPr>
              <w:t xml:space="preserve"> (nelegislatívna iniciatíva, 4. štvrťrok 2020);</w:t>
            </w:r>
            <w:r>
              <w:rPr>
                <w:noProof/>
                <w:sz w:val="20"/>
              </w:rPr>
              <w:br/>
            </w:r>
            <w:r>
              <w:rPr>
                <w:b/>
                <w:bCs/>
                <w:noProof/>
                <w:sz w:val="20"/>
              </w:rPr>
              <w:t>Rámec EÚ na obdobie po roku 2020 týkajúci sa stratégií rovnosti a začleňovania Rómov</w:t>
            </w:r>
            <w:r>
              <w:rPr>
                <w:noProof/>
                <w:sz w:val="20"/>
              </w:rPr>
              <w:t xml:space="preserve"> (nelegislatívna iniciatíva,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Demokracia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Európsky akčný plán pre demokraciu</w:t>
            </w:r>
            <w:r>
              <w:rPr>
                <w:noProof/>
                <w:sz w:val="20"/>
              </w:rPr>
              <w:t xml:space="preserve"> (nelegislatívna a legislatívna iniciatíva vrátane posúdenia vplyvu, články 224 a 114 ZFEÚ, 4.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Budúcnosť Európy</w:t>
            </w:r>
          </w:p>
        </w:tc>
        <w:tc>
          <w:tcPr>
            <w:tcW w:w="10064" w:type="dxa"/>
            <w:tcBorders>
              <w:bottom w:val="single" w:sz="4" w:space="0" w:color="auto"/>
            </w:tcBorders>
            <w:tcMar>
              <w:top w:w="85" w:type="dxa"/>
              <w:bottom w:w="85" w:type="dxa"/>
            </w:tcMar>
          </w:tcPr>
          <w:p>
            <w:pPr>
              <w:spacing w:after="0"/>
              <w:rPr>
                <w:noProof/>
                <w:sz w:val="20"/>
              </w:rPr>
            </w:pPr>
            <w:r>
              <w:rPr>
                <w:b/>
                <w:noProof/>
                <w:sz w:val="20"/>
              </w:rPr>
              <w:t>Riešime budúcnosť Európy – nová konferencia pre všetkých</w:t>
            </w:r>
            <w:r>
              <w:rPr>
                <w:noProof/>
                <w:sz w:val="20"/>
              </w:rPr>
              <w:t xml:space="preserve"> (nelegislatívna iniciatíva, 1.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Právny štát</w:t>
            </w:r>
          </w:p>
        </w:tc>
        <w:tc>
          <w:tcPr>
            <w:tcW w:w="10064" w:type="dxa"/>
            <w:tcBorders>
              <w:bottom w:val="single" w:sz="4" w:space="0" w:color="auto"/>
            </w:tcBorders>
            <w:tcMar>
              <w:top w:w="85" w:type="dxa"/>
              <w:bottom w:w="85" w:type="dxa"/>
            </w:tcMar>
          </w:tcPr>
          <w:p>
            <w:pPr>
              <w:spacing w:after="0"/>
              <w:rPr>
                <w:noProof/>
                <w:sz w:val="20"/>
              </w:rPr>
            </w:pPr>
            <w:r>
              <w:rPr>
                <w:b/>
                <w:bCs/>
                <w:noProof/>
                <w:sz w:val="20"/>
              </w:rPr>
              <w:t>Výročná správa o právnom štáte z roku 2020</w:t>
            </w:r>
            <w:r>
              <w:rPr>
                <w:noProof/>
                <w:sz w:val="20"/>
              </w:rPr>
              <w:t xml:space="preserve"> (nelegislatívna iniciatíva, 3. štvrťrok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Základné práva</w:t>
            </w:r>
          </w:p>
        </w:tc>
        <w:tc>
          <w:tcPr>
            <w:tcW w:w="10064" w:type="dxa"/>
            <w:tcMar>
              <w:top w:w="85" w:type="dxa"/>
              <w:bottom w:w="85" w:type="dxa"/>
            </w:tcMar>
          </w:tcPr>
          <w:p>
            <w:pPr>
              <w:spacing w:after="0"/>
              <w:jc w:val="left"/>
              <w:rPr>
                <w:noProof/>
                <w:sz w:val="20"/>
              </w:rPr>
            </w:pPr>
            <w:r>
              <w:rPr>
                <w:b/>
                <w:bCs/>
                <w:noProof/>
                <w:sz w:val="20"/>
              </w:rPr>
              <w:t>Nová stratégia vykonávania Charty základných práv</w:t>
            </w:r>
            <w:r>
              <w:rPr>
                <w:noProof/>
                <w:sz w:val="20"/>
              </w:rPr>
              <w:t xml:space="preserve"> (nelegislatívna iniciatíva, 4. štvrťrok 2020);</w:t>
            </w:r>
            <w:r>
              <w:rPr>
                <w:noProof/>
                <w:sz w:val="20"/>
              </w:rPr>
              <w:br/>
            </w:r>
            <w:r>
              <w:rPr>
                <w:b/>
                <w:bCs/>
                <w:noProof/>
                <w:sz w:val="20"/>
              </w:rPr>
              <w:t>Stratégia EÚ v oblasti práv obetí</w:t>
            </w:r>
            <w:r>
              <w:rPr>
                <w:noProof/>
                <w:sz w:val="20"/>
              </w:rPr>
              <w:t xml:space="preserve"> (nelegislatívna iniciatíva, 2. štvrťrok 2020);</w:t>
            </w:r>
          </w:p>
          <w:p>
            <w:pPr>
              <w:spacing w:after="0"/>
              <w:jc w:val="left"/>
              <w:rPr>
                <w:noProof/>
                <w:sz w:val="20"/>
              </w:rPr>
            </w:pPr>
            <w:r>
              <w:rPr>
                <w:b/>
                <w:bCs/>
                <w:noProof/>
                <w:sz w:val="20"/>
              </w:rPr>
              <w:t>Správa o uplatňovaní všeobecného nariadenia o ochrane údajov</w:t>
            </w:r>
            <w:r>
              <w:rPr>
                <w:noProof/>
                <w:sz w:val="20"/>
              </w:rPr>
              <w:t xml:space="preserve"> (nelegislatívna iniciatíva, 2. štvrťrok 2020);</w:t>
            </w:r>
            <w:r>
              <w:rPr>
                <w:noProof/>
                <w:sz w:val="20"/>
              </w:rPr>
              <w:br/>
            </w:r>
            <w:r>
              <w:rPr>
                <w:b/>
                <w:bCs/>
                <w:noProof/>
                <w:sz w:val="20"/>
              </w:rPr>
              <w:t>Zosúladenie príslušných pravidiel Únie v oblasti presadzovania práva so zreteľom na ochranu údajov</w:t>
            </w:r>
            <w:r>
              <w:rPr>
                <w:noProof/>
                <w:sz w:val="20"/>
              </w:rPr>
              <w:t xml:space="preserve"> (nelegislatívna iniciatíva, 2. štvrťrok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Lepšia právna regulácia</w:t>
            </w:r>
          </w:p>
        </w:tc>
        <w:tc>
          <w:tcPr>
            <w:tcW w:w="10064" w:type="dxa"/>
            <w:tcBorders>
              <w:bottom w:val="single" w:sz="4" w:space="0" w:color="auto"/>
            </w:tcBorders>
            <w:tcMar>
              <w:top w:w="85" w:type="dxa"/>
              <w:bottom w:w="85" w:type="dxa"/>
            </w:tcMar>
          </w:tcPr>
          <w:p>
            <w:pPr>
              <w:spacing w:after="0"/>
              <w:rPr>
                <w:noProof/>
                <w:sz w:val="20"/>
              </w:rPr>
            </w:pPr>
            <w:r>
              <w:rPr>
                <w:b/>
                <w:noProof/>
                <w:sz w:val="20"/>
              </w:rPr>
              <w:t>Oznámenie o lepšej právnej regulácii</w:t>
            </w:r>
            <w:r>
              <w:rPr>
                <w:noProof/>
                <w:sz w:val="20"/>
              </w:rPr>
              <w:t xml:space="preserve"> (nelegislatívna iniciatíva, 2. štvrťrok 2020) </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vAlign w:val="center"/>
          </w:tcPr>
          <w:p>
            <w:pPr>
              <w:spacing w:after="0"/>
              <w:rPr>
                <w:noProof/>
                <w:sz w:val="20"/>
              </w:rPr>
            </w:pPr>
            <w:r>
              <w:rPr>
                <w:b/>
                <w:bCs/>
                <w:noProof/>
                <w:sz w:val="20"/>
              </w:rPr>
              <w:t>Strategický výhľad</w:t>
            </w:r>
          </w:p>
        </w:tc>
        <w:tc>
          <w:tcPr>
            <w:tcW w:w="10064" w:type="dxa"/>
            <w:tcMar>
              <w:top w:w="85" w:type="dxa"/>
              <w:bottom w:w="85" w:type="dxa"/>
            </w:tcMar>
            <w:vAlign w:val="center"/>
          </w:tcPr>
          <w:p>
            <w:pPr>
              <w:spacing w:after="0"/>
              <w:rPr>
                <w:noProof/>
                <w:sz w:val="20"/>
              </w:rPr>
            </w:pPr>
            <w:r>
              <w:rPr>
                <w:b/>
                <w:noProof/>
                <w:sz w:val="20"/>
              </w:rPr>
              <w:t>Správa o strategickom výhľade z roku 2020</w:t>
            </w:r>
            <w:r>
              <w:rPr>
                <w:noProof/>
                <w:sz w:val="20"/>
              </w:rPr>
              <w:t xml:space="preserve"> (nelegislatívna iniciatíva, 2. štvrťrok 2020)</w:t>
            </w:r>
          </w:p>
        </w:tc>
      </w:tr>
    </w:tbl>
    <w:p>
      <w:pPr>
        <w:spacing w:after="0"/>
        <w:rPr>
          <w:noProof/>
          <w:sz w:val="20"/>
        </w:rPr>
      </w:pPr>
    </w:p>
    <w:p>
      <w:pPr>
        <w:spacing w:after="0"/>
        <w:jc w:val="left"/>
        <w:rPr>
          <w:noProof/>
          <w:sz w:val="20"/>
        </w:rPr>
      </w:pPr>
      <w:r>
        <w:rPr>
          <w:noProof/>
        </w:rPr>
        <w:br w:type="page"/>
      </w:r>
    </w:p>
    <w:p>
      <w:pPr>
        <w:keepNext/>
        <w:tabs>
          <w:tab w:val="left" w:pos="651"/>
          <w:tab w:val="left" w:pos="2054"/>
          <w:tab w:val="left" w:pos="4893"/>
        </w:tabs>
        <w:spacing w:after="600" w:line="276" w:lineRule="auto"/>
        <w:jc w:val="center"/>
        <w:rPr>
          <w:b/>
          <w:noProof/>
          <w:sz w:val="28"/>
          <w:szCs w:val="28"/>
          <w:u w:val="single"/>
        </w:rPr>
      </w:pPr>
      <w:r>
        <w:rPr>
          <w:b/>
          <w:bCs/>
          <w:noProof/>
          <w:sz w:val="28"/>
          <w:szCs w:val="28"/>
          <w:u w:val="single"/>
        </w:rPr>
        <w:t>Príloha II: Iniciatívy v rámci programu REFIT</w:t>
      </w:r>
      <w:r>
        <w:rPr>
          <w:rStyle w:val="FootnoteReference"/>
          <w:b/>
          <w:bCs/>
          <w:noProof/>
          <w:sz w:val="28"/>
          <w:szCs w:val="28"/>
          <w:u w:val="single"/>
        </w:rPr>
        <w:footnoteReference w:id="3"/>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47"/>
        <w:gridCol w:w="4400"/>
        <w:gridCol w:w="9780"/>
      </w:tblGrid>
      <w:tr>
        <w:trPr>
          <w:cantSplit/>
          <w:tblHeader/>
        </w:trPr>
        <w:tc>
          <w:tcPr>
            <w:tcW w:w="647"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bCs/>
                <w:noProof/>
                <w:sz w:val="20"/>
              </w:rPr>
              <w:t>Č.</w:t>
            </w:r>
          </w:p>
        </w:tc>
        <w:tc>
          <w:tcPr>
            <w:tcW w:w="4400"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noProof/>
                <w:sz w:val="20"/>
              </w:rPr>
              <w:t>Názov</w:t>
            </w:r>
          </w:p>
        </w:tc>
        <w:tc>
          <w:tcPr>
            <w:tcW w:w="9780"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noProof/>
                <w:sz w:val="20"/>
              </w:rPr>
              <w:t>Cieľ/potenciál zjednodušenia</w:t>
            </w:r>
            <w:r>
              <w:rPr>
                <w:noProof/>
                <w:sz w:val="20"/>
              </w:rPr>
              <w:t xml:space="preserve"> (stručné vysvetlenie cieľa programu REFIT, pokiaľ ide o revízie, a potenciálu zjednodušenia pre hodnotenia a kontroly vhodnosti)</w:t>
            </w:r>
          </w:p>
        </w:tc>
      </w:tr>
      <w:tr>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pPr>
              <w:keepNext/>
              <w:spacing w:before="60" w:after="60"/>
              <w:rPr>
                <w:b/>
                <w:bCs/>
                <w:noProof/>
                <w:sz w:val="20"/>
              </w:rPr>
            </w:pPr>
            <w:r>
              <w:rPr>
                <w:b/>
                <w:bCs/>
                <w:noProof/>
                <w:color w:val="FFFFFF" w:themeColor="background1"/>
                <w:sz w:val="20"/>
              </w:rPr>
              <w:t>Európsky ekologický dohovor</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Hodnotenie obchodných noriem [obsiahnuté v nariadení o spoločnej organizácii trhov (SOT), „raňajkových smerniciach“ a sekundárnych právnych predpisoch o spoločnej organizácii trhov]</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Hodnotenie obchodných noriem pomôže posúdiť súlad medzi rôznymi právnymi predpismi, ako aj určiť potenciál pre zjednodušenie. Výsledky hodnotenia môžu slúžiť ako základ pre úvahy o potrebe regulačných zmien týkajúcich sa obchodných noriem.</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Hodnotenie zemepisných označení a zaručených tradičných špecialít chránených v EÚ</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Hodnotenie zemepisných označení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 xml:space="preserve">Revízia usmernení k niektorým opatreniam štátnej pomoci v súvislosti so systémom obchodovania s emisnými kvótami skleníkových plynov po roku 2020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Členské štáty môžu niektorým používateľom náročným na spotrebu elektriny poskytnúť kompenzáciu za časť vyšších nákladov na elektrickú energiu, ktoré sú dôsledkom existencie systému EÚ na obchodovanie s emisiami. Cieľom takejto kompenzácie je minimalizovať tzv. riziko úniku uhlíka, ku ktorému dochádza, keď náklady na emisie spôsobujú premiestnenie z EÚ do tretích krajín, v ktorých neexistujú porovnateľné obmedzenia. Existujúce pravidlá umožňujúce kompenzáciu sa budú revidovať, aby sa zabezpečilo ich prispôsobenie novému systému obchodovania s emisnými kvótami na obdobie rokov 2021 – 2030. (nelegislatívna iniciatíva vrátane posúdenia vplyvu, 4. štvrťrok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 xml:space="preserve">Revízia nariadenia o transeurópskej energetickej sieti (TEN-E)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i/>
                <w:iCs/>
                <w:noProof/>
                <w:sz w:val="20"/>
              </w:rPr>
            </w:pPr>
            <w:r>
              <w:rPr>
                <w:noProof/>
                <w:sz w:val="20"/>
              </w:rPr>
              <w:t>Touto iniciatívou sa zabezpečí, aby bolo nariadenie TEN-E plne v súlade s európskym ekologickým dohovorom a dlhodobými cieľmi Únie v oblasti dekarbonizácie, a zároveň prispelo k integrácii odvetvia a trhu, bezpečnosti dodávok a hospodárskej súťaži. (legislatívna iniciatíva vrátane posúdenia vplyvu, článok 170 – 171 ZFEÚ, 4. štvrťrok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Hodnotenie smernice 2011/65/EÚ o obmedzení používania určitých nebezpečných látok v elektrických a elektronických zariadeniach</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Pri hodnotení smernice o obmedzení používania určitých nebezpečných látok sa posúdi jej účinnosť a efektívnosť z hľadiska postupu prijímania obmedzení látok a udeľovania výnimiek z obmedzení. Posúdi sa v ňom aj jej súlad s inými právnymi predpismi EÚ a jej relevantnosť voči nim, a to najmä so zreteľom na hodnotenia nariadenia REACH a smernice o ekodizajne.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 xml:space="preserve">Hodnotenie smernice 2000/53/EÚ o vozidlách po dobe životnosti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Pri hodnotení smernice o vozidlách po dobe životnosti sa posúdi jej účinnosť, efektívnosť, súlad s inými právnymi predpismi a relevantnosť vzhľadom na širšie ciele politiky v oblasti obehového hospodárstva, plastov, efektívneho využívania zdrojov, surovín atď.</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Hodnotenie smernice 2010/75/EÚ o priemyselných emisiách</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V hodnotení smernice o priemyselných emisiách sa posúdi jej účinnosť, efektívnosť, pridaná hodnota EÚ, súlad s inými právnymi predpismi a relevantnosť, pokiaľ ide o riešenie dôležitých (agro) priemyselných zdrojov znečistenia ovzdušia, vody a pôdy.</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Kontrola vhodnosti pravidiel EÚ zameraných proti nezákonnej ťažbe dreva [nariadenie EÚ o dreve, nariadenie (EÚ) č. 995/2010 a nariadenie (ES) č. 2173/2005 FLEGT v EÚ]</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V rámci kontroly vhodnosti sa v prípade oboch nariadení posúdi účinnosť, efektívnosť, súlad, relevantnosť a pridaná hodnota EÚ, pokiaľ ide o prispievanie k boju proti nezákonnej ťažbe dreva na celom svete. Skúsenosti získané pri kontrole vhodnosti budú užitočné pri hodnotení opatrení na strane dopytu v prípade iných komodít.</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Revízia smernice EÚ o batériách </w:t>
            </w:r>
          </w:p>
        </w:tc>
        <w:tc>
          <w:tcPr>
            <w:tcW w:w="9780" w:type="dxa"/>
            <w:tcBorders>
              <w:top w:val="single" w:sz="4" w:space="0" w:color="auto"/>
              <w:left w:val="single" w:sz="4" w:space="0" w:color="auto"/>
              <w:bottom w:val="single" w:sz="4" w:space="0" w:color="auto"/>
            </w:tcBorders>
            <w:vAlign w:val="center"/>
          </w:tcPr>
          <w:p>
            <w:pPr>
              <w:keepNext/>
              <w:spacing w:after="0"/>
              <w:rPr>
                <w:rFonts w:eastAsiaTheme="minorEastAsia" w:cstheme="minorBidi"/>
                <w:noProof/>
                <w:sz w:val="20"/>
              </w:rPr>
            </w:pPr>
            <w:r>
              <w:rPr>
                <w:noProof/>
                <w:sz w:val="20"/>
              </w:rPr>
              <w:t>Ako sa uvádza v správach o hodnotení/vykonávaní smernice o batériách, cieľom revízie by malo byť lepšie zohľadnenie obehovosti, zlepšenie udržateľnosti a udržanie tempa s technologickým vývojom. S tým sa počíta aj v strategickom akčnom pláne pre batérie. V nadväznosti na závery správ o smernici sa touto iniciatívou upraví smernica alebo sa pripraví návrh nového nariadenia, ktorým sa smernica zrušuje, a to najmä s cieľom zahrnúť požiadavky týkajúce sa konca životnosti a udržateľnosti. (legislatívna iniciatíva vrátane posúdenia vplyvu; 4. štvrťrok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Kontrola vhodnosti právnych predpisov EÚ v oblasti endokrinných disruptorov</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Endokrinné disruptory sú látky, ktoré menia funkciu endokrinného (hormonálneho) systému a negatívne ovplyvňujú zdravie ľudí a zvierat. Tieto látky sú regulované v rámci rôznych opatrení EÚ. V rámci kontroly vhodnosti sa posúdi, či tieto opatrenia sledujú celkový cieľ ochrany ľudského zdravia a životného prostredia. Posúdi sa súlad, účinnosť, efektívnosť, relevantnosť a pridaná hodnota právnych predpisov EÚ s dôrazom na súlad s </w:t>
            </w:r>
            <w:r>
              <w:rPr>
                <w:i/>
                <w:noProof/>
                <w:sz w:val="20"/>
              </w:rPr>
              <w:t>acquis</w:t>
            </w:r>
            <w:r>
              <w:rPr>
                <w:noProof/>
                <w:sz w:val="20"/>
              </w:rPr>
              <w:t xml:space="preserve"> v oblasti chemikálií.</w:t>
            </w:r>
          </w:p>
        </w:tc>
      </w:tr>
      <w:tr>
        <w:trPr>
          <w:cantSplit/>
        </w:trPr>
        <w:tc>
          <w:tcPr>
            <w:tcW w:w="647" w:type="dxa"/>
            <w:tcBorders>
              <w:bottom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bottom w:val="single" w:sz="4" w:space="0" w:color="auto"/>
            </w:tcBorders>
          </w:tcPr>
          <w:p>
            <w:pPr>
              <w:keepNext/>
              <w:spacing w:after="0"/>
              <w:rPr>
                <w:rFonts w:eastAsiaTheme="minorEastAsia" w:cstheme="minorBidi"/>
                <w:b/>
                <w:bCs/>
                <w:noProof/>
                <w:sz w:val="20"/>
              </w:rPr>
            </w:pPr>
            <w:r>
              <w:rPr>
                <w:b/>
                <w:bCs/>
                <w:noProof/>
                <w:sz w:val="20"/>
              </w:rPr>
              <w:t>Revízia nariadenia o obchodných normách, ktoré sa vzťahuje na produkty rybolovu a akvakultúry v EÚ</w:t>
            </w:r>
          </w:p>
        </w:tc>
        <w:tc>
          <w:tcPr>
            <w:tcW w:w="9780" w:type="dxa"/>
            <w:tcBorders>
              <w:bottom w:val="single" w:sz="4" w:space="0" w:color="auto"/>
            </w:tcBorders>
          </w:tcPr>
          <w:p>
            <w:pPr>
              <w:keepNext/>
              <w:spacing w:after="0"/>
              <w:rPr>
                <w:rFonts w:eastAsiaTheme="minorEastAsia" w:cstheme="minorBidi"/>
                <w:noProof/>
                <w:sz w:val="20"/>
              </w:rPr>
            </w:pPr>
            <w:r>
              <w:rPr>
                <w:noProof/>
                <w:sz w:val="20"/>
              </w:rPr>
              <w:t>Touto revíziou sa zjednoduší právne nastavenie: jedným nariadením (EÚ) sa nahradia tri nariadenia, ktoré sa v súčasnosti vzťahujú aj na produkty akvakultúry, transparentnosť a informácie pre spotrebiteľov. (legislatívna iniciatíva vrátane posúdenia vplyvu, článok 43 ZFEÚ, 4. štvrťrok 2020)</w:t>
            </w:r>
          </w:p>
        </w:tc>
      </w:tr>
      <w:tr>
        <w:trPr>
          <w:cantSplit/>
        </w:trPr>
        <w:tc>
          <w:tcPr>
            <w:tcW w:w="647" w:type="dxa"/>
            <w:tcBorders>
              <w:bottom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bottom w:val="single" w:sz="4" w:space="0" w:color="auto"/>
            </w:tcBorders>
          </w:tcPr>
          <w:p>
            <w:pPr>
              <w:keepNext/>
              <w:spacing w:after="0"/>
              <w:jc w:val="left"/>
              <w:rPr>
                <w:rFonts w:eastAsiaTheme="minorEastAsia" w:cstheme="minorBidi"/>
                <w:b/>
                <w:bCs/>
                <w:noProof/>
                <w:sz w:val="20"/>
              </w:rPr>
            </w:pPr>
            <w:r>
              <w:rPr>
                <w:b/>
                <w:bCs/>
                <w:noProof/>
                <w:sz w:val="20"/>
              </w:rPr>
              <w:t>Hodnotenie nariadenia 913/2010 o európskej železničnej sieti pre konkurencieschopnú nákladnú dopravu</w:t>
            </w:r>
            <w:r>
              <w:rPr>
                <w:b/>
                <w:noProof/>
                <w:sz w:val="20"/>
              </w:rPr>
              <w:br/>
            </w:r>
            <w:r>
              <w:rPr>
                <w:b/>
                <w:bCs/>
                <w:noProof/>
                <w:sz w:val="20"/>
              </w:rPr>
              <w:t>(nariadenie o koridoroch železničnej nákladnej dopravy)</w:t>
            </w:r>
          </w:p>
        </w:tc>
        <w:tc>
          <w:tcPr>
            <w:tcW w:w="9780" w:type="dxa"/>
            <w:tcBorders>
              <w:bottom w:val="single" w:sz="4" w:space="0" w:color="auto"/>
            </w:tcBorders>
          </w:tcPr>
          <w:p>
            <w:pPr>
              <w:keepNext/>
              <w:spacing w:after="0"/>
              <w:jc w:val="left"/>
              <w:rPr>
                <w:rFonts w:eastAsiaTheme="minorEastAsia" w:cstheme="minorBidi"/>
                <w:noProof/>
                <w:sz w:val="20"/>
              </w:rPr>
            </w:pPr>
            <w:r>
              <w:rPr>
                <w:noProof/>
                <w:sz w:val="20"/>
              </w:rPr>
              <w:t>Nárast nákladnej dopravy po železnici je kľúčovým prvkom politiky EÚ na zníženie emisií CO</w:t>
            </w:r>
            <w:r>
              <w:rPr>
                <w:noProof/>
                <w:sz w:val="20"/>
                <w:vertAlign w:val="subscript"/>
              </w:rPr>
              <w:t>2</w:t>
            </w:r>
            <w:r>
              <w:rPr>
                <w:noProof/>
                <w:sz w:val="20"/>
              </w:rPr>
              <w:t xml:space="preserve"> spojených s dopravou, no táto politika však čelí problémom. Nariadenie o koridoroch železničnej nákladnej dopravy je zamerané na zlepšenie spolupráce a koordinácie v prípade niekoľkých koridorov s osobitným potenciálom pre rozvoj medzinárodnej železničnej nákladnej dopravy.</w:t>
            </w:r>
            <w:r>
              <w:rPr>
                <w:noProof/>
                <w:sz w:val="20"/>
              </w:rPr>
              <w:br/>
              <w:t>Nariadenie (EÚ) 913/2010 o európskej železničnej sieti pre konkurencieschopnú nákladnú dopravu nadobudlo účinnosť v roku 2010 a zriadilo sa deväť koridorov železničnej nákladnej dopravy, pričom ďalšie dve koridory pribudli neskôr. Cieľom tohto hodnotenia je poskytnúť úplný prehľad o vykonávaní nariadenia, ako aj posúdenie jeho účinkov. Bude užitočné určiť, aké ďalšie kroky na úrovni EÚ sú potrebné na posilnenie nákladnej železničnej dopravy.</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Hodnotenie smernice 2009/128/ES o trvalo udržateľnom používaní pesticídov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Toto hodnotenie sa okrem iného zameria na pokrok dosiahnutý smernicou v oblasti znižovania závislosti od pesticídov a v oblasti motivácie zavádzať nízkorizikové a nechemické alternatívy k pesticídom. Zváži sa aj potenciál zjednodušenia, napríklad pokiaľ ide o pravidlá pre kontrolu zariadení na aplikáciu pesticídov a nové pravidlá pre úradné kontroly.</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Hodnotenie stratégie EÚ v oblasti dobrých životných podmienok zvierat (2012 – 2015)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b/>
                <w:bCs/>
                <w:noProof/>
                <w:sz w:val="20"/>
              </w:rPr>
            </w:pPr>
            <w:r>
              <w:rPr>
                <w:noProof/>
                <w:sz w:val="20"/>
              </w:rPr>
              <w:t>Toto hodnotenie sa bude zaoberať rozsahom, v akom stratégia EÚ v oblasti dobrých životných podmienok zvierat prispela k zjednodušeniu rámca EÚ pre dobré životné podmienky zvierat, a bude sa venovať aj zostávajúcemu priestoru na zjednodušenie, a to so zreteľom na vývoj potrieb v tejto oblasti.</w:t>
            </w:r>
          </w:p>
        </w:tc>
      </w:tr>
      <w:tr>
        <w:trPr>
          <w:cantSplit/>
          <w:trHeight w:val="2027"/>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Hodnotenie povoľovania prípravkov na ochranu rastlín a maximálnych hladín rezíduí pesticídov</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Toto hodnotenie sa týka toho, ako sa vo všetkých členských štátoch vykonáva a ako tam funguje nariadenie 1107/2009 o prípravkoch na ochranu rastlín, ktoré sa uplatňuje od júna 2011, a nariadenie 396/2005 o maximálnych hladinách rezíduí, ktoré sa uplatňuje od septembra 2008. Navrhuje možné spôsoby zlepšenia vykonávania nariadení s cieľom zjednodušiť alebo posilniť súčasný regulačný rámec, napr. riešiť oneskorenia a zvýšiť transparentnosť, zlepšiť zónový systém povoľovania a vzájomného uznávania povolení, podporovať udržateľnú ochranu rastlín, nízko rizikové riešenia a účinné zmierňovanie rizika, ako aj zvýšiť súdržnosť a konzistentnosť medzi nariadeniami a inými právnymi predpismi EÚ.</w:t>
            </w:r>
          </w:p>
          <w:p>
            <w:pPr>
              <w:keepNext/>
              <w:spacing w:after="0"/>
              <w:rPr>
                <w:rFonts w:eastAsiaTheme="minorEastAsia" w:cstheme="minorBidi"/>
                <w:noProof/>
                <w:sz w:val="20"/>
              </w:rPr>
            </w:pPr>
            <w:r>
              <w:rPr>
                <w:noProof/>
                <w:sz w:val="20"/>
              </w:rPr>
              <w:t>Hodnotenie sa zaoberá aj otázkami uvedenými v </w:t>
            </w:r>
            <w:hyperlink r:id="rId22" w:history="1">
              <w:r>
                <w:rPr>
                  <w:noProof/>
                  <w:color w:val="0000FF" w:themeColor="hyperlink"/>
                  <w:sz w:val="20"/>
                  <w:u w:val="single"/>
                </w:rPr>
                <w:t>stanovisku platformy REFIT XI.10</w:t>
              </w:r>
            </w:hyperlink>
            <w:r>
              <w:rPr>
                <w:noProof/>
                <w:sz w:val="20"/>
              </w:rPr>
              <w:t xml:space="preserve"> o látkach na viacnásobné použitie/z viacerých zdrojov (chlorát) prijatom 7. 6. 2017 a v </w:t>
            </w:r>
            <w:hyperlink r:id="rId23" w:history="1">
              <w:r>
                <w:rPr>
                  <w:noProof/>
                  <w:color w:val="0000FF" w:themeColor="hyperlink"/>
                  <w:sz w:val="20"/>
                  <w:u w:val="single"/>
                </w:rPr>
                <w:t>stanovisku platformy REFIT XI.22.a</w:t>
              </w:r>
            </w:hyperlink>
            <w:r>
              <w:rPr>
                <w:noProof/>
                <w:sz w:val="20"/>
              </w:rPr>
              <w:t xml:space="preserve"> o registrácií výrobkov na ochranu rastlín prijatom 14. 3. 2019.</w:t>
            </w:r>
          </w:p>
        </w:tc>
      </w:tr>
      <w:tr>
        <w:trPr>
          <w:cantSplit/>
          <w:trHeight w:val="1336"/>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Hodnotenie nariadenia (ES) č. 1924/2006 o výživových a zdravotných tvrdeniach o potravinách, pokiaľ ide o nutričné zloženia a zdravotné tvrdenia o rastlinách a ich prípravkoch, ako aj o všeobecnom regulačnom rámci pre ich používanie v potravinách</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Toto hodnotenie sa zaoberá otázkou nastolenou v </w:t>
            </w:r>
            <w:hyperlink r:id="rId24" w:history="1">
              <w:r>
                <w:rPr>
                  <w:noProof/>
                  <w:color w:val="0000FF" w:themeColor="hyperlink"/>
                  <w:sz w:val="20"/>
                  <w:u w:val="single"/>
                </w:rPr>
                <w:t>stanovisku platformy REFIT XI.11.a-b</w:t>
              </w:r>
            </w:hyperlink>
            <w:r>
              <w:rPr>
                <w:noProof/>
                <w:sz w:val="20"/>
              </w:rPr>
              <w:t xml:space="preserve"> o tvorbe nutričných zložení. V hodnotení sa posudzoval vplyv súčasnej situácie (v ktorej neexistujú žiadne nutričné zloženia na úrovni EÚ). Skúma sa v ňom, či sú nutričné zloženia stále vhodné na svoj účel, oprávnené a primerané na zabezpečenie cieľov nariadenia o tvrdeniach. Očakáva sa, že výsledky tohto hodnotenia pomôžu pri riešení problémov, na ktoré podniky upozornili v súvislosti so smernicou o tradičných rastlinných liekoch, ako sa uvádza v </w:t>
            </w:r>
            <w:hyperlink r:id="rId25" w:history="1">
              <w:r>
                <w:rPr>
                  <w:noProof/>
                  <w:color w:val="0000FF" w:themeColor="hyperlink"/>
                  <w:sz w:val="20"/>
                  <w:u w:val="single"/>
                </w:rPr>
                <w:t>stanovisku platformy REFIT XI.6.a-b</w:t>
              </w:r>
            </w:hyperlink>
            <w:r>
              <w:rPr>
                <w:noProof/>
                <w:sz w:val="20"/>
              </w:rPr>
              <w:t>.</w:t>
            </w:r>
          </w:p>
        </w:tc>
      </w:tr>
      <w:tr>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Hodnotenie materiálov prichádzajúcich do styku s potravinami</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V tomto hodnotení sa skúmajú všetky aspekty súčasných právnych predpisov EÚ o materiáloch prichádzajúcich do styku s potravinami vrátane účinnosti vyhlásenia o zhode, ktoré sa v súčasnosti vyžaduje pri osobitných opatreniach na úrovni EÚ. Na základe tohto hodnotenia Komisia zváži, či sú na úrovni EÚ potrebné ďalšie opatrenia, a zohľadní aj rôzne otázky, ako napríklad otázku, na ktorú sa poukázalo v </w:t>
            </w:r>
            <w:hyperlink r:id="rId26" w:history="1">
              <w:r>
                <w:rPr>
                  <w:noProof/>
                  <w:color w:val="0000FF" w:themeColor="hyperlink"/>
                  <w:sz w:val="20"/>
                  <w:u w:val="single"/>
                </w:rPr>
                <w:t>stanovisku platformy REFIT XI.1a</w:t>
              </w:r>
            </w:hyperlink>
            <w:r>
              <w:rPr>
                <w:noProof/>
                <w:sz w:val="20"/>
              </w:rPr>
              <w:t>, kde sa odporúča spoločná európska požiadavka existencie vyhlásenia o zhode pre všetky typy materiálov prichádzajúcich do styku s potravinami.</w:t>
            </w:r>
          </w:p>
        </w:tc>
      </w:tr>
      <w:tr>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Hodnotenie smernice 2005/44/ES o harmonizovaných riečnych informačných službách (RIS) na vnútrozemských vodných cestách v Spoločenstve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Riečne informačné služby (RIS) využívajú informačné a komunikačné technológie (IKT) na podporu bezpečnosti, účinnosti a šetrnosti vnútrozemskej vodnej dopravy k životnému prostrediu. Smernica RIS poskytuje rámec pre minimálne požiadavky a technické špecifikácie pre poskytovanie a zavádzanie RIS s cieľom zabezpečiť harmonizáciu, interoperabilitu a cezhraničnú kompatibilitu systémov RIS členských štátov pre vodné cesty triedy IV alebo vyššej. Hodnotenie sa zameriava na vykonávanie smernice a na aktuálny organizačný a technologický vývoj v danom odvetví, najmä pokiaľ ide o digitálne technológie. Hodnotia sa v ňom aj potenciálne oblasti zjednodušenia procesu, prostredníctvom ktorého sa pripravujú aktualizácie technických špecifikácií podľa smernice.</w:t>
            </w:r>
          </w:p>
        </w:tc>
      </w:tr>
      <w:tr>
        <w:trPr>
          <w:cantSplit/>
        </w:trPr>
        <w:tc>
          <w:tcPr>
            <w:tcW w:w="14827" w:type="dxa"/>
            <w:gridSpan w:val="3"/>
            <w:shd w:val="clear" w:color="auto" w:fill="18BAA8" w:themeFill="accent2"/>
          </w:tcPr>
          <w:p>
            <w:pPr>
              <w:keepNext/>
              <w:spacing w:before="60" w:after="60"/>
              <w:rPr>
                <w:b/>
                <w:bCs/>
                <w:noProof/>
                <w:sz w:val="20"/>
              </w:rPr>
            </w:pPr>
            <w:r>
              <w:rPr>
                <w:b/>
                <w:bCs/>
                <w:noProof/>
                <w:color w:val="FFFFFF" w:themeColor="background1"/>
                <w:sz w:val="20"/>
              </w:rPr>
              <w:t>Európa pripravená na digitálny vek</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Správa Komisie Európskemu parlamentu a Rade o uplatňovaní nariadenia (EÚ) 910/2014 o elektronickej identifikácii a dôveryhodných službách pre elektronické transakcie na vnútornom trhu (nariadenie eIDAS)</w:t>
            </w:r>
          </w:p>
        </w:tc>
        <w:tc>
          <w:tcPr>
            <w:tcW w:w="9780" w:type="dxa"/>
          </w:tcPr>
          <w:p>
            <w:pPr>
              <w:spacing w:after="0"/>
              <w:rPr>
                <w:rFonts w:eastAsiaTheme="minorEastAsia" w:cstheme="minorBidi"/>
                <w:noProof/>
                <w:color w:val="000000" w:themeColor="text1"/>
                <w:sz w:val="20"/>
              </w:rPr>
            </w:pPr>
            <w:r>
              <w:rPr>
                <w:noProof/>
                <w:sz w:val="20"/>
              </w:rPr>
              <w:t xml:space="preserve">Komisia predloží Európskemu parlamentu a Rade správu o uplatňovaní nariadenia (EÚ) 910/2014, a to do 1. júla 2020, ako sa vyžaduje v článku 49 nariadenia. V správe sa posúdi, do akej miery je rámec eIDAS naďalej vhodný na účely dosahovania plánovaných výsledkov, výstupov a vplyvov, a môžu sa v nej uviesť ďalšie možné opatrenia na zlepšenie výkonnosti v oblasti regulácie. Komisia uskutoční hodnotenie v súlade s usmerneniami o lepšej právnej regulácii, pričom sa uskutoční aj verejná cielená konzultácia so zainteresovanými stranami.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Preskúmanie smernice o znižovaní nákladov na širokopásmové pripojenie (smernica 2014/61/EÚ)</w:t>
            </w:r>
          </w:p>
        </w:tc>
        <w:tc>
          <w:tcPr>
            <w:tcW w:w="9780" w:type="dxa"/>
          </w:tcPr>
          <w:p>
            <w:pPr>
              <w:spacing w:after="0"/>
              <w:rPr>
                <w:rFonts w:eastAsiaTheme="minorEastAsia" w:cstheme="minorBidi"/>
                <w:noProof/>
                <w:color w:val="000000" w:themeColor="text1"/>
                <w:sz w:val="20"/>
              </w:rPr>
            </w:pPr>
            <w:r>
              <w:rPr>
                <w:noProof/>
                <w:sz w:val="20"/>
              </w:rPr>
              <w:t xml:space="preserve">Cieľom preskúmania je znížiť zbytočné a nákladné administratívne zaťaženie, ktoré môže výrazne odrádzať a oneskoriť zavádzanie sietí. Zameriava sa na ďalšie zlepšovanie súčasného opatrenia prostredníctvom zjednodušenia povolení a postupov alebo prostredníctvom zvýšenia pružnosti inžinierskych prác zlepšením koordinácie s inými infraštruktúrami (cesty, energetika a pod.). Môže ísť o veľkú príležitosť, ako novými právnymi predpismi znížiť celkovú administratívnu záťaž v sektore.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Preskúmanie nariadenia o vnútornom trhu a cezhraničnom elektronickom obchode (geografické blokovanie)</w:t>
            </w:r>
          </w:p>
        </w:tc>
        <w:tc>
          <w:tcPr>
            <w:tcW w:w="9780" w:type="dxa"/>
          </w:tcPr>
          <w:p>
            <w:pPr>
              <w:spacing w:after="0"/>
              <w:rPr>
                <w:rFonts w:eastAsiaTheme="minorEastAsia" w:cstheme="minorBidi"/>
                <w:noProof/>
                <w:color w:val="000000" w:themeColor="text1"/>
                <w:sz w:val="20"/>
              </w:rPr>
            </w:pPr>
            <w:r>
              <w:rPr>
                <w:noProof/>
                <w:sz w:val="20"/>
              </w:rPr>
              <w:t xml:space="preserve">Komisia predloží správu o hodnotení tohto nariadenia Európskemu parlamentu, Rade a Európskemu hospodárskemu a sociálnemu výboru do 23. marca 2020, ako sa vyžaduje v článku 9 nariadenia (EÚ) 302/2018. Komisia zohľadní celkový vplyv nariadenia na vnútorný trh a cezhraničný elektronický obchod, a to najmä potenciálne dodatočné administratívne a finančné zaťaženie obchodníkov vyplývajúce z existencie rôznych uplatniteľných regulačných režimov spotrebiteľského zmluvného práva.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 xml:space="preserve">Revízia odporúčania o digitalizácii kultúrneho materiálu, jeho dostupnosti online a o uchovávaní digitálnych záznamov (2011/711/EÚ) </w:t>
            </w:r>
          </w:p>
        </w:tc>
        <w:tc>
          <w:tcPr>
            <w:tcW w:w="9780" w:type="dxa"/>
          </w:tcPr>
          <w:p>
            <w:pPr>
              <w:spacing w:after="0"/>
              <w:rPr>
                <w:rFonts w:eastAsiaTheme="minorEastAsia" w:cstheme="minorBidi"/>
                <w:noProof/>
                <w:color w:val="000000" w:themeColor="text1"/>
                <w:sz w:val="20"/>
              </w:rPr>
            </w:pPr>
            <w:r>
              <w:rPr>
                <w:noProof/>
                <w:sz w:val="20"/>
              </w:rPr>
              <w:t>V rámci prebiehajúceho hodnotenia sa posudzuje jeden z hlavných politických nástrojov v oblasti digitalizácie, online prístup k materiálu, ktorý predstavuje kultúrne dedičstvo, a jeho digitálne uchovávanie. Cieľom je zhromaždiť názory zainteresovaných strán týkajúce sa prípadnej aktualizácie na účely lepšieho zohľadnenia súčasných potrieb verejnosti v tejto oblasti a zvýšiť potenciál európskeho kultúrneho dedičstva v prospech občanov.</w:t>
            </w:r>
            <w:r>
              <w:rPr>
                <w:noProof/>
                <w:sz w:val="20"/>
              </w:rPr>
              <w:br/>
              <w:t xml:space="preserve">Pri revízii sa tieto aspekty preskúmajú v súlade so súčasnými technologickými trendmi a potrebami sektora.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Kontrola vhodnosti balíka modernizácie štátnej pomoci z roku 2012, usmernení pre železnice a poistenia krátkodobých vývozných úverov</w:t>
            </w:r>
          </w:p>
        </w:tc>
        <w:tc>
          <w:tcPr>
            <w:tcW w:w="9780" w:type="dxa"/>
          </w:tcPr>
          <w:p>
            <w:pPr>
              <w:spacing w:after="0"/>
              <w:rPr>
                <w:rFonts w:eastAsiaTheme="minorEastAsia" w:cstheme="minorBidi"/>
                <w:noProof/>
                <w:spacing w:val="-2"/>
                <w:sz w:val="20"/>
              </w:rPr>
            </w:pPr>
            <w:r>
              <w:rPr>
                <w:noProof/>
                <w:sz w:val="20"/>
              </w:rPr>
              <w:t>V dôsledku modernizácie štátnej pomoci je v súčasnosti 96 % nových realizovaných opatrení pomoci v rukách vnútroštátnych orgánov. Umožňuje to rýchlejšie vykonávanie zo strany členských štátov a kontrola štátnej pomoci tak môže „zohrávať zásadnú úlohu v zásadných otázkach a menšiu úlohu v menej dôležitých otázkach“. Prebiehajúca kontrola vhodnosti má okrem iného za cieľ posúdiť, do akej miery súčasný režim prispel k zníženiu administratívneho zaťaženia a či existuje ďalší potenciál na zefektívnenie a zjednodušenie pravidiel štátnej pomoci.</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Hodnotenie nariadenia o skupinových výnimkách pre vertikálne dohody</w:t>
            </w:r>
          </w:p>
        </w:tc>
        <w:tc>
          <w:tcPr>
            <w:tcW w:w="9780" w:type="dxa"/>
          </w:tcPr>
          <w:p>
            <w:pPr>
              <w:spacing w:after="0"/>
              <w:rPr>
                <w:rFonts w:eastAsiaTheme="minorEastAsia" w:cstheme="minorBidi"/>
                <w:noProof/>
                <w:spacing w:val="-2"/>
                <w:sz w:val="20"/>
              </w:rPr>
            </w:pPr>
            <w:r>
              <w:rPr>
                <w:noProof/>
                <w:sz w:val="20"/>
              </w:rPr>
              <w:t>V rámci prebiehajúceho hodnotenia nariadenia o skupinových výnimkách pre vertikálne dohody a usmernení o vertikálnych obmedzeniach sa najmä posúdi, do akej miery súčasný systém splnil svoj cieľ vytvoriť bezpečný prístav pre vertikálne dohody, ktoré sú zamerané na zvýšenie efektívnosti, a tak poskytujú právnu istotu a znižujú náklady na dodržiavanie predpisov pre zainteresované strany. To zahŕňa určenie oblastí, v ktorých súčasný režim nemusí náležite odrážať nový vývoj na trhu, ako aj možné nedostatky, ktoré môžu mať za následok právnu neistotu, nezrovnalosti pri presadzovaní vertikálnych pravidiel v rôznych členských štátoch EÚ, a tým zvýšené náklady na dodržiavanie predpisov pre zainteresované strany.</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Hodnotenie procesných a jurisdikčných aspektov kontroly koncentrácií EÚ</w:t>
            </w:r>
          </w:p>
        </w:tc>
        <w:tc>
          <w:tcPr>
            <w:tcW w:w="9780" w:type="dxa"/>
          </w:tcPr>
          <w:p>
            <w:pPr>
              <w:spacing w:after="0"/>
              <w:rPr>
                <w:rFonts w:eastAsiaTheme="minorEastAsia" w:cstheme="minorBidi"/>
                <w:noProof/>
                <w:spacing w:val="-2"/>
                <w:sz w:val="20"/>
              </w:rPr>
            </w:pPr>
            <w:r>
              <w:rPr>
                <w:noProof/>
                <w:sz w:val="20"/>
              </w:rPr>
              <w:t>Prebiehajúce hodnotenie sa zameriava na zjednodušenie a v prípade potreby obmedzenie byrokracie, zjednodušenie systému postupovania prípadov a ďalšie zlepšenia technickej povahy. Okrem toho, vzhľadom na nedávnu diskusiu o účinnosti limitov pre stanovenie súdnej príslušnosti založených výlučne na obrate a uvedených v nariadení EÚ o fúziách, cieľom hodnotenia je aj posúdiť, či tieto limity umožňujú zachytiť všetky transakcie, ktoré môžu mať potenciálne vplyv na vnútorný trh.</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Cielená zmena všeobecného nariadenia o skupinových výnimkách v súvislosti s úniovými programami financovania</w:t>
            </w:r>
          </w:p>
        </w:tc>
        <w:tc>
          <w:tcPr>
            <w:tcW w:w="9780" w:type="dxa"/>
            <w:shd w:val="clear" w:color="auto" w:fill="auto"/>
          </w:tcPr>
          <w:p>
            <w:pPr>
              <w:spacing w:after="0"/>
              <w:rPr>
                <w:rFonts w:eastAsiaTheme="minorEastAsia" w:cstheme="minorBidi"/>
                <w:noProof/>
                <w:spacing w:val="-2"/>
                <w:sz w:val="20"/>
              </w:rPr>
            </w:pPr>
            <w:r>
              <w:rPr>
                <w:noProof/>
                <w:sz w:val="20"/>
              </w:rPr>
              <w:t>Komisia usiluje vzhľadom na nasledujúci viacročný finančný rámec o realizáciu zmeny všeobecného nariadenia o skupinových výnimkách tak. Návrhom sa zabezpečí, aby sa vnútroštátne financovanie z prostriedkov členských štátov alebo z EŠIF, ktoré sa spravujú na vnútroštátnej úrovni, a z centrálne riadených prostriedkov EÚ, mohlo bezproblémovo kombinovať v týchto oblastiach: finančné produkty podporované z fondu InvestEU; projekty v oblasti výskumu, vývoja a inovácií, ktoré majú známku excelentnosti a sú realizované v rámci programu Horizont 2020 alebo programu Horizont Európa, ako aj spolufinancované projekty a vytváranie tímov realizované v rámci programu Horizont 2020 alebo programu Horizont Európa; a projekty Európskej územnej spolupráce. (3. štvrťrok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 xml:space="preserve">Nariadenie o skupinovej výnimke pre konzorciá (výnimka z článku 101 ZFEÚ pre určité typy dohôd o spolupráci medzi prevádzkovateľmi kontajnerovej lodnej prepravy) </w:t>
            </w:r>
          </w:p>
        </w:tc>
        <w:tc>
          <w:tcPr>
            <w:tcW w:w="9780" w:type="dxa"/>
            <w:shd w:val="clear" w:color="auto" w:fill="auto"/>
          </w:tcPr>
          <w:p>
            <w:pPr>
              <w:spacing w:after="0"/>
              <w:rPr>
                <w:rFonts w:eastAsiaTheme="minorEastAsia" w:cstheme="minorBidi"/>
                <w:noProof/>
                <w:spacing w:val="-2"/>
                <w:sz w:val="20"/>
              </w:rPr>
            </w:pPr>
            <w:r>
              <w:rPr>
                <w:noProof/>
                <w:sz w:val="20"/>
              </w:rPr>
              <w:t>Predĺženie platnosti súčasného nariadenia o skupinovej výnimke pre konzorciá o ďalšie štyri roky bude naďalej zjednodušovať analýzu dodržiavania pravidiel hospodárskej súťaže zo strany konzorcií, obmedzovať závislosť od externého poradenstva a znižovať právne náklady. (2. štvrťrok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Hodnotenie smernice 2014/35/EÚ o nízkom napätí</w:t>
            </w:r>
          </w:p>
        </w:tc>
        <w:tc>
          <w:tcPr>
            <w:tcW w:w="9780" w:type="dxa"/>
            <w:shd w:val="clear" w:color="auto" w:fill="auto"/>
          </w:tcPr>
          <w:p>
            <w:pPr>
              <w:spacing w:after="0"/>
              <w:rPr>
                <w:rFonts w:eastAsiaTheme="minorEastAsia" w:cstheme="minorBidi"/>
                <w:noProof/>
                <w:spacing w:val="-2"/>
                <w:sz w:val="20"/>
              </w:rPr>
            </w:pPr>
            <w:r>
              <w:rPr>
                <w:noProof/>
                <w:sz w:val="20"/>
              </w:rPr>
              <w:t xml:space="preserve">Smernica o nízkom napätí zabezpečuje, aby elektrické zariadenia pohybujúce sa v rámci určitých limitov napätia poskytovali európskym občanom vysokú úroveň ochrany a plne profitovali z jednotného trhu. Uplatňuje sa od 20. apríla 2016. Účelom tohto hodnotenia je posúdiť, či je smernica vhodná na daný účel, pokiaľ ide o účinnosť, efektívnosť, relevantnosť, súdržnosť, pridanú hodnotu EÚ. Na základe záverov týkajúcich sa výkonnosti smernice Komisia posúdi, ktoré ďalšie kroky môžu byť potrebné na jej zlepšenie.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Hodnotenie smernice 97/67/ES o poštových službách</w:t>
            </w:r>
          </w:p>
        </w:tc>
        <w:tc>
          <w:tcPr>
            <w:tcW w:w="9780" w:type="dxa"/>
            <w:shd w:val="clear" w:color="auto" w:fill="auto"/>
          </w:tcPr>
          <w:p>
            <w:pPr>
              <w:spacing w:after="0"/>
              <w:rPr>
                <w:rFonts w:eastAsiaTheme="minorEastAsia" w:cstheme="minorBidi"/>
                <w:noProof/>
                <w:spacing w:val="-2"/>
                <w:sz w:val="20"/>
              </w:rPr>
            </w:pPr>
            <w:r>
              <w:rPr>
                <w:noProof/>
                <w:sz w:val="20"/>
              </w:rPr>
              <w:t>Sektor poštových služieb prechádza veľkými zmenami v dôsledku digitalizácie. Smernica o poštových službách (97/67/ES) pochádza z roku 1997 a bola revidovaná v rokoch 2002 a 2008.K správe o uplatňovaní smernice sa pripojí hodnotenie s cieľom posúdiť, či je smernica stále vhodná na daný účel a či je odolná vo vzťahu k budúcim zmenám.</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 xml:space="preserve">Hodnotenie „vymedzenia pojmu MSP“ </w:t>
            </w:r>
          </w:p>
        </w:tc>
        <w:tc>
          <w:tcPr>
            <w:tcW w:w="9780" w:type="dxa"/>
            <w:shd w:val="clear" w:color="auto" w:fill="auto"/>
          </w:tcPr>
          <w:p>
            <w:pPr>
              <w:spacing w:after="0"/>
              <w:rPr>
                <w:rFonts w:eastAsiaTheme="minorEastAsia" w:cstheme="minorBidi"/>
                <w:noProof/>
                <w:sz w:val="20"/>
              </w:rPr>
            </w:pPr>
            <w:r>
              <w:rPr>
                <w:noProof/>
                <w:sz w:val="20"/>
              </w:rPr>
              <w:t xml:space="preserve">Táto iniciatíva je zameraná na odporúčanie Komisie týkajúce sa vymedzenia pojmov mikropodnik, malý a stredný podnik (2003/361/ES). Stanovujú sa v ňom kritériá na určenie toho, či predmetný podnik je MSP (t. j. počet zamestnancov, celková výška obratu/celková súvaha a nezávislosť), a uplatňuje sa od 1. 1. 2005, keď nahradilo odporúčanie 96/280/ES. Vzhľadom na to, že na odporúčanie sa odkazuje vo viac ako 100 právnych aktoch EÚ, ktoré sa vzťahujú na širokú škálu politík EÚ, ako je napríklad štátna pomoc, nahradenie odporúčania bude znamenať potrebu zmeniť aj tieto odkazy.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Revízia smernice 2006/42/ES o strojových zariadeniach</w:t>
            </w:r>
          </w:p>
        </w:tc>
        <w:tc>
          <w:tcPr>
            <w:tcW w:w="9780" w:type="dxa"/>
            <w:shd w:val="clear" w:color="auto" w:fill="auto"/>
          </w:tcPr>
          <w:p>
            <w:pPr>
              <w:spacing w:after="0"/>
              <w:jc w:val="left"/>
              <w:rPr>
                <w:rFonts w:eastAsiaTheme="minorEastAsia" w:cstheme="minorBidi"/>
                <w:noProof/>
                <w:sz w:val="20"/>
              </w:rPr>
            </w:pPr>
            <w:r>
              <w:rPr>
                <w:noProof/>
                <w:sz w:val="20"/>
              </w:rPr>
              <w:t xml:space="preserve">Cieľom iniciatívy je: </w:t>
            </w:r>
            <w:r>
              <w:rPr>
                <w:noProof/>
                <w:sz w:val="20"/>
              </w:rPr>
              <w:br/>
              <w:t xml:space="preserve">i) riešiť riziká plynúce z nových technológií a súčasne umožniť technický pokrok, </w:t>
            </w:r>
            <w:r>
              <w:rPr>
                <w:noProof/>
                <w:sz w:val="20"/>
              </w:rPr>
              <w:br/>
              <w:t xml:space="preserve">ii) zjednodušiť požiadavky na dokumentáciu tým, že sa povolia digitálne formáty, a tak znížiť administratívnu záťaž pre hospodárske subjekty, s ďalším pozitívnym vplyvom na environmentálne náklady, </w:t>
            </w:r>
            <w:r>
              <w:rPr>
                <w:noProof/>
                <w:sz w:val="20"/>
              </w:rPr>
              <w:br/>
              <w:t>iii) zlepšiť právnu zrozumiteľnosť niektorých hlavných koncepcií a vymedzení pojmov v súčasnom znení smernice,</w:t>
            </w:r>
            <w:r>
              <w:rPr>
                <w:noProof/>
                <w:sz w:val="20"/>
              </w:rPr>
              <w:br/>
              <w:t>iv) zabezpečiť súlad s ostatnými smernicami a nariadeniami pre výrobky a zlepšiť presadzovanie právnych predpisov prostredníctvom zosúladenia s novým legislatívnym rámcom,</w:t>
            </w:r>
            <w:r>
              <w:rPr>
                <w:noProof/>
                <w:sz w:val="20"/>
              </w:rPr>
              <w:br/>
              <w:t>v) znížiť náklady na transpozíciu prostredníctvom transformácie smernice na nariadenie.</w:t>
            </w:r>
            <w:r>
              <w:rPr>
                <w:noProof/>
                <w:sz w:val="20"/>
              </w:rPr>
              <w:br/>
              <w:t>(legislatívna iniciatíva vrátane posúdenia vplyvu, článok 114 ZFEÚ, 4. štvrťrok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jc w:val="left"/>
              <w:rPr>
                <w:rFonts w:eastAsiaTheme="minorEastAsia" w:cstheme="minorBidi"/>
                <w:b/>
                <w:bCs/>
                <w:noProof/>
                <w:sz w:val="20"/>
              </w:rPr>
            </w:pPr>
            <w:r>
              <w:rPr>
                <w:b/>
                <w:bCs/>
                <w:noProof/>
                <w:sz w:val="20"/>
              </w:rPr>
              <w:t xml:space="preserve">Hodnotenie právnych predpisov EÚ o ochrane dizajnov </w:t>
            </w:r>
          </w:p>
        </w:tc>
        <w:tc>
          <w:tcPr>
            <w:tcW w:w="9780" w:type="dxa"/>
            <w:shd w:val="clear" w:color="auto" w:fill="auto"/>
          </w:tcPr>
          <w:p>
            <w:pPr>
              <w:spacing w:after="0"/>
              <w:rPr>
                <w:rFonts w:eastAsiaTheme="minorEastAsia" w:cstheme="minorBidi"/>
                <w:noProof/>
                <w:sz w:val="20"/>
              </w:rPr>
            </w:pPr>
            <w:r>
              <w:rPr>
                <w:noProof/>
                <w:sz w:val="20"/>
              </w:rPr>
              <w:t xml:space="preserve">Účelom hodnotenia je analyzovať, do akej miery súčasné právne predpisy EÚ o ochrane dizajnov dosiahli svoje ciele, pokiaľ ide o účinnosť, efektívnosť, relevantnosť, súdržnosť a pridanú hodnotu EÚ. Poskytne jasné údaje o tom, do akej miery sa tieto právne predpisy stále považujú za vhodné na daný účel. V hodnotení sa identifikujú možnosti zjednodušenia postupov registrácie s cieľom uľahčiť, aby sa uľahčilo jednoduché využívanie ochrany dizajnov v EÚ s potenciálnym znížením nákladov a administratívneho zaťaženia v prospech podnikov, dizajnérov a MSP. </w:t>
            </w:r>
          </w:p>
        </w:tc>
      </w:tr>
      <w:tr>
        <w:trPr>
          <w:cantSplit/>
        </w:trPr>
        <w:tc>
          <w:tcPr>
            <w:tcW w:w="647" w:type="dxa"/>
            <w:tcBorders>
              <w:bottom w:val="single" w:sz="4" w:space="0" w:color="auto"/>
            </w:tcBorders>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tcBorders>
              <w:bottom w:val="single" w:sz="4" w:space="0" w:color="auto"/>
            </w:tcBorders>
            <w:shd w:val="clear" w:color="auto" w:fill="auto"/>
          </w:tcPr>
          <w:p>
            <w:pPr>
              <w:spacing w:after="0"/>
              <w:jc w:val="left"/>
              <w:rPr>
                <w:rFonts w:eastAsiaTheme="minorEastAsia" w:cstheme="minorBidi"/>
                <w:b/>
                <w:bCs/>
                <w:noProof/>
                <w:sz w:val="20"/>
              </w:rPr>
            </w:pPr>
            <w:r>
              <w:rPr>
                <w:b/>
                <w:bCs/>
                <w:noProof/>
                <w:sz w:val="20"/>
              </w:rPr>
              <w:t>Revízia smernice 2006/126/ES o vodičských preukazoch</w:t>
            </w:r>
          </w:p>
        </w:tc>
        <w:tc>
          <w:tcPr>
            <w:tcW w:w="9780" w:type="dxa"/>
            <w:tcBorders>
              <w:bottom w:val="single" w:sz="4" w:space="0" w:color="auto"/>
            </w:tcBorders>
          </w:tcPr>
          <w:p>
            <w:pPr>
              <w:spacing w:after="0"/>
              <w:rPr>
                <w:rFonts w:eastAsiaTheme="minorEastAsia" w:cstheme="minorBidi"/>
                <w:noProof/>
                <w:sz w:val="20"/>
              </w:rPr>
            </w:pPr>
            <w:r>
              <w:rPr>
                <w:noProof/>
                <w:sz w:val="20"/>
              </w:rPr>
              <w:t xml:space="preserve">V hodnotení </w:t>
            </w:r>
            <w:r>
              <w:rPr>
                <w:i/>
                <w:noProof/>
                <w:sz w:val="20"/>
              </w:rPr>
              <w:t>ex post</w:t>
            </w:r>
            <w:r>
              <w:rPr>
                <w:noProof/>
                <w:sz w:val="20"/>
              </w:rPr>
              <w:t xml:space="preserve"> sa posúdi, do akej miery smernica prispela k zlepšeniu v oblasti bezpečnosti cestnej premávky, uľahčenia voľného pohybu a zníženia možnosti podvodu. Preskúma sa aj technický pokrok, napríklad pokiaľ ide o vozidlá a digitalizáciu (digitálne vodičské preukazy).</w:t>
            </w:r>
          </w:p>
        </w:tc>
      </w:tr>
      <w:tr>
        <w:trPr>
          <w:cantSplit/>
        </w:trPr>
        <w:tc>
          <w:tcPr>
            <w:tcW w:w="14827" w:type="dxa"/>
            <w:gridSpan w:val="3"/>
            <w:shd w:val="clear" w:color="auto" w:fill="F68A42" w:themeFill="accent3"/>
          </w:tcPr>
          <w:p>
            <w:pPr>
              <w:keepNext/>
              <w:spacing w:before="60" w:after="60"/>
              <w:rPr>
                <w:rFonts w:eastAsiaTheme="minorEastAsia" w:cstheme="minorBidi"/>
                <w:noProof/>
                <w:sz w:val="20"/>
              </w:rPr>
            </w:pPr>
            <w:r>
              <w:rPr>
                <w:b/>
                <w:bCs/>
                <w:noProof/>
                <w:color w:val="FFFFFF" w:themeColor="background1"/>
                <w:sz w:val="20"/>
              </w:rPr>
              <w:t>Hospodárstvo, ktoré pracuje v prospech ľudí</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line="276" w:lineRule="auto"/>
              <w:jc w:val="left"/>
              <w:rPr>
                <w:rFonts w:eastAsiaTheme="minorEastAsia" w:cstheme="minorBidi"/>
                <w:b/>
                <w:bCs/>
                <w:noProof/>
                <w:sz w:val="20"/>
              </w:rPr>
            </w:pPr>
            <w:r>
              <w:rPr>
                <w:b/>
                <w:bCs/>
                <w:noProof/>
                <w:sz w:val="20"/>
              </w:rPr>
              <w:t>Jednotné pravidlá zaokrúhľovania [opatrenia v nadväznosti na správu o najnovšom vývoji, pokiaľ ide o euromince – COM(2018) 787 final/2]</w:t>
            </w:r>
          </w:p>
        </w:tc>
        <w:tc>
          <w:tcPr>
            <w:tcW w:w="9780" w:type="dxa"/>
          </w:tcPr>
          <w:p>
            <w:pPr>
              <w:spacing w:after="0"/>
              <w:rPr>
                <w:rFonts w:eastAsiaTheme="minorEastAsia" w:cstheme="minorBidi"/>
                <w:noProof/>
                <w:sz w:val="20"/>
              </w:rPr>
            </w:pPr>
            <w:r>
              <w:rPr>
                <w:noProof/>
                <w:sz w:val="20"/>
              </w:rPr>
              <w:t>Hodnotenie používania jedno- a dvojcentových euromincí a možnosti zavedenia jednotných pravidiel zaokrúhľovania. Možným návrhom by sa zaviedli spoločné pravidlá zaokrúhľovania s cieľom riešiť výzvy súvisiace s používaním jedno- a dvojcentových euromincí (legislatívna iniciatíva vrátane posúdenia vplyvu, článok 133 ZFEÚ, 4. štvrťrok 2020).</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jc w:val="left"/>
              <w:rPr>
                <w:rFonts w:eastAsiaTheme="minorEastAsia" w:cstheme="minorBidi"/>
                <w:b/>
                <w:bCs/>
                <w:noProof/>
                <w:sz w:val="20"/>
              </w:rPr>
            </w:pPr>
            <w:r>
              <w:rPr>
                <w:b/>
                <w:bCs/>
                <w:noProof/>
                <w:sz w:val="20"/>
              </w:rPr>
              <w:t>Kontrola vhodnosti v oblasti verejného podávania správ spoločnosťami</w:t>
            </w:r>
          </w:p>
        </w:tc>
        <w:tc>
          <w:tcPr>
            <w:tcW w:w="9780" w:type="dxa"/>
          </w:tcPr>
          <w:p>
            <w:pPr>
              <w:spacing w:after="0"/>
              <w:rPr>
                <w:rFonts w:eastAsiaTheme="minorEastAsia" w:cstheme="minorBidi"/>
                <w:b/>
                <w:bCs/>
                <w:noProof/>
                <w:sz w:val="20"/>
              </w:rPr>
            </w:pPr>
            <w:r>
              <w:rPr>
                <w:noProof/>
                <w:sz w:val="20"/>
              </w:rPr>
              <w:t>Cieľom tejto kontroly vhodnosti je posúdiť, či právne predpisy EÚ o pravidelnom a verejnom podávaní správ spoločnosťami naďalej spĺňajú potrebu zainteresovaných strán, pokiaľ ide o informácie o činnostiach spoločností, ich výkonnosti, rizikách a vplyvoch.</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jc w:val="left"/>
              <w:rPr>
                <w:rFonts w:eastAsiaTheme="minorEastAsia" w:cstheme="minorBidi"/>
                <w:b/>
                <w:bCs/>
                <w:noProof/>
                <w:sz w:val="20"/>
              </w:rPr>
            </w:pPr>
            <w:r>
              <w:rPr>
                <w:b/>
                <w:bCs/>
                <w:noProof/>
                <w:sz w:val="20"/>
              </w:rPr>
              <w:t>Hodnotenie právnych predpisov o obchode s drogovými prekurzormi</w:t>
            </w:r>
          </w:p>
        </w:tc>
        <w:tc>
          <w:tcPr>
            <w:tcW w:w="9780" w:type="dxa"/>
          </w:tcPr>
          <w:p>
            <w:pPr>
              <w:spacing w:after="0"/>
              <w:rPr>
                <w:rFonts w:eastAsiaTheme="minorEastAsia" w:cstheme="minorBidi"/>
                <w:noProof/>
                <w:color w:val="000000" w:themeColor="text1"/>
                <w:sz w:val="20"/>
              </w:rPr>
            </w:pPr>
            <w:r>
              <w:rPr>
                <w:noProof/>
                <w:sz w:val="20"/>
              </w:rPr>
              <w:t>Nariadenie (ES) č. 273/2004 a nariadenie (ES) č. 111/2005 o drogových prekurzoroch sa budú hodnotiť z hľadiska ich cieľa, ktorým je vytvorenie monitorovacieho a kontrolného systému obchodovania s drogovými prekurzormi s cieľom zabrániť ich posunu z legálneho dodávateľského reťazca do výroby nelegálnych drog. Okrem týchto dvoch nariadení sa hodnotenie bude vzťahovať na ich súvisiace akty, delegované nariadenie 2015/1011 a vykonávacie nariadenie 2015/1013.</w:t>
            </w:r>
          </w:p>
        </w:tc>
      </w:tr>
      <w:tr>
        <w:trPr>
          <w:cantSplit/>
        </w:trPr>
        <w:tc>
          <w:tcPr>
            <w:tcW w:w="647" w:type="dxa"/>
            <w:tcBorders>
              <w:bottom w:val="single" w:sz="4" w:space="0" w:color="auto"/>
            </w:tcBorders>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Borders>
              <w:bottom w:val="single" w:sz="4" w:space="0" w:color="auto"/>
            </w:tcBorders>
          </w:tcPr>
          <w:p>
            <w:pPr>
              <w:spacing w:after="0"/>
              <w:jc w:val="left"/>
              <w:rPr>
                <w:rFonts w:eastAsiaTheme="minorEastAsia" w:cstheme="minorBidi"/>
                <w:b/>
                <w:bCs/>
                <w:noProof/>
                <w:sz w:val="20"/>
              </w:rPr>
            </w:pPr>
            <w:r>
              <w:rPr>
                <w:b/>
                <w:bCs/>
                <w:noProof/>
                <w:sz w:val="20"/>
              </w:rPr>
              <w:t xml:space="preserve">Hodnotenie nariadenia 515/97 o vzájomnej pomoci v colných záležitostiach </w:t>
            </w:r>
          </w:p>
        </w:tc>
        <w:tc>
          <w:tcPr>
            <w:tcW w:w="9780" w:type="dxa"/>
            <w:tcBorders>
              <w:bottom w:val="single" w:sz="4" w:space="0" w:color="auto"/>
            </w:tcBorders>
          </w:tcPr>
          <w:p>
            <w:pPr>
              <w:spacing w:after="0"/>
              <w:rPr>
                <w:rFonts w:eastAsiaTheme="minorEastAsia" w:cstheme="minorBidi"/>
                <w:noProof/>
                <w:sz w:val="20"/>
              </w:rPr>
            </w:pPr>
            <w:r>
              <w:rPr>
                <w:noProof/>
                <w:sz w:val="20"/>
              </w:rPr>
              <w:t>Nariadením č. 515/97 sa zabezpečuje správne uplatňovanie colných právnych predpisov EÚ. Od revízie nariadenia č. 515/97 vykonanej v roku 2015 sa zaznamenal nový vývoj (napr. nový režim ochrany údajov, nové riziká podvodov). V hodnotení sa posúdi celkové fungovanie nariadenia č. 515/97, a to aj s využitím cielenej konzultácie.</w:t>
            </w:r>
          </w:p>
        </w:tc>
      </w:tr>
      <w:tr>
        <w:trPr>
          <w:cantSplit/>
        </w:trPr>
        <w:tc>
          <w:tcPr>
            <w:tcW w:w="14827" w:type="dxa"/>
            <w:gridSpan w:val="3"/>
            <w:tcBorders>
              <w:bottom w:val="single" w:sz="4" w:space="0" w:color="auto"/>
            </w:tcBorders>
            <w:shd w:val="clear" w:color="auto" w:fill="585EAA" w:themeFill="accent4"/>
          </w:tcPr>
          <w:p>
            <w:pPr>
              <w:keepNext/>
              <w:spacing w:before="60" w:after="60"/>
              <w:rPr>
                <w:b/>
                <w:bCs/>
                <w:noProof/>
                <w:sz w:val="20"/>
              </w:rPr>
            </w:pPr>
            <w:r>
              <w:rPr>
                <w:b/>
                <w:bCs/>
                <w:noProof/>
                <w:color w:val="FFFFFF" w:themeColor="background1"/>
                <w:sz w:val="20"/>
              </w:rPr>
              <w:t>Silnejšia Európa vo svete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noProof/>
                <w:sz w:val="20"/>
              </w:rPr>
            </w:pPr>
            <w:r>
              <w:rPr>
                <w:b/>
                <w:noProof/>
                <w:sz w:val="20"/>
              </w:rPr>
              <w:t>Hodnotenie obchodného piliera šiestich dohôd o pridružení medzi EÚ a krajinami EUROMED (Tunisko, Maroko, Egypt, Jordánsko, Alžírsko a Libanon)</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 xml:space="preserve">Toto hodnotenie by mohlo identifikovať príležitosti na zefektívnenie postupov s potenciálnym znížením nákladov a administratívneho zaťaženia a zjednodušením procesov. Okrem toho by sa tieto potenciálne prínosy mohli využiť pri budúcich rokovaniach o tejto dohode alebo pri rokovaniach o dohodách s inými krajinami.  </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noProof/>
                <w:sz w:val="20"/>
              </w:rPr>
            </w:pPr>
            <w:r>
              <w:rPr>
                <w:b/>
                <w:noProof/>
                <w:sz w:val="20"/>
              </w:rPr>
              <w:t>Hodnotenie vykonávania Dohody o hospodárskom partnerstve medzi štátmi CARIFORUM-u a EÚ</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 xml:space="preserve">Toto hodnotenie by mohlo identifikovať príležitosti na zefektívnenie postupov s potenciálnym znížením nákladov a administratívneho zaťaženia a zjednodušením procesov. Okrem toho by sa tieto potenciálne prínosy mohli využiť pri budúcich rokovaniach o tejto dohode alebo pri rokovaniach o dohodách s inými krajinami.  </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Obchod bez mučenia</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Preskúmanie nariadenia Rady (EÚ) 2019/125 (nariadenie proti mučeniu) o obchodovaní s určitým tovarom, ktorý možno použiť na vykonanie trestu smrti, mučenie alebo iné kruté, neľudské alebo ponižujúce zaobchádzanie alebo trestanie.</w:t>
            </w:r>
            <w:r>
              <w:rPr>
                <w:noProof/>
                <w:sz w:val="20"/>
              </w:rPr>
              <w:br/>
              <w:t>V súlade s článkom 32 nariadenia proti mučeniu Komisia preskúma do 31. júla 2020 a následne každých päť rokov jeho vykonávanie. Na základe správy o preskúmaní, ktorá sa má prijať do júla 2020, Komisia rozhodne, či by sa mali navrhnúť nejaké zmeny nariadenia. Bez toho, aby bol dotknutý výsledok preskúmania, a s cieľom zabezpečiť, aby príslušný tovar naďalej podliehal účinným obmedzeniam, by sa mohli zvážiť potenciálne oblasti zjednodušenia, napríklad v súvislosti s požiadavkami na podávanie správ alebo výmenou informácií.</w:t>
            </w:r>
          </w:p>
        </w:tc>
      </w:tr>
      <w:tr>
        <w:trPr>
          <w:cantSplit/>
        </w:trPr>
        <w:tc>
          <w:tcPr>
            <w:tcW w:w="14827" w:type="dxa"/>
            <w:gridSpan w:val="3"/>
            <w:shd w:val="clear" w:color="auto" w:fill="DA5C57" w:themeFill="accent6"/>
          </w:tcPr>
          <w:p>
            <w:pPr>
              <w:keepNext/>
              <w:spacing w:before="60" w:after="60"/>
              <w:rPr>
                <w:b/>
                <w:bCs/>
                <w:noProof/>
                <w:sz w:val="20"/>
              </w:rPr>
            </w:pPr>
            <w:r>
              <w:rPr>
                <w:b/>
                <w:bCs/>
                <w:noProof/>
                <w:color w:val="FFFFFF" w:themeColor="background1"/>
                <w:sz w:val="20"/>
              </w:rPr>
              <w:t>Podpora európskeho spôsobu života</w:t>
            </w:r>
          </w:p>
        </w:tc>
      </w:tr>
      <w:tr>
        <w:trPr>
          <w:cantSplit/>
        </w:trPr>
        <w:tc>
          <w:tcPr>
            <w:tcW w:w="647" w:type="dxa"/>
            <w:tcBorders>
              <w:bottom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bottom w:val="single" w:sz="4" w:space="0" w:color="auto"/>
            </w:tcBorders>
          </w:tcPr>
          <w:p>
            <w:pPr>
              <w:spacing w:after="0"/>
              <w:jc w:val="left"/>
              <w:rPr>
                <w:rFonts w:eastAsiaTheme="minorEastAsia" w:cstheme="minorBidi"/>
                <w:b/>
                <w:bCs/>
                <w:noProof/>
                <w:sz w:val="20"/>
              </w:rPr>
            </w:pPr>
            <w:r>
              <w:rPr>
                <w:b/>
                <w:bCs/>
                <w:noProof/>
                <w:sz w:val="20"/>
              </w:rPr>
              <w:t>Hodnotenie nariadenia (ES) č. 1901/2006 o liekoch na pediatrické použitie a nariadenia (ES) č. 141/2000 o liekoch na ojedinelé ochorenia</w:t>
            </w:r>
          </w:p>
        </w:tc>
        <w:tc>
          <w:tcPr>
            <w:tcW w:w="9780" w:type="dxa"/>
            <w:tcBorders>
              <w:bottom w:val="single" w:sz="4" w:space="0" w:color="auto"/>
            </w:tcBorders>
          </w:tcPr>
          <w:p>
            <w:pPr>
              <w:spacing w:after="0"/>
              <w:rPr>
                <w:rFonts w:eastAsiaTheme="minorEastAsia" w:cstheme="minorBidi"/>
                <w:noProof/>
                <w:sz w:val="20"/>
              </w:rPr>
            </w:pPr>
            <w:r>
              <w:rPr>
                <w:noProof/>
                <w:sz w:val="20"/>
              </w:rPr>
              <w:t>Toto hodnotenie bude predstavovať zmysluplný príspevok pre budúcu farmaceutickú stratégiu EÚ. Na základe dostupných dôkazov sa v hodnotení samostatne aj spoločne hodnotia silné a slabé stránky nariadenia o liekoch na ojedinelé ochorenia a nariadenia o liekoch na pediatrické použitie. Hodnotenie sa okrem iného zameriava na výrobky, ktoré spĺňajú neuspokojené liečebné potreby, a na spôsob, akým boli stimuly stanovené v súčasných právnych predpisoch využité.</w:t>
            </w:r>
          </w:p>
        </w:tc>
      </w:tr>
      <w:tr>
        <w:trPr>
          <w:cantSplit/>
        </w:trPr>
        <w:tc>
          <w:tcPr>
            <w:tcW w:w="14827" w:type="dxa"/>
            <w:gridSpan w:val="3"/>
            <w:tcBorders>
              <w:top w:val="single" w:sz="4" w:space="0" w:color="auto"/>
              <w:left w:val="single" w:sz="4" w:space="0" w:color="auto"/>
              <w:bottom w:val="single" w:sz="4" w:space="0" w:color="auto"/>
              <w:right w:val="single" w:sz="4" w:space="0" w:color="auto"/>
            </w:tcBorders>
            <w:shd w:val="clear" w:color="auto" w:fill="00ADDC" w:themeFill="accent5"/>
          </w:tcPr>
          <w:p>
            <w:pPr>
              <w:keepNext/>
              <w:spacing w:before="60" w:after="60"/>
              <w:rPr>
                <w:b/>
                <w:bCs/>
                <w:noProof/>
                <w:sz w:val="20"/>
              </w:rPr>
            </w:pPr>
            <w:r>
              <w:rPr>
                <w:b/>
                <w:bCs/>
                <w:noProof/>
                <w:color w:val="FFFFFF" w:themeColor="background1"/>
                <w:sz w:val="20"/>
              </w:rPr>
              <w:t>Nový impulz pre európsku demokraciu</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Návrh Komisie na preskúmanie smernice 2008/48/ES o spotrebiteľskom úvere</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Prebiehajúce hodnotenie smernice sa zameria na dosiahnutý pokrok, náklady a prínosy. Zameria sa aj na to, či pôvodné ciele a nástroje smernice zodpovedajú súčasným potrebám, na monitorovanie fungovania smernice spolu s inými právnymi predpismi a na to, či intervencia EÚ priniesla výhody. Na základe výsledku hodnotenia sa preskúmaním zabezpečí lepšia informovanosť spotrebiteľov a lepšie pochopenie spotrebiteľských úverov, pričom sa zohľadní digitalizácia v poskytovaní takýchto produktov. Bude sa zameriavať na poskytnutie lepšej ochrany spotrebiteľom pred nezodpovednými úverovými postupmi, najmä tými, ktoré sú šírené na internete. (legislatívna iniciatíva vrátane posúdenia vplyvu, článok 114 ZFEÚ, 4. štvrťrok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Návrh Komisie na preskúmanie smernice 2002/65/ES o poskytovaní finančných služieb spotrebiteľom na diaľku</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V prebiehajúcom hodnotení sa posúdi, či sa dosiahli pôvodné ciele, ako smernica funguje z hľadiska nákladov/prínosov, zníženia záťaže a zjednodušenia a ako smernica funguje spolu s inými právnymi predpismi v oblasti retailových finančných služieb, ochrany spotrebiteľa a ochrany údajov. V analýze sa posúdi, či nástroje smernice zodpovedajú pôvodným a súčasným potrebám a či smernica má pridanú hodnotu EÚ. Na základe výsledku hodnotenia sa preskúmaním zabezpečí lepšie pochopenie retailových finančných produktov pri zohľadnení digitalizácie v poskytovaní takýchto produktov. Bude sa zameriavať na poskytnutie lepšej ochrany spotrebiteľom pred nezodpovednými úverovými postupmi, najmä tými, ktoré sú šírené na internete. (legislatívna iniciatíva vrátane posúdenia vplyvu, článok 114 ZFEÚ, 4. štvrťrok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 xml:space="preserve">Revízia smernice 2001/95/ES o všeobecnej bezpečnosti výrobkov </w:t>
            </w:r>
            <w:r>
              <w:rPr>
                <w:b/>
                <w:bCs/>
                <w:noProof/>
                <w:sz w:val="20"/>
              </w:rPr>
              <w:br/>
              <w:t>(nariadenie; právny základ – článok 114 ZFEÚ)</w:t>
            </w:r>
          </w:p>
        </w:tc>
        <w:tc>
          <w:tcPr>
            <w:tcW w:w="9780" w:type="dxa"/>
          </w:tcPr>
          <w:p>
            <w:pPr>
              <w:spacing w:after="0"/>
              <w:rPr>
                <w:rFonts w:eastAsiaTheme="minorEastAsia" w:cstheme="minorBidi"/>
                <w:noProof/>
                <w:sz w:val="20"/>
              </w:rPr>
            </w:pPr>
            <w:r>
              <w:rPr>
                <w:noProof/>
                <w:sz w:val="20"/>
              </w:rPr>
              <w:t>Iniciatíva sa bude zaoberať otázkami bezpečnosti výrobkov, ktoré prinášajú nové technológie; riešiť potrebu konkrétnejších opatrení týkajúcich sa online predaja; aktualizovať všeobecný právny rámec týkajúci sa bezpečnosti výrobkov; a vzhľadom na nové nariadenie (EÚ) 2019/1020 o dohľade nad trhom a o súlade výrobkov odstráni diskrepancie medzi harmonizovanými a neharmonizovanými výrobkami, pokiaľ ide o dohľad nad trhom. Revíziou by sa tiež zlepšila účinnosť stiahnutí výrobkov od používateľov a pokrytie nových rizík v oblasti bezpečnosti výrobkov. Mala by posilniť právomoc členských štátov v oblasti presadzovania práva, najmä pokiaľ ide o dovozné kontroly. (legislatívna iniciatíva vrátane posúdenia vplyvu, článok 114 ZFEÚ, 4. štvrťrok 2020)</w:t>
            </w:r>
          </w:p>
        </w:tc>
      </w:tr>
    </w:tbl>
    <w:p>
      <w:pPr>
        <w:spacing w:after="0"/>
        <w:jc w:val="left"/>
        <w:rPr>
          <w:noProof/>
          <w:sz w:val="20"/>
        </w:rPr>
      </w:pPr>
      <w:r>
        <w:rPr>
          <w:noProof/>
        </w:rPr>
        <w:br w:type="page"/>
      </w:r>
    </w:p>
    <w:p>
      <w:pPr>
        <w:spacing w:after="600"/>
        <w:jc w:val="center"/>
        <w:rPr>
          <w:b/>
          <w:noProof/>
          <w:sz w:val="28"/>
          <w:szCs w:val="28"/>
          <w:u w:val="single"/>
        </w:rPr>
      </w:pPr>
      <w:r>
        <w:rPr>
          <w:b/>
          <w:bCs/>
          <w:noProof/>
          <w:sz w:val="28"/>
          <w:szCs w:val="28"/>
          <w:u w:val="single"/>
        </w:rPr>
        <w:t>Príloha III: Prioritné návrhy v štádiu schvaľovania</w:t>
      </w:r>
      <w:r>
        <w:rPr>
          <w:rStyle w:val="FootnoteReference"/>
          <w:noProof/>
          <w:sz w:val="28"/>
          <w:szCs w:val="28"/>
        </w:rPr>
        <w:footnoteReference w:id="4"/>
      </w:r>
    </w:p>
    <w:tbl>
      <w:tblPr>
        <w:tblStyle w:val="TableGrid"/>
        <w:tblW w:w="14850" w:type="dxa"/>
        <w:tblLayout w:type="fixed"/>
        <w:tblLook w:val="04A0" w:firstRow="1" w:lastRow="0" w:firstColumn="1" w:lastColumn="0" w:noHBand="0" w:noVBand="1"/>
      </w:tblPr>
      <w:tblGrid>
        <w:gridCol w:w="652"/>
        <w:gridCol w:w="12072"/>
        <w:gridCol w:w="2126"/>
      </w:tblGrid>
      <w:tr>
        <w:trPr>
          <w:cantSplit/>
          <w:tblHeader/>
        </w:trPr>
        <w:tc>
          <w:tcPr>
            <w:tcW w:w="652" w:type="dxa"/>
            <w:tcBorders>
              <w:bottom w:val="single" w:sz="4" w:space="0" w:color="auto"/>
            </w:tcBorders>
            <w:shd w:val="clear" w:color="auto" w:fill="99CCFF"/>
            <w:tcMar>
              <w:top w:w="85" w:type="dxa"/>
              <w:left w:w="85" w:type="dxa"/>
              <w:bottom w:w="85" w:type="dxa"/>
              <w:right w:w="85" w:type="dxa"/>
            </w:tcMar>
          </w:tcPr>
          <w:p>
            <w:pPr>
              <w:spacing w:before="60" w:after="60"/>
              <w:rPr>
                <w:b/>
                <w:bCs/>
                <w:noProof/>
                <w:sz w:val="20"/>
              </w:rPr>
            </w:pPr>
            <w:r>
              <w:rPr>
                <w:b/>
                <w:bCs/>
                <w:noProof/>
                <w:sz w:val="20"/>
              </w:rPr>
              <w:t>Č.</w:t>
            </w:r>
          </w:p>
        </w:tc>
        <w:tc>
          <w:tcPr>
            <w:tcW w:w="12072" w:type="dxa"/>
            <w:tcBorders>
              <w:bottom w:val="single" w:sz="4" w:space="0" w:color="auto"/>
            </w:tcBorders>
            <w:shd w:val="clear" w:color="auto" w:fill="99CCFF"/>
            <w:tcMar>
              <w:top w:w="85" w:type="dxa"/>
              <w:left w:w="85" w:type="dxa"/>
              <w:bottom w:w="85" w:type="dxa"/>
              <w:right w:w="85" w:type="dxa"/>
            </w:tcMar>
          </w:tcPr>
          <w:p>
            <w:pPr>
              <w:spacing w:before="60" w:after="60"/>
              <w:jc w:val="center"/>
              <w:rPr>
                <w:b/>
                <w:bCs/>
                <w:noProof/>
                <w:sz w:val="20"/>
              </w:rPr>
            </w:pPr>
            <w:r>
              <w:rPr>
                <w:b/>
                <w:bCs/>
                <w:noProof/>
                <w:sz w:val="20"/>
              </w:rPr>
              <w:t>Úplný názov</w:t>
            </w:r>
          </w:p>
        </w:tc>
        <w:tc>
          <w:tcPr>
            <w:tcW w:w="2126" w:type="dxa"/>
            <w:tcBorders>
              <w:bottom w:val="single" w:sz="4" w:space="0" w:color="auto"/>
            </w:tcBorders>
            <w:shd w:val="clear" w:color="auto" w:fill="99CCFF"/>
            <w:tcMar>
              <w:top w:w="85" w:type="dxa"/>
              <w:left w:w="85" w:type="dxa"/>
              <w:bottom w:w="85" w:type="dxa"/>
              <w:right w:w="85" w:type="dxa"/>
            </w:tcMar>
          </w:tcPr>
          <w:p>
            <w:pPr>
              <w:spacing w:before="60" w:after="60"/>
              <w:jc w:val="center"/>
              <w:rPr>
                <w:b/>
                <w:bCs/>
                <w:noProof/>
                <w:sz w:val="20"/>
              </w:rPr>
            </w:pPr>
            <w:r>
              <w:rPr>
                <w:b/>
                <w:bCs/>
                <w:noProof/>
                <w:sz w:val="20"/>
              </w:rPr>
              <w:t>Odkazy</w:t>
            </w:r>
          </w:p>
        </w:tc>
      </w:tr>
      <w:tr>
        <w:trPr>
          <w:cantSplit/>
        </w:trPr>
        <w:tc>
          <w:tcPr>
            <w:tcW w:w="14850" w:type="dxa"/>
            <w:gridSpan w:val="3"/>
            <w:shd w:val="clear" w:color="auto" w:fill="9ACA3C" w:themeFill="accent1"/>
            <w:tcMar>
              <w:top w:w="85" w:type="dxa"/>
              <w:left w:w="85" w:type="dxa"/>
              <w:bottom w:w="85" w:type="dxa"/>
              <w:right w:w="85" w:type="dxa"/>
            </w:tcMar>
          </w:tcPr>
          <w:p>
            <w:pPr>
              <w:keepNext/>
              <w:spacing w:before="60" w:after="60"/>
              <w:rPr>
                <w:b/>
                <w:bCs/>
                <w:noProof/>
                <w:sz w:val="20"/>
              </w:rPr>
            </w:pPr>
            <w:r>
              <w:rPr>
                <w:b/>
                <w:bCs/>
                <w:noProof/>
                <w:color w:val="FFFFFF" w:themeColor="background1"/>
                <w:sz w:val="20"/>
              </w:rPr>
              <w:t>Európsky ekologický dohovor</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2015/757 s cieľom náležite zohľadniť globálny systém zberu údajov o spotrebe lodného paliva</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COM(2019) 38 final</w:t>
            </w:r>
            <w:r>
              <w:rPr>
                <w:noProof/>
                <w:sz w:val="20"/>
              </w:rPr>
              <w:br/>
              <w:t>2019/0017 (COD)</w:t>
            </w:r>
            <w:r>
              <w:rPr>
                <w:noProof/>
                <w:sz w:val="20"/>
              </w:rPr>
              <w:br/>
              <w:t>4. 2. 2019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Rady č. 1224/2009 a ktorým sa menia nariadenia Rady (ES) č. 768/2005, (ES) č. 1967/2006, (ES) č. 1005/2008 a nariadenie (EÚ) Európskeho parlamentu a Rady č. 2016/1139 týkajúce sa kontroly rybolovu</w:t>
            </w:r>
          </w:p>
        </w:tc>
        <w:tc>
          <w:tcPr>
            <w:tcW w:w="2126" w:type="dxa"/>
            <w:tcMar>
              <w:top w:w="85" w:type="dxa"/>
              <w:left w:w="85" w:type="dxa"/>
              <w:bottom w:w="85" w:type="dxa"/>
            </w:tcMar>
          </w:tcPr>
          <w:p>
            <w:pPr>
              <w:spacing w:after="0"/>
              <w:jc w:val="left"/>
              <w:rPr>
                <w:noProof/>
                <w:sz w:val="20"/>
              </w:rPr>
            </w:pPr>
            <w:r>
              <w:rPr>
                <w:noProof/>
                <w:sz w:val="20"/>
              </w:rPr>
              <w:t>COM(2018) 368 final</w:t>
            </w:r>
            <w:r>
              <w:rPr>
                <w:noProof/>
                <w:sz w:val="20"/>
              </w:rPr>
              <w:br/>
              <w:t>2018/0193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zefektívnení opatrení na urýchlenie realizácie transeurópskej dopravnej siete</w:t>
            </w:r>
          </w:p>
        </w:tc>
        <w:tc>
          <w:tcPr>
            <w:tcW w:w="2126" w:type="dxa"/>
            <w:tcMar>
              <w:top w:w="85" w:type="dxa"/>
              <w:left w:w="85" w:type="dxa"/>
              <w:bottom w:w="85" w:type="dxa"/>
            </w:tcMar>
          </w:tcPr>
          <w:p>
            <w:pPr>
              <w:spacing w:after="0"/>
              <w:jc w:val="left"/>
              <w:rPr>
                <w:noProof/>
                <w:sz w:val="20"/>
              </w:rPr>
            </w:pPr>
            <w:r>
              <w:rPr>
                <w:noProof/>
                <w:sz w:val="20"/>
              </w:rPr>
              <w:t>COM(2018) 277 final</w:t>
            </w:r>
            <w:r>
              <w:rPr>
                <w:noProof/>
                <w:sz w:val="20"/>
              </w:rPr>
              <w:br/>
              <w:t>2018/0138 (COD)</w:t>
            </w:r>
            <w:r>
              <w:rPr>
                <w:noProof/>
                <w:sz w:val="20"/>
              </w:rPr>
              <w:br/>
              <w:t>17. 5. 2018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ktorou sa mení smernica 1999/62/ES o poplatkoch za používanie určitej dopravnej infraštruktúry ťažkými nákladnými vozidlami</w:t>
            </w:r>
          </w:p>
        </w:tc>
        <w:tc>
          <w:tcPr>
            <w:tcW w:w="2126" w:type="dxa"/>
            <w:tcMar>
              <w:top w:w="85" w:type="dxa"/>
              <w:left w:w="85" w:type="dxa"/>
              <w:bottom w:w="85" w:type="dxa"/>
            </w:tcMar>
          </w:tcPr>
          <w:p>
            <w:pPr>
              <w:spacing w:after="0"/>
              <w:jc w:val="left"/>
              <w:rPr>
                <w:noProof/>
                <w:sz w:val="20"/>
              </w:rPr>
            </w:pPr>
            <w:r>
              <w:rPr>
                <w:noProof/>
                <w:sz w:val="20"/>
              </w:rPr>
              <w:t>COM(2017) 275 final</w:t>
            </w:r>
            <w:r>
              <w:rPr>
                <w:noProof/>
                <w:sz w:val="20"/>
              </w:rPr>
              <w:br/>
              <w:t>2017/0114 (COD)</w:t>
            </w:r>
            <w:r>
              <w:rPr>
                <w:noProof/>
                <w:sz w:val="20"/>
              </w:rPr>
              <w:br/>
              <w:t>31. 5. 2017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RADY, ktorým sa mení nariadenie (ES) č. 866/2004 o režime podľa článku 2 protokolu 10 aktu o pristúpení, pokiaľ ide o tovar, na ktorý sa vzťahujú systémy kvality pre poľnohospodárske výrobky a potraviny</w:t>
            </w:r>
          </w:p>
        </w:tc>
        <w:tc>
          <w:tcPr>
            <w:tcW w:w="2126" w:type="dxa"/>
            <w:tcMar>
              <w:top w:w="85" w:type="dxa"/>
              <w:left w:w="85" w:type="dxa"/>
              <w:bottom w:w="85" w:type="dxa"/>
            </w:tcMar>
          </w:tcPr>
          <w:p>
            <w:pPr>
              <w:spacing w:after="0"/>
              <w:jc w:val="left"/>
              <w:rPr>
                <w:noProof/>
                <w:sz w:val="20"/>
              </w:rPr>
            </w:pPr>
            <w:r>
              <w:rPr>
                <w:noProof/>
                <w:sz w:val="20"/>
              </w:rPr>
              <w:t>COM(2015) 380 final</w:t>
            </w:r>
            <w:r>
              <w:rPr>
                <w:noProof/>
                <w:sz w:val="20"/>
              </w:rPr>
              <w:br/>
              <w:t>2015/0165 (NLE)</w:t>
            </w:r>
            <w:r>
              <w:rPr>
                <w:noProof/>
                <w:sz w:val="20"/>
              </w:rPr>
              <w:br/>
              <w:t>28. 7. 2015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1829/2003, pokiaľ ide o možnosť členských štátov obmedziť alebo zakázať používanie geneticky modifikovaných potravín a krmív na svojom území</w:t>
            </w:r>
          </w:p>
        </w:tc>
        <w:tc>
          <w:tcPr>
            <w:tcW w:w="2126" w:type="dxa"/>
            <w:tcMar>
              <w:top w:w="85" w:type="dxa"/>
              <w:left w:w="85" w:type="dxa"/>
              <w:bottom w:w="85" w:type="dxa"/>
            </w:tcMar>
          </w:tcPr>
          <w:p>
            <w:pPr>
              <w:spacing w:after="0"/>
              <w:jc w:val="left"/>
              <w:rPr>
                <w:noProof/>
                <w:sz w:val="20"/>
              </w:rPr>
            </w:pPr>
            <w:r>
              <w:rPr>
                <w:noProof/>
                <w:sz w:val="20"/>
              </w:rPr>
              <w:t>COM(2015) 177 final</w:t>
            </w:r>
            <w:r>
              <w:rPr>
                <w:noProof/>
                <w:sz w:val="20"/>
              </w:rPr>
              <w:br/>
              <w:t>2015/0093 (COD)</w:t>
            </w:r>
            <w:r>
              <w:rPr>
                <w:noProof/>
                <w:sz w:val="20"/>
              </w:rPr>
              <w:br/>
              <w:t>22. 4. 2015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Program InvestEU</w:t>
            </w:r>
          </w:p>
        </w:tc>
        <w:tc>
          <w:tcPr>
            <w:tcW w:w="2126" w:type="dxa"/>
            <w:tcMar>
              <w:top w:w="85" w:type="dxa"/>
              <w:left w:w="85" w:type="dxa"/>
              <w:bottom w:w="85" w:type="dxa"/>
            </w:tcMar>
          </w:tcPr>
          <w:p>
            <w:pPr>
              <w:spacing w:after="0"/>
              <w:jc w:val="left"/>
              <w:rPr>
                <w:noProof/>
                <w:sz w:val="20"/>
              </w:rPr>
            </w:pPr>
            <w:r>
              <w:rPr>
                <w:noProof/>
                <w:sz w:val="20"/>
              </w:rPr>
              <w:t>COM(2018) 439 final</w:t>
            </w:r>
            <w:r>
              <w:rPr>
                <w:noProof/>
                <w:sz w:val="20"/>
              </w:rPr>
              <w:br/>
              <w:t>2018/0229 (COD)</w:t>
            </w:r>
            <w:r>
              <w:rPr>
                <w:noProof/>
                <w:sz w:val="20"/>
              </w:rPr>
              <w:br/>
              <w:t>8. 6. 2018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stanovuje program pomoci na vyraďovanie jadrovej elektrárne Ignalina v Litve z prevádzky (program Ignalina); a ktorým sa zrušuje nariadenie Rady (EÚ) č. 1369/2013</w:t>
            </w:r>
          </w:p>
        </w:tc>
        <w:tc>
          <w:tcPr>
            <w:tcW w:w="2126" w:type="dxa"/>
            <w:tcMar>
              <w:top w:w="85" w:type="dxa"/>
              <w:left w:w="85" w:type="dxa"/>
              <w:bottom w:w="85" w:type="dxa"/>
            </w:tcMar>
          </w:tcPr>
          <w:p>
            <w:pPr>
              <w:spacing w:after="0"/>
              <w:jc w:val="left"/>
              <w:rPr>
                <w:noProof/>
                <w:sz w:val="20"/>
              </w:rPr>
            </w:pPr>
            <w:r>
              <w:rPr>
                <w:noProof/>
                <w:sz w:val="20"/>
              </w:rPr>
              <w:t>COM(2018) 466 final</w:t>
            </w:r>
            <w:r>
              <w:rPr>
                <w:noProof/>
                <w:sz w:val="20"/>
              </w:rPr>
              <w:br/>
              <w:t>2018/0251 (NLE)</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stanovuje účelový program financovania vyraďovania jadrových zariadení z prevádzky a nakladania s rádioaktívnym odpadom a ktorým sa zrušuje nariadenie Rady (Euratom) č. 1368/2013</w:t>
            </w:r>
          </w:p>
        </w:tc>
        <w:tc>
          <w:tcPr>
            <w:tcW w:w="2126" w:type="dxa"/>
            <w:tcMar>
              <w:top w:w="85" w:type="dxa"/>
              <w:left w:w="85" w:type="dxa"/>
              <w:bottom w:w="85" w:type="dxa"/>
            </w:tcMar>
          </w:tcPr>
          <w:p>
            <w:pPr>
              <w:spacing w:after="0"/>
              <w:jc w:val="left"/>
              <w:rPr>
                <w:noProof/>
                <w:sz w:val="20"/>
              </w:rPr>
            </w:pPr>
            <w:r>
              <w:rPr>
                <w:noProof/>
                <w:sz w:val="20"/>
              </w:rPr>
              <w:t>COM(2018) 467 final</w:t>
            </w:r>
            <w:r>
              <w:rPr>
                <w:noProof/>
                <w:sz w:val="20"/>
              </w:rPr>
              <w:br/>
              <w:t>2018/0252 (NLE)</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ROZHODNUTIE RADY, ktorým sa mení rozhodnutie 2007/198/Euratom, ktorým sa zriaďuje Európsky spoločný podnik pre ITER a rozvoj energie jadrovej syntézy a ktorým sa mu udeľujú výhody</w:t>
            </w:r>
          </w:p>
        </w:tc>
        <w:tc>
          <w:tcPr>
            <w:tcW w:w="2126" w:type="dxa"/>
            <w:tcMar>
              <w:top w:w="85" w:type="dxa"/>
              <w:left w:w="85" w:type="dxa"/>
              <w:bottom w:w="85" w:type="dxa"/>
            </w:tcMar>
          </w:tcPr>
          <w:p>
            <w:pPr>
              <w:spacing w:after="0"/>
              <w:jc w:val="left"/>
              <w:rPr>
                <w:noProof/>
                <w:sz w:val="20"/>
              </w:rPr>
            </w:pPr>
            <w:r>
              <w:rPr>
                <w:noProof/>
                <w:sz w:val="20"/>
              </w:rPr>
              <w:t>COM(2018) 445 final</w:t>
            </w:r>
            <w:r>
              <w:rPr>
                <w:noProof/>
                <w:sz w:val="20"/>
              </w:rPr>
              <w:br/>
              <w:t>2018/0235 (NLE)</w:t>
            </w:r>
            <w:r>
              <w:rPr>
                <w:noProof/>
                <w:sz w:val="20"/>
              </w:rPr>
              <w:br/>
              <w:t>7. 6. 2018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Program pre životné prostredie a ochranu klímy (LIFE) a zrušuje nariadenie (EÚ) č. 1293/2013</w:t>
            </w:r>
          </w:p>
        </w:tc>
        <w:tc>
          <w:tcPr>
            <w:tcW w:w="2126" w:type="dxa"/>
            <w:tcMar>
              <w:top w:w="85" w:type="dxa"/>
              <w:left w:w="85" w:type="dxa"/>
              <w:bottom w:w="85" w:type="dxa"/>
            </w:tcMar>
          </w:tcPr>
          <w:p>
            <w:pPr>
              <w:spacing w:after="0"/>
              <w:jc w:val="left"/>
              <w:rPr>
                <w:noProof/>
                <w:sz w:val="20"/>
              </w:rPr>
            </w:pPr>
            <w:r>
              <w:rPr>
                <w:noProof/>
                <w:sz w:val="20"/>
              </w:rPr>
              <w:t>COM(2018) 385 final</w:t>
            </w:r>
            <w:r>
              <w:rPr>
                <w:noProof/>
                <w:sz w:val="20"/>
              </w:rPr>
              <w:br/>
              <w:t>2018/0209 (COD)</w:t>
            </w:r>
            <w:r>
              <w:rPr>
                <w:noProof/>
                <w:sz w:val="20"/>
              </w:rPr>
              <w:br/>
              <w:t>1. 6. 2018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Európskom námornom a rybárskom fonde a o zrušení nariadenia Európskeho parlamentu a Rady (EÚ) č. 508/2014</w:t>
            </w:r>
          </w:p>
        </w:tc>
        <w:tc>
          <w:tcPr>
            <w:tcW w:w="2126" w:type="dxa"/>
            <w:tcMar>
              <w:top w:w="85" w:type="dxa"/>
              <w:left w:w="85" w:type="dxa"/>
              <w:bottom w:w="85" w:type="dxa"/>
            </w:tcMar>
          </w:tcPr>
          <w:p>
            <w:pPr>
              <w:spacing w:after="0"/>
              <w:jc w:val="left"/>
              <w:rPr>
                <w:noProof/>
                <w:sz w:val="20"/>
              </w:rPr>
            </w:pPr>
            <w:r>
              <w:rPr>
                <w:noProof/>
                <w:sz w:val="20"/>
              </w:rPr>
              <w:t>COM(2018) 390 final</w:t>
            </w:r>
            <w:r>
              <w:rPr>
                <w:noProof/>
                <w:sz w:val="20"/>
              </w:rPr>
              <w:br/>
              <w:t>2018/0210 (COD) 12.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financovaní, riadení a monitorovaní spoločnej poľnohospodárskej politiky, ktorým sa zrušuje nariadenie (EÚ) č. 1306/2013</w:t>
            </w:r>
          </w:p>
        </w:tc>
        <w:tc>
          <w:tcPr>
            <w:tcW w:w="2126" w:type="dxa"/>
            <w:tcMar>
              <w:top w:w="85" w:type="dxa"/>
              <w:left w:w="85" w:type="dxa"/>
              <w:bottom w:w="85" w:type="dxa"/>
            </w:tcMar>
          </w:tcPr>
          <w:p>
            <w:pPr>
              <w:spacing w:after="0"/>
              <w:jc w:val="left"/>
              <w:rPr>
                <w:noProof/>
                <w:sz w:val="20"/>
              </w:rPr>
            </w:pPr>
            <w:r>
              <w:rPr>
                <w:noProof/>
                <w:sz w:val="20"/>
              </w:rPr>
              <w:t>COM(2018) 393 final</w:t>
            </w:r>
            <w:r>
              <w:rPr>
                <w:noProof/>
                <w:sz w:val="20"/>
              </w:rPr>
              <w:br/>
              <w:t>2018/0217 (COD)</w:t>
            </w:r>
            <w:r>
              <w:rPr>
                <w:noProof/>
                <w:sz w:val="20"/>
              </w:rPr>
              <w:br/>
              <w:t>1. 6. 2018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nariadenie (EÚ) č. 228/2013 o osobitných opatreniach v oblasti poľnohospodárstva v prospech najvzdialenejších regiónov Únie a nariadenie (EÚ) č. 229/2013 o osobitných opatreniach v oblasti poľnohospodárstva v prospech menších ostrovov v Egejskom mori</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394 final</w:t>
            </w:r>
            <w:r>
              <w:rPr>
                <w:noProof/>
                <w:sz w:val="20"/>
              </w:rPr>
              <w:br/>
              <w:t>2018/0218 (COD)</w:t>
            </w:r>
            <w:r>
              <w:rPr>
                <w:noProof/>
                <w:sz w:val="20"/>
              </w:rPr>
              <w:br/>
              <w:t>23. 4. 2018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stanovujú pravidlá týkajúce sa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zrušuje nariadenie Európskeho parlamentu a Rady (EÚ) č. 1305/2013 a nariadenie Európskeho parlamentu a Rady (EÚ) č. 1307/2013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392 final</w:t>
            </w:r>
            <w:r>
              <w:rPr>
                <w:noProof/>
                <w:sz w:val="20"/>
              </w:rPr>
              <w:br/>
              <w:t>2018/0216 (COD)</w:t>
            </w:r>
            <w:r>
              <w:rPr>
                <w:noProof/>
                <w:sz w:val="20"/>
              </w:rPr>
              <w:br/>
              <w:t>1. 6. 2018</w:t>
            </w:r>
          </w:p>
        </w:tc>
      </w:tr>
      <w:tr>
        <w:trPr>
          <w:cantSplit/>
        </w:trPr>
        <w:tc>
          <w:tcPr>
            <w:tcW w:w="652" w:type="dxa"/>
            <w:tcBorders>
              <w:bottom w:val="single" w:sz="4" w:space="0" w:color="auto"/>
              <w:right w:val="nil"/>
            </w:tcBorders>
            <w:shd w:val="clear" w:color="auto" w:fill="auto"/>
            <w:tcMar>
              <w:top w:w="85" w:type="dxa"/>
              <w:left w:w="85" w:type="dxa"/>
              <w:bottom w:w="85" w:type="dxa"/>
              <w:right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stanovujú určité prechodné ustanovenia týkajúce sa podpory z Európskeho poľnohospodárskeho fondu pre rozvoj vidieka (EPFRV) a Európskeho poľnohospodárskeho záručného fondu (EPZF) v roku 2021 a ktorým sa menia nariadenia (EÚ) č. 228/2013, (EÚ) č. 229/2013 a (EÚ) č. 1308/2013, pokiaľ ide o zdroje a ich distribúciu v roku 2021, a ktorým sa menia nariadenia (EÚ) č. 1305/2013, (EÚ) č. 1306/2013 a (EÚ) č. 1307/2013, pokiaľ ide o ich zdroje a uplatňovanie v roku 2021</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COM(2019) 581 final</w:t>
            </w:r>
            <w:r>
              <w:rPr>
                <w:noProof/>
                <w:sz w:val="20"/>
              </w:rPr>
              <w:br/>
              <w:t>2019/0254 (COD)</w:t>
            </w:r>
            <w:r>
              <w:rPr>
                <w:noProof/>
                <w:sz w:val="20"/>
              </w:rPr>
              <w:br/>
              <w:t>31. 10. 2019</w:t>
            </w:r>
          </w:p>
        </w:tc>
      </w:tr>
      <w:tr>
        <w:trPr>
          <w:cantSplit/>
        </w:trPr>
        <w:tc>
          <w:tcPr>
            <w:tcW w:w="14850" w:type="dxa"/>
            <w:gridSpan w:val="3"/>
            <w:shd w:val="clear" w:color="auto" w:fill="18BAA8" w:themeFill="accent2"/>
            <w:tcMar>
              <w:top w:w="85" w:type="dxa"/>
              <w:left w:w="85" w:type="dxa"/>
              <w:bottom w:w="85" w:type="dxa"/>
              <w:right w:w="85" w:type="dxa"/>
            </w:tcMar>
          </w:tcPr>
          <w:p>
            <w:pPr>
              <w:spacing w:before="60" w:after="60"/>
              <w:rPr>
                <w:noProof/>
                <w:sz w:val="20"/>
              </w:rPr>
            </w:pPr>
            <w:r>
              <w:rPr>
                <w:b/>
                <w:bCs/>
                <w:noProof/>
                <w:color w:val="FFFFFF" w:themeColor="background1"/>
                <w:sz w:val="20"/>
              </w:rPr>
              <w:t>Európa pripravená na digitálny vek</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právach a povinnostiach cestujúcich v železničnej preprave (prepracované znenie)</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COM(2017) 548 final.</w:t>
            </w:r>
            <w:r>
              <w:rPr>
                <w:noProof/>
                <w:sz w:val="20"/>
              </w:rPr>
              <w:br/>
              <w:t>2017/0237 (COD)</w:t>
            </w:r>
            <w:r>
              <w:rPr>
                <w:noProof/>
                <w:sz w:val="20"/>
              </w:rPr>
              <w:br/>
              <w:t>27. 9. 2017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261/2004, ktorým sa ustanovujú spoločné pravidlá systému náhrad a pomoci cestujúcim pri odmietnutí nástupu do lietadla, v prípade zrušenia alebo veľkého meškania letov, a nariadenie (ES) č. 2027/97 o zodpovednosti leteckého dopravcu pri preprave cestujúcich a ich batožiny v leteckej doprave</w:t>
            </w:r>
          </w:p>
        </w:tc>
        <w:tc>
          <w:tcPr>
            <w:tcW w:w="2126" w:type="dxa"/>
            <w:tcMar>
              <w:top w:w="85" w:type="dxa"/>
              <w:left w:w="85" w:type="dxa"/>
              <w:bottom w:w="85" w:type="dxa"/>
            </w:tcMar>
          </w:tcPr>
          <w:p>
            <w:pPr>
              <w:spacing w:after="0"/>
              <w:jc w:val="left"/>
              <w:rPr>
                <w:noProof/>
                <w:sz w:val="20"/>
              </w:rPr>
            </w:pPr>
            <w:r>
              <w:rPr>
                <w:noProof/>
                <w:sz w:val="20"/>
              </w:rPr>
              <w:t>COM(2013) 130 final.</w:t>
            </w:r>
            <w:r>
              <w:rPr>
                <w:noProof/>
                <w:sz w:val="20"/>
              </w:rPr>
              <w:br/>
              <w:t>2013/0072 (COD)</w:t>
            </w:r>
            <w:r>
              <w:rPr>
                <w:noProof/>
                <w:sz w:val="20"/>
              </w:rPr>
              <w:br/>
              <w:t>13. 3. 2013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implementácii jednotného európskeho neba (Prepracované znenie)</w:t>
            </w:r>
          </w:p>
        </w:tc>
        <w:tc>
          <w:tcPr>
            <w:tcW w:w="2126" w:type="dxa"/>
            <w:tcMar>
              <w:top w:w="85" w:type="dxa"/>
              <w:left w:w="85" w:type="dxa"/>
              <w:bottom w:w="85" w:type="dxa"/>
            </w:tcMar>
          </w:tcPr>
          <w:p>
            <w:pPr>
              <w:spacing w:after="0"/>
              <w:jc w:val="left"/>
              <w:rPr>
                <w:noProof/>
                <w:sz w:val="20"/>
              </w:rPr>
            </w:pPr>
            <w:r>
              <w:rPr>
                <w:noProof/>
                <w:sz w:val="20"/>
              </w:rPr>
              <w:t>COM(2013) 410 final.</w:t>
            </w:r>
            <w:r>
              <w:rPr>
                <w:noProof/>
                <w:sz w:val="20"/>
              </w:rPr>
              <w:br/>
              <w:t>2013/0186 (COD)</w:t>
            </w:r>
            <w:r>
              <w:rPr>
                <w:noProof/>
                <w:sz w:val="20"/>
              </w:rPr>
              <w:br/>
              <w:t>11. 6. 2013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spoločných pravidlách prideľovania prevádzkových intervalov na letiskách Európskej únie</w:t>
            </w:r>
          </w:p>
        </w:tc>
        <w:tc>
          <w:tcPr>
            <w:tcW w:w="2126" w:type="dxa"/>
            <w:tcMar>
              <w:top w:w="85" w:type="dxa"/>
              <w:left w:w="85" w:type="dxa"/>
              <w:bottom w:w="85" w:type="dxa"/>
            </w:tcMar>
          </w:tcPr>
          <w:p>
            <w:pPr>
              <w:spacing w:after="0"/>
              <w:jc w:val="left"/>
              <w:rPr>
                <w:noProof/>
                <w:sz w:val="20"/>
              </w:rPr>
            </w:pPr>
            <w:r>
              <w:rPr>
                <w:noProof/>
                <w:sz w:val="20"/>
              </w:rPr>
              <w:t>COM(2011) 827 final.</w:t>
            </w:r>
            <w:r>
              <w:rPr>
                <w:noProof/>
                <w:sz w:val="20"/>
              </w:rPr>
              <w:br/>
              <w:t>2011/0391 (COD)</w:t>
            </w:r>
            <w:r>
              <w:rPr>
                <w:noProof/>
                <w:sz w:val="20"/>
              </w:rPr>
              <w:br/>
              <w:t>1. 12. 2011</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ktorou sa mení smernica 2006/1/ES o používaní vozidiel prenajatých bez vodičov na cestnú prepravu tovaru</w:t>
            </w:r>
          </w:p>
        </w:tc>
        <w:tc>
          <w:tcPr>
            <w:tcW w:w="2126" w:type="dxa"/>
            <w:tcMar>
              <w:top w:w="85" w:type="dxa"/>
              <w:left w:w="85" w:type="dxa"/>
              <w:bottom w:w="85" w:type="dxa"/>
            </w:tcMar>
          </w:tcPr>
          <w:p>
            <w:pPr>
              <w:spacing w:after="0"/>
              <w:jc w:val="left"/>
              <w:rPr>
                <w:noProof/>
                <w:sz w:val="20"/>
              </w:rPr>
            </w:pPr>
            <w:r>
              <w:rPr>
                <w:noProof/>
                <w:sz w:val="20"/>
              </w:rPr>
              <w:t>COM(2017) 282 final.</w:t>
            </w:r>
            <w:r>
              <w:rPr>
                <w:noProof/>
                <w:sz w:val="20"/>
              </w:rPr>
              <w:br/>
              <w:t>2017/0113 (COD)</w:t>
            </w:r>
            <w:r>
              <w:rPr>
                <w:noProof/>
                <w:sz w:val="20"/>
              </w:rPr>
              <w:br/>
              <w:t>31. 5. 2017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1073/2009 o spoločných pravidlách prístupu na medzinárodný trh autokarovej a autobusovej dopravy</w:t>
            </w:r>
          </w:p>
        </w:tc>
        <w:tc>
          <w:tcPr>
            <w:tcW w:w="2126" w:type="dxa"/>
            <w:tcMar>
              <w:top w:w="85" w:type="dxa"/>
              <w:left w:w="85" w:type="dxa"/>
              <w:bottom w:w="85" w:type="dxa"/>
            </w:tcMar>
          </w:tcPr>
          <w:p>
            <w:pPr>
              <w:spacing w:after="0"/>
              <w:jc w:val="left"/>
              <w:rPr>
                <w:noProof/>
                <w:sz w:val="20"/>
              </w:rPr>
            </w:pPr>
            <w:r>
              <w:rPr>
                <w:noProof/>
                <w:sz w:val="20"/>
              </w:rPr>
              <w:t>COM(2017) 647 final.</w:t>
            </w:r>
            <w:r>
              <w:rPr>
                <w:noProof/>
                <w:sz w:val="20"/>
              </w:rPr>
              <w:br/>
              <w:t>2017/0288 (COD)</w:t>
            </w:r>
            <w:r>
              <w:rPr>
                <w:noProof/>
                <w:sz w:val="20"/>
              </w:rPr>
              <w:br/>
              <w:t>8. 11. 2017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ktorou sa ukončujú sezónne zmeny času a zrušuje smernica 2000/84/ES</w:t>
            </w:r>
          </w:p>
        </w:tc>
        <w:tc>
          <w:tcPr>
            <w:tcW w:w="2126" w:type="dxa"/>
            <w:tcMar>
              <w:top w:w="85" w:type="dxa"/>
              <w:left w:w="85" w:type="dxa"/>
              <w:bottom w:w="85" w:type="dxa"/>
            </w:tcMar>
          </w:tcPr>
          <w:p>
            <w:pPr>
              <w:spacing w:after="0"/>
              <w:jc w:val="left"/>
              <w:rPr>
                <w:noProof/>
                <w:sz w:val="20"/>
              </w:rPr>
            </w:pPr>
            <w:r>
              <w:rPr>
                <w:noProof/>
                <w:sz w:val="20"/>
              </w:rPr>
              <w:t>COM(2018) 639 final.</w:t>
            </w:r>
            <w:r>
              <w:rPr>
                <w:noProof/>
                <w:sz w:val="20"/>
              </w:rPr>
              <w:br/>
              <w:t>2018/0332 (COD)</w:t>
            </w:r>
            <w:r>
              <w:rPr>
                <w:noProof/>
                <w:sz w:val="20"/>
              </w:rPr>
              <w:br/>
              <w:t>12. 9. 2018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715/2007 o typovom schvaľovaní motorových vozidiel so zreteľom na emisie ľahkých osobných a úžitkových vozidiel (Euro 5 a Euro 6) a o prístupe k informáciám o opravách a údržbe vozidiel</w:t>
            </w:r>
          </w:p>
        </w:tc>
        <w:tc>
          <w:tcPr>
            <w:tcW w:w="2126" w:type="dxa"/>
            <w:tcMar>
              <w:top w:w="85" w:type="dxa"/>
              <w:left w:w="85" w:type="dxa"/>
              <w:bottom w:w="85" w:type="dxa"/>
            </w:tcMar>
          </w:tcPr>
          <w:p>
            <w:pPr>
              <w:spacing w:after="0"/>
              <w:jc w:val="left"/>
              <w:rPr>
                <w:noProof/>
                <w:sz w:val="20"/>
              </w:rPr>
            </w:pPr>
            <w:r>
              <w:rPr>
                <w:noProof/>
                <w:sz w:val="20"/>
              </w:rPr>
              <w:t>COM(2019) 208 final.</w:t>
            </w:r>
            <w:r>
              <w:rPr>
                <w:noProof/>
                <w:sz w:val="20"/>
              </w:rPr>
              <w:br/>
              <w:t>2019/0101 (COD)</w:t>
            </w:r>
            <w:r>
              <w:rPr>
                <w:noProof/>
                <w:sz w:val="20"/>
              </w:rPr>
              <w:br/>
              <w:t>14. 6. 2019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rešpektovaní súkromného života a ochrane osobných údajov v elektronických komunikáciách a o zrušení smernice 2002/58/ES (smernica o súkromí a elektronických komunikáciách)</w:t>
            </w:r>
          </w:p>
        </w:tc>
        <w:tc>
          <w:tcPr>
            <w:tcW w:w="2126" w:type="dxa"/>
            <w:tcMar>
              <w:top w:w="85" w:type="dxa"/>
              <w:left w:w="85" w:type="dxa"/>
              <w:bottom w:w="85" w:type="dxa"/>
            </w:tcMar>
          </w:tcPr>
          <w:p>
            <w:pPr>
              <w:spacing w:after="0"/>
              <w:jc w:val="left"/>
              <w:rPr>
                <w:noProof/>
                <w:sz w:val="20"/>
              </w:rPr>
            </w:pPr>
            <w:r>
              <w:rPr>
                <w:noProof/>
                <w:sz w:val="20"/>
              </w:rPr>
              <w:t>COM(2017) 10 final.</w:t>
            </w:r>
            <w:r>
              <w:rPr>
                <w:noProof/>
                <w:sz w:val="20"/>
              </w:rPr>
              <w:br/>
              <w:t>2017/0003 (COD)</w:t>
            </w:r>
            <w:r>
              <w:rPr>
                <w:noProof/>
                <w:sz w:val="20"/>
              </w:rPr>
              <w:br/>
              <w:t>10. 1. 2017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zriaďuje Európske centrum odvetvových, technologických a výskumných kompetencií v oblasti kybernetickej bezpečnosti a sieť národných koordinačných centier Príspevok Európskej komisie k zasadnutiu lídrov v Salzburgu v dňoch 19. – 20. septembra 2018</w:t>
            </w:r>
          </w:p>
        </w:tc>
        <w:tc>
          <w:tcPr>
            <w:tcW w:w="2126" w:type="dxa"/>
            <w:tcMar>
              <w:top w:w="85" w:type="dxa"/>
              <w:left w:w="85" w:type="dxa"/>
              <w:bottom w:w="85" w:type="dxa"/>
            </w:tcMar>
          </w:tcPr>
          <w:p>
            <w:pPr>
              <w:spacing w:after="0"/>
              <w:jc w:val="left"/>
              <w:rPr>
                <w:noProof/>
                <w:sz w:val="20"/>
              </w:rPr>
            </w:pPr>
            <w:r>
              <w:rPr>
                <w:noProof/>
                <w:sz w:val="20"/>
              </w:rPr>
              <w:t>COM(2018) 630 final.</w:t>
            </w:r>
            <w:r>
              <w:rPr>
                <w:noProof/>
                <w:sz w:val="20"/>
              </w:rPr>
              <w:br/>
              <w:t>2018/0328 (COD)</w:t>
            </w:r>
            <w:r>
              <w:rPr>
                <w:noProof/>
                <w:sz w:val="20"/>
              </w:rPr>
              <w:br/>
              <w:t>12. 9. 2019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SMERNICE EURÓPSKEHO PARLAMENTU A RADY o právnom a operačnom rámci pre európsky elektronický preukaz služieb zavedený nariadením... [ESC Regulation]...</w:t>
            </w:r>
          </w:p>
        </w:tc>
        <w:tc>
          <w:tcPr>
            <w:tcW w:w="2126" w:type="dxa"/>
            <w:tcMar>
              <w:top w:w="85" w:type="dxa"/>
              <w:left w:w="85" w:type="dxa"/>
              <w:bottom w:w="85" w:type="dxa"/>
            </w:tcMar>
          </w:tcPr>
          <w:p>
            <w:pPr>
              <w:spacing w:after="0"/>
              <w:jc w:val="left"/>
              <w:rPr>
                <w:noProof/>
                <w:sz w:val="20"/>
              </w:rPr>
            </w:pPr>
            <w:r>
              <w:rPr>
                <w:noProof/>
                <w:sz w:val="20"/>
              </w:rPr>
              <w:t>COM(2016) 823 final.</w:t>
            </w:r>
            <w:r>
              <w:rPr>
                <w:noProof/>
                <w:sz w:val="20"/>
              </w:rPr>
              <w:br/>
              <w:t>2016/0402 (COD)</w:t>
            </w:r>
            <w:r>
              <w:rPr>
                <w:noProof/>
                <w:sz w:val="20"/>
              </w:rPr>
              <w:br/>
              <w:t>10. 1. 2017</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o zavedení európskeho elektronického preukazu služieb a súvisiacich administratívnych prostriedkoch</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COM(2016) 824 final.</w:t>
            </w:r>
            <w:r>
              <w:rPr>
                <w:noProof/>
                <w:sz w:val="20"/>
              </w:rPr>
              <w:br/>
              <w:t>2016/0403 (COD)</w:t>
            </w:r>
            <w:r>
              <w:rPr>
                <w:noProof/>
                <w:sz w:val="20"/>
              </w:rPr>
              <w:br/>
              <w:t>10. 1. 2017</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zriaďuje Nástroj na prepájanie Európy a zrušujú sa nariadenia (EÚ) č. 1316/2013 a (EÚ) č. 283/2014</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438 final.</w:t>
            </w:r>
            <w:r>
              <w:rPr>
                <w:noProof/>
                <w:sz w:val="20"/>
              </w:rPr>
              <w:br/>
              <w:t>2018/0228 (COD)</w:t>
            </w:r>
            <w:r>
              <w:rPr>
                <w:noProof/>
                <w:sz w:val="20"/>
              </w:rPr>
              <w:br/>
              <w:t>7. 6. 2018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zriaďuje Program pre jednotný trh, konkurencieschopnosť podnikov vrátane malých a stredných podnikov a európsku štatistiku a ktorým sa zrušuje nariadenie (EÚ) č. 99/2013, nariadenie (EÚ) č. 1287/2013, nariadenie (EÚ) č. 254/2014, nariadenie (EÚ) č. 258/2014, nariadenie (EÚ) č. 652/2014 a nariadenie (EÚ) 2017/826</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441 final.</w:t>
            </w:r>
            <w:r>
              <w:rPr>
                <w:noProof/>
                <w:sz w:val="20"/>
              </w:rPr>
              <w:br/>
              <w:t>2018/0231 (COD)</w:t>
            </w:r>
            <w:r>
              <w:rPr>
                <w:noProof/>
                <w:sz w:val="20"/>
              </w:rPr>
              <w:br/>
              <w:t>7. 6. 2018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ROZHODNUTIA EURÓPSKEHO PARLAMENTU A RADY, ktorým sa stanovuje špecifický program na vykonávanie programu Európsky horizont – rámcový program pre výskum a inovácie</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436 final.</w:t>
            </w:r>
            <w:r>
              <w:rPr>
                <w:noProof/>
                <w:sz w:val="20"/>
              </w:rPr>
              <w:br/>
              <w:t>2018/0225 (COD)</w:t>
            </w:r>
            <w:r>
              <w:rPr>
                <w:noProof/>
                <w:sz w:val="20"/>
              </w:rPr>
              <w:br/>
              <w:t>7. 6. 2018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stanovuje Európsky horizont – rámcový program pre výskum a inovácie a ktorým sa stanovujú jeho pravidlá účasti a šírenia</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435 final.</w:t>
            </w:r>
            <w:r>
              <w:rPr>
                <w:noProof/>
                <w:sz w:val="20"/>
              </w:rPr>
              <w:br/>
              <w:t>2018/0224 (COD)</w:t>
            </w:r>
            <w:r>
              <w:rPr>
                <w:noProof/>
                <w:sz w:val="20"/>
              </w:rPr>
              <w:br/>
              <w:t>7. 6. 2018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RADY, ktorým sa stanovuje výskumný a vzdelávací program Európskeho spoločenstva pre atómovú energiu na obdobie 2021 – 2025, ktorým sa dopĺňa program Európsky horizont – rámcový program pre výskum a inovácie</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437 final.</w:t>
            </w:r>
            <w:r>
              <w:rPr>
                <w:noProof/>
                <w:sz w:val="20"/>
              </w:rPr>
              <w:br/>
              <w:t>2018/0226 (NLE)</w:t>
            </w:r>
            <w:r>
              <w:rPr>
                <w:noProof/>
                <w:sz w:val="20"/>
              </w:rPr>
              <w:br/>
              <w:t>7. 6. 2018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stanovuje program Digitálna Európa na obdobie 2021 – 2027</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434 final.</w:t>
            </w:r>
            <w:r>
              <w:rPr>
                <w:noProof/>
                <w:sz w:val="20"/>
              </w:rPr>
              <w:br/>
              <w:t>2018/0227 (COD)</w:t>
            </w:r>
            <w:r>
              <w:rPr>
                <w:noProof/>
                <w:sz w:val="20"/>
              </w:rPr>
              <w:br/>
              <w:t>8. 6. 2018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zriaďuje Európsky obranný fond</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476 final.</w:t>
            </w:r>
            <w:r>
              <w:rPr>
                <w:noProof/>
                <w:sz w:val="20"/>
              </w:rPr>
              <w:br/>
              <w:t>2018/0254 (COD)</w:t>
            </w:r>
            <w:r>
              <w:rPr>
                <w:noProof/>
                <w:sz w:val="20"/>
              </w:rPr>
              <w:br/>
              <w:t>13. 6. 2018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Vesmírny program Únie a zriaďuje Agentúra Európskej únie pre vesmírny program a ktorým sa zrušujú nariadenia (EÚ) č. 912/2010, (EÚ) č. 1285/2013, (EÚ) č. 377/2014 a rozhodnutie č. 541/2014/EÚ</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447 final.</w:t>
            </w:r>
            <w:r>
              <w:rPr>
                <w:noProof/>
                <w:sz w:val="20"/>
              </w:rPr>
              <w:br/>
              <w:t>2018/0236 (COD)</w:t>
            </w:r>
            <w:r>
              <w:rPr>
                <w:noProof/>
                <w:sz w:val="20"/>
              </w:rPr>
              <w:br/>
              <w:t>8. 6. 2018</w:t>
            </w:r>
          </w:p>
        </w:tc>
      </w:tr>
      <w:tr>
        <w:trPr>
          <w:cantSplit/>
        </w:trPr>
        <w:tc>
          <w:tcPr>
            <w:tcW w:w="14850" w:type="dxa"/>
            <w:gridSpan w:val="3"/>
            <w:shd w:val="clear" w:color="auto" w:fill="F68A42" w:themeFill="accent3"/>
            <w:tcMar>
              <w:top w:w="85" w:type="dxa"/>
              <w:left w:w="85" w:type="dxa"/>
              <w:bottom w:w="85" w:type="dxa"/>
              <w:right w:w="85" w:type="dxa"/>
            </w:tcMar>
          </w:tcPr>
          <w:p>
            <w:pPr>
              <w:spacing w:before="60" w:after="60"/>
              <w:rPr>
                <w:noProof/>
                <w:sz w:val="20"/>
              </w:rPr>
            </w:pPr>
            <w:r>
              <w:rPr>
                <w:b/>
                <w:bCs/>
                <w:noProof/>
                <w:color w:val="FFFFFF" w:themeColor="background1"/>
                <w:sz w:val="20"/>
              </w:rPr>
              <w:t>Hospodárstvo, ktoré pracuje v prospech ľudí</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prijímajú ustanovenia týkajúce sa posilnenia fiškálnej zodpovednosti a strednodobého rozpočtového smerovania v členských štátoch</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COM(2017) 824 final.</w:t>
            </w:r>
            <w:r>
              <w:rPr>
                <w:noProof/>
                <w:sz w:val="20"/>
              </w:rPr>
              <w:br/>
              <w:t>2017/0335 (NLE)</w:t>
            </w:r>
            <w:r>
              <w:rPr>
                <w:noProof/>
                <w:sz w:val="20"/>
              </w:rPr>
              <w:br/>
              <w:t>6. 12. 2017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č. 806/2014 s cieľom vytvoriť európsky systém ochrany vkladov</w:t>
            </w:r>
          </w:p>
        </w:tc>
        <w:tc>
          <w:tcPr>
            <w:tcW w:w="2126" w:type="dxa"/>
            <w:tcMar>
              <w:top w:w="85" w:type="dxa"/>
              <w:left w:w="85" w:type="dxa"/>
              <w:bottom w:w="85" w:type="dxa"/>
            </w:tcMar>
          </w:tcPr>
          <w:p>
            <w:pPr>
              <w:spacing w:after="0"/>
              <w:jc w:val="left"/>
              <w:rPr>
                <w:noProof/>
                <w:sz w:val="20"/>
              </w:rPr>
            </w:pPr>
            <w:r>
              <w:rPr>
                <w:noProof/>
                <w:sz w:val="20"/>
              </w:rPr>
              <w:t>COM(2015) 586 final.</w:t>
            </w:r>
            <w:r>
              <w:rPr>
                <w:noProof/>
                <w:sz w:val="20"/>
              </w:rPr>
              <w:br/>
              <w:t>2015/0270 (COD)</w:t>
            </w:r>
            <w:r>
              <w:rPr>
                <w:noProof/>
                <w:sz w:val="20"/>
              </w:rPr>
              <w:br/>
              <w:t>24. 11. 2015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cenných papieroch zabezpečených štátnymi dlhopismi</w:t>
            </w:r>
          </w:p>
        </w:tc>
        <w:tc>
          <w:tcPr>
            <w:tcW w:w="2126" w:type="dxa"/>
            <w:tcMar>
              <w:top w:w="85" w:type="dxa"/>
              <w:left w:w="85" w:type="dxa"/>
              <w:bottom w:w="85" w:type="dxa"/>
            </w:tcMar>
          </w:tcPr>
          <w:p>
            <w:pPr>
              <w:spacing w:after="0"/>
              <w:jc w:val="left"/>
              <w:rPr>
                <w:noProof/>
                <w:sz w:val="20"/>
              </w:rPr>
            </w:pPr>
            <w:r>
              <w:rPr>
                <w:noProof/>
                <w:sz w:val="20"/>
              </w:rPr>
              <w:t>COM(2018) 339 final.</w:t>
            </w:r>
            <w:r>
              <w:rPr>
                <w:noProof/>
                <w:sz w:val="20"/>
              </w:rPr>
              <w:br/>
              <w:t>2018/0171 (COD)</w:t>
            </w:r>
            <w:r>
              <w:rPr>
                <w:noProof/>
                <w:sz w:val="20"/>
              </w:rPr>
              <w:br/>
              <w:t>24. 5. 2018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o správcoch úverov, nákupcoch úverov a vymáhaní kolaterálu</w:t>
            </w:r>
          </w:p>
        </w:tc>
        <w:tc>
          <w:tcPr>
            <w:tcW w:w="2126" w:type="dxa"/>
            <w:tcMar>
              <w:top w:w="85" w:type="dxa"/>
              <w:left w:w="85" w:type="dxa"/>
              <w:bottom w:w="85" w:type="dxa"/>
            </w:tcMar>
          </w:tcPr>
          <w:p>
            <w:pPr>
              <w:spacing w:after="0"/>
              <w:jc w:val="left"/>
              <w:rPr>
                <w:noProof/>
                <w:sz w:val="20"/>
              </w:rPr>
            </w:pPr>
            <w:r>
              <w:rPr>
                <w:noProof/>
                <w:sz w:val="20"/>
              </w:rPr>
              <w:t>COM(2018) 135 final.</w:t>
            </w:r>
            <w:r>
              <w:rPr>
                <w:noProof/>
                <w:sz w:val="20"/>
              </w:rPr>
              <w:br/>
              <w:t>2018/0063 (COD)</w:t>
            </w:r>
            <w:r>
              <w:rPr>
                <w:noProof/>
                <w:sz w:val="20"/>
              </w:rPr>
              <w:br/>
              <w:t>14. 3. 2018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ktorou sa mení smernica 2013/34/EÚ, pokiaľ ide o zverejňovanie informácií o dani z príjmu určitými podnikmi a pobočkami</w:t>
            </w:r>
          </w:p>
        </w:tc>
        <w:tc>
          <w:tcPr>
            <w:tcW w:w="2126" w:type="dxa"/>
            <w:tcMar>
              <w:top w:w="85" w:type="dxa"/>
              <w:left w:w="85" w:type="dxa"/>
              <w:bottom w:w="85" w:type="dxa"/>
            </w:tcMar>
          </w:tcPr>
          <w:p>
            <w:pPr>
              <w:spacing w:after="0"/>
              <w:jc w:val="left"/>
              <w:rPr>
                <w:noProof/>
                <w:sz w:val="20"/>
              </w:rPr>
            </w:pPr>
            <w:r>
              <w:rPr>
                <w:noProof/>
                <w:sz w:val="20"/>
              </w:rPr>
              <w:t>COM(2016) 198 final.</w:t>
            </w:r>
            <w:r>
              <w:rPr>
                <w:noProof/>
                <w:sz w:val="20"/>
              </w:rPr>
              <w:br/>
              <w:t>2016/0107 (COD)</w:t>
            </w:r>
            <w:r>
              <w:rPr>
                <w:noProof/>
                <w:sz w:val="20"/>
              </w:rPr>
              <w:br/>
              <w:t>13. 4. 2016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rámci na ozdravenie a riešenie krízových situácií centrálnych protistrán a o zmene nariadení (EÚ) č. 1095/2010, (EÚ) č. 648/2012 a (EÚ) 2015/2365</w:t>
            </w:r>
          </w:p>
        </w:tc>
        <w:tc>
          <w:tcPr>
            <w:tcW w:w="2126" w:type="dxa"/>
            <w:tcMar>
              <w:top w:w="85" w:type="dxa"/>
              <w:left w:w="85" w:type="dxa"/>
              <w:bottom w:w="85" w:type="dxa"/>
            </w:tcMar>
          </w:tcPr>
          <w:p>
            <w:pPr>
              <w:spacing w:after="0"/>
              <w:jc w:val="left"/>
              <w:rPr>
                <w:noProof/>
                <w:sz w:val="20"/>
              </w:rPr>
            </w:pPr>
            <w:r>
              <w:rPr>
                <w:noProof/>
                <w:sz w:val="20"/>
              </w:rPr>
              <w:t>COM(2016) 856 final.</w:t>
            </w:r>
            <w:r>
              <w:rPr>
                <w:noProof/>
                <w:sz w:val="20"/>
              </w:rPr>
              <w:br/>
              <w:t>2016/0365 (COD)</w:t>
            </w:r>
            <w:r>
              <w:rPr>
                <w:noProof/>
                <w:sz w:val="20"/>
              </w:rPr>
              <w:br/>
              <w:t>28. 11. 2016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ROZHODNUTIE RADY, ktorým sa stanovujú opatrenia na postupné vytvorenie jednotného zastúpenia eurozóny v rámci Medzinárodného menového fondu</w:t>
            </w:r>
          </w:p>
        </w:tc>
        <w:tc>
          <w:tcPr>
            <w:tcW w:w="2126" w:type="dxa"/>
            <w:tcMar>
              <w:top w:w="85" w:type="dxa"/>
              <w:left w:w="85" w:type="dxa"/>
              <w:bottom w:w="85" w:type="dxa"/>
            </w:tcMar>
          </w:tcPr>
          <w:p>
            <w:pPr>
              <w:spacing w:after="0"/>
              <w:jc w:val="left"/>
              <w:rPr>
                <w:noProof/>
                <w:sz w:val="20"/>
              </w:rPr>
            </w:pPr>
            <w:r>
              <w:rPr>
                <w:noProof/>
                <w:sz w:val="20"/>
              </w:rPr>
              <w:t>COM(2015) 603 final.</w:t>
            </w:r>
            <w:r>
              <w:rPr>
                <w:noProof/>
                <w:sz w:val="20"/>
              </w:rPr>
              <w:br/>
              <w:t>2015/0250 (NLE)</w:t>
            </w:r>
            <w:r>
              <w:rPr>
                <w:noProof/>
                <w:sz w:val="20"/>
              </w:rPr>
              <w:br/>
              <w:t>21. 10. 2015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rámci riadenia rozpočtového nástroja pre konvergenciu a konkurencieschopnosť eurozóny</w:t>
            </w:r>
          </w:p>
        </w:tc>
        <w:tc>
          <w:tcPr>
            <w:tcW w:w="2126" w:type="dxa"/>
            <w:tcMar>
              <w:top w:w="85" w:type="dxa"/>
              <w:left w:w="85" w:type="dxa"/>
              <w:bottom w:w="85" w:type="dxa"/>
            </w:tcMar>
          </w:tcPr>
          <w:p>
            <w:pPr>
              <w:spacing w:after="0"/>
              <w:jc w:val="left"/>
              <w:rPr>
                <w:noProof/>
                <w:sz w:val="20"/>
              </w:rPr>
            </w:pPr>
            <w:r>
              <w:rPr>
                <w:noProof/>
                <w:sz w:val="20"/>
              </w:rPr>
              <w:t>COM(2019) 354 final.</w:t>
            </w:r>
            <w:r>
              <w:rPr>
                <w:noProof/>
                <w:sz w:val="20"/>
              </w:rPr>
              <w:br/>
              <w:t>2019/0161 (COD)</w:t>
            </w:r>
            <w:r>
              <w:rPr>
                <w:noProof/>
                <w:sz w:val="20"/>
              </w:rPr>
              <w:br/>
              <w:t>24. 7. 2019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883/2004 o koordinácii systémov sociálneho zabezpečenia a nariadenie (ES) č. 987/2009, ktorým sa stanovuje postup vykonávania nariadenia (ES) č. 883/2004 (Text s významom pre EHP a Švajčiarsko)</w:t>
            </w:r>
          </w:p>
        </w:tc>
        <w:tc>
          <w:tcPr>
            <w:tcW w:w="2126" w:type="dxa"/>
            <w:tcMar>
              <w:top w:w="85" w:type="dxa"/>
              <w:left w:w="85" w:type="dxa"/>
              <w:bottom w:w="85" w:type="dxa"/>
            </w:tcMar>
          </w:tcPr>
          <w:p>
            <w:pPr>
              <w:spacing w:after="0"/>
              <w:jc w:val="left"/>
              <w:rPr>
                <w:noProof/>
                <w:sz w:val="20"/>
              </w:rPr>
            </w:pPr>
            <w:r>
              <w:rPr>
                <w:noProof/>
                <w:sz w:val="20"/>
              </w:rPr>
              <w:t>COM(2016) 815 final.</w:t>
            </w:r>
            <w:r>
              <w:rPr>
                <w:noProof/>
                <w:sz w:val="20"/>
              </w:rPr>
              <w:br/>
              <w:t>2016/0397 (COD)</w:t>
            </w:r>
            <w:r>
              <w:rPr>
                <w:noProof/>
                <w:sz w:val="20"/>
              </w:rPr>
              <w:br/>
              <w:t>14. 12. 2016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ROZHODNUTIE EURÓPSKEHO PARLAMENTU A RADY, ktorým sa mení rozhodnutie č. 573/2014/EÚ o posilnenej spolupráci medzi verejnými službami zamestnanosti (VSZ)</w:t>
            </w:r>
          </w:p>
        </w:tc>
        <w:tc>
          <w:tcPr>
            <w:tcW w:w="2126" w:type="dxa"/>
            <w:tcMar>
              <w:top w:w="85" w:type="dxa"/>
              <w:left w:w="85" w:type="dxa"/>
              <w:bottom w:w="85" w:type="dxa"/>
            </w:tcMar>
          </w:tcPr>
          <w:p>
            <w:pPr>
              <w:spacing w:after="0"/>
              <w:jc w:val="left"/>
              <w:rPr>
                <w:noProof/>
                <w:sz w:val="20"/>
              </w:rPr>
            </w:pPr>
            <w:r>
              <w:rPr>
                <w:noProof/>
                <w:sz w:val="20"/>
              </w:rPr>
              <w:t>COM(2019) 620 final.</w:t>
            </w:r>
            <w:r>
              <w:rPr>
                <w:noProof/>
                <w:sz w:val="20"/>
              </w:rPr>
              <w:br/>
              <w:t>2019/0188 (COD)</w:t>
            </w:r>
            <w:r>
              <w:rPr>
                <w:noProof/>
                <w:sz w:val="20"/>
              </w:rPr>
              <w:br/>
              <w:t>11. 9. 2019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RADY o zriadení Európskeho menového fondu</w:t>
            </w:r>
          </w:p>
        </w:tc>
        <w:tc>
          <w:tcPr>
            <w:tcW w:w="2126" w:type="dxa"/>
            <w:tcMar>
              <w:top w:w="85" w:type="dxa"/>
              <w:left w:w="85" w:type="dxa"/>
              <w:bottom w:w="85" w:type="dxa"/>
            </w:tcMar>
          </w:tcPr>
          <w:p>
            <w:pPr>
              <w:spacing w:after="0"/>
              <w:jc w:val="left"/>
              <w:rPr>
                <w:noProof/>
                <w:sz w:val="20"/>
              </w:rPr>
            </w:pPr>
            <w:r>
              <w:rPr>
                <w:noProof/>
                <w:sz w:val="20"/>
              </w:rPr>
              <w:t>COM(2017) 827 final.</w:t>
            </w:r>
            <w:r>
              <w:rPr>
                <w:noProof/>
                <w:sz w:val="20"/>
              </w:rPr>
              <w:br/>
              <w:t>2017/0333 (APP)</w:t>
            </w:r>
            <w:r>
              <w:rPr>
                <w:noProof/>
                <w:sz w:val="20"/>
              </w:rPr>
              <w:br/>
              <w:t>7. 12. 2017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RADY, ktorým sa zavádza systém finančnej pomoci členským štátom, ktorých menou nie je euro</w:t>
            </w:r>
          </w:p>
        </w:tc>
        <w:tc>
          <w:tcPr>
            <w:tcW w:w="2126" w:type="dxa"/>
            <w:tcMar>
              <w:top w:w="85" w:type="dxa"/>
              <w:left w:w="85" w:type="dxa"/>
              <w:bottom w:w="85" w:type="dxa"/>
            </w:tcMar>
          </w:tcPr>
          <w:p>
            <w:pPr>
              <w:spacing w:after="0"/>
              <w:jc w:val="left"/>
              <w:rPr>
                <w:noProof/>
                <w:sz w:val="20"/>
              </w:rPr>
            </w:pPr>
            <w:r>
              <w:rPr>
                <w:noProof/>
                <w:sz w:val="20"/>
              </w:rPr>
              <w:t>COM(2012) 336 final.</w:t>
            </w:r>
            <w:r>
              <w:rPr>
                <w:noProof/>
                <w:sz w:val="20"/>
              </w:rPr>
              <w:br/>
              <w:t>2012/0164 (APP)</w:t>
            </w:r>
            <w:r>
              <w:rPr>
                <w:noProof/>
                <w:sz w:val="20"/>
              </w:rPr>
              <w:br/>
              <w:t>22. 6. 2012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SMERNICE RADY o spoločnom konsolidovanom základe dane z príjmov právnických osôb (CCCTB)</w:t>
            </w:r>
          </w:p>
        </w:tc>
        <w:tc>
          <w:tcPr>
            <w:tcW w:w="2126" w:type="dxa"/>
            <w:tcMar>
              <w:top w:w="85" w:type="dxa"/>
              <w:left w:w="85" w:type="dxa"/>
              <w:bottom w:w="85" w:type="dxa"/>
            </w:tcMar>
          </w:tcPr>
          <w:p>
            <w:pPr>
              <w:spacing w:after="0"/>
              <w:jc w:val="left"/>
              <w:rPr>
                <w:noProof/>
                <w:sz w:val="20"/>
              </w:rPr>
            </w:pPr>
            <w:r>
              <w:rPr>
                <w:noProof/>
                <w:sz w:val="20"/>
              </w:rPr>
              <w:t>COM(2016) 683 final.</w:t>
            </w:r>
            <w:r>
              <w:rPr>
                <w:noProof/>
                <w:sz w:val="20"/>
              </w:rPr>
              <w:br/>
              <w:t>2016/0336 (NLE)</w:t>
            </w:r>
            <w:r>
              <w:rPr>
                <w:noProof/>
                <w:sz w:val="20"/>
              </w:rPr>
              <w:br/>
              <w:t>26. 10. 2016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o spoločnom základe dane z príjmov právnických osôb</w:t>
            </w:r>
          </w:p>
        </w:tc>
        <w:tc>
          <w:tcPr>
            <w:tcW w:w="2126" w:type="dxa"/>
            <w:tcMar>
              <w:top w:w="85" w:type="dxa"/>
              <w:left w:w="85" w:type="dxa"/>
              <w:bottom w:w="85" w:type="dxa"/>
            </w:tcMar>
          </w:tcPr>
          <w:p>
            <w:pPr>
              <w:spacing w:after="0"/>
              <w:jc w:val="left"/>
              <w:rPr>
                <w:noProof/>
                <w:sz w:val="20"/>
              </w:rPr>
            </w:pPr>
            <w:r>
              <w:rPr>
                <w:noProof/>
                <w:sz w:val="20"/>
              </w:rPr>
              <w:t>COM(2016) 685 final.</w:t>
            </w:r>
            <w:r>
              <w:rPr>
                <w:noProof/>
                <w:sz w:val="20"/>
              </w:rPr>
              <w:br/>
              <w:t>2016/0337 (NLE)</w:t>
            </w:r>
            <w:r>
              <w:rPr>
                <w:noProof/>
                <w:sz w:val="20"/>
              </w:rPr>
              <w:br/>
              <w:t>26. 10. 2016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vykonáva posilnená spolupráca v oblasti dane z finančných transakcií</w:t>
            </w:r>
          </w:p>
        </w:tc>
        <w:tc>
          <w:tcPr>
            <w:tcW w:w="2126" w:type="dxa"/>
            <w:tcMar>
              <w:top w:w="85" w:type="dxa"/>
              <w:left w:w="85" w:type="dxa"/>
              <w:bottom w:w="85" w:type="dxa"/>
            </w:tcMar>
          </w:tcPr>
          <w:p>
            <w:pPr>
              <w:spacing w:after="0"/>
              <w:jc w:val="left"/>
              <w:rPr>
                <w:noProof/>
                <w:sz w:val="20"/>
              </w:rPr>
            </w:pPr>
            <w:r>
              <w:rPr>
                <w:noProof/>
                <w:sz w:val="20"/>
              </w:rPr>
              <w:t>COM(2013) 71 final.</w:t>
            </w:r>
            <w:r>
              <w:rPr>
                <w:noProof/>
                <w:sz w:val="20"/>
              </w:rPr>
              <w:br/>
              <w:t>2013/0045 (NLE)</w:t>
            </w:r>
            <w:r>
              <w:rPr>
                <w:noProof/>
                <w:sz w:val="20"/>
              </w:rPr>
              <w:br/>
              <w:t>14. 2. 2013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mení smernica 92/83/EHS o zosúladení štruktúr spotrebných daní pre etanol a alkoholické nápoje</w:t>
            </w:r>
          </w:p>
        </w:tc>
        <w:tc>
          <w:tcPr>
            <w:tcW w:w="2126" w:type="dxa"/>
            <w:tcMar>
              <w:top w:w="85" w:type="dxa"/>
              <w:left w:w="85" w:type="dxa"/>
              <w:bottom w:w="85" w:type="dxa"/>
            </w:tcMar>
          </w:tcPr>
          <w:p>
            <w:pPr>
              <w:spacing w:after="0"/>
              <w:jc w:val="left"/>
              <w:rPr>
                <w:noProof/>
                <w:sz w:val="20"/>
              </w:rPr>
            </w:pPr>
            <w:r>
              <w:rPr>
                <w:noProof/>
                <w:sz w:val="20"/>
              </w:rPr>
              <w:t>COM(2018) 334 final.</w:t>
            </w:r>
            <w:r>
              <w:rPr>
                <w:noProof/>
                <w:sz w:val="20"/>
              </w:rPr>
              <w:br/>
              <w:t>2018/0173 (NLE)</w:t>
            </w:r>
            <w:r>
              <w:rPr>
                <w:noProof/>
                <w:sz w:val="20"/>
              </w:rPr>
              <w:br/>
              <w:t>25. 5. 2018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mení smernica 2006/112/ES, pokiaľ ide o zavedenie podrobných technických opatrení na fungovanie konečného systému DPH pre zdaňovanie obchodu medzi členskými štátmi</w:t>
            </w:r>
          </w:p>
        </w:tc>
        <w:tc>
          <w:tcPr>
            <w:tcW w:w="2126" w:type="dxa"/>
            <w:tcMar>
              <w:top w:w="85" w:type="dxa"/>
              <w:left w:w="85" w:type="dxa"/>
              <w:bottom w:w="85" w:type="dxa"/>
            </w:tcMar>
          </w:tcPr>
          <w:p>
            <w:pPr>
              <w:spacing w:after="0"/>
              <w:jc w:val="left"/>
              <w:rPr>
                <w:noProof/>
                <w:sz w:val="20"/>
              </w:rPr>
            </w:pPr>
            <w:r>
              <w:rPr>
                <w:noProof/>
                <w:sz w:val="20"/>
              </w:rPr>
              <w:t>COM(2018) 329 final.</w:t>
            </w:r>
            <w:r>
              <w:rPr>
                <w:noProof/>
                <w:sz w:val="20"/>
              </w:rPr>
              <w:br/>
              <w:t>2018/0164 (NLE)</w:t>
            </w:r>
            <w:r>
              <w:rPr>
                <w:noProof/>
                <w:sz w:val="20"/>
              </w:rPr>
              <w:br/>
              <w:t>25. 5. 2018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mení smernica 2006/112/ES, pokiaľ ide o sadzby dane z pridanej hodnoty</w:t>
            </w:r>
          </w:p>
        </w:tc>
        <w:tc>
          <w:tcPr>
            <w:tcW w:w="2126" w:type="dxa"/>
            <w:tcMar>
              <w:top w:w="85" w:type="dxa"/>
              <w:left w:w="85" w:type="dxa"/>
              <w:bottom w:w="85" w:type="dxa"/>
            </w:tcMar>
          </w:tcPr>
          <w:p>
            <w:pPr>
              <w:spacing w:after="0"/>
              <w:jc w:val="left"/>
              <w:rPr>
                <w:noProof/>
                <w:sz w:val="20"/>
              </w:rPr>
            </w:pPr>
            <w:r>
              <w:rPr>
                <w:noProof/>
                <w:sz w:val="20"/>
              </w:rPr>
              <w:t>COM(2018) 20 final.</w:t>
            </w:r>
            <w:r>
              <w:rPr>
                <w:noProof/>
                <w:sz w:val="20"/>
              </w:rPr>
              <w:br/>
              <w:t>2018/0005 (NLE)</w:t>
            </w:r>
            <w:r>
              <w:rPr>
                <w:noProof/>
                <w:sz w:val="20"/>
              </w:rPr>
              <w:br/>
              <w:t>18. 1. 2018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RADY, ktorou sa mení smernica 1999/62/ES o poplatkoch za používanie určitej dopravnej infraštruktúry ťažkými nákladnými vozidlami, pokiaľ ide o niektoré ustanovenia týkajúce sa zdaňovania vozidiel</w:t>
            </w:r>
          </w:p>
        </w:tc>
        <w:tc>
          <w:tcPr>
            <w:tcW w:w="2126" w:type="dxa"/>
            <w:tcMar>
              <w:top w:w="85" w:type="dxa"/>
              <w:left w:w="85" w:type="dxa"/>
              <w:bottom w:w="85" w:type="dxa"/>
            </w:tcMar>
          </w:tcPr>
          <w:p>
            <w:pPr>
              <w:spacing w:after="0"/>
              <w:jc w:val="left"/>
              <w:rPr>
                <w:noProof/>
                <w:sz w:val="20"/>
              </w:rPr>
            </w:pPr>
            <w:r>
              <w:rPr>
                <w:noProof/>
                <w:sz w:val="20"/>
              </w:rPr>
              <w:t>COM(2017) 276 final.</w:t>
            </w:r>
            <w:r>
              <w:rPr>
                <w:noProof/>
                <w:sz w:val="20"/>
              </w:rPr>
              <w:br/>
              <w:t>2017/0115 (NLE)</w:t>
            </w:r>
            <w:r>
              <w:rPr>
                <w:noProof/>
                <w:sz w:val="20"/>
              </w:rPr>
              <w:br/>
              <w:t>31. 5. 2017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zriadení Programu na podporu reforiem</w:t>
            </w:r>
          </w:p>
        </w:tc>
        <w:tc>
          <w:tcPr>
            <w:tcW w:w="2126" w:type="dxa"/>
            <w:tcMar>
              <w:top w:w="85" w:type="dxa"/>
              <w:left w:w="85" w:type="dxa"/>
              <w:bottom w:w="85" w:type="dxa"/>
            </w:tcMar>
          </w:tcPr>
          <w:p>
            <w:pPr>
              <w:spacing w:after="0"/>
              <w:jc w:val="left"/>
              <w:rPr>
                <w:noProof/>
                <w:sz w:val="20"/>
              </w:rPr>
            </w:pPr>
            <w:r>
              <w:rPr>
                <w:noProof/>
                <w:sz w:val="20"/>
              </w:rPr>
              <w:t>COM(2018) 391 final.</w:t>
            </w:r>
            <w:r>
              <w:rPr>
                <w:noProof/>
                <w:sz w:val="20"/>
              </w:rPr>
              <w:br/>
              <w:t>2018/0213 (COD)</w:t>
            </w:r>
            <w:r>
              <w:rPr>
                <w:noProof/>
                <w:sz w:val="20"/>
              </w:rPr>
              <w:br/>
              <w:t>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zriadení európskeho nástroja stabilizácie investícií</w:t>
            </w:r>
          </w:p>
        </w:tc>
        <w:tc>
          <w:tcPr>
            <w:tcW w:w="2126" w:type="dxa"/>
            <w:tcMar>
              <w:top w:w="85" w:type="dxa"/>
              <w:left w:w="85" w:type="dxa"/>
              <w:bottom w:w="85" w:type="dxa"/>
            </w:tcMar>
          </w:tcPr>
          <w:p>
            <w:pPr>
              <w:spacing w:after="0"/>
              <w:jc w:val="left"/>
              <w:rPr>
                <w:noProof/>
                <w:sz w:val="20"/>
              </w:rPr>
            </w:pPr>
            <w:r>
              <w:rPr>
                <w:noProof/>
                <w:sz w:val="20"/>
              </w:rPr>
              <w:t>COM(2018) 387 final.</w:t>
            </w:r>
            <w:r>
              <w:rPr>
                <w:noProof/>
                <w:sz w:val="20"/>
              </w:rPr>
              <w:br/>
              <w:t>2018/0212 (COD)</w:t>
            </w:r>
            <w:r>
              <w:rPr>
                <w:noProof/>
                <w:sz w:val="20"/>
              </w:rPr>
              <w:br/>
              <w:t>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SMERNICA EURÓPSKEHO PARLAMENTU A RADY, ktorou sa mení smernica Európskeho parlamentu a Rady 2009/103/ES zo 16. septembra 2009 o poistení zodpovednosti za škodu spôsobenú prevádzkou motorových vozidiel a o kontrole plnenia povinnosti poistenia tejto zodpovednosti</w:t>
            </w:r>
          </w:p>
        </w:tc>
        <w:tc>
          <w:tcPr>
            <w:tcW w:w="2126" w:type="dxa"/>
            <w:tcMar>
              <w:top w:w="85" w:type="dxa"/>
              <w:left w:w="85" w:type="dxa"/>
              <w:bottom w:w="85" w:type="dxa"/>
            </w:tcMar>
          </w:tcPr>
          <w:p>
            <w:pPr>
              <w:spacing w:after="0"/>
              <w:jc w:val="left"/>
              <w:rPr>
                <w:noProof/>
                <w:sz w:val="20"/>
              </w:rPr>
            </w:pPr>
            <w:r>
              <w:rPr>
                <w:noProof/>
                <w:sz w:val="22"/>
                <w:szCs w:val="22"/>
              </w:rPr>
              <w:t>COM(2018) 336 final 2018/0168 (COD) 24.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stanovuje viacročný finančný rámec na roky 2021 až 2027</w:t>
            </w:r>
          </w:p>
        </w:tc>
        <w:tc>
          <w:tcPr>
            <w:tcW w:w="2126" w:type="dxa"/>
            <w:tcMar>
              <w:top w:w="85" w:type="dxa"/>
              <w:left w:w="85" w:type="dxa"/>
              <w:bottom w:w="85" w:type="dxa"/>
            </w:tcMar>
          </w:tcPr>
          <w:p>
            <w:pPr>
              <w:spacing w:after="0"/>
              <w:jc w:val="left"/>
              <w:rPr>
                <w:noProof/>
                <w:sz w:val="20"/>
              </w:rPr>
            </w:pPr>
            <w:r>
              <w:rPr>
                <w:noProof/>
                <w:sz w:val="20"/>
              </w:rPr>
              <w:t>COM(2018) 322 final.</w:t>
            </w:r>
            <w:r>
              <w:rPr>
                <w:noProof/>
                <w:sz w:val="20"/>
              </w:rPr>
              <w:br/>
              <w:t>2018/0132 (APP)</w:t>
            </w:r>
            <w:r>
              <w:rPr>
                <w:noProof/>
                <w:sz w:val="20"/>
              </w:rPr>
              <w:br/>
              <w:t>2. 5. 2018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stanovujú vykonávacie opatrenia týkajúce sa systému vlastných zdrojov Európskej únie</w:t>
            </w:r>
          </w:p>
        </w:tc>
        <w:tc>
          <w:tcPr>
            <w:tcW w:w="2126" w:type="dxa"/>
            <w:tcMar>
              <w:top w:w="85" w:type="dxa"/>
              <w:left w:w="85" w:type="dxa"/>
              <w:bottom w:w="85" w:type="dxa"/>
            </w:tcMar>
          </w:tcPr>
          <w:p>
            <w:pPr>
              <w:spacing w:after="0"/>
              <w:jc w:val="left"/>
              <w:rPr>
                <w:noProof/>
                <w:sz w:val="20"/>
              </w:rPr>
            </w:pPr>
            <w:r>
              <w:rPr>
                <w:noProof/>
                <w:sz w:val="20"/>
              </w:rPr>
              <w:t>COM(2018) 327 final.</w:t>
            </w:r>
            <w:r>
              <w:rPr>
                <w:noProof/>
                <w:sz w:val="20"/>
              </w:rPr>
              <w:br/>
              <w:t>2018/0132 (APP)</w:t>
            </w:r>
            <w:r>
              <w:rPr>
                <w:noProof/>
                <w:sz w:val="20"/>
              </w:rPr>
              <w:br/>
              <w:t>2. 5. 2018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mení nariadenie (EHS, Euratom) č. 1553/89 o konečných jednotných dohodách o vyberaní vlastných zdrojov pochádzajúcich z dane z pridanej hodnoty</w:t>
            </w:r>
          </w:p>
        </w:tc>
        <w:tc>
          <w:tcPr>
            <w:tcW w:w="2126" w:type="dxa"/>
            <w:tcMar>
              <w:top w:w="85" w:type="dxa"/>
              <w:left w:w="85" w:type="dxa"/>
              <w:bottom w:w="85" w:type="dxa"/>
            </w:tcMar>
          </w:tcPr>
          <w:p>
            <w:pPr>
              <w:spacing w:after="0"/>
              <w:jc w:val="left"/>
              <w:rPr>
                <w:noProof/>
                <w:sz w:val="20"/>
              </w:rPr>
            </w:pPr>
            <w:r>
              <w:rPr>
                <w:noProof/>
                <w:sz w:val="20"/>
              </w:rPr>
              <w:t>COM(2018) 328 final.</w:t>
            </w:r>
            <w:r>
              <w:rPr>
                <w:noProof/>
                <w:sz w:val="20"/>
              </w:rPr>
              <w:br/>
              <w:t>2018/0133 (NLE)</w:t>
            </w:r>
            <w:r>
              <w:rPr>
                <w:noProof/>
                <w:sz w:val="20"/>
              </w:rPr>
              <w:br/>
              <w:t>3. 5. 2018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o metódach a postupe sprístupňovania vlastných zdrojov založených na spoločnom konsolidovanom základe dane z príjmov právnických osôb, na systéme Európskej únie na obchodovanie s emisiami a na nerecyklovanom odpade z plastových obalov a o opatreniach na zabezpečenie požiadaviek na pokladničnú hotovosť</w:t>
            </w:r>
          </w:p>
        </w:tc>
        <w:tc>
          <w:tcPr>
            <w:tcW w:w="2126" w:type="dxa"/>
            <w:tcMar>
              <w:top w:w="85" w:type="dxa"/>
              <w:left w:w="85" w:type="dxa"/>
              <w:bottom w:w="85" w:type="dxa"/>
            </w:tcMar>
          </w:tcPr>
          <w:p>
            <w:pPr>
              <w:spacing w:after="0"/>
              <w:jc w:val="left"/>
              <w:rPr>
                <w:noProof/>
                <w:sz w:val="20"/>
              </w:rPr>
            </w:pPr>
            <w:r>
              <w:rPr>
                <w:noProof/>
                <w:sz w:val="20"/>
              </w:rPr>
              <w:t>COM(2018) 326 final.</w:t>
            </w:r>
            <w:r>
              <w:rPr>
                <w:noProof/>
                <w:sz w:val="20"/>
              </w:rPr>
              <w:br/>
              <w:t>2018/0131 (NLE)</w:t>
            </w:r>
            <w:r>
              <w:rPr>
                <w:noProof/>
                <w:sz w:val="20"/>
              </w:rPr>
              <w:br/>
              <w:t>3. 5. 2018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ROZHODNUTIE RADY o systéme vlastných zdrojov Európskej únie</w:t>
            </w:r>
          </w:p>
        </w:tc>
        <w:tc>
          <w:tcPr>
            <w:tcW w:w="2126" w:type="dxa"/>
            <w:tcMar>
              <w:top w:w="85" w:type="dxa"/>
              <w:left w:w="85" w:type="dxa"/>
              <w:bottom w:w="85" w:type="dxa"/>
            </w:tcMar>
          </w:tcPr>
          <w:p>
            <w:pPr>
              <w:spacing w:after="0"/>
              <w:jc w:val="left"/>
              <w:rPr>
                <w:noProof/>
                <w:sz w:val="20"/>
              </w:rPr>
            </w:pPr>
            <w:r>
              <w:rPr>
                <w:noProof/>
                <w:sz w:val="20"/>
              </w:rPr>
              <w:t>COM(2018) 325 final.</w:t>
            </w:r>
            <w:r>
              <w:rPr>
                <w:noProof/>
                <w:sz w:val="20"/>
              </w:rPr>
              <w:br/>
              <w:t>2018/0135 (NLE)</w:t>
            </w:r>
            <w:r>
              <w:rPr>
                <w:noProof/>
                <w:sz w:val="20"/>
              </w:rPr>
              <w:br/>
              <w:t>3. 5. 2018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výmenný, pomocný a školiaci program na ochranu eura proti falšovaniu na obdobie rokov 2021 – 2027 („program Pericles IV“)</w:t>
            </w:r>
          </w:p>
        </w:tc>
        <w:tc>
          <w:tcPr>
            <w:tcW w:w="2126" w:type="dxa"/>
            <w:tcMar>
              <w:top w:w="85" w:type="dxa"/>
              <w:left w:w="85" w:type="dxa"/>
              <w:bottom w:w="85" w:type="dxa"/>
            </w:tcMar>
          </w:tcPr>
          <w:p>
            <w:pPr>
              <w:spacing w:after="0"/>
              <w:jc w:val="left"/>
              <w:rPr>
                <w:noProof/>
                <w:sz w:val="20"/>
              </w:rPr>
            </w:pPr>
            <w:r>
              <w:rPr>
                <w:noProof/>
                <w:sz w:val="20"/>
              </w:rPr>
              <w:t>COM(2018) 369 final.</w:t>
            </w:r>
            <w:r>
              <w:rPr>
                <w:noProof/>
                <w:sz w:val="20"/>
              </w:rPr>
              <w:br/>
              <w:t>2018/0194 (COD)</w:t>
            </w:r>
            <w:r>
              <w:rPr>
                <w:noProof/>
                <w:sz w:val="20"/>
              </w:rPr>
              <w:br/>
              <w:t>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NARIADENIA RADY o rozšírení uplatňovania nariadenia (EÚ) č. .../2018, ktorým sa stanovuje výmenný, pomocný a školiaci program na ochranu eura proti falšovaniu na obdobie rokov 2021 – 2027 (program „Pericles IV“), na nezúčastnené členské štáty</w:t>
            </w:r>
          </w:p>
        </w:tc>
        <w:tc>
          <w:tcPr>
            <w:tcW w:w="2126" w:type="dxa"/>
            <w:tcMar>
              <w:top w:w="85" w:type="dxa"/>
              <w:left w:w="85" w:type="dxa"/>
              <w:bottom w:w="85" w:type="dxa"/>
            </w:tcMar>
          </w:tcPr>
          <w:p>
            <w:pPr>
              <w:spacing w:after="0"/>
              <w:jc w:val="left"/>
              <w:rPr>
                <w:noProof/>
                <w:sz w:val="20"/>
              </w:rPr>
            </w:pPr>
            <w:r>
              <w:rPr>
                <w:noProof/>
                <w:sz w:val="20"/>
              </w:rPr>
              <w:t>COM(2018) 371 final.</w:t>
            </w:r>
            <w:r>
              <w:rPr>
                <w:noProof/>
                <w:sz w:val="20"/>
              </w:rPr>
              <w:br/>
              <w:t>2018/0219 (APP)</w:t>
            </w:r>
            <w:r>
              <w:rPr>
                <w:noProof/>
                <w:sz w:val="20"/>
              </w:rPr>
              <w:br/>
              <w:t>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Európskom sociálnom fonde plus (ESF+)</w:t>
            </w:r>
          </w:p>
        </w:tc>
        <w:tc>
          <w:tcPr>
            <w:tcW w:w="2126" w:type="dxa"/>
            <w:tcMar>
              <w:top w:w="85" w:type="dxa"/>
              <w:left w:w="85" w:type="dxa"/>
              <w:bottom w:w="85" w:type="dxa"/>
            </w:tcMar>
          </w:tcPr>
          <w:p>
            <w:pPr>
              <w:spacing w:after="0"/>
              <w:jc w:val="left"/>
              <w:rPr>
                <w:noProof/>
                <w:sz w:val="20"/>
              </w:rPr>
            </w:pPr>
            <w:r>
              <w:rPr>
                <w:noProof/>
                <w:sz w:val="20"/>
              </w:rPr>
              <w:t>COM(2018) 382 final.</w:t>
            </w:r>
            <w:r>
              <w:rPr>
                <w:noProof/>
                <w:sz w:val="20"/>
              </w:rPr>
              <w:br/>
              <w:t>2018/0206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Európskom fonde na prispôsobenie sa globalizácii (EGF)</w:t>
            </w:r>
          </w:p>
        </w:tc>
        <w:tc>
          <w:tcPr>
            <w:tcW w:w="2126" w:type="dxa"/>
            <w:tcMar>
              <w:top w:w="85" w:type="dxa"/>
              <w:left w:w="85" w:type="dxa"/>
              <w:bottom w:w="85" w:type="dxa"/>
            </w:tcMar>
          </w:tcPr>
          <w:p>
            <w:pPr>
              <w:spacing w:after="0"/>
              <w:jc w:val="left"/>
              <w:rPr>
                <w:noProof/>
                <w:sz w:val="20"/>
              </w:rPr>
            </w:pPr>
            <w:r>
              <w:rPr>
                <w:noProof/>
                <w:sz w:val="20"/>
              </w:rPr>
              <w:t>COM(2018) 380 final.</w:t>
            </w:r>
            <w:r>
              <w:rPr>
                <w:noProof/>
                <w:sz w:val="20"/>
              </w:rPr>
              <w:br/>
              <w:t>2018/0202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program spolupráce v colnej oblasti „Colníctvo“</w:t>
            </w:r>
          </w:p>
        </w:tc>
        <w:tc>
          <w:tcPr>
            <w:tcW w:w="2126" w:type="dxa"/>
            <w:tcMar>
              <w:top w:w="85" w:type="dxa"/>
              <w:left w:w="85" w:type="dxa"/>
              <w:bottom w:w="85" w:type="dxa"/>
            </w:tcMar>
          </w:tcPr>
          <w:p>
            <w:pPr>
              <w:spacing w:after="0"/>
              <w:jc w:val="left"/>
              <w:rPr>
                <w:noProof/>
                <w:sz w:val="20"/>
              </w:rPr>
            </w:pPr>
            <w:r>
              <w:rPr>
                <w:noProof/>
                <w:sz w:val="20"/>
              </w:rPr>
              <w:t>COM(2018) 442 final.</w:t>
            </w:r>
            <w:r>
              <w:rPr>
                <w:noProof/>
                <w:sz w:val="20"/>
              </w:rPr>
              <w:br/>
              <w:t>2018/0232 (COD)</w:t>
            </w:r>
            <w:r>
              <w:rPr>
                <w:noProof/>
                <w:sz w:val="20"/>
              </w:rPr>
              <w:br/>
              <w:t>8. 6. 2018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program spolupráce v daňovej oblasti „Fiscalis“</w:t>
            </w:r>
          </w:p>
        </w:tc>
        <w:tc>
          <w:tcPr>
            <w:tcW w:w="2126" w:type="dxa"/>
            <w:tcMar>
              <w:top w:w="85" w:type="dxa"/>
              <w:left w:w="85" w:type="dxa"/>
              <w:bottom w:w="85" w:type="dxa"/>
            </w:tcMar>
          </w:tcPr>
          <w:p>
            <w:pPr>
              <w:spacing w:after="0"/>
              <w:jc w:val="left"/>
              <w:rPr>
                <w:noProof/>
                <w:sz w:val="20"/>
              </w:rPr>
            </w:pPr>
            <w:r>
              <w:rPr>
                <w:noProof/>
                <w:sz w:val="20"/>
              </w:rPr>
              <w:t>COM(2018) 443 final.</w:t>
            </w:r>
            <w:r>
              <w:rPr>
                <w:noProof/>
                <w:sz w:val="20"/>
              </w:rPr>
              <w:br/>
              <w:t>2018/0233 (COD)</w:t>
            </w:r>
            <w:r>
              <w:rPr>
                <w:noProof/>
                <w:sz w:val="20"/>
              </w:rPr>
              <w:br/>
              <w:t>8. 6. 2018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ako súčasť Fondu pre integrované riadenie hraníc zriaďuje nástroj finančnej podpory na vybavenie na colné kontroly</w:t>
            </w:r>
          </w:p>
        </w:tc>
        <w:tc>
          <w:tcPr>
            <w:tcW w:w="2126" w:type="dxa"/>
            <w:tcMar>
              <w:top w:w="85" w:type="dxa"/>
              <w:left w:w="85" w:type="dxa"/>
              <w:bottom w:w="85" w:type="dxa"/>
            </w:tcMar>
          </w:tcPr>
          <w:p>
            <w:pPr>
              <w:spacing w:after="0"/>
              <w:jc w:val="left"/>
              <w:rPr>
                <w:noProof/>
                <w:sz w:val="20"/>
              </w:rPr>
            </w:pPr>
            <w:r>
              <w:rPr>
                <w:noProof/>
                <w:sz w:val="20"/>
              </w:rPr>
              <w:t>COM(2018) 474 final.</w:t>
            </w:r>
            <w:r>
              <w:rPr>
                <w:noProof/>
                <w:sz w:val="20"/>
              </w:rPr>
              <w:br/>
              <w:t>2018/0258 (COD)</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 xml:space="preserve"> Návrh NARIADENIE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na riadenie hraníc a víza</w:t>
            </w:r>
          </w:p>
        </w:tc>
        <w:tc>
          <w:tcPr>
            <w:tcW w:w="2126" w:type="dxa"/>
            <w:tcMar>
              <w:top w:w="85" w:type="dxa"/>
              <w:left w:w="85" w:type="dxa"/>
              <w:bottom w:w="85" w:type="dxa"/>
            </w:tcMar>
          </w:tcPr>
          <w:p>
            <w:pPr>
              <w:spacing w:after="0"/>
              <w:jc w:val="left"/>
              <w:rPr>
                <w:noProof/>
                <w:sz w:val="20"/>
              </w:rPr>
            </w:pPr>
            <w:r>
              <w:rPr>
                <w:noProof/>
                <w:sz w:val="20"/>
              </w:rPr>
              <w:t>COM(2018) 375 final.</w:t>
            </w:r>
            <w:r>
              <w:rPr>
                <w:noProof/>
                <w:sz w:val="20"/>
              </w:rPr>
              <w:br/>
              <w:t>2018/0196 (COD)</w:t>
            </w:r>
            <w:r>
              <w:rPr>
                <w:noProof/>
                <w:sz w:val="20"/>
              </w:rPr>
              <w:br/>
              <w:t>29. 5. 2018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Európskom fonde regionálneho rozvoja a Kohéznom fonde</w:t>
            </w:r>
          </w:p>
        </w:tc>
        <w:tc>
          <w:tcPr>
            <w:tcW w:w="2126" w:type="dxa"/>
            <w:tcMar>
              <w:top w:w="85" w:type="dxa"/>
              <w:left w:w="85" w:type="dxa"/>
              <w:bottom w:w="85" w:type="dxa"/>
            </w:tcMar>
          </w:tcPr>
          <w:p>
            <w:pPr>
              <w:spacing w:after="0"/>
              <w:jc w:val="left"/>
              <w:rPr>
                <w:noProof/>
                <w:sz w:val="20"/>
              </w:rPr>
            </w:pPr>
            <w:r>
              <w:rPr>
                <w:noProof/>
                <w:sz w:val="20"/>
              </w:rPr>
              <w:t>COM(2018) 372 final.</w:t>
            </w:r>
            <w:r>
              <w:rPr>
                <w:noProof/>
                <w:sz w:val="20"/>
              </w:rPr>
              <w:br/>
              <w:t>2018/0197 (COD)</w:t>
            </w:r>
            <w:r>
              <w:rPr>
                <w:noProof/>
                <w:sz w:val="20"/>
              </w:rPr>
              <w:br/>
              <w:t>29. 5. 2018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mechanizme riešenia právnych a administratívnych prekážok v cezhraničnom kontexte</w:t>
            </w:r>
          </w:p>
        </w:tc>
        <w:tc>
          <w:tcPr>
            <w:tcW w:w="2126" w:type="dxa"/>
            <w:tcMar>
              <w:top w:w="85" w:type="dxa"/>
              <w:left w:w="85" w:type="dxa"/>
              <w:bottom w:w="85" w:type="dxa"/>
            </w:tcMar>
          </w:tcPr>
          <w:p>
            <w:pPr>
              <w:spacing w:after="0"/>
              <w:jc w:val="left"/>
              <w:rPr>
                <w:noProof/>
                <w:sz w:val="20"/>
              </w:rPr>
            </w:pPr>
            <w:r>
              <w:rPr>
                <w:noProof/>
                <w:sz w:val="20"/>
              </w:rPr>
              <w:t>COM(2018) 373 final.</w:t>
            </w:r>
            <w:r>
              <w:rPr>
                <w:noProof/>
                <w:sz w:val="20"/>
              </w:rPr>
              <w:br/>
              <w:t>2018/0198 (COD)</w:t>
            </w:r>
            <w:r>
              <w:rPr>
                <w:noProof/>
                <w:sz w:val="20"/>
              </w:rPr>
              <w:br/>
              <w:t>29. 5. 2018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osobitných ustanoveniach týkajúcich sa cieľa Európska územná spolupráca (Interreg) podporovaného z Európskeho fondu regionálneho rozvoja a vonkajších finančných nástrojov</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374 final.</w:t>
            </w:r>
            <w:r>
              <w:rPr>
                <w:noProof/>
                <w:sz w:val="20"/>
              </w:rPr>
              <w:br/>
              <w:t>2018/0199 (COD)</w:t>
            </w:r>
            <w:r>
              <w:rPr>
                <w:noProof/>
                <w:sz w:val="20"/>
              </w:rPr>
              <w:br/>
              <w:t>29. 5. 2018</w:t>
            </w:r>
          </w:p>
        </w:tc>
      </w:tr>
      <w:tr>
        <w:trPr>
          <w:cantSplit/>
        </w:trPr>
        <w:tc>
          <w:tcPr>
            <w:tcW w:w="652" w:type="dxa"/>
            <w:tcBorders>
              <w:bottom w:val="single" w:sz="4" w:space="0" w:color="auto"/>
              <w:right w:val="nil"/>
            </w:tcBorders>
            <w:shd w:val="clear" w:color="auto" w:fill="auto"/>
            <w:tcMar>
              <w:top w:w="85" w:type="dxa"/>
              <w:left w:w="85" w:type="dxa"/>
              <w:bottom w:w="85" w:type="dxa"/>
              <w:right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mení nariadenie (EÚ) č. 1303/2013, pokiaľ ide o úpravu ročných zálohových platieb na roky 2021 až 2023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614 final.</w:t>
            </w:r>
            <w:r>
              <w:rPr>
                <w:noProof/>
                <w:sz w:val="20"/>
              </w:rPr>
              <w:br/>
              <w:t>2018/0322 (COD)</w:t>
            </w:r>
            <w:r>
              <w:rPr>
                <w:noProof/>
                <w:sz w:val="20"/>
              </w:rPr>
              <w:br/>
              <w:t>7. 9. 2018</w:t>
            </w:r>
          </w:p>
        </w:tc>
      </w:tr>
      <w:tr>
        <w:trPr>
          <w:cantSplit/>
        </w:trPr>
        <w:tc>
          <w:tcPr>
            <w:tcW w:w="14850" w:type="dxa"/>
            <w:gridSpan w:val="3"/>
            <w:shd w:val="clear" w:color="auto" w:fill="585EAA" w:themeFill="accent4"/>
            <w:tcMar>
              <w:top w:w="85" w:type="dxa"/>
              <w:left w:w="85" w:type="dxa"/>
              <w:bottom w:w="85" w:type="dxa"/>
              <w:right w:w="85" w:type="dxa"/>
            </w:tcMar>
          </w:tcPr>
          <w:p>
            <w:pPr>
              <w:keepNext/>
              <w:spacing w:before="60" w:after="60"/>
              <w:rPr>
                <w:noProof/>
                <w:sz w:val="20"/>
              </w:rPr>
            </w:pPr>
            <w:r>
              <w:rPr>
                <w:b/>
                <w:bCs/>
                <w:noProof/>
                <w:color w:val="FFFFFF" w:themeColor="background1"/>
                <w:sz w:val="20"/>
              </w:rPr>
              <w:t>Silnejšia Európa vo svete</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 xml:space="preserve">Návrh NARIADENIE EURÓPSKEHO PARLAMENTU A RADY, ktorým sa stanovuje režim Únie na kontrolu vývozov, transferu, sprostredkovania, technickej pomoci a tranzitu položiek s dvojakým použitím (prepracované znenie) </w:t>
            </w:r>
          </w:p>
        </w:tc>
        <w:tc>
          <w:tcPr>
            <w:tcW w:w="2126" w:type="dxa"/>
            <w:tcMar>
              <w:top w:w="85" w:type="dxa"/>
              <w:left w:w="85" w:type="dxa"/>
              <w:bottom w:w="85" w:type="dxa"/>
            </w:tcMar>
          </w:tcPr>
          <w:p>
            <w:pPr>
              <w:spacing w:after="0"/>
              <w:jc w:val="left"/>
              <w:rPr>
                <w:noProof/>
                <w:sz w:val="20"/>
              </w:rPr>
            </w:pPr>
            <w:r>
              <w:rPr>
                <w:noProof/>
                <w:sz w:val="20"/>
              </w:rPr>
              <w:t>COM(2016) 616 final.</w:t>
            </w:r>
            <w:r>
              <w:rPr>
                <w:noProof/>
                <w:sz w:val="20"/>
              </w:rPr>
              <w:br/>
              <w:t>2016/0295 (COD)</w:t>
            </w:r>
            <w:r>
              <w:rPr>
                <w:noProof/>
                <w:sz w:val="20"/>
              </w:rPr>
              <w:br/>
              <w:t>28. 9. 2016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prístupe tovaru a služieb tretích krajín na vnútorný trh verejného obstarávania Únie a o postupoch podporujúcich rokovania o prístupe tovaru a služieb Únie na trhy verejného obstarávania tretích krajín</w:t>
            </w:r>
          </w:p>
        </w:tc>
        <w:tc>
          <w:tcPr>
            <w:tcW w:w="2126" w:type="dxa"/>
            <w:tcMar>
              <w:top w:w="85" w:type="dxa"/>
              <w:left w:w="85" w:type="dxa"/>
              <w:bottom w:w="85" w:type="dxa"/>
            </w:tcMar>
          </w:tcPr>
          <w:p>
            <w:pPr>
              <w:spacing w:after="0"/>
              <w:jc w:val="left"/>
              <w:rPr>
                <w:noProof/>
                <w:sz w:val="20"/>
              </w:rPr>
            </w:pPr>
            <w:r>
              <w:rPr>
                <w:noProof/>
                <w:sz w:val="20"/>
              </w:rPr>
              <w:t>COM(2012) 124 final.</w:t>
            </w:r>
            <w:r>
              <w:rPr>
                <w:noProof/>
                <w:sz w:val="20"/>
              </w:rPr>
              <w:br/>
              <w:t>2012/0060 (COD)</w:t>
            </w:r>
            <w:r>
              <w:rPr>
                <w:noProof/>
                <w:sz w:val="20"/>
              </w:rPr>
              <w:br/>
              <w:t>21. 3. 2012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Európskeho parlamentu a Rady (EÚ) č. 654/2014 o výkone práv Únie na účely uplatňovania a presadzovania pravidiel medzinárodného obchodu</w:t>
            </w:r>
          </w:p>
        </w:tc>
        <w:tc>
          <w:tcPr>
            <w:tcW w:w="2126" w:type="dxa"/>
            <w:tcMar>
              <w:top w:w="85" w:type="dxa"/>
              <w:left w:w="85" w:type="dxa"/>
              <w:bottom w:w="85" w:type="dxa"/>
            </w:tcMar>
          </w:tcPr>
          <w:p>
            <w:pPr>
              <w:spacing w:after="0"/>
              <w:jc w:val="left"/>
              <w:rPr>
                <w:noProof/>
                <w:sz w:val="20"/>
              </w:rPr>
            </w:pPr>
            <w:r>
              <w:rPr>
                <w:noProof/>
                <w:sz w:val="20"/>
              </w:rPr>
              <w:t>COM(2019) 623 final.</w:t>
            </w:r>
            <w:r>
              <w:rPr>
                <w:noProof/>
                <w:sz w:val="20"/>
              </w:rPr>
              <w:br/>
              <w:t>2019/0273 (COD)</w:t>
            </w:r>
            <w:r>
              <w:rPr>
                <w:noProof/>
                <w:sz w:val="20"/>
              </w:rPr>
              <w:br/>
              <w:t>12. 12. 2019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rozhodnutia Rady o zriadení Európskeho mierového nástroja predloženého Rade vysokou predstaviteľkou Únie pre zahraničné veci a bezpečnostnú politiku za podpory Komisie</w:t>
            </w:r>
          </w:p>
        </w:tc>
        <w:tc>
          <w:tcPr>
            <w:tcW w:w="2126" w:type="dxa"/>
            <w:tcMar>
              <w:top w:w="85" w:type="dxa"/>
              <w:left w:w="85" w:type="dxa"/>
              <w:bottom w:w="85" w:type="dxa"/>
            </w:tcMar>
          </w:tcPr>
          <w:p>
            <w:pPr>
              <w:spacing w:after="0"/>
              <w:jc w:val="left"/>
              <w:rPr>
                <w:noProof/>
                <w:sz w:val="20"/>
              </w:rPr>
            </w:pPr>
            <w:r>
              <w:rPr>
                <w:noProof/>
                <w:sz w:val="20"/>
              </w:rPr>
              <w:t>9736/18</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NARIADENIA EURÓPSKEHO PARLAMENTU A RADY, ktorým sa stanovuje nástroj predvstupovej pomoci (IPA III)</w:t>
            </w:r>
          </w:p>
        </w:tc>
        <w:tc>
          <w:tcPr>
            <w:tcW w:w="2126" w:type="dxa"/>
            <w:tcMar>
              <w:top w:w="85" w:type="dxa"/>
              <w:left w:w="85" w:type="dxa"/>
              <w:bottom w:w="85" w:type="dxa"/>
            </w:tcMar>
          </w:tcPr>
          <w:p>
            <w:pPr>
              <w:spacing w:after="0"/>
              <w:jc w:val="left"/>
              <w:rPr>
                <w:noProof/>
                <w:sz w:val="20"/>
              </w:rPr>
            </w:pPr>
            <w:r>
              <w:rPr>
                <w:noProof/>
                <w:sz w:val="20"/>
              </w:rPr>
              <w:t>COM(2018) 465 final.</w:t>
            </w:r>
            <w:r>
              <w:rPr>
                <w:noProof/>
                <w:sz w:val="20"/>
              </w:rPr>
              <w:br/>
              <w:t>2018/0247 (COD)</w:t>
            </w:r>
            <w:r>
              <w:rPr>
                <w:noProof/>
                <w:sz w:val="20"/>
              </w:rPr>
              <w:br/>
              <w:t>14. 6. 2018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Nástroj susedstva a rozvojovej a medzinárodnej spolupráce</w:t>
            </w:r>
          </w:p>
        </w:tc>
        <w:tc>
          <w:tcPr>
            <w:tcW w:w="2126" w:type="dxa"/>
            <w:tcMar>
              <w:top w:w="85" w:type="dxa"/>
              <w:left w:w="85" w:type="dxa"/>
              <w:bottom w:w="85" w:type="dxa"/>
            </w:tcMar>
          </w:tcPr>
          <w:p>
            <w:pPr>
              <w:spacing w:after="0"/>
              <w:jc w:val="left"/>
              <w:rPr>
                <w:noProof/>
                <w:sz w:val="20"/>
              </w:rPr>
            </w:pPr>
            <w:r>
              <w:rPr>
                <w:noProof/>
                <w:sz w:val="20"/>
              </w:rPr>
              <w:t>COM(2018) 460 final.</w:t>
            </w:r>
            <w:r>
              <w:rPr>
                <w:noProof/>
                <w:sz w:val="20"/>
              </w:rPr>
              <w:br/>
              <w:t>2018/0243 (COD)</w:t>
            </w:r>
            <w:r>
              <w:rPr>
                <w:noProof/>
                <w:sz w:val="20"/>
              </w:rPr>
              <w:br/>
              <w:t>14. 6. 2018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ROZHODNUTIE RADY o pridružení zámorských krajín a území k Európskej únii vrátane vzťahov medzi Európskou úniou na jednej strane a Grónskom a Dánskym kráľovstvom na strane druhej („rozhodnutie o pridružení zámoria“)</w:t>
            </w:r>
          </w:p>
        </w:tc>
        <w:tc>
          <w:tcPr>
            <w:tcW w:w="2126" w:type="dxa"/>
            <w:tcMar>
              <w:top w:w="85" w:type="dxa"/>
              <w:left w:w="85" w:type="dxa"/>
              <w:bottom w:w="85" w:type="dxa"/>
            </w:tcMar>
          </w:tcPr>
          <w:p>
            <w:pPr>
              <w:spacing w:after="0"/>
              <w:jc w:val="left"/>
              <w:rPr>
                <w:noProof/>
                <w:sz w:val="20"/>
              </w:rPr>
            </w:pPr>
            <w:r>
              <w:rPr>
                <w:noProof/>
                <w:sz w:val="20"/>
              </w:rPr>
              <w:t>COM(2018) 461 final.</w:t>
            </w:r>
            <w:r>
              <w:rPr>
                <w:noProof/>
                <w:sz w:val="20"/>
              </w:rPr>
              <w:br/>
              <w:t>2018/0244 (NLE)</w:t>
            </w:r>
            <w:r>
              <w:rPr>
                <w:noProof/>
                <w:sz w:val="20"/>
              </w:rPr>
              <w:br/>
              <w:t>14. 6. 2018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RADY, ktorým sa zriaďuje Európsky nástroj pre jadrovú bezpečnosť dopĺňajúci Nástroj susedstva a rozvojovej a medzinárodnej spolupráce na základe Zmluvy o Euratome</w:t>
            </w:r>
          </w:p>
        </w:tc>
        <w:tc>
          <w:tcPr>
            <w:tcW w:w="2126" w:type="dxa"/>
            <w:tcMar>
              <w:top w:w="85" w:type="dxa"/>
              <w:left w:w="85" w:type="dxa"/>
              <w:bottom w:w="85" w:type="dxa"/>
            </w:tcMar>
          </w:tcPr>
          <w:p>
            <w:pPr>
              <w:spacing w:after="0"/>
              <w:jc w:val="left"/>
              <w:rPr>
                <w:noProof/>
                <w:sz w:val="20"/>
              </w:rPr>
            </w:pPr>
            <w:r>
              <w:rPr>
                <w:noProof/>
                <w:sz w:val="20"/>
              </w:rPr>
              <w:t>COM(2018) 462 final.</w:t>
            </w:r>
            <w:r>
              <w:rPr>
                <w:noProof/>
                <w:sz w:val="20"/>
              </w:rPr>
              <w:br/>
              <w:t>2018/0245 (NLE)</w:t>
            </w:r>
            <w:r>
              <w:rPr>
                <w:noProof/>
                <w:sz w:val="20"/>
              </w:rPr>
              <w:br/>
              <w:t>14. 6. 2018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color w:val="FFFFFF" w:themeColor="background1"/>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ROZHODNUTIE EURÓPSKEHO PARLAMENTU A RADY, ktorým sa mení rozhodnutie Európskeho parlamentu a Rady č. 1313/2013/EÚ o mechanizme Únie v oblasti civilnej ochrany</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COM(2019) 125 final.</w:t>
            </w:r>
            <w:r>
              <w:rPr>
                <w:noProof/>
                <w:sz w:val="20"/>
              </w:rPr>
              <w:br/>
              <w:t>2019/0070 (COD)</w:t>
            </w:r>
            <w:r>
              <w:rPr>
                <w:noProof/>
                <w:sz w:val="20"/>
              </w:rPr>
              <w:br/>
              <w:t>7. 3. 2019</w:t>
            </w:r>
          </w:p>
        </w:tc>
      </w:tr>
      <w:tr>
        <w:trPr>
          <w:cantSplit/>
        </w:trPr>
        <w:tc>
          <w:tcPr>
            <w:tcW w:w="14850" w:type="dxa"/>
            <w:gridSpan w:val="3"/>
            <w:shd w:val="clear" w:color="auto" w:fill="DA5C57" w:themeFill="accent6"/>
            <w:tcMar>
              <w:top w:w="85" w:type="dxa"/>
              <w:left w:w="85" w:type="dxa"/>
              <w:bottom w:w="85" w:type="dxa"/>
              <w:right w:w="85" w:type="dxa"/>
            </w:tcMar>
          </w:tcPr>
          <w:p>
            <w:pPr>
              <w:spacing w:before="60" w:after="60"/>
              <w:rPr>
                <w:noProof/>
                <w:color w:val="FFFFFF" w:themeColor="background1"/>
                <w:sz w:val="20"/>
              </w:rPr>
            </w:pPr>
            <w:r>
              <w:rPr>
                <w:b/>
                <w:bCs/>
                <w:noProof/>
                <w:color w:val="FFFFFF" w:themeColor="background1"/>
                <w:sz w:val="20"/>
              </w:rPr>
              <w:t>Podpora európskeho spôsobu života</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Euratom) č. 883/2013 o vyšetrovaniach vykonávaných Európskym úradom pre boj proti podvodom (OLAF), pokiaľ ide o spoluprácu s Európskou prokuratúrou a účinnosť vyšetrovaní úradu OLAF</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COM(2018) 338 final.</w:t>
            </w:r>
            <w:r>
              <w:rPr>
                <w:noProof/>
                <w:sz w:val="20"/>
              </w:rPr>
              <w:br/>
              <w:t>2018/0170 (COD)</w:t>
            </w:r>
            <w:r>
              <w:rPr>
                <w:noProof/>
                <w:sz w:val="20"/>
              </w:rPr>
              <w:br/>
              <w:t>24. 5. 2018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Euratom) č. 883/2013, pokiaľ ide o vytvorenie funkcie kontrolóra procesných záruk</w:t>
            </w:r>
          </w:p>
        </w:tc>
        <w:tc>
          <w:tcPr>
            <w:tcW w:w="2126" w:type="dxa"/>
            <w:tcMar>
              <w:top w:w="85" w:type="dxa"/>
              <w:left w:w="85" w:type="dxa"/>
              <w:bottom w:w="85" w:type="dxa"/>
            </w:tcMar>
          </w:tcPr>
          <w:p>
            <w:pPr>
              <w:spacing w:after="0"/>
              <w:jc w:val="left"/>
              <w:rPr>
                <w:noProof/>
                <w:sz w:val="20"/>
              </w:rPr>
            </w:pPr>
            <w:r>
              <w:rPr>
                <w:noProof/>
                <w:sz w:val="20"/>
              </w:rPr>
              <w:t>COM(2014) 340 final.</w:t>
            </w:r>
            <w:r>
              <w:rPr>
                <w:noProof/>
                <w:sz w:val="20"/>
              </w:rPr>
              <w:br/>
              <w:t>2014/0173 (COD)</w:t>
            </w:r>
            <w:r>
              <w:rPr>
                <w:noProof/>
                <w:sz w:val="20"/>
              </w:rPr>
              <w:br/>
              <w:t>11. 6. 2014</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hodnotení zdravotníckych technológií a zmene smernice 2011/24/EÚ</w:t>
            </w:r>
          </w:p>
        </w:tc>
        <w:tc>
          <w:tcPr>
            <w:tcW w:w="2126" w:type="dxa"/>
            <w:tcMar>
              <w:top w:w="85" w:type="dxa"/>
              <w:left w:w="85" w:type="dxa"/>
              <w:bottom w:w="85" w:type="dxa"/>
            </w:tcMar>
          </w:tcPr>
          <w:p>
            <w:pPr>
              <w:spacing w:after="0"/>
              <w:jc w:val="left"/>
              <w:rPr>
                <w:noProof/>
                <w:sz w:val="20"/>
              </w:rPr>
            </w:pPr>
            <w:r>
              <w:rPr>
                <w:noProof/>
                <w:sz w:val="20"/>
              </w:rPr>
              <w:t>COM(2018) 51 final.</w:t>
            </w:r>
            <w:r>
              <w:rPr>
                <w:noProof/>
                <w:sz w:val="20"/>
              </w:rPr>
              <w:br/>
              <w:t>2018/0018 (COD)</w:t>
            </w:r>
            <w:r>
              <w:rPr>
                <w:noProof/>
                <w:sz w:val="20"/>
              </w:rPr>
              <w:br/>
              <w:t>1. 2. 2018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o spoločných normách a postupoch členských štátov na účely návratu štátnych príslušníkov tretích krajín, ktorí sa neoprávnene zdržiavajú na ich území (prepracované znenie) Príspevok Európskej komisie k stretnutiu lídrov v Salzburgu, ktoré sa uskutočnilo 19. a 20. septembra 2018</w:t>
            </w:r>
          </w:p>
        </w:tc>
        <w:tc>
          <w:tcPr>
            <w:tcW w:w="2126" w:type="dxa"/>
            <w:tcMar>
              <w:top w:w="85" w:type="dxa"/>
              <w:left w:w="85" w:type="dxa"/>
              <w:bottom w:w="85" w:type="dxa"/>
            </w:tcMar>
          </w:tcPr>
          <w:p>
            <w:pPr>
              <w:spacing w:after="0"/>
              <w:jc w:val="left"/>
              <w:rPr>
                <w:noProof/>
                <w:sz w:val="20"/>
              </w:rPr>
            </w:pPr>
            <w:r>
              <w:rPr>
                <w:noProof/>
                <w:sz w:val="20"/>
              </w:rPr>
              <w:t>COM(2018) 634 final.</w:t>
            </w:r>
            <w:r>
              <w:rPr>
                <w:noProof/>
                <w:sz w:val="20"/>
              </w:rPr>
              <w:br/>
              <w:t>2018/0329 (COD)</w:t>
            </w:r>
            <w:r>
              <w:rPr>
                <w:noProof/>
                <w:sz w:val="20"/>
              </w:rPr>
              <w:br/>
              <w:t>12. 9. 2018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predchádzaní šíreniu teroristického obsahu online Príspevok Európskej komisie k stretnutiu čelných predstaviteľov v Salzburgu, 19. až 20. septembra 2018</w:t>
            </w:r>
          </w:p>
        </w:tc>
        <w:tc>
          <w:tcPr>
            <w:tcW w:w="2126" w:type="dxa"/>
            <w:tcMar>
              <w:top w:w="85" w:type="dxa"/>
              <w:left w:w="85" w:type="dxa"/>
              <w:bottom w:w="85" w:type="dxa"/>
            </w:tcMar>
          </w:tcPr>
          <w:p>
            <w:pPr>
              <w:spacing w:after="0"/>
              <w:jc w:val="left"/>
              <w:rPr>
                <w:noProof/>
                <w:sz w:val="20"/>
              </w:rPr>
            </w:pPr>
            <w:r>
              <w:rPr>
                <w:noProof/>
                <w:sz w:val="20"/>
              </w:rPr>
              <w:t>COM(2018) 640 final.</w:t>
            </w:r>
            <w:r>
              <w:rPr>
                <w:noProof/>
                <w:sz w:val="20"/>
              </w:rPr>
              <w:br/>
              <w:t>2018/0331 (COD)</w:t>
            </w:r>
            <w:r>
              <w:rPr>
                <w:noProof/>
                <w:sz w:val="20"/>
              </w:rPr>
              <w:br/>
              <w:t>12. 9. 2018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767/2008, nariadenie (ES) č. 810/2009, nariadenie (EÚ) 2017/2226, nariadenie (EÚ) 2016/399, nariadenie XX/2018 [nariadenie o interoperabilite] a rozhodnutie 2004/512/ES a zrušuje rozhodnutie Rady 2008/633/SVV</w:t>
            </w:r>
          </w:p>
        </w:tc>
        <w:tc>
          <w:tcPr>
            <w:tcW w:w="2126" w:type="dxa"/>
            <w:tcMar>
              <w:top w:w="85" w:type="dxa"/>
              <w:left w:w="85" w:type="dxa"/>
              <w:bottom w:w="85" w:type="dxa"/>
            </w:tcMar>
          </w:tcPr>
          <w:p>
            <w:pPr>
              <w:spacing w:after="0"/>
              <w:jc w:val="left"/>
              <w:rPr>
                <w:noProof/>
                <w:sz w:val="20"/>
              </w:rPr>
            </w:pPr>
            <w:r>
              <w:rPr>
                <w:noProof/>
                <w:sz w:val="20"/>
              </w:rPr>
              <w:t>COM(2018) 302 final.</w:t>
            </w:r>
            <w:r>
              <w:rPr>
                <w:noProof/>
                <w:sz w:val="20"/>
              </w:rPr>
              <w:br/>
              <w:t>2018/0152 (COD)</w:t>
            </w:r>
            <w:r>
              <w:rPr>
                <w:noProof/>
                <w:sz w:val="20"/>
              </w:rPr>
              <w:br/>
              <w:t>17. 5. 2018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stanovujú podmienky prístupu do iných informačných systémov EÚ na účely systému ETIAS a ktorým sa mení nariadenie (EÚ) 2018/1240, nariadenie (ES) č. 767/2008, nariadenie (EÚ) 2017/2226 a nariadenie (EÚ) 2018/1861</w:t>
            </w:r>
          </w:p>
        </w:tc>
        <w:tc>
          <w:tcPr>
            <w:tcW w:w="2126" w:type="dxa"/>
            <w:tcMar>
              <w:top w:w="85" w:type="dxa"/>
              <w:left w:w="85" w:type="dxa"/>
              <w:bottom w:w="85" w:type="dxa"/>
            </w:tcMar>
          </w:tcPr>
          <w:p>
            <w:pPr>
              <w:spacing w:after="0"/>
              <w:jc w:val="left"/>
              <w:rPr>
                <w:noProof/>
                <w:sz w:val="20"/>
              </w:rPr>
            </w:pPr>
            <w:r>
              <w:rPr>
                <w:noProof/>
                <w:sz w:val="20"/>
              </w:rPr>
              <w:t>COM(2019) 4 final.</w:t>
            </w:r>
            <w:r>
              <w:rPr>
                <w:noProof/>
                <w:sz w:val="20"/>
              </w:rPr>
              <w:br/>
              <w:t>2019/0002 (COD)</w:t>
            </w:r>
            <w:r>
              <w:rPr>
                <w:noProof/>
                <w:sz w:val="20"/>
              </w:rPr>
              <w:br/>
              <w:t>7. 1. 2019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539/2001 uvádzajúce zoznam tretích krajín, ktorých štátni príslušníci musia mať víza pri prekračovaní vonkajších hraníc členských štátov, a krajín, ktorých štátni príslušníci sú oslobodení od tejto povinnosti (Turecko)</w:t>
            </w:r>
          </w:p>
        </w:tc>
        <w:tc>
          <w:tcPr>
            <w:tcW w:w="2126" w:type="dxa"/>
            <w:tcMar>
              <w:top w:w="85" w:type="dxa"/>
              <w:left w:w="85" w:type="dxa"/>
              <w:bottom w:w="85" w:type="dxa"/>
            </w:tcMar>
          </w:tcPr>
          <w:p>
            <w:pPr>
              <w:spacing w:after="0"/>
              <w:jc w:val="left"/>
              <w:rPr>
                <w:noProof/>
                <w:sz w:val="20"/>
              </w:rPr>
            </w:pPr>
            <w:r>
              <w:rPr>
                <w:noProof/>
                <w:sz w:val="20"/>
              </w:rPr>
              <w:t>COM(2016) 279 final.</w:t>
            </w:r>
            <w:r>
              <w:rPr>
                <w:noProof/>
                <w:sz w:val="20"/>
              </w:rPr>
              <w:br/>
              <w:t>2016/0141 (COD) 4. 5.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(ES) č. 539/2001 uvádzajúce zoznam tretích krajín, ktorých štátni príslušníci musia mať víza pri prekračovaní vonkajších hraníc členských štátov, a krajín, ktorých štátni príslušníci sú oslobodení od tejto povinnosti (Kosovo*)</w:t>
            </w:r>
          </w:p>
        </w:tc>
        <w:tc>
          <w:tcPr>
            <w:tcW w:w="2126" w:type="dxa"/>
            <w:tcMar>
              <w:top w:w="85" w:type="dxa"/>
              <w:left w:w="85" w:type="dxa"/>
              <w:bottom w:w="85" w:type="dxa"/>
            </w:tcMar>
          </w:tcPr>
          <w:p>
            <w:pPr>
              <w:spacing w:after="0"/>
              <w:jc w:val="left"/>
              <w:rPr>
                <w:noProof/>
                <w:sz w:val="20"/>
              </w:rPr>
            </w:pPr>
            <w:r>
              <w:rPr>
                <w:noProof/>
                <w:sz w:val="20"/>
              </w:rPr>
              <w:t>COM(2016) 277 final.</w:t>
            </w:r>
            <w:r>
              <w:rPr>
                <w:noProof/>
                <w:sz w:val="20"/>
              </w:rPr>
              <w:br/>
              <w:t>2016/0139 (COD)</w:t>
            </w:r>
            <w:r>
              <w:rPr>
                <w:noProof/>
                <w:sz w:val="20"/>
              </w:rPr>
              <w:br/>
              <w:t>4. 5. 2016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2016/399, pokiaľ ide o pravidlá vzťahujúce sa na dočasné obnovenie kontroly vnútorných hraníc</w:t>
            </w:r>
          </w:p>
        </w:tc>
        <w:tc>
          <w:tcPr>
            <w:tcW w:w="2126" w:type="dxa"/>
            <w:tcMar>
              <w:top w:w="85" w:type="dxa"/>
              <w:left w:w="85" w:type="dxa"/>
              <w:bottom w:w="85" w:type="dxa"/>
            </w:tcMar>
          </w:tcPr>
          <w:p>
            <w:pPr>
              <w:spacing w:after="0"/>
              <w:jc w:val="left"/>
              <w:rPr>
                <w:noProof/>
                <w:sz w:val="20"/>
              </w:rPr>
            </w:pPr>
            <w:r>
              <w:rPr>
                <w:noProof/>
                <w:sz w:val="20"/>
              </w:rPr>
              <w:t>COM(2017) 571 final.</w:t>
            </w:r>
            <w:r>
              <w:rPr>
                <w:noProof/>
                <w:sz w:val="20"/>
              </w:rPr>
              <w:br/>
              <w:t>2017/0245 (COD)</w:t>
            </w:r>
            <w:r>
              <w:rPr>
                <w:noProof/>
                <w:sz w:val="20"/>
              </w:rPr>
              <w:br/>
              <w:t>28. 9. 2017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NARIADENIA EURÓPSKEHO PARLAMENTU A RADY o Agentúre Európskej únie pre azyl, ktorým sa zrušuje nariadenie (EÚ) č. 439/2010</w:t>
            </w:r>
          </w:p>
        </w:tc>
        <w:tc>
          <w:tcPr>
            <w:tcW w:w="2126" w:type="dxa"/>
            <w:tcMar>
              <w:top w:w="85" w:type="dxa"/>
              <w:left w:w="85" w:type="dxa"/>
              <w:bottom w:w="85" w:type="dxa"/>
            </w:tcMar>
          </w:tcPr>
          <w:p>
            <w:pPr>
              <w:spacing w:after="0"/>
              <w:jc w:val="left"/>
              <w:rPr>
                <w:noProof/>
                <w:sz w:val="20"/>
              </w:rPr>
            </w:pPr>
            <w:r>
              <w:rPr>
                <w:noProof/>
                <w:sz w:val="20"/>
              </w:rPr>
              <w:t>COM(2016) 271 final.</w:t>
            </w:r>
            <w:r>
              <w:rPr>
                <w:noProof/>
                <w:sz w:val="20"/>
              </w:rPr>
              <w:br/>
              <w:t>2016/0131 (COD)</w:t>
            </w:r>
            <w:r>
              <w:rPr>
                <w:noProof/>
                <w:sz w:val="20"/>
              </w:rPr>
              <w:br/>
              <w:t>4. 5. 2016</w:t>
            </w:r>
            <w:r>
              <w:rPr>
                <w:noProof/>
                <w:sz w:val="20"/>
              </w:rPr>
              <w:br/>
            </w:r>
            <w:r>
              <w:rPr>
                <w:noProof/>
                <w:sz w:val="20"/>
              </w:rPr>
              <w:br/>
              <w:t>COM(2018) 633 final.</w:t>
            </w:r>
            <w:r>
              <w:rPr>
                <w:noProof/>
                <w:sz w:val="20"/>
              </w:rPr>
              <w:br/>
              <w:t>12. 9. 2018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na zistenie totožnosti neoprávnene sa zdržiavajúcich štátnych príslušníkov tretích krajín alebo osôb bez štátnej príslušnosti] a o žiadostiach orgánov členských štátov na presadzovanie práva a Europolu o porovnanie s údajmi v systéme Eurodac na účely presadzovania práva (prepracované znenie)</w:t>
            </w:r>
          </w:p>
        </w:tc>
        <w:tc>
          <w:tcPr>
            <w:tcW w:w="2126" w:type="dxa"/>
            <w:tcMar>
              <w:top w:w="85" w:type="dxa"/>
              <w:left w:w="85" w:type="dxa"/>
              <w:bottom w:w="85" w:type="dxa"/>
            </w:tcMar>
          </w:tcPr>
          <w:p>
            <w:pPr>
              <w:spacing w:after="0"/>
              <w:jc w:val="left"/>
              <w:rPr>
                <w:noProof/>
                <w:sz w:val="20"/>
              </w:rPr>
            </w:pPr>
            <w:r>
              <w:rPr>
                <w:noProof/>
                <w:sz w:val="20"/>
              </w:rPr>
              <w:t>COM(2016) 272 final.</w:t>
            </w:r>
            <w:r>
              <w:rPr>
                <w:noProof/>
                <w:sz w:val="20"/>
              </w:rPr>
              <w:br/>
              <w:t>2016/0132 (COD)</w:t>
            </w:r>
            <w:r>
              <w:rPr>
                <w:noProof/>
                <w:sz w:val="20"/>
              </w:rPr>
              <w:br/>
              <w:t xml:space="preserve">4. 5. 2016 </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w:t>
            </w:r>
          </w:p>
        </w:tc>
        <w:tc>
          <w:tcPr>
            <w:tcW w:w="2126" w:type="dxa"/>
            <w:tcMar>
              <w:top w:w="85" w:type="dxa"/>
              <w:left w:w="85" w:type="dxa"/>
              <w:bottom w:w="85" w:type="dxa"/>
            </w:tcMar>
          </w:tcPr>
          <w:p>
            <w:pPr>
              <w:spacing w:after="0"/>
              <w:jc w:val="left"/>
              <w:rPr>
                <w:noProof/>
                <w:sz w:val="20"/>
              </w:rPr>
            </w:pPr>
            <w:r>
              <w:rPr>
                <w:noProof/>
                <w:sz w:val="20"/>
              </w:rPr>
              <w:t>COM(2016) 270 final.</w:t>
            </w:r>
            <w:r>
              <w:rPr>
                <w:noProof/>
                <w:sz w:val="20"/>
              </w:rPr>
              <w:br/>
              <w:t>2016/0133 (COD)</w:t>
            </w:r>
            <w:r>
              <w:rPr>
                <w:noProof/>
                <w:sz w:val="20"/>
              </w:rPr>
              <w:br/>
              <w:t>4. 5. 2016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ktorou sa stanovujú normy pre prijímanie žiadateľov o medzinárodnú ochranu (prepracované znenie)</w:t>
            </w:r>
          </w:p>
        </w:tc>
        <w:tc>
          <w:tcPr>
            <w:tcW w:w="2126" w:type="dxa"/>
            <w:tcMar>
              <w:top w:w="85" w:type="dxa"/>
              <w:left w:w="85" w:type="dxa"/>
              <w:bottom w:w="85" w:type="dxa"/>
            </w:tcMar>
          </w:tcPr>
          <w:p>
            <w:pPr>
              <w:spacing w:after="0"/>
              <w:jc w:val="left"/>
              <w:rPr>
                <w:noProof/>
                <w:sz w:val="20"/>
              </w:rPr>
            </w:pPr>
            <w:r>
              <w:rPr>
                <w:noProof/>
                <w:sz w:val="20"/>
              </w:rPr>
              <w:t>COM(2016) 465 final.</w:t>
            </w:r>
            <w:r>
              <w:rPr>
                <w:noProof/>
                <w:sz w:val="20"/>
              </w:rPr>
              <w:br/>
              <w:t>2016/0222 (COD)</w:t>
            </w:r>
            <w:r>
              <w:rPr>
                <w:noProof/>
                <w:sz w:val="20"/>
              </w:rPr>
              <w:br/>
              <w:t>13. 7. 2016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 xml:space="preserve">Návrh NARIADENIE EURÓPSKEHO PARLAMENTU A RADY o normách pre podmienky, ktoré musia spĺňať štátni príslušníci tretej krajiny alebo osoby bez štátnej príslušnosti na poskytnutie medzinárodnej ochrany, pre jednotné postavenie utečencov alebo osôb oprávnených na doplnkovú ochranu a pre obsah poskytovanej ochrany, a ktorým sa mení smernica Rady 2003/109/ES z 25. novembra 2003, pokiaľ ide o postavenie štátnych príslušníkov tretej krajiny, ktorí sú osobami s dlhodobým pobytom </w:t>
            </w:r>
          </w:p>
        </w:tc>
        <w:tc>
          <w:tcPr>
            <w:tcW w:w="2126" w:type="dxa"/>
            <w:tcMar>
              <w:top w:w="85" w:type="dxa"/>
              <w:left w:w="85" w:type="dxa"/>
              <w:bottom w:w="85" w:type="dxa"/>
            </w:tcMar>
          </w:tcPr>
          <w:p>
            <w:pPr>
              <w:spacing w:after="0"/>
              <w:jc w:val="left"/>
              <w:rPr>
                <w:noProof/>
                <w:sz w:val="20"/>
              </w:rPr>
            </w:pPr>
            <w:r>
              <w:rPr>
                <w:noProof/>
                <w:sz w:val="20"/>
              </w:rPr>
              <w:t>COM(2016) 466 final.</w:t>
            </w:r>
            <w:r>
              <w:rPr>
                <w:noProof/>
                <w:sz w:val="20"/>
              </w:rPr>
              <w:br/>
              <w:t>2016/0223 (COD)</w:t>
            </w:r>
            <w:r>
              <w:rPr>
                <w:noProof/>
                <w:sz w:val="20"/>
              </w:rPr>
              <w:br/>
              <w:t>13. 7. 2016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stanovuje spoločné konanie o medzinárodnej ochrane v Únii a zrušuje smernica 2013/32/EÚ</w:t>
            </w:r>
          </w:p>
        </w:tc>
        <w:tc>
          <w:tcPr>
            <w:tcW w:w="2126" w:type="dxa"/>
            <w:tcMar>
              <w:top w:w="85" w:type="dxa"/>
              <w:left w:w="85" w:type="dxa"/>
              <w:bottom w:w="85" w:type="dxa"/>
            </w:tcMar>
          </w:tcPr>
          <w:p>
            <w:pPr>
              <w:spacing w:after="0"/>
              <w:jc w:val="left"/>
              <w:rPr>
                <w:noProof/>
                <w:sz w:val="20"/>
              </w:rPr>
            </w:pPr>
            <w:r>
              <w:rPr>
                <w:noProof/>
                <w:sz w:val="20"/>
              </w:rPr>
              <w:t>COM(2016) 467 final.</w:t>
            </w:r>
            <w:r>
              <w:rPr>
                <w:noProof/>
                <w:sz w:val="20"/>
              </w:rPr>
              <w:br/>
              <w:t>2016/0224 (COD)</w:t>
            </w:r>
            <w:r>
              <w:rPr>
                <w:noProof/>
                <w:sz w:val="20"/>
              </w:rPr>
              <w:br/>
              <w:t>13. 7. 2016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zriaďuje rámec Únie pre presídľovanie a ktorým sa mení nariadenie Európskeho parlamentu a Rady (EÚ) č. 516/2014</w:t>
            </w:r>
          </w:p>
        </w:tc>
        <w:tc>
          <w:tcPr>
            <w:tcW w:w="2126" w:type="dxa"/>
            <w:tcMar>
              <w:top w:w="85" w:type="dxa"/>
              <w:left w:w="85" w:type="dxa"/>
              <w:bottom w:w="85" w:type="dxa"/>
            </w:tcMar>
          </w:tcPr>
          <w:p>
            <w:pPr>
              <w:spacing w:after="0"/>
              <w:jc w:val="left"/>
              <w:rPr>
                <w:noProof/>
                <w:sz w:val="20"/>
              </w:rPr>
            </w:pPr>
            <w:r>
              <w:rPr>
                <w:noProof/>
                <w:sz w:val="20"/>
              </w:rPr>
              <w:t>COM(2016) 468 final.</w:t>
            </w:r>
            <w:r>
              <w:rPr>
                <w:noProof/>
                <w:sz w:val="20"/>
              </w:rPr>
              <w:br/>
              <w:t>2016/0225 (COD)</w:t>
            </w:r>
            <w:r>
              <w:rPr>
                <w:noProof/>
                <w:sz w:val="20"/>
              </w:rPr>
              <w:br/>
              <w:t>13. 7. 2016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SMERNICA EURÓPSKEHO PARLAMENTU A RADY o podmienkach vstupu a pobytu štátnych príslušníkov tretích krajín na účely zamestnania, v ktorom sa vyžaduje vysoká úroveň zručností</w:t>
            </w:r>
          </w:p>
        </w:tc>
        <w:tc>
          <w:tcPr>
            <w:tcW w:w="2126" w:type="dxa"/>
            <w:tcMar>
              <w:top w:w="85" w:type="dxa"/>
              <w:left w:w="85" w:type="dxa"/>
              <w:bottom w:w="85" w:type="dxa"/>
            </w:tcMar>
          </w:tcPr>
          <w:p>
            <w:pPr>
              <w:spacing w:after="0"/>
              <w:jc w:val="left"/>
              <w:rPr>
                <w:noProof/>
                <w:sz w:val="20"/>
              </w:rPr>
            </w:pPr>
            <w:r>
              <w:rPr>
                <w:noProof/>
                <w:sz w:val="20"/>
              </w:rPr>
              <w:t>COM(2016) 378 final 2016/0176 (COD) 7. 6.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„Erasmus“: program Únie pre vzdelávanie, odbornú prípravu, mládež a šport, a ktorým sa zrušuje nariadenie (EÚ) č. 1288/2013</w:t>
            </w:r>
          </w:p>
        </w:tc>
        <w:tc>
          <w:tcPr>
            <w:tcW w:w="2126" w:type="dxa"/>
            <w:tcMar>
              <w:top w:w="85" w:type="dxa"/>
              <w:left w:w="85" w:type="dxa"/>
              <w:bottom w:w="85" w:type="dxa"/>
            </w:tcMar>
          </w:tcPr>
          <w:p>
            <w:pPr>
              <w:spacing w:after="0"/>
              <w:jc w:val="left"/>
              <w:rPr>
                <w:noProof/>
                <w:sz w:val="20"/>
              </w:rPr>
            </w:pPr>
            <w:r>
              <w:rPr>
                <w:noProof/>
                <w:sz w:val="20"/>
              </w:rPr>
              <w:t>COM(2018) 367 final.</w:t>
            </w:r>
            <w:r>
              <w:rPr>
                <w:noProof/>
                <w:sz w:val="20"/>
              </w:rPr>
              <w:br/>
              <w:t>2018/0191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Európskom inovačnom a technologickom inštitúte (prepracované znenie)</w:t>
            </w:r>
          </w:p>
        </w:tc>
        <w:tc>
          <w:tcPr>
            <w:tcW w:w="2126" w:type="dxa"/>
            <w:tcMar>
              <w:top w:w="85" w:type="dxa"/>
              <w:left w:w="85" w:type="dxa"/>
              <w:bottom w:w="85" w:type="dxa"/>
            </w:tcMar>
          </w:tcPr>
          <w:p>
            <w:pPr>
              <w:spacing w:after="0"/>
              <w:jc w:val="left"/>
              <w:rPr>
                <w:noProof/>
                <w:sz w:val="20"/>
              </w:rPr>
            </w:pPr>
            <w:r>
              <w:rPr>
                <w:noProof/>
                <w:sz w:val="20"/>
              </w:rPr>
              <w:t>COM(2019) 331 final.</w:t>
            </w:r>
            <w:r>
              <w:rPr>
                <w:noProof/>
                <w:sz w:val="20"/>
              </w:rPr>
              <w:br/>
              <w:t>2019/0151 (COD)</w:t>
            </w:r>
            <w:r>
              <w:rPr>
                <w:noProof/>
                <w:sz w:val="20"/>
              </w:rPr>
              <w:br/>
              <w:t>11. 7. 2019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ROZHODNUTIE EURÓPSKEHO PARLAMENTU A RADY o strategickom inovačnom programe Európskeho inovačného a technologického inštitútu (EIT) na roky 2021 – 2027: Stimulácia inovačného talentu a inovačnej kapacity Európy</w:t>
            </w:r>
          </w:p>
        </w:tc>
        <w:tc>
          <w:tcPr>
            <w:tcW w:w="2126" w:type="dxa"/>
            <w:tcMar>
              <w:top w:w="85" w:type="dxa"/>
              <w:left w:w="85" w:type="dxa"/>
              <w:bottom w:w="85" w:type="dxa"/>
            </w:tcMar>
          </w:tcPr>
          <w:p>
            <w:pPr>
              <w:spacing w:after="0"/>
              <w:jc w:val="left"/>
              <w:rPr>
                <w:noProof/>
                <w:sz w:val="20"/>
              </w:rPr>
            </w:pPr>
            <w:r>
              <w:rPr>
                <w:noProof/>
                <w:sz w:val="20"/>
              </w:rPr>
              <w:t>COM(2019) 330 final.</w:t>
            </w:r>
            <w:r>
              <w:rPr>
                <w:noProof/>
                <w:sz w:val="20"/>
              </w:rPr>
              <w:br/>
              <w:t>2019/0152 (COD)</w:t>
            </w:r>
            <w:r>
              <w:rPr>
                <w:noProof/>
                <w:sz w:val="20"/>
              </w:rPr>
              <w:br/>
              <w:t>11. 7. 2019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program EÚ pre boj proti podvodom</w:t>
            </w:r>
          </w:p>
        </w:tc>
        <w:tc>
          <w:tcPr>
            <w:tcW w:w="2126" w:type="dxa"/>
            <w:tcMar>
              <w:top w:w="85" w:type="dxa"/>
              <w:left w:w="85" w:type="dxa"/>
              <w:bottom w:w="85" w:type="dxa"/>
            </w:tcMar>
          </w:tcPr>
          <w:p>
            <w:pPr>
              <w:spacing w:after="0"/>
              <w:jc w:val="left"/>
              <w:rPr>
                <w:noProof/>
                <w:sz w:val="20"/>
              </w:rPr>
            </w:pPr>
            <w:r>
              <w:rPr>
                <w:noProof/>
                <w:sz w:val="20"/>
              </w:rPr>
              <w:t>COM(2018) 386 final.</w:t>
            </w:r>
            <w:r>
              <w:rPr>
                <w:noProof/>
                <w:sz w:val="20"/>
              </w:rPr>
              <w:br/>
              <w:t>2018/0211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Fond pre vnútornú bezpečnosť</w:t>
            </w:r>
          </w:p>
        </w:tc>
        <w:tc>
          <w:tcPr>
            <w:tcW w:w="2126" w:type="dxa"/>
            <w:tcMar>
              <w:top w:w="85" w:type="dxa"/>
              <w:left w:w="85" w:type="dxa"/>
              <w:bottom w:w="85" w:type="dxa"/>
            </w:tcMar>
          </w:tcPr>
          <w:p>
            <w:pPr>
              <w:spacing w:after="0"/>
              <w:jc w:val="left"/>
              <w:rPr>
                <w:noProof/>
                <w:sz w:val="20"/>
              </w:rPr>
            </w:pPr>
            <w:r>
              <w:rPr>
                <w:noProof/>
                <w:sz w:val="20"/>
              </w:rPr>
              <w:t>COM(2018) 472 final.</w:t>
            </w:r>
            <w:r>
              <w:rPr>
                <w:noProof/>
                <w:sz w:val="20"/>
              </w:rPr>
              <w:br/>
              <w:t>2018/0250 (COD)</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Fond pre azyl a migráciu</w:t>
            </w:r>
          </w:p>
        </w:tc>
        <w:tc>
          <w:tcPr>
            <w:tcW w:w="2126" w:type="dxa"/>
            <w:tcMar>
              <w:top w:w="85" w:type="dxa"/>
              <w:left w:w="85" w:type="dxa"/>
              <w:bottom w:w="85" w:type="dxa"/>
            </w:tcMar>
          </w:tcPr>
          <w:p>
            <w:pPr>
              <w:spacing w:after="0"/>
              <w:jc w:val="left"/>
              <w:rPr>
                <w:noProof/>
                <w:sz w:val="20"/>
              </w:rPr>
            </w:pPr>
            <w:r>
              <w:rPr>
                <w:noProof/>
                <w:sz w:val="20"/>
              </w:rPr>
              <w:t>COM(2018) 471 final.</w:t>
            </w:r>
            <w:r>
              <w:rPr>
                <w:noProof/>
                <w:sz w:val="20"/>
              </w:rPr>
              <w:br/>
              <w:t>2018/0248 (COD)</w:t>
            </w:r>
            <w:r>
              <w:rPr>
                <w:noProof/>
                <w:sz w:val="20"/>
              </w:rPr>
              <w:br/>
              <w:t>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ako súčasť Fondu pre integrované riadenie hraníc zriaďuje nástroj finančnej podpory na riadenie hraníc a víza</w:t>
            </w:r>
          </w:p>
        </w:tc>
        <w:tc>
          <w:tcPr>
            <w:tcW w:w="2126" w:type="dxa"/>
            <w:tcMar>
              <w:top w:w="85" w:type="dxa"/>
              <w:left w:w="85" w:type="dxa"/>
              <w:bottom w:w="85" w:type="dxa"/>
            </w:tcMar>
          </w:tcPr>
          <w:p>
            <w:pPr>
              <w:spacing w:after="0"/>
              <w:jc w:val="left"/>
              <w:rPr>
                <w:noProof/>
                <w:sz w:val="20"/>
              </w:rPr>
            </w:pPr>
            <w:r>
              <w:rPr>
                <w:noProof/>
                <w:sz w:val="20"/>
              </w:rPr>
              <w:t>COM(2018) 473 final.</w:t>
            </w:r>
            <w:r>
              <w:rPr>
                <w:noProof/>
                <w:sz w:val="20"/>
              </w:rPr>
              <w:br/>
              <w:t>2018/0249 (COD) 13. 6.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stanovuje program Európsky zbor solidarity a zrušujú [nariadenie o Európskom zbore solidarity] a nariadenie (EÚ) č. 375/2014</w:t>
            </w:r>
          </w:p>
        </w:tc>
        <w:tc>
          <w:tcPr>
            <w:tcW w:w="2126" w:type="dxa"/>
            <w:tcMar>
              <w:top w:w="85" w:type="dxa"/>
              <w:left w:w="85" w:type="dxa"/>
              <w:bottom w:w="85" w:type="dxa"/>
            </w:tcMar>
          </w:tcPr>
          <w:p>
            <w:pPr>
              <w:spacing w:after="0"/>
              <w:jc w:val="left"/>
              <w:rPr>
                <w:noProof/>
                <w:sz w:val="20"/>
              </w:rPr>
            </w:pPr>
            <w:r>
              <w:rPr>
                <w:noProof/>
                <w:sz w:val="20"/>
              </w:rPr>
              <w:t>COM(2018) 440 final.</w:t>
            </w:r>
            <w:r>
              <w:rPr>
                <w:noProof/>
                <w:sz w:val="20"/>
              </w:rPr>
              <w:br/>
              <w:t>2018/0230 (COD)</w:t>
            </w:r>
            <w:r>
              <w:rPr>
                <w:noProof/>
                <w:sz w:val="20"/>
              </w:rPr>
              <w:br/>
              <w:t>11. 6. 2018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ustanovuje program Kreatívna Európa (na obdobie 2021 až 2027) a ktorým sa zrušuje nariadenie (EÚ) č. 1295/2013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366 final.</w:t>
            </w:r>
            <w:r>
              <w:rPr>
                <w:noProof/>
                <w:sz w:val="20"/>
              </w:rPr>
              <w:br/>
              <w:t>2018/0190 (COD)</w:t>
            </w:r>
            <w:r>
              <w:rPr>
                <w:noProof/>
                <w:sz w:val="20"/>
              </w:rPr>
              <w:br/>
              <w:t>30. 5. 2018</w:t>
            </w:r>
          </w:p>
        </w:tc>
      </w:tr>
      <w:tr>
        <w:trPr>
          <w:cantSplit/>
        </w:trPr>
        <w:tc>
          <w:tcPr>
            <w:tcW w:w="14850" w:type="dxa"/>
            <w:gridSpan w:val="3"/>
            <w:shd w:val="clear" w:color="auto" w:fill="00ADDC" w:themeFill="accent5"/>
            <w:tcMar>
              <w:top w:w="85" w:type="dxa"/>
              <w:left w:w="85" w:type="dxa"/>
              <w:bottom w:w="85" w:type="dxa"/>
              <w:right w:w="85" w:type="dxa"/>
            </w:tcMar>
          </w:tcPr>
          <w:p>
            <w:pPr>
              <w:spacing w:before="60" w:after="60"/>
              <w:rPr>
                <w:noProof/>
                <w:sz w:val="20"/>
              </w:rPr>
            </w:pPr>
            <w:r>
              <w:rPr>
                <w:b/>
                <w:bCs/>
                <w:noProof/>
                <w:color w:val="FFFFFF" w:themeColor="background1"/>
                <w:sz w:val="20"/>
              </w:rPr>
              <w:t>Nový impulz pre európsku demokraciu</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viacero právnych aktov v oblasti spravodlivosti stanovujúcich použitie regulačného postupu s kontrolou prispôsobuje článku 290 Zmluvy o fungovaní Európskej únie</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COM(2016) 798 final.</w:t>
            </w:r>
            <w:r>
              <w:rPr>
                <w:noProof/>
                <w:sz w:val="20"/>
              </w:rPr>
              <w:br/>
              <w:t>2016/0399 (COD)</w:t>
            </w:r>
            <w:r>
              <w:rPr>
                <w:noProof/>
                <w:sz w:val="20"/>
              </w:rPr>
              <w:br/>
              <w:t>14. 12. 2016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o zlepšení rodovej vyváženosti medzi nevýkonnými riadiacimi pracovníkmi spoločností kótovaných na burze a súvisiacich opatreniach</w:t>
            </w:r>
          </w:p>
        </w:tc>
        <w:tc>
          <w:tcPr>
            <w:tcW w:w="2126" w:type="dxa"/>
            <w:tcMar>
              <w:top w:w="85" w:type="dxa"/>
              <w:left w:w="85" w:type="dxa"/>
              <w:bottom w:w="85" w:type="dxa"/>
            </w:tcMar>
          </w:tcPr>
          <w:p>
            <w:pPr>
              <w:spacing w:after="0"/>
              <w:jc w:val="left"/>
              <w:rPr>
                <w:noProof/>
                <w:sz w:val="20"/>
              </w:rPr>
            </w:pPr>
            <w:r>
              <w:rPr>
                <w:noProof/>
                <w:sz w:val="20"/>
              </w:rPr>
              <w:t>COM(2012) 614 final.</w:t>
            </w:r>
            <w:r>
              <w:rPr>
                <w:noProof/>
                <w:sz w:val="20"/>
              </w:rPr>
              <w:br/>
              <w:t>2012/0299 (COD)</w:t>
            </w:r>
            <w:r>
              <w:rPr>
                <w:noProof/>
                <w:sz w:val="20"/>
              </w:rPr>
              <w:br/>
              <w:t>14. 11. 2012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NARIADENIE EURÓPSKEHO PARLAMENTU A RADY, ktorým sa viacero právnych aktov v oblasti spravodlivosti stanovujúcich použitie regulačného postupu s kontrolou prispôsobuje článku 290 a 291 Zmluvy o fungovaní Európskej únie</w:t>
            </w:r>
          </w:p>
        </w:tc>
        <w:tc>
          <w:tcPr>
            <w:tcW w:w="2126" w:type="dxa"/>
            <w:tcMar>
              <w:top w:w="85" w:type="dxa"/>
              <w:left w:w="85" w:type="dxa"/>
              <w:bottom w:w="85" w:type="dxa"/>
            </w:tcMar>
          </w:tcPr>
          <w:p>
            <w:pPr>
              <w:spacing w:after="0"/>
              <w:jc w:val="left"/>
              <w:rPr>
                <w:noProof/>
                <w:sz w:val="20"/>
              </w:rPr>
            </w:pPr>
            <w:r>
              <w:rPr>
                <w:noProof/>
                <w:sz w:val="20"/>
              </w:rPr>
              <w:t>COM(2016) 799 final.</w:t>
            </w:r>
            <w:r>
              <w:rPr>
                <w:noProof/>
                <w:sz w:val="20"/>
              </w:rPr>
              <w:br/>
              <w:t>2016/0400 B(COD)</w:t>
            </w:r>
            <w:r>
              <w:rPr>
                <w:noProof/>
                <w:sz w:val="20"/>
              </w:rPr>
              <w:br/>
              <w:t xml:space="preserve">14. 12. 2016 </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Návrh SMERNICA EURÓPSKEHO PARLAMENTU A RADY o žalobách v zastúpení na ochranu kolektívnych záujmov spotrebiteľov a o zrušení smernice 2009/22/ES</w:t>
            </w:r>
          </w:p>
        </w:tc>
        <w:tc>
          <w:tcPr>
            <w:tcW w:w="2126" w:type="dxa"/>
            <w:tcMar>
              <w:top w:w="85" w:type="dxa"/>
              <w:left w:w="85" w:type="dxa"/>
              <w:bottom w:w="85" w:type="dxa"/>
            </w:tcMar>
          </w:tcPr>
          <w:p>
            <w:pPr>
              <w:spacing w:after="0"/>
              <w:jc w:val="left"/>
              <w:rPr>
                <w:noProof/>
                <w:sz w:val="20"/>
              </w:rPr>
            </w:pPr>
            <w:r>
              <w:rPr>
                <w:noProof/>
                <w:sz w:val="20"/>
              </w:rPr>
              <w:t>COM(2018) 184 final.</w:t>
            </w:r>
            <w:r>
              <w:rPr>
                <w:noProof/>
                <w:sz w:val="20"/>
              </w:rPr>
              <w:br/>
              <w:t>2018/0089 (COD)</w:t>
            </w:r>
            <w:r>
              <w:rPr>
                <w:noProof/>
                <w:sz w:val="20"/>
              </w:rPr>
              <w:br/>
              <w:t>12. 4. 2018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 SMERNICU RADY o vykonávaní zásady rovnakého zaobchádzania s osobami bez ohľadu na náboženské vyznanie alebo vieru, zdravotné postihnutie, vek alebo sexuálnu orientáciu</w:t>
            </w:r>
          </w:p>
        </w:tc>
        <w:tc>
          <w:tcPr>
            <w:tcW w:w="2126" w:type="dxa"/>
            <w:tcMar>
              <w:top w:w="85" w:type="dxa"/>
              <w:left w:w="85" w:type="dxa"/>
              <w:bottom w:w="85" w:type="dxa"/>
            </w:tcMar>
          </w:tcPr>
          <w:p>
            <w:pPr>
              <w:spacing w:after="0"/>
              <w:jc w:val="left"/>
              <w:rPr>
                <w:noProof/>
                <w:sz w:val="20"/>
              </w:rPr>
            </w:pPr>
            <w:r>
              <w:rPr>
                <w:noProof/>
                <w:sz w:val="20"/>
              </w:rPr>
              <w:t>COM(2008) 426 final.</w:t>
            </w:r>
            <w:r>
              <w:rPr>
                <w:noProof/>
                <w:sz w:val="20"/>
              </w:rPr>
              <w:br/>
              <w:t>2008/0140 (NLE)</w:t>
            </w:r>
            <w:r>
              <w:rPr>
                <w:noProof/>
                <w:sz w:val="20"/>
              </w:rPr>
              <w:br/>
              <w:t>2. 7. 2008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(EÚ) č. 182/2011, ktorým sa ustanovujú pravidlá a všeobecné zásady mechanizmu, na základe ktorého členské štáty kontrolujú vykonávanie vykonávacích právomocí Komisie</w:t>
            </w:r>
          </w:p>
        </w:tc>
        <w:tc>
          <w:tcPr>
            <w:tcW w:w="2126" w:type="dxa"/>
            <w:tcMar>
              <w:top w:w="85" w:type="dxa"/>
              <w:left w:w="85" w:type="dxa"/>
              <w:bottom w:w="85" w:type="dxa"/>
            </w:tcMar>
          </w:tcPr>
          <w:p>
            <w:pPr>
              <w:spacing w:after="0"/>
              <w:jc w:val="left"/>
              <w:rPr>
                <w:noProof/>
                <w:sz w:val="20"/>
              </w:rPr>
            </w:pPr>
            <w:r>
              <w:rPr>
                <w:noProof/>
                <w:sz w:val="20"/>
              </w:rPr>
              <w:t>COM(2017) 85 final.</w:t>
            </w:r>
            <w:r>
              <w:rPr>
                <w:noProof/>
                <w:sz w:val="20"/>
              </w:rPr>
              <w:br/>
              <w:t>2017/0035 (COD)</w:t>
            </w:r>
          </w:p>
          <w:p>
            <w:pPr>
              <w:spacing w:after="0"/>
              <w:jc w:val="left"/>
              <w:rPr>
                <w:noProof/>
                <w:sz w:val="20"/>
              </w:rPr>
            </w:pPr>
            <w:r>
              <w:rPr>
                <w:noProof/>
                <w:sz w:val="20"/>
              </w:rPr>
              <w:t>14. 2. 2017</w:t>
            </w:r>
          </w:p>
          <w:p>
            <w:pPr>
              <w:spacing w:after="0"/>
              <w:jc w:val="left"/>
              <w:rPr>
                <w:noProof/>
                <w:sz w:val="20"/>
              </w:rPr>
            </w:pP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ktorým sa stanovujú podmienky prístupu do iných informačných systémov EÚ a ktorým sa mení nariadenie (EÚ) 2018/1862 a nariadenie (EÚ) rrrr/xxx [ECRIS-TCN]</w:t>
            </w:r>
          </w:p>
        </w:tc>
        <w:tc>
          <w:tcPr>
            <w:tcW w:w="2126" w:type="dxa"/>
            <w:tcMar>
              <w:top w:w="85" w:type="dxa"/>
              <w:left w:w="85" w:type="dxa"/>
              <w:bottom w:w="85" w:type="dxa"/>
            </w:tcMar>
          </w:tcPr>
          <w:p>
            <w:pPr>
              <w:spacing w:after="0"/>
              <w:jc w:val="left"/>
              <w:rPr>
                <w:noProof/>
                <w:sz w:val="20"/>
              </w:rPr>
            </w:pPr>
            <w:r>
              <w:rPr>
                <w:noProof/>
                <w:sz w:val="20"/>
              </w:rPr>
              <w:t>COM(2019) 3 final.</w:t>
            </w:r>
            <w:r>
              <w:rPr>
                <w:noProof/>
                <w:sz w:val="20"/>
              </w:rPr>
              <w:br/>
              <w:t>2019/0001 (COD)</w:t>
            </w:r>
            <w:r>
              <w:rPr>
                <w:noProof/>
                <w:sz w:val="20"/>
              </w:rPr>
              <w:br/>
              <w:t>7. 1. 2019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o rozhodnom práve pre účinky postúpenia pohľadávok na tretie strany</w:t>
            </w:r>
          </w:p>
        </w:tc>
        <w:tc>
          <w:tcPr>
            <w:tcW w:w="2126" w:type="dxa"/>
            <w:tcMar>
              <w:top w:w="85" w:type="dxa"/>
              <w:left w:w="85" w:type="dxa"/>
              <w:bottom w:w="85" w:type="dxa"/>
            </w:tcMar>
          </w:tcPr>
          <w:p>
            <w:pPr>
              <w:spacing w:after="0"/>
              <w:jc w:val="left"/>
              <w:rPr>
                <w:noProof/>
                <w:sz w:val="20"/>
              </w:rPr>
            </w:pPr>
            <w:r>
              <w:rPr>
                <w:noProof/>
                <w:sz w:val="20"/>
              </w:rPr>
              <w:t>COM(2018) 96 final.</w:t>
            </w:r>
            <w:r>
              <w:rPr>
                <w:noProof/>
                <w:sz w:val="20"/>
              </w:rPr>
              <w:br/>
              <w:t>2018/0044 (COD)</w:t>
            </w:r>
            <w:r>
              <w:rPr>
                <w:noProof/>
                <w:sz w:val="20"/>
              </w:rPr>
              <w:br/>
              <w:t>12. 3. 2016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SMERNICA EURÓPSKEHO PARLAMENTU A RADY, ktorou sa stanovujú harmonizované pravidlá určovania právnych zástupcov na účely zhromažďovania dôkazov v trestnom konaní</w:t>
            </w:r>
          </w:p>
        </w:tc>
        <w:tc>
          <w:tcPr>
            <w:tcW w:w="2126" w:type="dxa"/>
            <w:tcMar>
              <w:top w:w="85" w:type="dxa"/>
              <w:left w:w="85" w:type="dxa"/>
              <w:bottom w:w="85" w:type="dxa"/>
            </w:tcMar>
          </w:tcPr>
          <w:p>
            <w:pPr>
              <w:spacing w:after="0"/>
              <w:jc w:val="left"/>
              <w:rPr>
                <w:noProof/>
                <w:sz w:val="20"/>
              </w:rPr>
            </w:pPr>
            <w:r>
              <w:rPr>
                <w:noProof/>
                <w:sz w:val="20"/>
              </w:rPr>
              <w:t>COM(2018) 226 final.</w:t>
            </w:r>
            <w:r>
              <w:rPr>
                <w:noProof/>
                <w:sz w:val="20"/>
              </w:rPr>
              <w:br/>
              <w:t>2018/0107 (COD) 18. 4.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o európskom príkaze na predloženie a uchovanie elektronických dôkazov v trestných veciach</w:t>
            </w:r>
          </w:p>
        </w:tc>
        <w:tc>
          <w:tcPr>
            <w:tcW w:w="2126" w:type="dxa"/>
            <w:tcMar>
              <w:top w:w="85" w:type="dxa"/>
              <w:left w:w="85" w:type="dxa"/>
              <w:bottom w:w="85" w:type="dxa"/>
            </w:tcMar>
          </w:tcPr>
          <w:p>
            <w:pPr>
              <w:spacing w:after="0"/>
              <w:jc w:val="left"/>
              <w:rPr>
                <w:noProof/>
                <w:sz w:val="20"/>
              </w:rPr>
            </w:pPr>
            <w:r>
              <w:rPr>
                <w:noProof/>
                <w:sz w:val="20"/>
              </w:rPr>
              <w:t>COM(2018) 225 final.</w:t>
            </w:r>
            <w:r>
              <w:rPr>
                <w:noProof/>
                <w:sz w:val="20"/>
              </w:rPr>
              <w:br/>
              <w:t>2018/0108 (COD) 18. 4.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Európskeho parlamentu a Rady (ES) č. 1393/2007 o doručovaní súdnych a mimosúdnych písomností v občianskych a obchodných veciach v členských štátoch („doručovanie písomností“)</w:t>
            </w:r>
          </w:p>
        </w:tc>
        <w:tc>
          <w:tcPr>
            <w:tcW w:w="2126" w:type="dxa"/>
            <w:tcMar>
              <w:top w:w="85" w:type="dxa"/>
              <w:left w:w="85" w:type="dxa"/>
              <w:bottom w:w="85" w:type="dxa"/>
            </w:tcMar>
          </w:tcPr>
          <w:p>
            <w:pPr>
              <w:spacing w:after="0"/>
              <w:jc w:val="left"/>
              <w:rPr>
                <w:noProof/>
                <w:sz w:val="20"/>
              </w:rPr>
            </w:pPr>
            <w:r>
              <w:rPr>
                <w:noProof/>
                <w:sz w:val="20"/>
              </w:rPr>
              <w:t>COM(2018) 379 final.</w:t>
            </w:r>
            <w:r>
              <w:rPr>
                <w:noProof/>
                <w:sz w:val="20"/>
              </w:rPr>
              <w:br/>
              <w:t>2018/0204 (COD)</w:t>
            </w:r>
            <w:r>
              <w:rPr>
                <w:noProof/>
                <w:sz w:val="20"/>
              </w:rPr>
              <w:br/>
              <w:t>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Návrh NARIADENIE EURÓPSKEHO PARLAMENTU A RADY, ktorým sa mení nariadenie Rady (ES) č. 1206/2001 z 28. mája 2001 o spolupráci medzi súdmi členských štátov pri vykonávaní dôkazov v občianskych a obchodných veciach</w:t>
            </w:r>
          </w:p>
        </w:tc>
        <w:tc>
          <w:tcPr>
            <w:tcW w:w="2126" w:type="dxa"/>
            <w:tcMar>
              <w:top w:w="85" w:type="dxa"/>
              <w:left w:w="85" w:type="dxa"/>
              <w:bottom w:w="85" w:type="dxa"/>
            </w:tcMar>
          </w:tcPr>
          <w:p>
            <w:pPr>
              <w:spacing w:after="0"/>
              <w:jc w:val="left"/>
              <w:rPr>
                <w:noProof/>
                <w:sz w:val="20"/>
              </w:rPr>
            </w:pPr>
            <w:r>
              <w:rPr>
                <w:noProof/>
                <w:sz w:val="20"/>
              </w:rPr>
              <w:t>COM(2018) 378 final.</w:t>
            </w:r>
            <w:r>
              <w:rPr>
                <w:noProof/>
                <w:sz w:val="20"/>
              </w:rPr>
              <w:br/>
              <w:t>2018/0203 (COD) 31.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o ochrane rozpočtu Únie v prípade všeobecných nedostatkov v oblasti dodržiavania zásady právneho štátu v členských štátoch</w:t>
            </w:r>
          </w:p>
        </w:tc>
        <w:tc>
          <w:tcPr>
            <w:tcW w:w="2126" w:type="dxa"/>
            <w:tcMar>
              <w:top w:w="85" w:type="dxa"/>
              <w:left w:w="85" w:type="dxa"/>
              <w:bottom w:w="85" w:type="dxa"/>
            </w:tcMar>
          </w:tcPr>
          <w:p>
            <w:pPr>
              <w:spacing w:after="0"/>
              <w:jc w:val="left"/>
              <w:rPr>
                <w:noProof/>
                <w:sz w:val="20"/>
              </w:rPr>
            </w:pPr>
            <w:r>
              <w:rPr>
                <w:noProof/>
                <w:sz w:val="20"/>
              </w:rPr>
              <w:t>COM(2018) 324 final.</w:t>
            </w:r>
            <w:r>
              <w:rPr>
                <w:noProof/>
                <w:sz w:val="20"/>
              </w:rPr>
              <w:br/>
              <w:t>2018/0136 (COD)</w:t>
            </w:r>
            <w:r>
              <w:rPr>
                <w:noProof/>
                <w:sz w:val="20"/>
              </w:rPr>
              <w:br/>
              <w:t>3. 5. 2018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program Práva a hodnoty</w:t>
            </w:r>
          </w:p>
        </w:tc>
        <w:tc>
          <w:tcPr>
            <w:tcW w:w="2126" w:type="dxa"/>
            <w:tcMar>
              <w:top w:w="85" w:type="dxa"/>
              <w:left w:w="85" w:type="dxa"/>
              <w:bottom w:w="85" w:type="dxa"/>
            </w:tcMar>
          </w:tcPr>
          <w:p>
            <w:pPr>
              <w:spacing w:after="0"/>
              <w:jc w:val="left"/>
              <w:rPr>
                <w:noProof/>
                <w:sz w:val="20"/>
              </w:rPr>
            </w:pPr>
            <w:r>
              <w:rPr>
                <w:noProof/>
                <w:sz w:val="20"/>
              </w:rPr>
              <w:t>COM(2018) 383 final.</w:t>
            </w:r>
            <w:r>
              <w:rPr>
                <w:noProof/>
                <w:sz w:val="20"/>
              </w:rPr>
              <w:br/>
              <w:t>2018/0207 (COD)</w:t>
            </w:r>
            <w:r>
              <w:rPr>
                <w:noProof/>
                <w:sz w:val="20"/>
              </w:rPr>
              <w:br/>
              <w:t>30. 5. 2018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Návrh NARIADENIE EURÓPSKEHO PARLAMENTU A RADY, ktorým sa zriaďuje program Spravodlivosť</w:t>
            </w:r>
          </w:p>
        </w:tc>
        <w:tc>
          <w:tcPr>
            <w:tcW w:w="2126" w:type="dxa"/>
            <w:tcMar>
              <w:top w:w="85" w:type="dxa"/>
              <w:left w:w="85" w:type="dxa"/>
              <w:bottom w:w="85" w:type="dxa"/>
            </w:tcMar>
          </w:tcPr>
          <w:p>
            <w:pPr>
              <w:spacing w:after="0"/>
              <w:jc w:val="left"/>
              <w:rPr>
                <w:noProof/>
                <w:sz w:val="20"/>
              </w:rPr>
            </w:pPr>
            <w:r>
              <w:rPr>
                <w:noProof/>
                <w:sz w:val="20"/>
              </w:rPr>
              <w:t>COM(2018) 384 final.</w:t>
            </w:r>
            <w:r>
              <w:rPr>
                <w:noProof/>
                <w:sz w:val="20"/>
              </w:rPr>
              <w:br/>
              <w:t>2018/0208 (COD)</w:t>
            </w:r>
            <w:r>
              <w:rPr>
                <w:noProof/>
                <w:sz w:val="20"/>
              </w:rPr>
              <w:br/>
              <w:t>30. 5. 2018</w:t>
            </w:r>
          </w:p>
        </w:tc>
      </w:tr>
    </w:tbl>
    <w:p>
      <w:pPr>
        <w:spacing w:after="0"/>
        <w:rPr>
          <w:noProof/>
          <w:sz w:val="20"/>
        </w:rPr>
      </w:pPr>
      <w:r>
        <w:rPr>
          <w:noProof/>
        </w:rPr>
        <w:br w:type="textWrapping" w:clear="all"/>
      </w:r>
      <w:r>
        <w:rPr>
          <w:noProof/>
        </w:rPr>
        <w:br w:type="page"/>
      </w:r>
    </w:p>
    <w:p>
      <w:pPr>
        <w:spacing w:after="600"/>
        <w:jc w:val="center"/>
        <w:rPr>
          <w:b/>
          <w:noProof/>
          <w:sz w:val="28"/>
          <w:szCs w:val="28"/>
          <w:u w:val="single"/>
        </w:rPr>
      </w:pPr>
      <w:r>
        <w:rPr>
          <w:b/>
          <w:bCs/>
          <w:noProof/>
          <w:sz w:val="28"/>
          <w:szCs w:val="28"/>
          <w:u w:val="single"/>
        </w:rPr>
        <w:t>Príloha IV: Späťvzaté právne predpisy</w:t>
      </w:r>
      <w:r>
        <w:rPr>
          <w:rStyle w:val="FootnoteReference"/>
          <w:b/>
          <w:bCs/>
          <w:noProof/>
          <w:sz w:val="28"/>
          <w:szCs w:val="28"/>
          <w:u w:val="single"/>
        </w:rPr>
        <w:footnoteReference w:id="5"/>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2067"/>
        <w:gridCol w:w="7836"/>
        <w:gridCol w:w="4413"/>
      </w:tblGrid>
      <w:tr>
        <w:trPr>
          <w:cantSplit/>
          <w:tblHeader/>
        </w:trPr>
        <w:tc>
          <w:tcPr>
            <w:tcW w:w="511" w:type="dxa"/>
            <w:tcBorders>
              <w:top w:val="single" w:sz="4" w:space="0" w:color="auto"/>
              <w:left w:val="single" w:sz="4" w:space="0" w:color="auto"/>
              <w:bottom w:val="single" w:sz="4" w:space="0" w:color="auto"/>
              <w:right w:val="nil"/>
            </w:tcBorders>
            <w:shd w:val="clear" w:color="auto" w:fill="99CCFF"/>
            <w:tcMar>
              <w:top w:w="85" w:type="dxa"/>
              <w:bottom w:w="85" w:type="dxa"/>
              <w:right w:w="85" w:type="dxa"/>
            </w:tcMar>
          </w:tcPr>
          <w:p>
            <w:pPr>
              <w:spacing w:before="60" w:after="60"/>
              <w:rPr>
                <w:b/>
                <w:bCs/>
                <w:noProof/>
                <w:sz w:val="20"/>
              </w:rPr>
            </w:pPr>
            <w:r>
              <w:rPr>
                <w:b/>
                <w:bCs/>
                <w:noProof/>
                <w:sz w:val="20"/>
              </w:rPr>
              <w:t>Č.</w:t>
            </w:r>
          </w:p>
        </w:tc>
        <w:tc>
          <w:tcPr>
            <w:tcW w:w="2067"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Odkazy</w:t>
            </w:r>
          </w:p>
        </w:tc>
        <w:tc>
          <w:tcPr>
            <w:tcW w:w="7836"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Názov</w:t>
            </w:r>
          </w:p>
        </w:tc>
        <w:tc>
          <w:tcPr>
            <w:tcW w:w="4413"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Dôvod stiahnutia</w:t>
            </w:r>
          </w:p>
        </w:tc>
      </w:tr>
      <w:tr>
        <w:trPr>
          <w:cantSplit/>
        </w:trPr>
        <w:tc>
          <w:tcPr>
            <w:tcW w:w="14827" w:type="dxa"/>
            <w:gridSpan w:val="4"/>
            <w:tcBorders>
              <w:top w:val="single" w:sz="4" w:space="0" w:color="auto"/>
              <w:left w:val="single" w:sz="4" w:space="0" w:color="auto"/>
              <w:bottom w:val="single" w:sz="4" w:space="0" w:color="auto"/>
            </w:tcBorders>
            <w:shd w:val="clear" w:color="auto" w:fill="9ACA3C" w:themeFill="accent1"/>
            <w:tcMar>
              <w:top w:w="85" w:type="dxa"/>
              <w:bottom w:w="85" w:type="dxa"/>
              <w:right w:w="85" w:type="dxa"/>
            </w:tcMar>
          </w:tcPr>
          <w:p>
            <w:pPr>
              <w:keepNext/>
              <w:spacing w:before="60" w:after="60"/>
              <w:rPr>
                <w:noProof/>
                <w:sz w:val="20"/>
              </w:rPr>
            </w:pPr>
            <w:r>
              <w:rPr>
                <w:b/>
                <w:bCs/>
                <w:noProof/>
                <w:color w:val="FFFFFF" w:themeColor="background1"/>
                <w:sz w:val="20"/>
              </w:rPr>
              <w:t>Európsky ekologický dohovor</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826 final.</w:t>
            </w:r>
          </w:p>
          <w:p>
            <w:pPr>
              <w:spacing w:after="0"/>
              <w:rPr>
                <w:noProof/>
                <w:sz w:val="20"/>
              </w:rPr>
            </w:pPr>
            <w:r>
              <w:rPr>
                <w:noProof/>
                <w:sz w:val="20"/>
              </w:rPr>
              <w:t>2017/0336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pokiaľ ide o podporu štrukturálnych reforiem v členských štátoch</w:t>
            </w:r>
          </w:p>
        </w:tc>
        <w:tc>
          <w:tcPr>
            <w:tcW w:w="4413" w:type="dxa"/>
            <w:tcMar>
              <w:top w:w="85" w:type="dxa"/>
              <w:bottom w:w="85" w:type="dxa"/>
              <w:right w:w="108" w:type="dxa"/>
            </w:tcMar>
          </w:tcPr>
          <w:p>
            <w:pPr>
              <w:spacing w:after="0"/>
              <w:jc w:val="left"/>
              <w:rPr>
                <w:noProof/>
                <w:sz w:val="20"/>
              </w:rPr>
            </w:pPr>
            <w:r>
              <w:rPr>
                <w:noProof/>
                <w:sz w:val="20"/>
              </w:rPr>
              <w:t>Zastarané: návrh sa vzťahuje na rozpočtové obdobie 2014 – 2020 a v súčasnosti už nie je potrebný.</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97 final.</w:t>
            </w:r>
            <w:r>
              <w:rPr>
                <w:noProof/>
                <w:sz w:val="20"/>
              </w:rPr>
              <w:br/>
              <w:t>2017/0043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stanovuje viacročný plán pre populácie malých pelagických druhov v Jadranskom mori a rybolov týchto druhov</w:t>
            </w:r>
          </w:p>
        </w:tc>
        <w:tc>
          <w:tcPr>
            <w:tcW w:w="4413" w:type="dxa"/>
            <w:tcMar>
              <w:top w:w="85" w:type="dxa"/>
              <w:bottom w:w="85" w:type="dxa"/>
              <w:right w:w="108" w:type="dxa"/>
            </w:tcMar>
          </w:tcPr>
          <w:p>
            <w:pPr>
              <w:spacing w:after="0"/>
              <w:jc w:val="left"/>
              <w:rPr>
                <w:noProof/>
                <w:sz w:val="20"/>
              </w:rPr>
            </w:pPr>
            <w:r>
              <w:rPr>
                <w:noProof/>
                <w:sz w:val="20"/>
              </w:rPr>
              <w:t>Žiadne vyhliadky na dosiahnutie dohody: rozsah pôsobnosti návrhu čiastočne pokryli medzinárodné dohody a niekoľko navrhnutých zmien zasahuje do návrhu do tej miery, že bránia v dosiahnutí jeho cieľov.</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COM(2014) 265 final.</w:t>
            </w:r>
            <w:r>
              <w:rPr>
                <w:noProof/>
                <w:sz w:val="20"/>
              </w:rPr>
              <w:br/>
              <w:t>2014/0138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stanovuje zákaz používania unášaných sietí a ktorým sa menia nariadenia Rady (ES) č. 850/98, (ES) č. 812/2004, (ES) č. 2187/2005 a (ES) č. 1967/2006 a zrušuje nariadenie Rady (ES) č. 894/97</w:t>
            </w:r>
          </w:p>
        </w:tc>
        <w:tc>
          <w:tcPr>
            <w:tcW w:w="4413" w:type="dxa"/>
            <w:tcMar>
              <w:top w:w="85" w:type="dxa"/>
              <w:bottom w:w="85" w:type="dxa"/>
              <w:right w:w="108" w:type="dxa"/>
            </w:tcMar>
          </w:tcPr>
          <w:p>
            <w:pPr>
              <w:spacing w:after="0"/>
              <w:jc w:val="left"/>
              <w:rPr>
                <w:noProof/>
                <w:sz w:val="20"/>
              </w:rPr>
            </w:pPr>
            <w:r>
              <w:rPr>
                <w:noProof/>
                <w:sz w:val="20"/>
              </w:rPr>
              <w:t xml:space="preserve">Zastarané: niekoľko prvkov pokrylo nové nariadenie o technických opatreniach [nariadenie (EÚ) 2019/1241 o zachovaní rybolovných zdrojov a ochrane morských ekosystémov prostredníctvom technických opatrení]. Navyše spoluzákonodarcovia nedosiahli niekoľko rokov žiadny pokrok.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COM(2012) 332 final.</w:t>
            </w:r>
            <w:r>
              <w:rPr>
                <w:noProof/>
                <w:sz w:val="20"/>
              </w:rPr>
              <w:br/>
              <w:t>2012/0162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a dopĺňa nariadenie Rady (ES) č. 1005/2008, ktorým sa ustanovuje systém Spoločenstva na zabraňovanie nezákonnému, nenahlásenému a neregulovanému rybolovu, na odrádzanie od neho a jeho odstránenie</w:t>
            </w:r>
          </w:p>
        </w:tc>
        <w:tc>
          <w:tcPr>
            <w:tcW w:w="4413" w:type="dxa"/>
            <w:tcMar>
              <w:top w:w="85" w:type="dxa"/>
              <w:bottom w:w="85" w:type="dxa"/>
              <w:right w:w="108" w:type="dxa"/>
            </w:tcMar>
          </w:tcPr>
          <w:p>
            <w:pPr>
              <w:spacing w:after="0"/>
              <w:jc w:val="left"/>
              <w:rPr>
                <w:noProof/>
                <w:sz w:val="20"/>
              </w:rPr>
            </w:pPr>
            <w:r>
              <w:rPr>
                <w:noProof/>
                <w:sz w:val="20"/>
              </w:rPr>
              <w:t>Zastarané: hlavné prvky tohto návrhu medzičasom pokryli iné návrhy [napr. návrh Komisie na nové nariadenie o kontrole rybolovu, COM(2018) 368], ktoré už boli prijaté alebo sú predmetom rokovaní.</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COM(2012) 413 final.</w:t>
            </w:r>
            <w:r>
              <w:rPr>
                <w:noProof/>
                <w:sz w:val="20"/>
              </w:rPr>
              <w:br/>
              <w:t>2012/0201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a dopĺňa nariadenie Rady (ES) č. 1100/2007, ktorým sa ustanovujú opatrenia na obnovu populácie úhora európskeho</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od roku 2012 sa stav populácie úhora zmenil: Medzičasom pokryli hlavné prvky tohto návrhu iné právne predpisy, napr. tie, ktoré stanovujú rybolovné možnosti v podobe ročného celkového povoleného výlovu a kvót.</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COM(2012) 432 final.</w:t>
            </w:r>
            <w:r>
              <w:rPr>
                <w:noProof/>
                <w:sz w:val="20"/>
              </w:rPr>
              <w:br/>
              <w:t>2012/0208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a dopĺňa nariadenie Rady (ES) č. 850/98 o zachovaní zdrojov rybolovu prostredníctvom technických opatrení na ochranu mláďat morských organizmov</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 xml:space="preserve">Zastarané: niekoľko prvkov pokrylo nové nariadenie o technických opatreniach [nariadenie (EÚ) 2019/1241 o zachovaní rybolovných zdrojov a ochrane morských ekosystémov prostredníctvom technických opatrení].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rPr>
                <w:noProof/>
                <w:sz w:val="20"/>
              </w:rPr>
            </w:pPr>
            <w:r>
              <w:rPr>
                <w:noProof/>
                <w:sz w:val="20"/>
              </w:rPr>
              <w:t>KOM(2011) 470 v konečnom znení.</w:t>
            </w:r>
            <w:r>
              <w:rPr>
                <w:noProof/>
                <w:sz w:val="20"/>
              </w:rPr>
              <w:br/>
              <w:t>2011/0206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NARIADENIE EURÓPSKEHO PARLAMENTU A RADY, ktorým sa ustanovuje viacročný plán pre populáciu lososa obyčajného v Baltskom mori a pre rybolov zameraný na túto populáciu rýb</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medzičasom bol pre Baltické more prijatý celkový viacročný plán [nariadenie (EÚ) 2016/1139, ktorým sa ustanovuje viacročný plán pre populácie tresky škvrnitej, sleďa atlantického a šproty severnej v Baltskom mori a pre rybolov využívajúci tieto populácie].</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KOM(2011) 479 v konečnom znení.</w:t>
            </w:r>
            <w:r>
              <w:rPr>
                <w:noProof/>
                <w:sz w:val="20"/>
              </w:rPr>
              <w:br/>
              <w:t>2011/0218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a dopĺňa nariadenie Rady (ES) č. 1967/2006 o riadiacich opatreniach pre trvalo udržateľné využívanie zdrojov rybného hospodárstva v Stredozemnom mori</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medzičasom pokryli hlavné prvky tohto návrhu iné právne predpisy,</w:t>
            </w:r>
            <w:r>
              <w:rPr>
                <w:noProof/>
              </w:rPr>
              <w:t xml:space="preserve"> </w:t>
            </w:r>
            <w:r>
              <w:rPr>
                <w:noProof/>
                <w:sz w:val="20"/>
              </w:rPr>
              <w:t xml:space="preserve">napr. nariadenie Európskeho parlamentu a Rady (EÚ) 2019/1022, ktorým sa ustanovuje viacročný plán pre rybolov populácií žijúcich pri morskom dne v západnej časti Stredozemného mora a ktorým sa mení nariadenie (EÚ) č. 508/2014.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892 final.</w:t>
            </w:r>
            <w:r>
              <w:rPr>
                <w:noProof/>
                <w:sz w:val="20"/>
              </w:rPr>
              <w:br/>
              <w:t>2013/0433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SMERNICA EURÓPSKEHO PARLAMENTU A RADY o klonovaní hovädzieho dobytka, ošípaných, oviec, kôz a koní chovaných a rozmnožovaných na hospodárske účely</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Žiadne vyhliadky na dosiahnutie dohody: od roku 2015 nedosiahli spoluzákonodarcovia žiadny pokrok a ani do budúcna to nie je pravdepodobné.</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893 final.</w:t>
            </w:r>
            <w:r>
              <w:rPr>
                <w:noProof/>
                <w:sz w:val="20"/>
              </w:rPr>
              <w:br/>
              <w:t>2013/0434 (APP)</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SMERNICA RADY o uvádzaní potravín z klonov zvierat na trh</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Žiadne vyhliadky na dosiahnutie dohody: od roku 2015 nedosiahli spoluzákonodarcovia žiadny pokrok a ani do budúcna to nie je pravdepodobné.</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COM(2017) 648 final.</w:t>
            </w:r>
            <w:r>
              <w:rPr>
                <w:noProof/>
                <w:sz w:val="20"/>
              </w:rPr>
              <w:br/>
              <w:t>2017/0290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SMERNICA EURÓPSKEHO PARLAMENTU A RADY, ktorou sa mení smernica 92/106/EHS o stanovení spoločných pravidiel pre určité typy kombinovanej dopravy tovaru medzi členskými štátmi</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Žiadne vyhliadky na dosiahnutie dohody: niekoľko navrhnutých zmien zasahuje do návrhu do tej miery, že bránia v dosiahnutí jeho cieľov. Okrem toho keďže v zmysle Európskeho ekologického dohovoru treba zvýšiť podiel udržateľných druhov dopravy na celkovej doprave, vyžaduje si to silnejšiu podporu multimodálnych riešení, a preto je súčasný návrh nedostatočný.</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COM(2013) 20 final.</w:t>
            </w:r>
            <w:r>
              <w:rPr>
                <w:noProof/>
                <w:sz w:val="20"/>
              </w:rPr>
              <w:br/>
              <w:t>2013/0011 (NLE)</w:t>
            </w:r>
            <w:r>
              <w:rPr>
                <w:noProof/>
                <w:sz w:val="20"/>
              </w:rPr>
              <w:br/>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ROZHODNUTIE RADY o predložení žiadostí v mene Európskej únie týkajúcich sa nových položiek v prílohe VIII alebo IX k Bazilejskému dohovoru o riadení pohybov nebezpečných odpadov cez hranice štátov a ich zneškodňovaní</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návrh nebol prijatý pred stretnutím, na ktoré bol určený.</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COM(2018) 731 final.</w:t>
            </w:r>
            <w:r>
              <w:rPr>
                <w:noProof/>
                <w:sz w:val="20"/>
              </w:rPr>
              <w:br/>
              <w:t>2018/0379 (NLE)</w:t>
            </w:r>
            <w:r>
              <w:rPr>
                <w:noProof/>
                <w:sz w:val="20"/>
              </w:rPr>
              <w:br/>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Návrh ROZHODNUTIE RADY o pozícii, ktorá sa má zaujať v mene Európskej únie na tridsiatom ôsmom zasadnutí Stáleho výboru pre Dohovor o ochrane európskych voľne žijúcich organizmov a prírodných stanovíšť, so zreteľom na zmeny prílohy II a III</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 xml:space="preserve">Zastarané: návrh nebol prijatý pred stretnutím, na ktoré bol určený.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COM(2019) 494 final.</w:t>
            </w:r>
            <w:r>
              <w:rPr>
                <w:noProof/>
                <w:sz w:val="20"/>
              </w:rPr>
              <w:br/>
              <w:t>2019/0241 (NLE)</w:t>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Návrh ROZHODNUTIE RADY o pozícii, ktorá sa má zaujať v mene Európskej únie na tridsiatom deviatom zasadnutí stáleho výboru Dohovoru o ochrane európskych voľne žijúcich organizmov a prírodných stanovíšť v súvislosti so zmenami prílohy II a prílohy III k uvedenému dohovoru</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návrh nebol prijatý pred stretnutím, na ktoré bol určený.</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KOM(2009) 585 v konečnom znení.</w:t>
            </w:r>
            <w:r>
              <w:rPr>
                <w:noProof/>
                <w:sz w:val="20"/>
              </w:rPr>
              <w:br/>
              <w:t>26. 10. 2009</w:t>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Návrh rozhodnutia Rady, ktorým sa ustanovuje pozícia, ktorá sa má v mene Európskeho spoločenstva zaujať, pokiaľ ide o návrhy na zmenu a doplnenie príloh II a III k protokolu týkajúcemu sa osobitne chránených oblastí a biologickej diverzity v Stredozemnom mori k Dohovoru o ochrane morského prostredia a pobrežných oblastí Stredozemného mora (Barcelonský dohovor) na šestnástom zasadnutí zmluvných strán</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návrh nebol prijatý pred stretnutím, na ktoré bol určený.</w:t>
            </w:r>
          </w:p>
        </w:tc>
      </w:tr>
      <w:tr>
        <w:trPr>
          <w:cantSplit/>
        </w:trPr>
        <w:tc>
          <w:tcPr>
            <w:tcW w:w="14827" w:type="dxa"/>
            <w:gridSpan w:val="4"/>
            <w:shd w:val="clear" w:color="auto" w:fill="18BAA8" w:themeFill="accent2"/>
            <w:tcMar>
              <w:top w:w="85" w:type="dxa"/>
              <w:bottom w:w="85" w:type="dxa"/>
              <w:right w:w="85" w:type="dxa"/>
            </w:tcMar>
          </w:tcPr>
          <w:p>
            <w:pPr>
              <w:keepNext/>
              <w:spacing w:before="60" w:after="60"/>
              <w:rPr>
                <w:noProof/>
                <w:sz w:val="20"/>
              </w:rPr>
            </w:pPr>
            <w:r>
              <w:rPr>
                <w:b/>
                <w:bCs/>
                <w:noProof/>
                <w:color w:val="FFFFFF" w:themeColor="background1"/>
                <w:sz w:val="20"/>
              </w:rPr>
              <w:t>Európa pripravená na digitálny vek</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COM(2017) 257 final.</w:t>
            </w:r>
            <w:r>
              <w:rPr>
                <w:noProof/>
                <w:sz w:val="20"/>
              </w:rPr>
              <w:br/>
              <w:t>2017/0087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o stanovení podmienok a postupu, na základe ktorých môže Komisia požiadať podniky a združenia podnikov o poskytnutie informácií týkajúcich sa vnútorného trhu a súvisiacich oblastí</w:t>
            </w:r>
          </w:p>
        </w:tc>
        <w:tc>
          <w:tcPr>
            <w:tcW w:w="4413" w:type="dxa"/>
            <w:tcMar>
              <w:top w:w="85" w:type="dxa"/>
              <w:bottom w:w="85" w:type="dxa"/>
              <w:right w:w="108" w:type="dxa"/>
            </w:tcMar>
          </w:tcPr>
          <w:p>
            <w:pPr>
              <w:spacing w:after="0"/>
              <w:jc w:val="left"/>
              <w:rPr>
                <w:noProof/>
                <w:sz w:val="20"/>
                <w:highlight w:val="yellow"/>
              </w:rPr>
            </w:pPr>
            <w:r>
              <w:rPr>
                <w:noProof/>
                <w:sz w:val="20"/>
              </w:rPr>
              <w:t xml:space="preserve">Žiadne vyhliadky na dosiahnutie dohody: diskusie v Rade sa od marca 2018 zastavili.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COM(2014) 28 final.</w:t>
            </w:r>
            <w:r>
              <w:rPr>
                <w:noProof/>
                <w:sz w:val="20"/>
              </w:rPr>
              <w:br/>
              <w:t>2014/0012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nariadenie (ES) č. 715/2007 a nariadenie (ES) č. 595/2009, pokiaľ ide o zníženie emisií znečisťujúcich látok z cestných vozidiel</w:t>
            </w:r>
          </w:p>
        </w:tc>
        <w:tc>
          <w:tcPr>
            <w:tcW w:w="4413" w:type="dxa"/>
            <w:tcMar>
              <w:top w:w="85" w:type="dxa"/>
              <w:bottom w:w="85" w:type="dxa"/>
              <w:right w:w="108" w:type="dxa"/>
            </w:tcMar>
          </w:tcPr>
          <w:p>
            <w:pPr>
              <w:spacing w:after="0"/>
              <w:jc w:val="left"/>
              <w:rPr>
                <w:noProof/>
                <w:sz w:val="20"/>
              </w:rPr>
            </w:pPr>
            <w:r>
              <w:rPr>
                <w:noProof/>
                <w:sz w:val="20"/>
              </w:rPr>
              <w:t>Zastarané: obsah návrhu prevažne pokryli iné súbory právnych predpisov (napr. ustanovenia zamerané na informácie o opravách a údržbe upravené v nariadení 2018/858), ktoré boli medzičasom prijaté alebo ktoré ešte neboli schválené [COM(2019) 208 – ešte neschválené]. Očakáva sa, že niektoré ďalšie aspekty komplexnejšie pokryje nový návrh o emisných normách EURO 7.</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75 final.</w:t>
            </w:r>
            <w:r>
              <w:rPr>
                <w:noProof/>
                <w:sz w:val="20"/>
              </w:rPr>
              <w:br/>
              <w:t>2013/0048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Návrh NARIADENIE EURÓPSKEHO PARLAMENTU A RADY o dohľade nad trhom výrobkov, ktorým sa menia smernice Rady 89/686/EHS a 93/15/EHS, ako aj smernice 94/9/ES, 94/25/ES, 95/16/ES, 97/23/ES, 1999/5/ES, 2000/9/ES, 2000/14/ES, 2001/95/ES, 2004/108/ES, 2006/42/ES, 2006/95/ES, 2007/23/ES, 2008/57/ES, 2009/48/ES, 2009/105/ES 2009/142/ES 2011/65/EÚ, nariadenie Európskeho parlamentu a Rady (EÚ) č. 305/2011, nariadenie Európskeho parlamentu a Rady (ES) č. 764/2008 a nariadenie Európskeho parlamentu a Rady (ES) č. 765/2008.</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prijatím nariadenia o dohľade nad trhom a presadzovaní práva [nariadenie (EÚ) 2019/1020] sa tento návrh stal zastaraným a nadbytočným.</w:t>
            </w:r>
          </w:p>
        </w:tc>
      </w:tr>
      <w:tr>
        <w:trPr>
          <w:cantSplit/>
        </w:trPr>
        <w:tc>
          <w:tcPr>
            <w:tcW w:w="14827" w:type="dxa"/>
            <w:gridSpan w:val="4"/>
            <w:shd w:val="clear" w:color="auto" w:fill="F68A42" w:themeFill="accent3"/>
            <w:tcMar>
              <w:top w:w="85" w:type="dxa"/>
              <w:bottom w:w="85" w:type="dxa"/>
              <w:right w:w="85" w:type="dxa"/>
            </w:tcMar>
          </w:tcPr>
          <w:p>
            <w:pPr>
              <w:keepNext/>
              <w:spacing w:before="60" w:after="60"/>
              <w:jc w:val="left"/>
              <w:rPr>
                <w:noProof/>
                <w:sz w:val="20"/>
              </w:rPr>
            </w:pPr>
            <w:r>
              <w:rPr>
                <w:b/>
                <w:bCs/>
                <w:noProof/>
                <w:color w:val="FFFFFF" w:themeColor="background1"/>
                <w:sz w:val="20"/>
              </w:rPr>
              <w:t>Hospodárstvo, ktoré pracuje v prospech ľudí</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COM(2013) 342 final.</w:t>
            </w:r>
            <w:r>
              <w:rPr>
                <w:noProof/>
                <w:sz w:val="20"/>
              </w:rPr>
              <w:br/>
              <w:t>2013/0181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o poskytovaní a kvalite štatistík pre postup pri makroekonomickej nerovnováhe</w:t>
            </w:r>
          </w:p>
        </w:tc>
        <w:tc>
          <w:tcPr>
            <w:tcW w:w="4413" w:type="dxa"/>
            <w:tcMar>
              <w:top w:w="85" w:type="dxa"/>
              <w:bottom w:w="85" w:type="dxa"/>
              <w:right w:w="108" w:type="dxa"/>
            </w:tcMar>
          </w:tcPr>
          <w:p>
            <w:pPr>
              <w:spacing w:after="0"/>
              <w:jc w:val="left"/>
              <w:rPr>
                <w:noProof/>
                <w:sz w:val="20"/>
              </w:rPr>
            </w:pPr>
            <w:r>
              <w:rPr>
                <w:noProof/>
                <w:sz w:val="20"/>
              </w:rPr>
              <w:t>Zastarané: ciele v oblasti zabezpečovania kvality štatistík prevažne pokrylo Memorandum o porozumení medzi Eurostatom a Generálnym riaditeľstvom pre štatistiku Európskej centrálnej banky v záujme zabezpečenia kvality štatistík, ktoré slúžia ako podklady pre postup pri makroekonomickej nerovnováhe (2016). Otázka zabezpečenia kvality štatistík používaných v rámci postupu pri makroekonomickej nerovnováhe (PMN) je súčasťou prebiehajúceho preskúmavania správy hospodárskych záležitostí.</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COM(2013) 884 final.</w:t>
            </w:r>
            <w:r>
              <w:rPr>
                <w:noProof/>
                <w:sz w:val="20"/>
              </w:rPr>
              <w:br/>
              <w:t>2013/0432 (COD)</w:t>
            </w:r>
          </w:p>
        </w:tc>
        <w:tc>
          <w:tcPr>
            <w:tcW w:w="7836" w:type="dxa"/>
            <w:shd w:val="clear" w:color="auto" w:fill="auto"/>
            <w:tcMar>
              <w:top w:w="85" w:type="dxa"/>
              <w:bottom w:w="85" w:type="dxa"/>
              <w:right w:w="108" w:type="dxa"/>
            </w:tcMar>
          </w:tcPr>
          <w:p>
            <w:pPr>
              <w:spacing w:after="0"/>
              <w:rPr>
                <w:noProof/>
                <w:sz w:val="20"/>
              </w:rPr>
            </w:pPr>
            <w:r>
              <w:rPr>
                <w:noProof/>
                <w:sz w:val="20"/>
              </w:rPr>
              <w:t>Návrh SMERNICA EURÓPSKEHO PARLAMENTU A RADY o právnom rámci Únie pre porušenia colných predpisov a sankcie</w:t>
            </w:r>
          </w:p>
        </w:tc>
        <w:tc>
          <w:tcPr>
            <w:tcW w:w="4413" w:type="dxa"/>
            <w:tcMar>
              <w:top w:w="85" w:type="dxa"/>
              <w:bottom w:w="85" w:type="dxa"/>
              <w:right w:w="108" w:type="dxa"/>
            </w:tcMar>
          </w:tcPr>
          <w:p>
            <w:pPr>
              <w:spacing w:after="0"/>
              <w:jc w:val="left"/>
              <w:rPr>
                <w:noProof/>
                <w:sz w:val="20"/>
              </w:rPr>
            </w:pPr>
            <w:r>
              <w:rPr>
                <w:noProof/>
                <w:sz w:val="20"/>
              </w:rPr>
              <w:t>Žiadne vyhliadky na dosiahnutie dohody: návrh nahradí nová iniciatíva zameraná na posilnenie presadzovania colných predpisov v kontexte akčného plánu pre colnú úniu, na ktorý sa odkazuje v prílohe 1 k tomuto pracovnému programu komisie.</w:t>
            </w:r>
          </w:p>
        </w:tc>
      </w:tr>
      <w:tr>
        <w:trPr>
          <w:cantSplit/>
        </w:trPr>
        <w:tc>
          <w:tcPr>
            <w:tcW w:w="14827" w:type="dxa"/>
            <w:gridSpan w:val="4"/>
            <w:shd w:val="clear" w:color="auto" w:fill="585EAA" w:themeFill="accent4"/>
            <w:tcMar>
              <w:top w:w="85" w:type="dxa"/>
              <w:bottom w:w="85" w:type="dxa"/>
              <w:right w:w="85" w:type="dxa"/>
            </w:tcMar>
          </w:tcPr>
          <w:p>
            <w:pPr>
              <w:keepNext/>
              <w:spacing w:before="60" w:after="60"/>
              <w:rPr>
                <w:noProof/>
                <w:sz w:val="20"/>
              </w:rPr>
            </w:pPr>
            <w:r>
              <w:rPr>
                <w:b/>
                <w:bCs/>
                <w:noProof/>
                <w:color w:val="FFFFFF" w:themeColor="background1"/>
                <w:sz w:val="20"/>
              </w:rPr>
              <w:t>Silnejšia Európa vo svete</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KOM(2009) 65-2 final.</w:t>
            </w:r>
            <w:r>
              <w:rPr>
                <w:noProof/>
                <w:sz w:val="20"/>
              </w:rPr>
              <w:br/>
              <w:t>2009/0019 (APP)</w:t>
            </w:r>
          </w:p>
        </w:tc>
        <w:tc>
          <w:tcPr>
            <w:tcW w:w="7836" w:type="dxa"/>
            <w:shd w:val="clear" w:color="auto" w:fill="auto"/>
            <w:tcMar>
              <w:top w:w="85" w:type="dxa"/>
              <w:bottom w:w="85" w:type="dxa"/>
              <w:right w:w="108" w:type="dxa"/>
            </w:tcMar>
          </w:tcPr>
          <w:p>
            <w:pPr>
              <w:spacing w:after="0"/>
              <w:rPr>
                <w:noProof/>
                <w:sz w:val="20"/>
              </w:rPr>
            </w:pPr>
            <w:r>
              <w:rPr>
                <w:noProof/>
                <w:sz w:val="20"/>
              </w:rPr>
              <w:t>Návrh rozhodnutia Rady o uzavretí dohody medzi Európskym spoločenstvom a Kórejskou republikou o určitých aspektoch leteckých služieb</w:t>
            </w:r>
          </w:p>
        </w:tc>
        <w:tc>
          <w:tcPr>
            <w:tcW w:w="4413" w:type="dxa"/>
            <w:tcMar>
              <w:top w:w="85" w:type="dxa"/>
              <w:bottom w:w="85" w:type="dxa"/>
              <w:right w:w="108" w:type="dxa"/>
            </w:tcMar>
          </w:tcPr>
          <w:p>
            <w:pPr>
              <w:spacing w:after="0"/>
              <w:jc w:val="left"/>
              <w:rPr>
                <w:noProof/>
                <w:sz w:val="20"/>
              </w:rPr>
            </w:pPr>
            <w:r>
              <w:rPr>
                <w:noProof/>
                <w:sz w:val="20"/>
              </w:rPr>
              <w:t>Zastarané: tento návrh Komisia nahradila novým návrhom rozhodnutia Rady [COM(2019) 92].</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COM(2013) 243 final.</w:t>
            </w:r>
            <w:r>
              <w:rPr>
                <w:noProof/>
                <w:sz w:val="20"/>
              </w:rPr>
              <w:br/>
              <w:t>2013/0129 (NLE)</w:t>
            </w:r>
          </w:p>
        </w:tc>
        <w:tc>
          <w:tcPr>
            <w:tcW w:w="7836" w:type="dxa"/>
            <w:shd w:val="clear" w:color="auto" w:fill="auto"/>
            <w:tcMar>
              <w:top w:w="85" w:type="dxa"/>
              <w:bottom w:w="85" w:type="dxa"/>
              <w:right w:w="108" w:type="dxa"/>
            </w:tcMar>
          </w:tcPr>
          <w:p>
            <w:pPr>
              <w:spacing w:after="0"/>
              <w:rPr>
                <w:noProof/>
                <w:sz w:val="20"/>
              </w:rPr>
            </w:pPr>
            <w:r>
              <w:rPr>
                <w:noProof/>
                <w:sz w:val="20"/>
              </w:rPr>
              <w:t>Návrh ROZHODNUTIE RADY, ktorým sa určuje pozícia, ktorú má Európska únia zaujať, pokiaľ ide o určité rezolúcie, o ktorých sa má hlasovať v rámci Medzinárodnej organizácie pre vinič a víno (OIV)</w:t>
            </w:r>
          </w:p>
        </w:tc>
        <w:tc>
          <w:tcPr>
            <w:tcW w:w="4413" w:type="dxa"/>
            <w:tcMar>
              <w:top w:w="85" w:type="dxa"/>
              <w:bottom w:w="85" w:type="dxa"/>
              <w:right w:w="108" w:type="dxa"/>
            </w:tcMar>
          </w:tcPr>
          <w:p>
            <w:pPr>
              <w:spacing w:after="0"/>
              <w:jc w:val="left"/>
              <w:rPr>
                <w:noProof/>
                <w:sz w:val="20"/>
              </w:rPr>
            </w:pPr>
            <w:r>
              <w:rPr>
                <w:noProof/>
                <w:sz w:val="20"/>
              </w:rPr>
              <w:t>Zastarané: návrh nebol prijatý pred stretnutím, na ktoré bol určený.</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COM(2015) 18 final.</w:t>
            </w:r>
            <w:r>
              <w:rPr>
                <w:noProof/>
                <w:sz w:val="20"/>
              </w:rPr>
              <w:br/>
              <w:t>2015/0011 (NLE)</w:t>
            </w:r>
          </w:p>
        </w:tc>
        <w:tc>
          <w:tcPr>
            <w:tcW w:w="7836" w:type="dxa"/>
            <w:shd w:val="clear" w:color="auto" w:fill="auto"/>
            <w:tcMar>
              <w:top w:w="85" w:type="dxa"/>
              <w:bottom w:w="85" w:type="dxa"/>
              <w:right w:w="108" w:type="dxa"/>
            </w:tcMar>
          </w:tcPr>
          <w:p>
            <w:pPr>
              <w:spacing w:after="0"/>
              <w:rPr>
                <w:noProof/>
                <w:sz w:val="20"/>
              </w:rPr>
            </w:pPr>
            <w:r>
              <w:rPr>
                <w:noProof/>
                <w:sz w:val="20"/>
              </w:rPr>
              <w:t>Návrh ROZHODNUTIE RADY o pozícii, ktorá sa má prijať v mene Európskej únie v Spoločnom výbore EHP k zmene rokovacieho poriadku Spoločného výboru EHP (rozšírenie o Chorvátsko)</w:t>
            </w:r>
          </w:p>
        </w:tc>
        <w:tc>
          <w:tcPr>
            <w:tcW w:w="4413" w:type="dxa"/>
            <w:tcMar>
              <w:top w:w="85" w:type="dxa"/>
              <w:bottom w:w="85" w:type="dxa"/>
              <w:right w:w="108" w:type="dxa"/>
            </w:tcMar>
          </w:tcPr>
          <w:p>
            <w:pPr>
              <w:spacing w:after="0"/>
              <w:jc w:val="left"/>
              <w:rPr>
                <w:noProof/>
                <w:sz w:val="20"/>
              </w:rPr>
            </w:pPr>
            <w:r>
              <w:rPr>
                <w:noProof/>
                <w:sz w:val="20"/>
              </w:rPr>
              <w:t xml:space="preserve">Zastarané: podstatu tohto návrhu pokrylo rozhodnutie Rady (EÚ) 2018/4 z 18. decembra 2017 o pozícii, ktorá sa má v mene Európskej únie prijať v Spoločnom výbore EHP k zmene rokovacieho poriadku Spoločného výboru EHP.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COM(2015) 48 final.</w:t>
            </w:r>
            <w:r>
              <w:rPr>
                <w:noProof/>
                <w:sz w:val="20"/>
              </w:rPr>
              <w:br/>
              <w:t>2015/0027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o ochrane pred účinkami exteritoriálneho uplatňovania právnych predpisov prijatých treťou krajinou a pred účinkami opatrení na nich založených alebo z nich vyplývajúcich (prepracované znenie)</w:t>
            </w:r>
          </w:p>
        </w:tc>
        <w:tc>
          <w:tcPr>
            <w:tcW w:w="4413" w:type="dxa"/>
            <w:tcMar>
              <w:top w:w="85" w:type="dxa"/>
              <w:bottom w:w="85" w:type="dxa"/>
              <w:right w:w="108" w:type="dxa"/>
            </w:tcMar>
          </w:tcPr>
          <w:p>
            <w:pPr>
              <w:spacing w:after="0"/>
              <w:jc w:val="left"/>
              <w:rPr>
                <w:noProof/>
                <w:sz w:val="20"/>
              </w:rPr>
            </w:pPr>
            <w:r>
              <w:rPr>
                <w:noProof/>
                <w:sz w:val="20"/>
              </w:rPr>
              <w:t>Žiadne vyhliadky na dosiahnutie dohody: návrh nahradí nová iniciatíva zameraná na posilnenie sankčného mechanizmu, na ktorý sa odkazuje v prílohe 1 k tomuto pracovnému programu Komisie.</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JOIN(2016) 37 final.</w:t>
            </w:r>
            <w:r>
              <w:rPr>
                <w:noProof/>
                <w:sz w:val="20"/>
              </w:rPr>
              <w:br/>
              <w:t>2016/0241 (NLE)</w:t>
            </w:r>
          </w:p>
        </w:tc>
        <w:tc>
          <w:tcPr>
            <w:tcW w:w="7836" w:type="dxa"/>
            <w:shd w:val="clear" w:color="auto" w:fill="auto"/>
            <w:tcMar>
              <w:top w:w="85" w:type="dxa"/>
              <w:bottom w:w="85" w:type="dxa"/>
              <w:right w:w="108" w:type="dxa"/>
            </w:tcMar>
          </w:tcPr>
          <w:p>
            <w:pPr>
              <w:spacing w:after="0"/>
              <w:rPr>
                <w:noProof/>
                <w:sz w:val="20"/>
              </w:rPr>
            </w:pPr>
            <w:r>
              <w:rPr>
                <w:noProof/>
                <w:sz w:val="20"/>
              </w:rPr>
              <w:t>Spoločný návrh ROZHODNUTIE RADY o podpise rámcovej dohody o partnerstve a spolupráci medzi Európskou úniou a vládou Malajzie</w:t>
            </w:r>
          </w:p>
        </w:tc>
        <w:tc>
          <w:tcPr>
            <w:tcW w:w="4413" w:type="dxa"/>
            <w:tcMar>
              <w:top w:w="85" w:type="dxa"/>
              <w:bottom w:w="85" w:type="dxa"/>
              <w:right w:w="108" w:type="dxa"/>
            </w:tcMar>
          </w:tcPr>
          <w:p>
            <w:pPr>
              <w:spacing w:after="0"/>
              <w:jc w:val="left"/>
              <w:rPr>
                <w:noProof/>
                <w:sz w:val="20"/>
              </w:rPr>
            </w:pPr>
            <w:r>
              <w:rPr>
                <w:noProof/>
                <w:sz w:val="20"/>
              </w:rPr>
              <w:t>Zastarané: tento návrh z roku 2016 sa stal zastaraným, keď Komisia v roku 2018 pripravila zrevidovaný návrh rozhodnutia Rady o podpise dohody o partnerstve a spolupráci ako zmiešanej dohody (a nie len dohody EÚ) s predbežným vykonávaním [JOIN(2018)20].</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JOIN(2016) 38</w:t>
            </w:r>
            <w:r>
              <w:rPr>
                <w:noProof/>
                <w:sz w:val="20"/>
              </w:rPr>
              <w:br/>
              <w:t>2016/0243 (NLE)</w:t>
            </w:r>
          </w:p>
        </w:tc>
        <w:tc>
          <w:tcPr>
            <w:tcW w:w="7836" w:type="dxa"/>
            <w:shd w:val="clear" w:color="auto" w:fill="auto"/>
            <w:tcMar>
              <w:top w:w="85" w:type="dxa"/>
              <w:bottom w:w="85" w:type="dxa"/>
              <w:right w:w="108" w:type="dxa"/>
            </w:tcMar>
          </w:tcPr>
          <w:p>
            <w:pPr>
              <w:spacing w:after="0"/>
              <w:rPr>
                <w:noProof/>
                <w:sz w:val="20"/>
              </w:rPr>
            </w:pPr>
            <w:r>
              <w:rPr>
                <w:noProof/>
                <w:sz w:val="20"/>
              </w:rPr>
              <w:t>Spoločný návrh ROZHODNUTIE RADY o uzavretí rámcovej dohody o partnerstve a spolupráci medzi Európskou úniou a vládou Malajzie</w:t>
            </w:r>
          </w:p>
        </w:tc>
        <w:tc>
          <w:tcPr>
            <w:tcW w:w="4413" w:type="dxa"/>
            <w:tcMar>
              <w:top w:w="85" w:type="dxa"/>
              <w:bottom w:w="85" w:type="dxa"/>
              <w:right w:w="108" w:type="dxa"/>
            </w:tcMar>
          </w:tcPr>
          <w:p>
            <w:pPr>
              <w:spacing w:after="0"/>
              <w:jc w:val="left"/>
              <w:rPr>
                <w:noProof/>
                <w:sz w:val="20"/>
              </w:rPr>
            </w:pPr>
            <w:r>
              <w:rPr>
                <w:noProof/>
                <w:sz w:val="20"/>
              </w:rPr>
              <w:t>Zastarané: vzhľadom na zrevidovaný návrh Komisie o podpise dohody o partnerstve a spolupráci [JOIN(2018)20].</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668 final.</w:t>
            </w:r>
            <w:r>
              <w:rPr>
                <w:noProof/>
                <w:sz w:val="20"/>
              </w:rPr>
              <w:br/>
              <w:t>2017/0301 (NLE)</w:t>
            </w:r>
          </w:p>
        </w:tc>
        <w:tc>
          <w:tcPr>
            <w:tcW w:w="7836" w:type="dxa"/>
            <w:shd w:val="clear" w:color="auto" w:fill="auto"/>
            <w:tcMar>
              <w:top w:w="85" w:type="dxa"/>
              <w:bottom w:w="85" w:type="dxa"/>
              <w:right w:w="108" w:type="dxa"/>
            </w:tcMar>
          </w:tcPr>
          <w:p>
            <w:pPr>
              <w:spacing w:after="0"/>
              <w:rPr>
                <w:noProof/>
                <w:sz w:val="20"/>
              </w:rPr>
            </w:pPr>
            <w:r>
              <w:rPr>
                <w:noProof/>
                <w:sz w:val="20"/>
              </w:rPr>
              <w:t>Návrh ROZHODNUTIE RADY o pozícii, ktorá sa má zaujať v mene Európskej únie na Konferencii ministrov Svetovej obchodnej organizácie, pokiaľ ide o verejné skladové hospodárstvo na účely potravinovej bezpečnosti, domácu podporu v oblasti poľnohospodárstva, ktorá narúša obchod (vrátane podpory pre bavlnu), obmedzenia vývozu v poľnohospodárstve, dotácie pre rybolov, domácu reguláciu služieb, a MSP/transparentnosť regulačných opatrení v oblasti obchodu s tovarom.</w:t>
            </w:r>
          </w:p>
        </w:tc>
        <w:tc>
          <w:tcPr>
            <w:tcW w:w="4413" w:type="dxa"/>
            <w:tcMar>
              <w:top w:w="85" w:type="dxa"/>
              <w:bottom w:w="85" w:type="dxa"/>
              <w:right w:w="108" w:type="dxa"/>
            </w:tcMar>
          </w:tcPr>
          <w:p>
            <w:pPr>
              <w:spacing w:after="0"/>
              <w:jc w:val="left"/>
              <w:rPr>
                <w:noProof/>
                <w:sz w:val="20"/>
              </w:rPr>
            </w:pPr>
            <w:r>
              <w:rPr>
                <w:noProof/>
                <w:sz w:val="20"/>
              </w:rPr>
              <w:t>Zastarané: tento návrh predbehli osude tohto návrhu rozhodli udalosti - nebol potrebný, keďže na 11. Konferencii ministrov WTO sa nenašiel konsenzus o rozhodnutiach súvisiacich s plánovaným rozvojovým programom z Dauhy.</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JOIN(2018) 20 final.</w:t>
            </w:r>
            <w:r>
              <w:rPr>
                <w:noProof/>
                <w:sz w:val="20"/>
              </w:rPr>
              <w:br/>
              <w:t>2018/0269 (NLE)</w:t>
            </w:r>
          </w:p>
        </w:tc>
        <w:tc>
          <w:tcPr>
            <w:tcW w:w="7836" w:type="dxa"/>
            <w:shd w:val="clear" w:color="auto" w:fill="auto"/>
            <w:tcMar>
              <w:top w:w="85" w:type="dxa"/>
              <w:bottom w:w="85" w:type="dxa"/>
              <w:right w:w="108" w:type="dxa"/>
            </w:tcMar>
          </w:tcPr>
          <w:p>
            <w:pPr>
              <w:spacing w:after="0"/>
              <w:rPr>
                <w:noProof/>
                <w:sz w:val="20"/>
              </w:rPr>
            </w:pPr>
            <w:r>
              <w:rPr>
                <w:noProof/>
                <w:sz w:val="20"/>
              </w:rPr>
              <w:t>Návrh ROZHODNUTIE RADY o podpise v mene Európskej únie a predbežnom vykonávaní rámcovej dohody o partnerstve a spolupráci medzi Európskou úniou a jej členskými štátmi na jednej strane a vládou Malajzie na strane druhej</w:t>
            </w:r>
          </w:p>
        </w:tc>
        <w:tc>
          <w:tcPr>
            <w:tcW w:w="4413" w:type="dxa"/>
            <w:tcMar>
              <w:top w:w="85" w:type="dxa"/>
              <w:bottom w:w="85" w:type="dxa"/>
              <w:right w:w="108" w:type="dxa"/>
            </w:tcMar>
          </w:tcPr>
          <w:p>
            <w:pPr>
              <w:spacing w:after="0"/>
              <w:jc w:val="left"/>
              <w:rPr>
                <w:noProof/>
                <w:sz w:val="20"/>
              </w:rPr>
            </w:pPr>
            <w:r>
              <w:rPr>
                <w:noProof/>
                <w:sz w:val="20"/>
              </w:rPr>
              <w:t xml:space="preserve">Zastarané: súčasťou návrhu je predbežné vykonávanie, ktoré už nie je relevantné.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COM(2019) 56 final.</w:t>
            </w:r>
            <w:r>
              <w:rPr>
                <w:noProof/>
                <w:sz w:val="20"/>
              </w:rPr>
              <w:br/>
              <w:t>2019/0028 (NLE)</w:t>
            </w:r>
          </w:p>
        </w:tc>
        <w:tc>
          <w:tcPr>
            <w:tcW w:w="7836" w:type="dxa"/>
            <w:tcBorders>
              <w:bottom w:val="single" w:sz="4" w:space="0" w:color="auto"/>
            </w:tcBorders>
            <w:shd w:val="clear" w:color="auto" w:fill="auto"/>
            <w:tcMar>
              <w:top w:w="85" w:type="dxa"/>
              <w:bottom w:w="85" w:type="dxa"/>
              <w:right w:w="108" w:type="dxa"/>
            </w:tcMar>
          </w:tcPr>
          <w:p>
            <w:pPr>
              <w:tabs>
                <w:tab w:val="left" w:pos="1224"/>
              </w:tabs>
              <w:spacing w:after="0"/>
              <w:rPr>
                <w:noProof/>
                <w:sz w:val="20"/>
              </w:rPr>
            </w:pPr>
            <w:r>
              <w:rPr>
                <w:noProof/>
                <w:sz w:val="20"/>
              </w:rPr>
              <w:t>Návrh ROZHODNUTIE RADY o pozícii, ktorá sa má zaujať v mene Európskej únie na 14. valnom zhromaždení Medzivládnej organizácie pre medzinárodnú železničnú prepravu (OTIF), pokiaľ ide o voľbu generálneho tajomníka OTIF na obdobie od 8. apríla 2019 do 31. decembra 2021</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Zastarané: návrh nebol prijatý pred stretnutím, na ktoré bol určený.</w:t>
            </w:r>
          </w:p>
        </w:tc>
      </w:tr>
      <w:tr>
        <w:trPr>
          <w:cantSplit/>
        </w:trPr>
        <w:tc>
          <w:tcPr>
            <w:tcW w:w="14827" w:type="dxa"/>
            <w:gridSpan w:val="4"/>
            <w:shd w:val="clear" w:color="auto" w:fill="00ADDC" w:themeFill="accent5"/>
            <w:tcMar>
              <w:top w:w="85" w:type="dxa"/>
              <w:bottom w:w="85" w:type="dxa"/>
              <w:right w:w="85" w:type="dxa"/>
            </w:tcMar>
          </w:tcPr>
          <w:p>
            <w:pPr>
              <w:keepNext/>
              <w:spacing w:before="60" w:after="60"/>
              <w:rPr>
                <w:noProof/>
                <w:color w:val="FFFFFF" w:themeColor="background1"/>
                <w:sz w:val="20"/>
              </w:rPr>
            </w:pPr>
            <w:r>
              <w:rPr>
                <w:b/>
                <w:bCs/>
                <w:noProof/>
                <w:color w:val="FFFFFF" w:themeColor="background1"/>
                <w:sz w:val="20"/>
              </w:rPr>
              <w:t>Nový impulz pre európsku demokraciu</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KOM(2011) 635 v konečnom znení.</w:t>
            </w:r>
            <w:r>
              <w:rPr>
                <w:noProof/>
                <w:sz w:val="20"/>
              </w:rPr>
              <w:br/>
              <w:t>2011/0284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o spoločnom európskom kúpnom práve</w:t>
            </w:r>
          </w:p>
        </w:tc>
        <w:tc>
          <w:tcPr>
            <w:tcW w:w="4413" w:type="dxa"/>
            <w:tcMar>
              <w:top w:w="85" w:type="dxa"/>
              <w:bottom w:w="85" w:type="dxa"/>
              <w:right w:w="108" w:type="dxa"/>
            </w:tcMar>
          </w:tcPr>
          <w:p>
            <w:pPr>
              <w:spacing w:after="0"/>
              <w:jc w:val="left"/>
              <w:rPr>
                <w:noProof/>
                <w:sz w:val="20"/>
              </w:rPr>
            </w:pPr>
            <w:r>
              <w:rPr>
                <w:noProof/>
                <w:sz w:val="20"/>
              </w:rPr>
              <w:t>Zastarané: tento návrh nahradili dva iné návrhy, ktoré boli medzičasom prijaté a týkajú sa zmlúv i) o dodávaní digitálneho obsahu a ii) o online a iných predajoch tovaru na diaľku [smernica (EÚ) 2019/771 a smernica (EÚ) 2019/770].</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KOM(2008) 229 v konečnom znení.</w:t>
            </w:r>
            <w:r>
              <w:rPr>
                <w:noProof/>
                <w:sz w:val="20"/>
              </w:rPr>
              <w:br/>
              <w:t>2008/0090 (COD)</w:t>
            </w:r>
            <w:r>
              <w:rPr>
                <w:noProof/>
                <w:sz w:val="20"/>
              </w:rPr>
              <w:br/>
            </w:r>
            <w:r>
              <w:rPr>
                <w:noProof/>
                <w:sz w:val="20"/>
              </w:rPr>
              <w:br/>
              <w:t>KOM(2011) 137 v konečnom znení.</w:t>
            </w:r>
            <w:r>
              <w:rPr>
                <w:noProof/>
                <w:sz w:val="20"/>
              </w:rPr>
              <w:br/>
              <w:t>2011/0073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ktorým sa mení a dopĺňa nariadenie (ES) č. 1049/2001 o prístupe verejnosti k dokumentom Európskeho parlamentu, Rady a Komisie/návrh nariadenia Európskeho parlamentu a Rady o prístupe verejnosti k dokumentom Európskeho parlamentu, Rady a Komisie</w:t>
            </w:r>
          </w:p>
        </w:tc>
        <w:tc>
          <w:tcPr>
            <w:tcW w:w="4413" w:type="dxa"/>
            <w:tcMar>
              <w:top w:w="85" w:type="dxa"/>
              <w:bottom w:w="85" w:type="dxa"/>
              <w:right w:w="108" w:type="dxa"/>
            </w:tcMar>
          </w:tcPr>
          <w:p>
            <w:pPr>
              <w:spacing w:after="0"/>
              <w:jc w:val="left"/>
              <w:rPr>
                <w:noProof/>
                <w:sz w:val="20"/>
              </w:rPr>
            </w:pPr>
            <w:r>
              <w:rPr>
                <w:noProof/>
                <w:sz w:val="20"/>
              </w:rPr>
              <w:t>Žiadne vyhliadky na dosiahnutie dohody: v prípade týchto dvoch návrhov nedosiahli spoluzákonodarcovia od roku 2011 žiadny pokrok. Návrhy sa medzičasom stali do veľkej miery neaktuálnymi.</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COM(2013) 78 final.</w:t>
            </w:r>
            <w:r>
              <w:rPr>
                <w:noProof/>
                <w:sz w:val="20"/>
              </w:rPr>
              <w:br/>
              <w:t>2013/0049 (COD)</w:t>
            </w:r>
          </w:p>
        </w:tc>
        <w:tc>
          <w:tcPr>
            <w:tcW w:w="7836" w:type="dxa"/>
            <w:shd w:val="clear" w:color="auto" w:fill="auto"/>
            <w:tcMar>
              <w:top w:w="85" w:type="dxa"/>
              <w:bottom w:w="85" w:type="dxa"/>
              <w:right w:w="108" w:type="dxa"/>
            </w:tcMar>
          </w:tcPr>
          <w:p>
            <w:pPr>
              <w:spacing w:after="0"/>
              <w:rPr>
                <w:noProof/>
                <w:sz w:val="20"/>
              </w:rPr>
            </w:pPr>
            <w:r>
              <w:rPr>
                <w:noProof/>
                <w:sz w:val="20"/>
              </w:rPr>
              <w:t>Návrh NARIADENIE EURÓPSKEHO PARLAMENTU A RADY o bezpečnosti spotrebných výrobkov a o zrušení smernice 87/357/EHS a smernice 2001/95/ES</w:t>
            </w:r>
          </w:p>
        </w:tc>
        <w:tc>
          <w:tcPr>
            <w:tcW w:w="4413" w:type="dxa"/>
            <w:tcMar>
              <w:top w:w="85" w:type="dxa"/>
              <w:bottom w:w="85" w:type="dxa"/>
              <w:right w:w="108" w:type="dxa"/>
            </w:tcMar>
          </w:tcPr>
          <w:p>
            <w:pPr>
              <w:spacing w:after="0"/>
              <w:jc w:val="left"/>
              <w:rPr>
                <w:noProof/>
                <w:sz w:val="20"/>
              </w:rPr>
            </w:pPr>
            <w:r>
              <w:rPr>
                <w:noProof/>
                <w:sz w:val="20"/>
              </w:rPr>
              <w:t>Návrh nemá žiadne vyhliadky na dosiahnutie dohody a je zastaraný: tento návrh bol čiastočné nahradený „balíkom predpisov v oblasti výrobkov“, ktorý viedol k prijatiu nariadenia (EÚ) 2019/1020 o dohľade nad trhom a súlade výrobkov. Komisia predloží nový návrh, ako to oznámila v prílohe II o programe REFIT.</w:t>
            </w:r>
          </w:p>
        </w:tc>
      </w:tr>
    </w:tbl>
    <w:p>
      <w:pPr>
        <w:spacing w:after="600"/>
        <w:jc w:val="center"/>
        <w:rPr>
          <w:b/>
          <w:noProof/>
          <w:sz w:val="28"/>
          <w:szCs w:val="28"/>
          <w:u w:val="single"/>
        </w:rPr>
      </w:pPr>
      <w:r>
        <w:rPr>
          <w:noProof/>
        </w:rPr>
        <w:br w:type="page"/>
      </w:r>
      <w:r>
        <w:rPr>
          <w:b/>
          <w:noProof/>
          <w:sz w:val="28"/>
          <w:szCs w:val="28"/>
          <w:u w:val="single"/>
        </w:rPr>
        <w:t>Príloha V: Zoznam aktov, ktoré sa majú zrušiť</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7"/>
        <w:gridCol w:w="1657"/>
        <w:gridCol w:w="3101"/>
        <w:gridCol w:w="9389"/>
      </w:tblGrid>
      <w:tr>
        <w:trPr>
          <w:cantSplit/>
          <w:tblHeader/>
        </w:trPr>
        <w:tc>
          <w:tcPr>
            <w:tcW w:w="150" w:type="pct"/>
            <w:tcBorders>
              <w:bottom w:val="single" w:sz="4" w:space="0" w:color="auto"/>
            </w:tcBorders>
            <w:shd w:val="clear" w:color="auto" w:fill="99CCFF"/>
            <w:tcMar>
              <w:right w:w="85" w:type="dxa"/>
            </w:tcMar>
            <w:vAlign w:val="center"/>
          </w:tcPr>
          <w:p>
            <w:pPr>
              <w:tabs>
                <w:tab w:val="left" w:pos="176"/>
              </w:tabs>
              <w:spacing w:before="60" w:after="60"/>
              <w:ind w:hanging="108"/>
              <w:jc w:val="center"/>
              <w:rPr>
                <w:b/>
                <w:noProof/>
                <w:sz w:val="20"/>
              </w:rPr>
            </w:pPr>
            <w:r>
              <w:rPr>
                <w:b/>
                <w:bCs/>
                <w:noProof/>
                <w:sz w:val="20"/>
              </w:rPr>
              <w:t>Č.</w:t>
            </w:r>
          </w:p>
        </w:tc>
        <w:tc>
          <w:tcPr>
            <w:tcW w:w="568" w:type="pct"/>
            <w:tcBorders>
              <w:bottom w:val="single" w:sz="4" w:space="0" w:color="auto"/>
            </w:tcBorders>
            <w:shd w:val="clear" w:color="auto" w:fill="99CCFF"/>
            <w:tcMar>
              <w:right w:w="85" w:type="dxa"/>
            </w:tcMar>
          </w:tcPr>
          <w:p>
            <w:pPr>
              <w:spacing w:before="60" w:after="60"/>
              <w:jc w:val="center"/>
              <w:rPr>
                <w:b/>
                <w:bCs/>
                <w:noProof/>
                <w:sz w:val="20"/>
              </w:rPr>
            </w:pPr>
            <w:r>
              <w:rPr>
                <w:b/>
                <w:bCs/>
                <w:noProof/>
                <w:sz w:val="20"/>
              </w:rPr>
              <w:t>Oblasť politiky</w:t>
            </w:r>
          </w:p>
        </w:tc>
        <w:tc>
          <w:tcPr>
            <w:tcW w:w="1063" w:type="pct"/>
            <w:tcBorders>
              <w:bottom w:val="single" w:sz="4" w:space="0" w:color="auto"/>
            </w:tcBorders>
            <w:shd w:val="clear" w:color="auto" w:fill="99CCFF"/>
            <w:tcMar>
              <w:right w:w="85" w:type="dxa"/>
            </w:tcMar>
            <w:vAlign w:val="center"/>
          </w:tcPr>
          <w:p>
            <w:pPr>
              <w:spacing w:before="60" w:after="60"/>
              <w:jc w:val="center"/>
              <w:rPr>
                <w:b/>
                <w:bCs/>
                <w:noProof/>
                <w:sz w:val="20"/>
              </w:rPr>
            </w:pPr>
            <w:r>
              <w:rPr>
                <w:b/>
                <w:bCs/>
                <w:noProof/>
                <w:sz w:val="20"/>
              </w:rPr>
              <w:t>Názov</w:t>
            </w:r>
          </w:p>
        </w:tc>
        <w:tc>
          <w:tcPr>
            <w:tcW w:w="3219" w:type="pct"/>
            <w:tcBorders>
              <w:bottom w:val="single" w:sz="4" w:space="0" w:color="auto"/>
            </w:tcBorders>
            <w:shd w:val="clear" w:color="auto" w:fill="99CCFF"/>
            <w:tcMar>
              <w:right w:w="85" w:type="dxa"/>
            </w:tcMar>
            <w:vAlign w:val="center"/>
          </w:tcPr>
          <w:p>
            <w:pPr>
              <w:spacing w:before="60" w:after="60"/>
              <w:jc w:val="center"/>
              <w:rPr>
                <w:b/>
                <w:bCs/>
                <w:noProof/>
                <w:sz w:val="20"/>
              </w:rPr>
            </w:pPr>
            <w:r>
              <w:rPr>
                <w:b/>
                <w:bCs/>
                <w:noProof/>
                <w:sz w:val="20"/>
              </w:rPr>
              <w:t>Dôvod zrušenia</w:t>
            </w:r>
          </w:p>
        </w:tc>
      </w:tr>
      <w:tr>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pPr>
              <w:rPr>
                <w:noProof/>
                <w:sz w:val="20"/>
              </w:rPr>
            </w:pPr>
            <w:r>
              <w:rPr>
                <w:b/>
                <w:bCs/>
                <w:noProof/>
                <w:sz w:val="20"/>
              </w:rPr>
              <w:t>Doprava</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rPr>
                <w:noProof/>
                <w:sz w:val="20"/>
              </w:rPr>
            </w:pPr>
            <w:r>
              <w:rPr>
                <w:noProof/>
                <w:sz w:val="20"/>
              </w:rPr>
              <w:t xml:space="preserve">Nariadenie Rady (EHS) č. 1108/70 zo 4. júna 1970, ktorým sa zavádza účtovný systém pre výdavky na infraštruktúru v súvislosti so železničnou, cestnou a vnútrozemskou vodnou dopravou </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spacing w:after="120"/>
              <w:rPr>
                <w:noProof/>
                <w:sz w:val="20"/>
              </w:rPr>
            </w:pPr>
            <w:r>
              <w:rPr>
                <w:noProof/>
                <w:sz w:val="20"/>
              </w:rPr>
              <w:t>V nariadení (EHS) č. 1108/70 sa upravuje zber údajov o výdavkoch na infraštruktúru v súvislosti so železničnou, cestnou a vnútrozemskou vodnou dopravou, ako aj zber štatistických údajov o využívaní zodpovedajúcej infraštruktúry. Podľa nariadenia sú členské štáty povinné pravidelne Komisii oznamovať údaje o investíciách do infraštruktúry. Po 50 rokoch už Komisii poskytujú tieto údaje iba štyri členské štáty. Medzičasom vymedzenia pojmov a znenie zastarali a zároveň sú k dispozícii iné zdroje údajov: Niektoré majú prierezový charakter, napríklad údaje o výdavkoch Medzinárodného fóra dopravy a siete TEN-Tec, iné sú zamerané na konkrétne sektory, napríklad monitorovací prieskum železničného trhu.</w:t>
            </w:r>
          </w:p>
        </w:tc>
      </w:tr>
      <w:tr>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pPr>
              <w:rPr>
                <w:noProof/>
                <w:sz w:val="20"/>
              </w:rPr>
            </w:pPr>
            <w:r>
              <w:rPr>
                <w:b/>
                <w:bCs/>
                <w:noProof/>
                <w:sz w:val="20"/>
              </w:rPr>
              <w:t>Dane</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rPr>
                <w:noProof/>
                <w:sz w:val="20"/>
              </w:rPr>
            </w:pPr>
            <w:r>
              <w:rPr>
                <w:noProof/>
                <w:sz w:val="20"/>
              </w:rPr>
              <w:t>Nariadenie Rady 86/1797/EHS, ktorým sa rušia určité poštové poplatky za colnú prezentáciu</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spacing w:after="120"/>
              <w:rPr>
                <w:noProof/>
                <w:sz w:val="20"/>
              </w:rPr>
            </w:pPr>
            <w:r>
              <w:rPr>
                <w:noProof/>
                <w:sz w:val="20"/>
              </w:rPr>
              <w:t xml:space="preserve">Toto nariadenia objasňuje, ako sa zákaz ciel a poplatkov s rovnakým účinkom uplatňuje na poštový sektor v prípade zásielok v rámci EÚ. Hoci toto znenie je vo svojej podstate stále platné, nie je už potrebné, keďže zákaz vyplýva priamo zo zmluvy. </w:t>
            </w:r>
          </w:p>
        </w:tc>
      </w:tr>
    </w:tbl>
    <w:p>
      <w:pPr>
        <w:spacing w:after="0"/>
        <w:rPr>
          <w:noProof/>
          <w:sz w:val="20"/>
        </w:rPr>
      </w:pPr>
    </w:p>
    <w:sectPr>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spacing w:before="0"/>
      <w:jc w:val="righ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22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ab/>
        <w:t>V súlade s Medziinštitucionálnou dohodou o lepšej tvorbe práva Komisia v tejto prílohe poskytuje ďalšie informácie (ak takéto informácie sú k dispozícii) o iniciatívach zahrnutých do jej pracovného programu. Tieto informácie, ktoré sa vedľa každej iniciatívy uvádzajú v zátvorkách, sú len orientačné, a môžu sa počas prípravného procesu zmeniť, a to najmä vzhľadom na výsledok posúdenia vplyvu.</w:t>
      </w:r>
    </w:p>
  </w:footnote>
  <w:footnote w:id="3">
    <w:p>
      <w:pPr>
        <w:pStyle w:val="FootnoteText"/>
      </w:pPr>
      <w:r>
        <w:rPr>
          <w:rStyle w:val="FootnoteReference"/>
        </w:rPr>
        <w:footnoteRef/>
      </w:r>
      <w:r>
        <w:tab/>
        <w:t>V tejto prílohe sa uvádzajú najvýznamnejšie revízie, hodnotenia a kontroly vhodnosti, ktoré Komisia bude vykonávať, vrátane hodnotiacej práce v nadväznosti na stanoviská platformy REFIT. Dokončia sa do konca roka 2020.</w:t>
      </w:r>
    </w:p>
  </w:footnote>
  <w:footnote w:id="4">
    <w:p>
      <w:pPr>
        <w:pStyle w:val="FootnoteText"/>
        <w:tabs>
          <w:tab w:val="left" w:pos="567"/>
        </w:tabs>
      </w:pPr>
      <w:r>
        <w:rPr>
          <w:rStyle w:val="FootnoteReference"/>
        </w:rPr>
        <w:footnoteRef/>
      </w:r>
      <w:r>
        <w:tab/>
        <w:t>Návrhy súvisiace s viacročným finančným rámcom (VFR) sú zvýraznené sivou farbou</w:t>
      </w:r>
    </w:p>
  </w:footnote>
  <w:footnote w:id="5">
    <w:p>
      <w:pPr>
        <w:pStyle w:val="FootnoteText"/>
      </w:pPr>
      <w:r>
        <w:rPr>
          <w:rStyle w:val="FootnoteReference"/>
        </w:rPr>
        <w:footnoteRef/>
      </w:r>
      <w:r>
        <w:tab/>
        <w:t>Tento zoznam zahŕňa prerokúvané legislatívne návrhy, ktoré Komisia zamýšľa vziať späť do šiestich mesiacov (do júla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728"/>
      </w:tabs>
      <w:rPr>
        <w:lang w:val="fr-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57B7E92"/>
    <w:multiLevelType w:val="hybridMultilevel"/>
    <w:tmpl w:val="F1002934"/>
    <w:lvl w:ilvl="0" w:tplc="A25416E6">
      <w:start w:val="1"/>
      <w:numFmt w:val="decimal"/>
      <w:suff w:val="nothing"/>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35214B"/>
    <w:multiLevelType w:val="hybridMultilevel"/>
    <w:tmpl w:val="68E46B96"/>
    <w:lvl w:ilvl="0" w:tplc="E7B8FBE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3"/>
  </w:num>
  <w:num w:numId="4">
    <w:abstractNumId w:val="8"/>
  </w:num>
  <w:num w:numId="5">
    <w:abstractNumId w:val="5"/>
  </w:num>
  <w:num w:numId="6">
    <w:abstractNumId w:val="4"/>
  </w:num>
  <w:num w:numId="7">
    <w:abstractNumId w:val="17"/>
  </w:num>
  <w:num w:numId="8">
    <w:abstractNumId w:val="12"/>
  </w:num>
  <w:num w:numId="9">
    <w:abstractNumId w:val="7"/>
  </w:num>
  <w:num w:numId="10">
    <w:abstractNumId w:val="11"/>
  </w:num>
  <w:num w:numId="11">
    <w:abstractNumId w:val="0"/>
  </w:num>
  <w:num w:numId="12">
    <w:abstractNumId w:val="3"/>
  </w:num>
  <w:num w:numId="13">
    <w:abstractNumId w:val="15"/>
  </w:num>
  <w:num w:numId="14">
    <w:abstractNumId w:val="6"/>
  </w:num>
  <w:num w:numId="15">
    <w:abstractNumId w:val="1"/>
  </w:num>
  <w:num w:numId="16">
    <w:abstractNumId w:val="19"/>
  </w:num>
  <w:num w:numId="17">
    <w:abstractNumId w:val="9"/>
  </w:num>
  <w:num w:numId="18">
    <w:abstractNumId w:val="20"/>
  </w:num>
  <w:num w:numId="19">
    <w:abstractNumId w:val="21"/>
  </w:num>
  <w:num w:numId="20">
    <w:abstractNumId w:val="10"/>
  </w:num>
  <w:num w:numId="21">
    <w:abstractNumId w:val="18"/>
  </w:num>
  <w:num w:numId="22">
    <w:abstractNumId w:val="16"/>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5"/>
    <w:docVar w:name="LW_ANNEX_UNIQUE" w:val="0"/>
    <w:docVar w:name="LW_CORRIGENDUM" w:val="&lt;UNUSED&gt;"/>
    <w:docVar w:name="LW_COVERPAGE_EXISTS" w:val="True"/>
    <w:docVar w:name="LW_COVERPAGE_GUID" w:val="A937BC91-A67F-4BE4-9AC2-640726FBF0A2"/>
    <w:docVar w:name="LW_COVERPAGE_TYPE" w:val="1"/>
    <w:docVar w:name="LW_CROSSREFERENCE" w:val="&lt;UNUSED&gt;"/>
    <w:docVar w:name="LW_DocType" w:val="EUROLOOK"/>
    <w:docVar w:name="LW_EMISSION" w:val="29. 1. 2020"/>
    <w:docVar w:name="LW_EMISSION_ISODATE" w:val="2020-01-29"/>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Pracovný program Komisie na rok 2020_x000d__x000d__x000d__x000d__x000d__x000d__x000d__x000b__x000d__x000d__x000d__x000d__x000d__x000d__x000d__x000b__x000d__x000d__x000d__x000d__x000d__x000d__x000d__x000b_Ambicióznej\u353?ia Únia"/>
    <w:docVar w:name="LW_PART_NBR" w:val="&lt;UNUSED&gt;"/>
    <w:docVar w:name="LW_PART_NBR_TOTAL" w:val="&lt;UNUSED&gt;"/>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ÍLOHY_x000b_"/>
    <w:docVar w:name="LW_TYPEACTEPRINCIPAL.CP" w:val="OZNÁMENIU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ec.europa.eu/info/sites/info/files/opinion_health_food_1a.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ec.europa.eu/info/sites/info/files/xi6ab_thmpd_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sites/info/files/recommendation-xi-11a-b-claims-regulation_0.pdf"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ec.europa.eu/info/sites/info/files/xi.22.a_registration_of_plant_protection.pdf" TargetMode="External"/><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c.europa.eu/info/files/refit-platform-recommendations-health-and-food-safety-xi10a-multiple-use-multiple-source-substances-chlorate_sk"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10.0.37611.0</Version>
    <Date>2018-10-23T14:12:56</Date>
    <Language>EN</Language>
  </Created>
  <Edited>
    <Version>10.0.40769.0</Version>
    <Date>2020-01-31T11:47:02</Date>
  </Edited>
  <DocumentModel>
    <Id>6cbda13a-4db2-46c6-876a-ef72275827ef</Id>
    <Name>Report</Name>
  </DocumentModel>
  <DocumentDate>2018-10-23T14:12:56</DocumentDate>
  <DocumentVersion>0.1</DocumentVersion>
  <CompatibilityMode>Eurolook10</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AF2D397-A922-43DB-B264-B983795768C6}">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3.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4BC30C00-CAD3-46B1-91FD-1EB4E968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11943</Words>
  <Characters>74051</Characters>
  <Application>Microsoft Office Word</Application>
  <DocSecurity>0</DocSecurity>
  <PresentationFormat>Microsoft Word 14.0</PresentationFormat>
  <Lines>1806</Lines>
  <Paragraphs>988</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WES PDFC Administrator</cp:lastModifiedBy>
  <cp:revision>17</cp:revision>
  <cp:lastPrinted>2020-01-27T15:24:00Z</cp:lastPrinted>
  <dcterms:created xsi:type="dcterms:W3CDTF">2020-01-28T17:26:00Z</dcterms:created>
  <dcterms:modified xsi:type="dcterms:W3CDTF">2020-01-31T14:22:00Z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_LW_INVALIDATED__LW_INVALIDATED_ContentTypeId">
    <vt:lpwstr>0x010100258AA79CEB83498886A3A08681123250002C3A5D77007E39498C0FBBE1139AD9BC</vt:lpwstr>
  </property>
</Properties>
</file>