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CF309C8-1D6D-424B-A5F8-601477B31C19" style="width:450.6pt;height:460.5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TÁRGYA</w:t>
      </w:r>
    </w:p>
    <w:p>
      <w:pPr>
        <w:pStyle w:val="ManualHeading1"/>
        <w:ind w:left="0" w:firstLine="0"/>
        <w:rPr>
          <w:b w:val="0"/>
          <w:smallCaps w:val="0"/>
          <w:noProof/>
        </w:rPr>
      </w:pPr>
      <w:r>
        <w:rPr>
          <w:b w:val="0"/>
          <w:smallCaps w:val="0"/>
          <w:noProof/>
        </w:rPr>
        <w:t>E javaslat tárgya az Unió által az ENSZ intézményi keretében működő állandó munkacsoportok egyikében, nevezetesen az Egyesült Nemzetek Európai Gazdasági Bizottsága (ENSZ EGB) által működtetett Járműelőírások Harmonizálása Világfórumon (29. munkacsoport) képviselendő – a meglévő (az 1958. évi felülvizsgált megállapodás alapján elfogadott) ENSZ-előírásokat vagy az ENSZ globális műszaki előírásait (a párhuzamos megállapodás szerinti ENSZ-GTR-eket) érintő változtatásoknak, valamint egy, az 1958. évi megállapodással összhangban hozott határozatnak az említett munkacsoport általi tervezett elfogadásával kapcsolatos – álláspont meghatározásáról szóló határozat.</w:t>
      </w:r>
    </w:p>
    <w:p>
      <w:pPr>
        <w:pStyle w:val="ManualHeading1"/>
        <w:rPr>
          <w:noProof/>
        </w:rPr>
      </w:pPr>
      <w:r>
        <w:rPr>
          <w:noProof/>
        </w:rPr>
        <w:t>2.</w:t>
      </w:r>
      <w:r>
        <w:rPr>
          <w:noProof/>
        </w:rPr>
        <w:tab/>
        <w:t>A JAVASLAT HÁTTERE</w:t>
      </w:r>
    </w:p>
    <w:p>
      <w:pPr>
        <w:pStyle w:val="ManualHeading1"/>
        <w:rPr>
          <w:noProof/>
        </w:rPr>
      </w:pPr>
      <w:r>
        <w:rPr>
          <w:noProof/>
        </w:rPr>
        <w:t>2.1.</w:t>
      </w:r>
      <w:r>
        <w:rPr>
          <w:noProof/>
        </w:rPr>
        <w:tab/>
      </w:r>
      <w:r>
        <w:rPr>
          <w:smallCaps w:val="0"/>
          <w:noProof/>
        </w:rPr>
        <w:t>Az 1958. és az 1998. évi megállapodás</w:t>
      </w:r>
    </w:p>
    <w:p>
      <w:pPr>
        <w:rPr>
          <w:noProof/>
        </w:rPr>
      </w:pPr>
      <w:r>
        <w:rPr>
          <w:noProof/>
        </w:rPr>
        <w:t>Az Egyesült Nemzetek Európai Gazdasági Bizottságának (ENSZ EGB) a kerekes járművekre és az azokba szerelhető, illetve az azokon használható berendezésekre és tartozékokra vonatkozó egységes műszaki előírások elfogadásáról, valamint az ezen előírások alapján kibocsátott jóváhagyások kölcsönös elismerésének feltételeiről szóló megállapodása (1958. évi felülvizsgált megállapodás) továbbá a kerekes járművekről, valamint a kerekes járművekre felszerelhető és/vagy azokon használható berendezésekről és felszerelésekről szóló globális műszaki előírások kidolgozására irányuló megállapodás (párhuzamos megállapodás) olyan harmonizált követelmények kidolgozására irányul, amelyek célja, hogy felszámolják az ENSZ EGB szerződő felei közötti gépjármű-kereskedelem technikai akadályait, valamint biztosítsák, hogy az ilyen járművek nagy fokú biztonságot nyújtsanak, és óvják a környezetet. A megállapodások az EU vonatkozásában 1998. március 24-én, illetve 2000. február 15-én léptek hatályba. Mindkét megállapodást az ENSZ EGB keretében működő Járműelőírások Harmonizálása Világfórum (29. munkacsoport) kezeli.</w:t>
      </w:r>
    </w:p>
    <w:p>
      <w:pPr>
        <w:rPr>
          <w:noProof/>
        </w:rPr>
      </w:pPr>
      <w:r>
        <w:rPr>
          <w:noProof/>
        </w:rPr>
        <w:t>Az Európai Unió e megállapodások részes fele</w:t>
      </w:r>
      <w:r>
        <w:rPr>
          <w:rStyle w:val="FootnoteReference"/>
          <w:noProof/>
        </w:rPr>
        <w:footnoteReference w:id="1"/>
      </w:r>
      <w:r>
        <w:rPr>
          <w:noProof/>
        </w:rPr>
        <w:t xml:space="preserve">. </w:t>
      </w:r>
    </w:p>
    <w:p>
      <w:pPr>
        <w:pStyle w:val="ManualHeading1"/>
        <w:rPr>
          <w:noProof/>
        </w:rPr>
      </w:pPr>
      <w:r>
        <w:rPr>
          <w:noProof/>
        </w:rPr>
        <w:t xml:space="preserve">2.2. </w:t>
      </w:r>
      <w:r>
        <w:rPr>
          <w:noProof/>
        </w:rPr>
        <w:tab/>
      </w:r>
      <w:r>
        <w:rPr>
          <w:smallCaps w:val="0"/>
          <w:noProof/>
        </w:rPr>
        <w:t>Az ENSZ EGB keretében működő Járműelőírások Harmonizálása Világfórum (29. munkacsoport)</w:t>
      </w:r>
    </w:p>
    <w:p>
      <w:pPr>
        <w:rPr>
          <w:noProof/>
        </w:rPr>
      </w:pPr>
      <w:r>
        <w:rPr>
          <w:noProof/>
        </w:rPr>
        <w:t xml:space="preserve">A 29. munkacsoport egyedülálló keretet kínál a gépjárművekkel kapcsolatos előírások globális összehangolásához. A 29. munkacsoport az ENSZ intézményi keretében működő állandó munkacsoport, amelynek külön megbízatása és eljárási szabályzata van. Globális fórumként működik, ahol az érdekeltek megvitathatják a gépjárművekre vonatkozó előírásokat, valamint az 1958. évi felülvizsgált megállapodás és a párhuzamos megállapodás </w:t>
      </w:r>
      <w:r>
        <w:rPr>
          <w:noProof/>
        </w:rPr>
        <w:lastRenderedPageBreak/>
        <w:t xml:space="preserve">végrehajtását. Az ENSZ bármely tagállama, illetve az ENSZ tagállamai által létrehozott bármely regionális gazdasági integrációs szervezet teljeskörűen részt vehet a 29. munkacsoport tevékenységében és a 29. munkacsoport által kezelt, gépjárművekről szóló megállapodások szerződő felévé válhat.  </w:t>
      </w:r>
    </w:p>
    <w:p>
      <w:pPr>
        <w:rPr>
          <w:noProof/>
        </w:rPr>
      </w:pPr>
      <w:r>
        <w:rPr>
          <w:noProof/>
        </w:rPr>
        <w:t>A 29. munkacsoport minden naptári évben háromszor – márciusban, júniusban és novemberben – tart ülést. Minden ülésen új ENSZ-előírásokat, új ENSZ globális műszaki előírásokat (a továbbiakban: GTR-ek), az 1958. évi felülvizsgált megállapodás alapján elfogadott hatályos ENSZ-előírásokban eszközölt változtatásokat vagy a párhuzamos megállapodás alapján elfogadott hatályos ENSZ-GTR-ekben és határozatokban eszközölt változtatásokat fogadnak el a műszaki fejlődéshez igazodóan. A 29. munkacsoport ülései előtt ezeket a módosításokat a 29. munkacsoport szakosodott kisegítő testületei szakmai szempontból megvitatják.</w:t>
      </w:r>
    </w:p>
    <w:p>
      <w:pPr>
        <w:rPr>
          <w:noProof/>
        </w:rPr>
      </w:pPr>
      <w:r>
        <w:rPr>
          <w:noProof/>
        </w:rPr>
        <w:t xml:space="preserve">Ezt követően a 29. munkacsoport szavaz az elfogadandó előírásokról (az elfogadásra a jelenlévő és az 1958. évi felülvizsgált megállapodás szerinti javaslatokra szavazó részes felek minősített többségével, illetve a jelenlévő és a párhuzamos megállapodás szerinti javaslatokra szavazó részes felek egyhangú szavazatával kerülhet sor). </w:t>
      </w:r>
    </w:p>
    <w:p>
      <w:pPr>
        <w:rPr>
          <w:noProof/>
        </w:rPr>
      </w:pPr>
      <w:r>
        <w:rPr>
          <w:noProof/>
        </w:rPr>
        <w:t xml:space="preserve">Az Unió által az új előírásokkal és GTR-ekkel, azok módosításaival, kiegészítéseivel és helyesbítéseivel kapcsolatban képviselendő álláspontot a 29. munkacsoport egyes ülései előtt az EUMSZ 218. cikkének (9) bekezdésével összhangban hozott tanácsi határozat rögzíti. </w:t>
      </w:r>
    </w:p>
    <w:p>
      <w:pPr>
        <w:pStyle w:val="ManualHeading1"/>
        <w:rPr>
          <w:smallCaps w:val="0"/>
          <w:noProof/>
        </w:rPr>
      </w:pPr>
      <w:r>
        <w:rPr>
          <w:smallCaps w:val="0"/>
          <w:noProof/>
        </w:rPr>
        <w:t xml:space="preserve">2.3. </w:t>
      </w:r>
      <w:r>
        <w:rPr>
          <w:smallCaps w:val="0"/>
          <w:noProof/>
        </w:rPr>
        <w:tab/>
        <w:t>A 29. munkacsoport tervezett jogi aktusa</w:t>
      </w:r>
    </w:p>
    <w:p>
      <w:pPr>
        <w:rPr>
          <w:noProof/>
        </w:rPr>
      </w:pPr>
      <w:r>
        <w:rPr>
          <w:noProof/>
        </w:rPr>
        <w:t>A 2020. március 10 és 12. közötti 180. ülésén a 29. munkacsoport elfogadhatja a 10., 26., 28., 46., 48., 51., 55., 58., 59., 62., 79., 90., 106., 107., 110., 117., 121., 122., 128., 144., 148., 149., 150., 151. és 152. számú ENSZ-előírás módosítására irányuló javaslatokat, a 3., 6. és 16. számú GTR módosítására irányuló javaslatokat, valamint a R.E.5. számú összevont határozat módosítására irányuló javaslatot, továbbá a 6. számú GTR módosítása kidolgozásának engedélyezésére és az elektromos járművek teljesítményének meghatározására vonatkozó új GTR kidolgozásának engedélyezésére irányuló javaslatokat</w:t>
      </w:r>
    </w:p>
    <w:p>
      <w:pPr>
        <w:rPr>
          <w:noProof/>
        </w:rPr>
      </w:pPr>
      <w:r>
        <w:rPr>
          <w:noProof/>
        </w:rPr>
        <w:t>.</w:t>
      </w:r>
    </w:p>
    <w:p>
      <w:pPr>
        <w:pStyle w:val="ManualHeading1"/>
        <w:rPr>
          <w:noProof/>
        </w:rPr>
      </w:pPr>
      <w:r>
        <w:rPr>
          <w:noProof/>
        </w:rPr>
        <w:t xml:space="preserve">3. </w:t>
      </w:r>
      <w:r>
        <w:rPr>
          <w:noProof/>
        </w:rPr>
        <w:tab/>
        <w:t>AZ UNIÓ ÁLTAL KÉPVISELENDŐ ÁLLÁSPONT</w:t>
      </w:r>
    </w:p>
    <w:p>
      <w:pPr>
        <w:rPr>
          <w:noProof/>
        </w:rPr>
      </w:pPr>
      <w:r>
        <w:rPr>
          <w:noProof/>
        </w:rPr>
        <w:t>A 29. munkacsoport működése elősegíti a járművekre vonatkozó szabványok nemzetközi összehangolását. Az 1958. évi megállapodás kulcsszerepet játszik e célkitűzés elérésében, mivel az uniós gyártók annak tudatában alkalmazhatnak egy sor közös típusjóváhagyási előírást, hogy a szerződő felek a nemzeti jogszabályaiknak megfelelőként fogják elismerni a gyártók termékeit. Ez a rendszer tette lehetővé például, hogy a gépjárművek általános biztonságáról szóló 661/2009/EK rendelet több mint 50 uniós irányelvet hatályon kívül helyezzen, és azok helyébe az 1958. évi megállapodás keretében elfogadott vonatkozó előírásokat léptesse.</w:t>
      </w:r>
    </w:p>
    <w:p>
      <w:pPr>
        <w:rPr>
          <w:noProof/>
        </w:rPr>
      </w:pPr>
      <w:r>
        <w:rPr>
          <w:noProof/>
        </w:rPr>
        <w:t>A 2007/46/EK irányelv is hasonló megközelítést alkalmazott, és a tagállamok jóváhagyási rendszereit egy uniós jóváhagyási eljárással váltotta fel, és olyan harmonizált keretrendszert hozott létre, amely adminisztratív rendelkezéseket és általános műszaki előírásokat tartalmaz valamennyi új járműre, valamint azok rendszereire, alkatrészeire és önálló műszaki egységeire vonatkozóan. Az említett irányelv vagy típusjóváhagyási követelmény formájában, vagy az uniós jogszabályok alternatívájaként beépítette az ENSZ előírásait az EU típusjóváhagyási rendszerébe. Az irányelv elfogadása óta egyre több ENSZ-előírás épült be az uniós jogszabályokba az EU-típusjóváhagyás keretében.</w:t>
      </w:r>
    </w:p>
    <w:p>
      <w:pPr>
        <w:rPr>
          <w:noProof/>
        </w:rPr>
      </w:pPr>
      <w:r>
        <w:rPr>
          <w:noProof/>
        </w:rPr>
        <w:lastRenderedPageBreak/>
        <w:t xml:space="preserve">Miután a 29. munkacsoport elfogadta az ENSZ-előírások módosításait, illetve új előírásokat fogadott el, és miután az ENSZ EGB ügyvezető titkára értesítette a részes feleket ezekről a jogi aktusokról, hat hónappal később – amennyiben a részes felek blokkoló kisebbséget alkotva nem emelnek kifogást ellenük – a jogi aktusok hatályba léphetnek, és át lehet ültetni őket a részes felek nemzeti jogrendjébe. Az Európai Unióban az átültetés azt követően válik befejezetté, hogy a jogi aktusokat kihirdették az EU Hivatalos Lapjában. </w:t>
      </w:r>
    </w:p>
    <w:p>
      <w:pPr>
        <w:pStyle w:val="ManualHeading1"/>
        <w:rPr>
          <w:b w:val="0"/>
          <w:smallCaps w:val="0"/>
          <w:noProof/>
        </w:rPr>
      </w:pPr>
      <w:r>
        <w:rPr>
          <w:b w:val="0"/>
          <w:smallCaps w:val="0"/>
          <w:noProof/>
        </w:rPr>
        <w:t>Ezért meg kell határozni az Unió által képviselendő álláspontot:</w:t>
      </w:r>
    </w:p>
    <w:p>
      <w:pPr>
        <w:pStyle w:val="Tiret0"/>
        <w:numPr>
          <w:ilvl w:val="0"/>
          <w:numId w:val="10"/>
        </w:numPr>
        <w:rPr>
          <w:noProof/>
        </w:rPr>
      </w:pPr>
      <w:r>
        <w:rPr>
          <w:noProof/>
        </w:rPr>
        <w:t xml:space="preserve">az ENSZ 10., 26., 28., 46., 48., 51., 55., 58., 59., 62., 79., 90., 106., 107., 110., 117., 121., 122., 128., 144., 148., 149., 150., 151. és 152. számú előírásának módosítására irányuló javaslatokról, </w:t>
      </w:r>
    </w:p>
    <w:p>
      <w:pPr>
        <w:pStyle w:val="Tiret0"/>
        <w:rPr>
          <w:noProof/>
        </w:rPr>
      </w:pPr>
      <w:r>
        <w:rPr>
          <w:noProof/>
        </w:rPr>
        <w:t>a 3., 6. és 16. számú GTR módosításaira irányuló javaslatokról;</w:t>
      </w:r>
    </w:p>
    <w:p>
      <w:pPr>
        <w:pStyle w:val="Tiret0"/>
        <w:rPr>
          <w:noProof/>
        </w:rPr>
      </w:pPr>
      <w:r>
        <w:rPr>
          <w:noProof/>
        </w:rPr>
        <w:t>az R.E.5 összevont határozat módosítására irányuló javaslatról, valamint</w:t>
      </w:r>
    </w:p>
    <w:p>
      <w:pPr>
        <w:pStyle w:val="Tiret0"/>
        <w:rPr>
          <w:noProof/>
        </w:rPr>
      </w:pPr>
      <w:r>
        <w:rPr>
          <w:noProof/>
        </w:rPr>
        <w:t>a 6. számú GTR módosítása kidolgozásának engedélyezésére és az elektromos járművek teljesítményének meghatározására vonatkozó új GTR kidolgozásának engedélyezésére irányuló javaslatról,</w:t>
      </w:r>
    </w:p>
    <w:p>
      <w:pPr>
        <w:rPr>
          <w:noProof/>
        </w:rPr>
      </w:pPr>
      <w:r>
        <w:rPr>
          <w:noProof/>
        </w:rPr>
        <w:t>melyekről a 29. számú munkacsoport a 2020. március 10. és 12. között tartandó ülésén fog szavazni.</w:t>
      </w:r>
    </w:p>
    <w:p>
      <w:pPr>
        <w:rPr>
          <w:noProof/>
        </w:rPr>
      </w:pPr>
      <w:r>
        <w:rPr>
          <w:noProof/>
        </w:rPr>
        <w:t xml:space="preserve">Az Európai Uniónak indokolt támogatnia a fent említett jogi aktusokat, mert azok teljes mértékben összhangban vannak az Unió belső piaci politikájával a gépjárműipart illetően, és összeegyeztethetők az Unió közlekedés-, éghajlat- és energiapolitikájával. Ezek a jogi aktusok nagyon kedvező hatással vannak az uniós gépjárműipar versenyképességére és az EU nemzetközi kereskedelmére. A szóban forgó jogi aktusok megszavazása elősegíti a technológiai fejlődést, előnyöket kínál a méretgazdaságosság tekintetében, megakadályozza a belső piac széttagolódását, és egységes környezetvédelmi és biztonsági normákat biztosít az Unió egész területén. </w:t>
      </w:r>
    </w:p>
    <w:p>
      <w:pPr>
        <w:rPr>
          <w:noProof/>
        </w:rPr>
      </w:pPr>
      <w:r>
        <w:rPr>
          <w:noProof/>
        </w:rPr>
        <w:t>E javaslat esetében nincs szükség külső szakértői véleményre. A javaslatot ugyanakkor a „Műszaki Bizottság – Gépjárművek” elnevezésű bizottság megvizsgálja.</w:t>
      </w:r>
    </w:p>
    <w:p>
      <w:pPr>
        <w:rPr>
          <w:noProof/>
        </w:rPr>
      </w:pPr>
    </w:p>
    <w:p>
      <w:pPr>
        <w:pStyle w:val="ManualHeading1"/>
        <w:rPr>
          <w:noProof/>
        </w:rPr>
      </w:pPr>
      <w:r>
        <w:rPr>
          <w:noProof/>
        </w:rPr>
        <w:t>4.</w:t>
      </w:r>
      <w:r>
        <w:rPr>
          <w:noProof/>
        </w:rPr>
        <w:tab/>
        <w:t>JOGALAP</w:t>
      </w:r>
    </w:p>
    <w:p>
      <w:pPr>
        <w:pStyle w:val="Text1"/>
        <w:ind w:left="0"/>
        <w:rPr>
          <w:noProof/>
        </w:rPr>
      </w:pPr>
    </w:p>
    <w:p>
      <w:pPr>
        <w:pStyle w:val="Text1"/>
        <w:ind w:left="0"/>
        <w:rPr>
          <w:b/>
          <w:noProof/>
        </w:rPr>
      </w:pPr>
      <w:r>
        <w:rPr>
          <w:b/>
          <w:noProof/>
        </w:rPr>
        <w:t xml:space="preserve">4.1. </w:t>
      </w:r>
      <w:r>
        <w:rPr>
          <w:b/>
          <w:noProof/>
        </w:rPr>
        <w:tab/>
        <w:t xml:space="preserve">Eljárási jogalap </w:t>
      </w:r>
    </w:p>
    <w:p>
      <w:pPr>
        <w:pStyle w:val="Text1"/>
        <w:ind w:left="0"/>
        <w:rPr>
          <w:i/>
          <w:noProof/>
        </w:rPr>
      </w:pPr>
      <w:r>
        <w:rPr>
          <w:i/>
          <w:noProof/>
        </w:rPr>
        <w:t xml:space="preserve">4.1.1. </w:t>
      </w:r>
      <w:r>
        <w:rPr>
          <w:i/>
          <w:noProof/>
        </w:rPr>
        <w:tab/>
        <w:t xml:space="preserve">Általános elvek </w:t>
      </w:r>
    </w:p>
    <w:p>
      <w:pPr>
        <w:pStyle w:val="Text1"/>
        <w:ind w:left="0"/>
        <w:rPr>
          <w:noProof/>
        </w:rPr>
      </w:pPr>
      <w:r>
        <w:rPr>
          <w:noProof/>
        </w:rPr>
        <w:t xml:space="preserve">Az Európai Unió működéséről szóló szerződés (a továbbiakban: EUMSZ) 218. cikkének (9) bekezdése határozatok elfogadásáról rendelkezik „a megállapodásokkal létrehozott szervekben az Unió által képviselendő álláspontok kialakítására vonatkozóan, amennyiben az ilyen szervnek joghatással bíró jogi aktust kell elfogadnia, kivéve a megállapodás intézményi kereteit kiegészítő vagy módosító jogi aktusokat”. </w:t>
      </w:r>
    </w:p>
    <w:p>
      <w:pPr>
        <w:pStyle w:val="Text1"/>
        <w:ind w:left="0"/>
        <w:rPr>
          <w:noProof/>
        </w:rPr>
      </w:pPr>
      <w:r>
        <w:rPr>
          <w:noProof/>
        </w:rPr>
        <w:t>A „joghatással bíró jogi aktus” fogalmába beletartoznak a nemzetközi jognak a kérdéses szervet szabályozó szabályai szerint joghatással bíró jogi aktusok. Ezenfelül a fogalom magában foglalja azokat az eszközöket is, melyek a nemzetközi jog szerint nem bírnak kötelező erővel, de „meghatározó módon befolyásolják az uniós jogalkotó által [...] elfogadott szabályozás tartalmát”</w:t>
      </w:r>
      <w:r>
        <w:rPr>
          <w:rStyle w:val="FootnoteReference"/>
          <w:noProof/>
        </w:rPr>
        <w:footnoteReference w:id="2"/>
      </w:r>
      <w:r>
        <w:rPr>
          <w:noProof/>
        </w:rPr>
        <w:t>.</w:t>
      </w:r>
    </w:p>
    <w:p>
      <w:pPr>
        <w:pStyle w:val="Text1"/>
        <w:ind w:left="0"/>
        <w:rPr>
          <w:noProof/>
        </w:rPr>
      </w:pPr>
    </w:p>
    <w:p>
      <w:pPr>
        <w:pStyle w:val="Text1"/>
        <w:ind w:left="0"/>
        <w:rPr>
          <w:i/>
          <w:noProof/>
        </w:rPr>
      </w:pPr>
      <w:r>
        <w:rPr>
          <w:i/>
          <w:noProof/>
        </w:rPr>
        <w:t xml:space="preserve">4.1.2. </w:t>
      </w:r>
      <w:r>
        <w:rPr>
          <w:i/>
          <w:noProof/>
        </w:rPr>
        <w:tab/>
        <w:t xml:space="preserve">A jelen esetre történő alkalmazás </w:t>
      </w:r>
    </w:p>
    <w:p>
      <w:pPr>
        <w:pStyle w:val="Text1"/>
        <w:ind w:left="0"/>
        <w:rPr>
          <w:noProof/>
        </w:rPr>
      </w:pPr>
      <w:r>
        <w:rPr>
          <w:noProof/>
        </w:rPr>
        <w:t xml:space="preserve">A 29. munkacsoport az a testület, amelyben az ENSZ EGB részes felei megvitatják az 1958. évi felülvizsgált megállapodás és a párhuzamos megállapodás végrehajtását. </w:t>
      </w:r>
    </w:p>
    <w:p>
      <w:pPr>
        <w:pStyle w:val="Text1"/>
        <w:ind w:left="0"/>
        <w:rPr>
          <w:noProof/>
        </w:rPr>
      </w:pPr>
      <w:r>
        <w:rPr>
          <w:noProof/>
        </w:rPr>
        <w:t xml:space="preserve">A 29. munkacsoport által elfogadandó jogi aktusok joghatással bíró jogi aktusok. </w:t>
      </w:r>
    </w:p>
    <w:p>
      <w:pPr>
        <w:pStyle w:val="Text1"/>
        <w:ind w:left="0"/>
        <w:rPr>
          <w:noProof/>
        </w:rPr>
      </w:pPr>
      <w:r>
        <w:rPr>
          <w:noProof/>
        </w:rPr>
        <w:t>A tervezett jogi aktusban foglalt ENSZ-előírások kötelező érvényűek lesznek az Unióra nézve, és meghatározó módon befolyásolják az uniós szabályozás tartalmát a járművek típusjóváhagyása területén. A 2007/46/EK európai parlamenti és tanácsi irányelv</w:t>
      </w:r>
      <w:r>
        <w:rPr>
          <w:rStyle w:val="FootnoteReference"/>
          <w:noProof/>
        </w:rPr>
        <w:footnoteReference w:id="3"/>
      </w:r>
      <w:r>
        <w:rPr>
          <w:noProof/>
        </w:rPr>
        <w:t xml:space="preserve"> a tagállamok jóváhagyási rendszereit egy uniós jóváhagyási eljárással váltotta fel, és olyan harmonizált keretrendszert hozott létre, amely adminisztratív rendelkezéseket és általános műszaki követelményeket foglal magában valamennyi új járműre, valamint azok rendszereire, alkatrészeire és önálló műszaki egységeire vonatkozóan. Az említett irányelv vagy típusjóváhagyási követelmény formájában, vagy az uniós jogszabályok alternatívájaként beépítette az 1958. évi felülvizsgált megállapodás alapján elfogadott előírásokat (a továbbiakban: az ENSZ-előírások) az EU típusjóváhagyási rendszerébe. A 2007/46/EK irányelv elfogadása óta egyre több ENSZ-előírás épül be az uniós jogszabályokba. </w:t>
      </w:r>
    </w:p>
    <w:p>
      <w:pPr>
        <w:pStyle w:val="Text1"/>
        <w:ind w:left="0"/>
        <w:rPr>
          <w:noProof/>
        </w:rPr>
      </w:pPr>
      <w:r>
        <w:rPr>
          <w:noProof/>
        </w:rPr>
        <w:t xml:space="preserve">A tervezett jogi aktusok nem egészítik ki és nem módosítják a megállapodás intézményi keretét. </w:t>
      </w:r>
    </w:p>
    <w:p>
      <w:pPr>
        <w:pStyle w:val="Text1"/>
        <w:ind w:left="0"/>
        <w:rPr>
          <w:noProof/>
        </w:rPr>
      </w:pPr>
      <w:r>
        <w:rPr>
          <w:noProof/>
        </w:rPr>
        <w:t>Ezért a javasolt határozat eljárási jogalapja az EUMSZ 218. cikkének (9) bekezdése.</w:t>
      </w:r>
    </w:p>
    <w:p>
      <w:pPr>
        <w:pStyle w:val="Text1"/>
        <w:ind w:left="0"/>
        <w:rPr>
          <w:noProof/>
        </w:rPr>
      </w:pPr>
    </w:p>
    <w:p>
      <w:pPr>
        <w:pStyle w:val="Text1"/>
        <w:ind w:left="0"/>
        <w:rPr>
          <w:b/>
          <w:noProof/>
        </w:rPr>
      </w:pPr>
      <w:r>
        <w:rPr>
          <w:b/>
          <w:noProof/>
        </w:rPr>
        <w:t xml:space="preserve">4.2. </w:t>
      </w:r>
      <w:r>
        <w:rPr>
          <w:b/>
          <w:noProof/>
        </w:rPr>
        <w:tab/>
        <w:t xml:space="preserve">Anyagi jogalap </w:t>
      </w:r>
    </w:p>
    <w:p>
      <w:pPr>
        <w:pStyle w:val="Text1"/>
        <w:ind w:left="0"/>
        <w:rPr>
          <w:i/>
          <w:noProof/>
        </w:rPr>
      </w:pPr>
      <w:r>
        <w:rPr>
          <w:i/>
          <w:noProof/>
        </w:rPr>
        <w:t xml:space="preserve">4.2.1. </w:t>
      </w:r>
      <w:r>
        <w:rPr>
          <w:i/>
          <w:noProof/>
        </w:rPr>
        <w:tab/>
        <w:t xml:space="preserve">Általános elvek </w:t>
      </w:r>
    </w:p>
    <w:p>
      <w:pPr>
        <w:pStyle w:val="Text1"/>
        <w:ind w:left="0"/>
        <w:rPr>
          <w:noProof/>
        </w:rPr>
      </w:pPr>
      <w:r>
        <w:rPr>
          <w:noProof/>
        </w:rPr>
        <w:t xml:space="preserve">Az EUMSZ 218. cikkének (9) bekezdése szerinti határozat anyagi jogalapja elsősorban azon tervezett jogi aktus célkitűzésétől és tartalmától függ, amellyel kapcsolatban az Unió által képviselendő álláspont meghatározásra kerül. Amennyiben a tervezett jogi aktus kettős célkitűzést követ, vagy két összetevőből áll, és ezek egyike elsődlegesként vagy döntő jellegűként azonosítható, míg a másik pusztán járulékos jellegű, az EUMSZ 218. cikkének (9) bekezdése szerinti határozatot egyetlen jogalapra, azaz az elsődleges, illetve döntő jellegű célkitűzés vagy összetevő által megkövetelt jogalapra kell alapítani. </w:t>
      </w:r>
    </w:p>
    <w:p>
      <w:pPr>
        <w:pStyle w:val="Text1"/>
        <w:ind w:left="0"/>
        <w:rPr>
          <w:noProof/>
        </w:rPr>
      </w:pPr>
    </w:p>
    <w:p>
      <w:pPr>
        <w:pStyle w:val="Text1"/>
        <w:ind w:left="0"/>
        <w:rPr>
          <w:i/>
          <w:noProof/>
        </w:rPr>
      </w:pPr>
      <w:r>
        <w:rPr>
          <w:i/>
          <w:noProof/>
        </w:rPr>
        <w:t xml:space="preserve">4.2.2. A jelen esetre történő alkalmazás </w:t>
      </w:r>
    </w:p>
    <w:p>
      <w:pPr>
        <w:pStyle w:val="Text1"/>
        <w:ind w:left="0"/>
        <w:rPr>
          <w:noProof/>
        </w:rPr>
      </w:pPr>
      <w:r>
        <w:rPr>
          <w:noProof/>
        </w:rPr>
        <w:t xml:space="preserve">A tervezett jogi aktus elsődleges célkitűzése és tartalma a jogszabályok közelítését szolgálja. Ezért a javasolt határozat anyagi jogalapja az EUMSZ 114. cikke. </w:t>
      </w:r>
    </w:p>
    <w:p>
      <w:pPr>
        <w:pStyle w:val="Text1"/>
        <w:ind w:left="0"/>
        <w:rPr>
          <w:i/>
          <w:noProof/>
        </w:rPr>
      </w:pPr>
    </w:p>
    <w:p>
      <w:pPr>
        <w:pStyle w:val="Text1"/>
        <w:ind w:left="0"/>
        <w:rPr>
          <w:i/>
          <w:noProof/>
        </w:rPr>
      </w:pPr>
      <w:r>
        <w:rPr>
          <w:i/>
          <w:noProof/>
        </w:rPr>
        <w:t xml:space="preserve">4.3. </w:t>
      </w:r>
      <w:r>
        <w:rPr>
          <w:i/>
          <w:noProof/>
        </w:rPr>
        <w:tab/>
        <w:t xml:space="preserve">Következtetés </w:t>
      </w:r>
    </w:p>
    <w:p>
      <w:pPr>
        <w:pStyle w:val="Text1"/>
        <w:ind w:left="0"/>
        <w:rPr>
          <w:noProof/>
        </w:rPr>
      </w:pPr>
      <w:r>
        <w:rPr>
          <w:noProof/>
        </w:rPr>
        <w:t>A javasolt határozat jogalapja az EUMSZ 114. cikke, összefüggésben az EUMSZ 218. cikkének (9) bekezdésével.</w:t>
      </w:r>
    </w:p>
    <w:p>
      <w:pPr>
        <w:pStyle w:val="Text1"/>
        <w:ind w:left="0"/>
        <w:rPr>
          <w:noProof/>
        </w:rPr>
      </w:pPr>
    </w:p>
    <w:p>
      <w:pPr>
        <w:spacing w:before="0" w:after="200" w:line="276" w:lineRule="auto"/>
        <w:jc w:val="center"/>
        <w:rPr>
          <w:noProof/>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t>2020/0020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ENSZ Európai Gazdasági Bizottságának megfelelő bizottságaiban az ENSZ 10., 26., 28., 46., 48., 51., 55., 58., 59., 62., 79., 90., 106., 107., 110., 117., 121., 122., 128., 144., 148., 149., 150., 151. és 152. számú előírásának módosításaira irányuló javaslatok, a 3., 6. és 16. számú globális műszaki előírás módosításaira irányuló javaslatok, az R.E.5 összevont határozat módosításaira irányuló javaslat, valamint a 6. számú globális műszaki előírás módosítása kidolgozásának engedélyezésére és egy, az elektromos járművek teljesítményének meghatározására vonatkozó új globális műszaki előírás kidolgozásának engedélyezésére irányuló javaslat tekintetében az Európai Unió által képviselendő álláspontról</w:t>
      </w:r>
      <w:r>
        <w:rPr>
          <w:noProof/>
        </w:rPr>
        <w:br/>
      </w:r>
    </w:p>
    <w:p>
      <w:pPr>
        <w:pStyle w:val="Institutionquiagit"/>
        <w:rPr>
          <w:noProof/>
        </w:rPr>
      </w:pPr>
      <w:r>
        <w:rPr>
          <w:noProof/>
        </w:rPr>
        <w:t>AZ EURÓPAI UNIÓ TANÁCSA,</w:t>
      </w:r>
    </w:p>
    <w:p>
      <w:pPr>
        <w:rPr>
          <w:noProof/>
        </w:rPr>
      </w:pPr>
      <w:r>
        <w:rPr>
          <w:noProof/>
        </w:rPr>
        <w:t>tekintettel az Európai Unió működéséről szóló szerződésre és különösen annak 114. cikkére, összefüggésben annak 218. cikke (9) bekezdésével,</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 97/836/EK tanácsi határozattal</w:t>
      </w:r>
      <w:r>
        <w:rPr>
          <w:rStyle w:val="FootnoteReference"/>
          <w:noProof/>
        </w:rPr>
        <w:footnoteReference w:id="4"/>
      </w:r>
      <w:r>
        <w:rPr>
          <w:noProof/>
        </w:rPr>
        <w:t xml:space="preserve"> az Unió csatlakozott az ENSZ Európai Gazdasági Bizottságának (ENSZ EGB) a kerekes járművekre és az azokba szerelhető, illetve az azokon használható berendezésekre és tartozékokra vonatkozó egységes műszaki előírások elfogadásáról, valamint az ezen előírások alapján kibocsátott jóváhagyások kölcsönös elismerésének feltételeiről szóló megállapodásához (a továbbiakban: az 1958. évi felülvizsgált megállapodás). Az 1958. évi felülvizsgált megállapodás 1998. március 24-én lépett hatályba.</w:t>
      </w:r>
    </w:p>
    <w:p>
      <w:pPr>
        <w:pStyle w:val="ManualConsidrant"/>
        <w:rPr>
          <w:noProof/>
        </w:rPr>
      </w:pPr>
      <w:r>
        <w:t>(2)</w:t>
      </w:r>
      <w:r>
        <w:tab/>
      </w:r>
      <w:r>
        <w:rPr>
          <w:noProof/>
        </w:rPr>
        <w:t>A 2000/125/EK tanácsi határozattal</w:t>
      </w:r>
      <w:r>
        <w:rPr>
          <w:rStyle w:val="FootnoteReference"/>
          <w:noProof/>
        </w:rPr>
        <w:footnoteReference w:id="5"/>
      </w:r>
      <w:r>
        <w:rPr>
          <w:noProof/>
        </w:rPr>
        <w:t xml:space="preserve"> az Unió csatlakozott a kerekes járművekről, valamint a kerekes járművekre felszerelhető és/vagy azokon használható berendezésekre és felszerelésekre vonatkozó globális műszaki előírások kidolgozásáról szóló megállapodáshoz (a továbbiakban: párhuzamos megállapodás). A párhuzamos megállapodás 2000. február 15-én lépett hatályba.</w:t>
      </w:r>
    </w:p>
    <w:p>
      <w:pPr>
        <w:pStyle w:val="ManualConsidrant"/>
        <w:rPr>
          <w:noProof/>
        </w:rPr>
      </w:pPr>
      <w:r>
        <w:t>(3)</w:t>
      </w:r>
      <w:r>
        <w:tab/>
      </w:r>
      <w:r>
        <w:rPr>
          <w:noProof/>
        </w:rPr>
        <w:t>Az 1958. évi felülvizsgált megállapodás 1. cikkével és a párhuzamos megállapodás 6. cikkével összhangban az ENSZ EGB keretében működő Járműelőírások Harmonizálása Világfórum (29. munkacsoport) elfogadhatja a 10., 26., 28., 46., 48., 51., 55., 58., 59., 62., 79., 90., 106., 107., 110., 117., 121., 122., 128., 144., 148., 149., 150., 151. és 152. számú ENSZ-előírás módosítására irányuló javaslatokat, a 3., 6. és 16. számú globális műszaki előírás (a továbbiakban: GTR) módosítására irányuló javaslatokat, az R.E.5. számú összevont határozat módosítására irányuló javaslatot, valamint a 6. számú GTR módosítása kidolgozásának engedélyezésére és egy, az elektromos járművek teljesítményének meghatározására vonatkozó új GTR kidolgozásának engedélyezésére irányuló javaslatot.</w:t>
      </w:r>
    </w:p>
    <w:p>
      <w:pPr>
        <w:pStyle w:val="ManualConsidrant"/>
        <w:rPr>
          <w:noProof/>
        </w:rPr>
      </w:pPr>
      <w:r>
        <w:t>(4)</w:t>
      </w:r>
      <w:r>
        <w:tab/>
      </w:r>
      <w:r>
        <w:rPr>
          <w:noProof/>
        </w:rPr>
        <w:t>A 29. munkacsoport a Világfórum 2020.március 10. és 12. között tartandó 180. ülésén fogja a tervek szerint elfogadni a fent említett jogi aktusokat a kerekes járművek és az azokra felszerelhető, illetve az azokon használható berendezések és tartozékok jóváhagyására vonatkozó adminisztratív rendelkezésekkel és egységes műszaki előírásokkal, valamint az említett járművekre, berendezésekre és tartozékokra alkalmazandó GTR-ekkel kapcsolatban</w:t>
      </w:r>
      <w:r>
        <w:t>.</w:t>
      </w:r>
    </w:p>
    <w:p>
      <w:pPr>
        <w:pStyle w:val="ManualConsidrant"/>
        <w:rPr>
          <w:noProof/>
        </w:rPr>
      </w:pPr>
      <w:r>
        <w:t>(5)</w:t>
      </w:r>
      <w:r>
        <w:tab/>
      </w:r>
      <w:r>
        <w:rPr>
          <w:noProof/>
        </w:rPr>
        <w:t>Helyénvaló meghatározni az Unió által a 29. munkacsoportban az ENSZ-előírásokra irányuló javaslatok elfogadásával kapcsolatban képviselendő álláspontot, mivel az ENSZ-előírások kötelező érvényűek lesznek az Unióra nézve, és meghatározó módon befolyásolhatják majd az uniós jog tartalmát a jármű-típusjóváhagyás területén.</w:t>
      </w:r>
    </w:p>
    <w:p>
      <w:pPr>
        <w:pStyle w:val="ManualConsidrant"/>
        <w:rPr>
          <w:noProof/>
        </w:rPr>
      </w:pPr>
      <w:r>
        <w:t>(6)</w:t>
      </w:r>
      <w:r>
        <w:tab/>
      </w:r>
      <w:r>
        <w:rPr>
          <w:noProof/>
        </w:rPr>
        <w:t>A 2007/46/EK európai parlamenti és tanácsi irányelv</w:t>
      </w:r>
      <w:r>
        <w:rPr>
          <w:rStyle w:val="FootnoteReference"/>
          <w:noProof/>
        </w:rPr>
        <w:footnoteReference w:id="6"/>
      </w:r>
      <w:r>
        <w:rPr>
          <w:noProof/>
        </w:rPr>
        <w:t xml:space="preserve"> a tagállamok jóváhagyási rendszereit egy uniós jóváhagyási eljárással váltotta fel, és olyan harmonizált keretrendszert hozott létre, amely adminisztratív rendelkezéseket és általános műszaki követelményeket foglal magában valamennyi új járműre, valamint azok rendszereire, alkatrészeire és önálló műszaki egységeire vonatkozóan. Az említett irányelv vagy típusjóváhagyási követelmény formájában, vagy az uniós jogszabályok alternatívájaként beépítette az 1958. évi felülvizsgált megállapodás alapján elfogadott előírásokat (a továbbiakban: az ENSZ-előírások) az EU típusjóváhagyási rendszerébe. A 2007/46/EK irányelv elfogadása óta egyre több ENSZ-előírás épült be az uniós jogszabályokba. </w:t>
      </w:r>
    </w:p>
    <w:p>
      <w:pPr>
        <w:pStyle w:val="ManualConsidrant"/>
        <w:rPr>
          <w:noProof/>
        </w:rPr>
      </w:pPr>
      <w:r>
        <w:t>(7)</w:t>
      </w:r>
      <w:r>
        <w:tab/>
      </w:r>
      <w:r>
        <w:rPr>
          <w:noProof/>
        </w:rPr>
        <w:t>A tapasztalatok és a műszaki fejlődés fényében az ENSZ 10., 26., 28., 46., 48., 51., 55., 58., 59., 62., 79., 90., 106., 107., 110., 117., 121., 122., 128., 144., 148., 149., 150., 151. és 152. számú előírása által érintett egyes elemekkel vagy tulajdonságokkal kapcsolatos követelményeket módosítani kell vagy ki kell egészíteni. Ezenkívül módosítani kell az ENSZ 3., 6. és 16. számú GTR bizonyos rendelkezéseit. Végezetül el kell fogadni az R.E.5 számú összevont határozat módosításait és a 6. számú GTR módosítása kidolgozásának engedélyezésére és az elektromos járművek teljesítményének meghatározására vonatkozó új GTR kidolgozásának engedélyezésére irányuló javaslatot.</w:t>
      </w:r>
    </w:p>
    <w:p>
      <w:pPr>
        <w:pStyle w:val="ManualConsidrant"/>
        <w:rPr>
          <w:noProof/>
        </w:rPr>
      </w:pPr>
      <w:r>
        <w:t>(8)</w:t>
      </w:r>
      <w:r>
        <w:tab/>
      </w:r>
      <w:r>
        <w:rPr>
          <w:noProof/>
        </w:rPr>
        <w:t>A 29. munkacsoport ECE/TRANS/WP.29/2020/25 számú munkadokumentuma a 144. számú ENSZ-előírás 2. kiegészítéséről (baleseti segélyhívó rendszerek) kiegészítésére irányuló javaslatra vonatkozik, amely egyelőre nem bocsátható szavazásra a 29. munkacsoportban.</w:t>
      </w:r>
    </w:p>
    <w:p>
      <w:pPr>
        <w:pStyle w:val="ManualConsidrant"/>
        <w:rPr>
          <w:noProof/>
        </w:rPr>
      </w:pPr>
      <w:r>
        <w:t>(9)</w:t>
      </w:r>
      <w:r>
        <w:tab/>
      </w:r>
      <w:r>
        <w:rPr>
          <w:noProof/>
        </w:rPr>
        <w:t xml:space="preserve">A 29. munkacsoport ECE/TRANS/WP.29/2020/2 számú munkadokumentuma a 9. számú ENSZ-előírás (háromkerekű járművek zajkibocsátása) 08-as módosítássorozatának 1. kiegészítésére irányuló javaslatra vonatkozik. Mivel az EU nem alkalmazza a 9. számú ENSZ-előírás egységes rendelkezéseit, nincs szükség uniós álláspont kialakítására az ECE/TRANS/WP.29/2020/2 számú munkadokumentumban foglalt javaslattal kapcsolatban. </w:t>
      </w:r>
    </w:p>
    <w:p>
      <w:pPr>
        <w:rPr>
          <w:noProof/>
        </w:rPr>
      </w:pPr>
    </w:p>
    <w:p>
      <w:pPr>
        <w:pStyle w:val="Formuledadoption"/>
        <w:rPr>
          <w:noProof/>
        </w:rPr>
      </w:pPr>
      <w:r>
        <w:rPr>
          <w:noProof/>
        </w:rPr>
        <w:t>ELFOGADTA EZT A HATÁROZATOT:</w:t>
      </w:r>
    </w:p>
    <w:p>
      <w:pPr>
        <w:pStyle w:val="Titrearticle"/>
        <w:rPr>
          <w:noProof/>
        </w:rPr>
      </w:pPr>
      <w:r>
        <w:rPr>
          <w:noProof/>
        </w:rPr>
        <w:t>1. cikk</w:t>
      </w:r>
    </w:p>
    <w:p>
      <w:pPr>
        <w:rPr>
          <w:noProof/>
        </w:rPr>
      </w:pPr>
      <w:r>
        <w:rPr>
          <w:noProof/>
        </w:rPr>
        <w:t>A 29. munkacsoport 2020. március 10. és 12. között tartandó 180. ülésszakán az Unió nevében képviselendő álláspont az, hogy az e határozat mellékletében felsorolt javaslatok mellett kell szavazni.</w:t>
      </w:r>
    </w:p>
    <w:p>
      <w:pPr>
        <w:pStyle w:val="Titrearticle"/>
        <w:rPr>
          <w:noProof/>
        </w:rPr>
      </w:pPr>
      <w:r>
        <w:rPr>
          <w:noProof/>
        </w:rPr>
        <w:t>2. cikk</w:t>
      </w:r>
    </w:p>
    <w:p>
      <w:pPr>
        <w:rPr>
          <w:noProof/>
        </w:rPr>
      </w:pPr>
      <w:r>
        <w:rPr>
          <w:noProof/>
        </w:rPr>
        <w:t>A 29. munkacsoport 2020. március 10. és 12. között tartandó 180. ülésszakán az Unió nevében képviselendő álláspont az, hogy a 144. számú ENSZ-előírás 2. kiegészítésére (baleseti segélyhívó rendszerek, ECE/TRANS/WP.29/2020/25 számú munkadokumentum) irányuló javaslat ellen kell szavazni.</w:t>
      </w:r>
    </w:p>
    <w:p>
      <w:pPr>
        <w:pStyle w:val="Titrearticle"/>
        <w:rPr>
          <w:noProof/>
        </w:rPr>
      </w:pPr>
      <w:r>
        <w:rPr>
          <w:noProof/>
        </w:rPr>
        <w:t>3. cikk</w:t>
      </w:r>
    </w:p>
    <w:p>
      <w:pPr>
        <w:rPr>
          <w:noProof/>
        </w:rPr>
      </w:pPr>
      <w:r>
        <w:rPr>
          <w:noProof/>
        </w:rPr>
        <w:t>Ennek a határozatnak a Bizottság a címzettje.</w:t>
      </w:r>
    </w:p>
    <w:p>
      <w:pPr>
        <w:rPr>
          <w:noProof/>
        </w:rPr>
      </w:pPr>
    </w:p>
    <w:p>
      <w:pPr>
        <w:pStyle w:val="Fait"/>
        <w:rPr>
          <w:noProof/>
        </w:rPr>
      </w:pPr>
      <w:r>
        <w:t>Kelt Brüsszelben, -án/-én.</w:t>
      </w:r>
    </w:p>
    <w:p>
      <w:pPr>
        <w:pStyle w:val="Institutionquisigne"/>
        <w:rPr>
          <w:noProof/>
        </w:rPr>
      </w:pPr>
    </w:p>
    <w:p>
      <w:pPr>
        <w:pStyle w:val="Institutionquisigne"/>
        <w:spacing w:before="120"/>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 Tanács 97/836/EK határozata (1997. november 27.) az Európai Közösségnek az ENSZ Európai Gazdasági Bizottságának a kerekes járművekre és az azokba szerelhető, illetve az azokon használható berendezésekre és tartozékokra vonatkozó egységes műszaki előírások elfogadásáról, valamint az ezen előírások alapján kibocsátott jóváhagyások kölcsönös elismerésének feltételeiről szóló megállapodásához (1958. évi felülvizsgált megállapodás) való csatlakozásáról (HL L 346., 1997.12.17., 78. o.).</w:t>
      </w:r>
    </w:p>
    <w:p>
      <w:pPr>
        <w:pStyle w:val="FootnoteText"/>
        <w:ind w:firstLine="0"/>
      </w:pPr>
      <w:r>
        <w:t>A Tanács 2000/125/EK határozata (2000. január 31.) a kerekes járművekről, valamint a kerekes járművekre felszerelhető és/vagy azokon használható berendezésekről és felszerelésekről szóló globális műszaki előírások kidolgozására irányuló megállapodás megkötéséről (párhuzamos megállapodás) (HL L 35., 2000.2.10., 12. o.).</w:t>
      </w:r>
    </w:p>
  </w:footnote>
  <w:footnote w:id="2">
    <w:p>
      <w:pPr>
        <w:pStyle w:val="FootnoteText"/>
      </w:pPr>
      <w:r>
        <w:rPr>
          <w:rStyle w:val="FootnoteReference"/>
        </w:rPr>
        <w:footnoteRef/>
      </w:r>
      <w:r>
        <w:tab/>
        <w:t xml:space="preserve">A Bíróság 2014. október 7-i ítélete, Németország kontra Tanács, C-399/12, ECLI:EU:C:2014:2258, 61–64. pont. </w:t>
      </w:r>
    </w:p>
  </w:footnote>
  <w:footnote w:id="3">
    <w:p>
      <w:pPr>
        <w:pStyle w:val="FootnoteText"/>
      </w:pPr>
      <w:r>
        <w:rPr>
          <w:rStyle w:val="FootnoteReference"/>
        </w:rPr>
        <w:footnoteRef/>
      </w:r>
      <w:r>
        <w:tab/>
        <w:t>Az Európai Parlament és a Tanács 2007/46/EK irányelve (2007. szeptember 5.) a gépjárművek és pótkocsijaik, valamint az ilyen járművek rendszereinek, alkatrészeinek és önálló műszaki egységeinek jóváhagyásáról („keretirányelv”) (HL L 263., 2007.10.9., 1. o.).</w:t>
      </w:r>
    </w:p>
  </w:footnote>
  <w:footnote w:id="4">
    <w:p>
      <w:pPr>
        <w:pStyle w:val="FootnoteText"/>
      </w:pPr>
      <w:r>
        <w:rPr>
          <w:rStyle w:val="FootnoteReference"/>
        </w:rPr>
        <w:footnoteRef/>
      </w:r>
      <w:r>
        <w:tab/>
        <w:t>A Tanács 97/836/EK határozata (1997. november 27.) az Európai Közösségnek az ENSZ Európai Gazdasági Bizottságának a kerekes járművekre és az azokba szerelhető, illetve az azokon használható berendezésekre és tartozékokra vonatkozó egységes műszaki előírások elfogadásáról, valamint az ezen előírások alapján kibocsátott jóváhagyások kölcsönös elismerésének feltételeiről szóló megállapodásához (1958. évi felülvizsgált megállapodás) való csatlakozásáról (HL L 346., 1997.12.17., 78. o.).</w:t>
      </w:r>
    </w:p>
  </w:footnote>
  <w:footnote w:id="5">
    <w:p>
      <w:pPr>
        <w:pStyle w:val="FootnoteText"/>
      </w:pPr>
      <w:r>
        <w:rPr>
          <w:rStyle w:val="FootnoteReference"/>
        </w:rPr>
        <w:footnoteRef/>
      </w:r>
      <w:r>
        <w:tab/>
        <w:t>A Tanács 2000/125/EK határozata (2000. január 31.) a kerekes járművekről, valamint a kerekes járművekre felszerelhető és/vagy azokon használható berendezésekről és felszerelésekről szóló globális műszaki előírások kidolgozására irányuló megállapodás megkötéséről (párhuzamos megállapodás) (HL L 35., 2000.2.10., 12. o.).</w:t>
      </w:r>
    </w:p>
  </w:footnote>
  <w:footnote w:id="6">
    <w:p>
      <w:pPr>
        <w:pStyle w:val="FootnoteText"/>
      </w:pPr>
      <w:r>
        <w:rPr>
          <w:rStyle w:val="FootnoteReference"/>
        </w:rPr>
        <w:footnoteRef/>
      </w:r>
      <w:r>
        <w:tab/>
        <w:t>Az Európai Parlament és a Tanács 2007/46/EK irányelve (2007. szeptember 5.) a gépjárművek és pótkocsijaik, valamint az ilyen járművek rendszereinek, alkatrészeinek és önálló műszaki egységeinek jóváhagyásáról („keretirányelv”) (HL L 263., 2007.10.9.,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240F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89298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49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C89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D640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6A8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82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C00B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hideSpellingErrors/>
  <w:hideGrammaticalErrors/>
  <w:attachedTemplate r:id="rId1"/>
  <w:revisionView w:markup="0"/>
  <w:doNotTrackFormatting/>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2-05 10:08: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1"/>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CF309C8-1D6D-424B-A5F8-601477B31C19"/>
    <w:docVar w:name="LW_COVERPAGE_TYPE" w:val="1"/>
    <w:docVar w:name="LW_CROSSREFERENCE" w:val="&lt;UNUSED&gt;"/>
    <w:docVar w:name="LW_DocType" w:val="COM"/>
    <w:docVar w:name="LW_EMISSION" w:val="2020.2.5."/>
    <w:docVar w:name="LW_EMISSION_ISODATE" w:val="2020-02-05"/>
    <w:docVar w:name="LW_EMISSION_LOCATION" w:val="BRX"/>
    <w:docVar w:name="LW_EMISSION_PREFIX" w:val="Brüssz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020"/>
    <w:docVar w:name="LW_REF.II.NEW.CP_YEAR" w:val="2020"/>
    <w:docVar w:name="LW_REF.INST.NEW" w:val="COM"/>
    <w:docVar w:name="LW_REF.INST.NEW_ADOPTED" w:val="final"/>
    <w:docVar w:name="LW_REF.INST.NEW_TEXT" w:val="(2020) 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Javaslat"/>
    <w:docVar w:name="LW_SUPERTITRE" w:val="&lt;UNUSED&gt;"/>
    <w:docVar w:name="LW_TITRE.OBJ.CP" w:val="az ENSZ Európai Gazdasági Bizottságának megfelel\u337? bizottságaiban az ENSZ 10., 26., 28., 46., 48., 51., 55., 58., 59., 62., 79., 90., 106., 107., 110., 117., 121., 122., 128., 144., 148., 149., 150., 151. és 152. számú el\u337?írásának módosításaira irányuló javaslatok, a 3., 6. és 16. számú globális m\u369?szaki el\u337?írás módosításaira irányuló javaslatok, az R.E.5 összevont határozat módosításaira irányuló javaslat, valamint a 6. számú globális m\u369?szaki el\u337?írás módosítása kidolgozásának engedélyezésére és egy, az elektromos járm\u369?vek teljesítményének meghatározására vonatkozó új globális m\u369?szaki el\u337?írás kidolgozásának engedélyezésére irányuló javaslat tekintetében az Európai Unió által képviselend\u337? álláspontról_x000b_"/>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7470">
      <w:bodyDiv w:val="1"/>
      <w:marLeft w:val="0"/>
      <w:marRight w:val="0"/>
      <w:marTop w:val="0"/>
      <w:marBottom w:val="0"/>
      <w:divBdr>
        <w:top w:val="none" w:sz="0" w:space="0" w:color="auto"/>
        <w:left w:val="none" w:sz="0" w:space="0" w:color="auto"/>
        <w:bottom w:val="none" w:sz="0" w:space="0" w:color="auto"/>
        <w:right w:val="none" w:sz="0" w:space="0" w:color="auto"/>
      </w:divBdr>
    </w:div>
    <w:div w:id="1125269393">
      <w:bodyDiv w:val="1"/>
      <w:marLeft w:val="0"/>
      <w:marRight w:val="0"/>
      <w:marTop w:val="0"/>
      <w:marBottom w:val="0"/>
      <w:divBdr>
        <w:top w:val="none" w:sz="0" w:space="0" w:color="auto"/>
        <w:left w:val="none" w:sz="0" w:space="0" w:color="auto"/>
        <w:bottom w:val="none" w:sz="0" w:space="0" w:color="auto"/>
        <w:right w:val="none" w:sz="0" w:space="0" w:color="auto"/>
      </w:divBdr>
    </w:div>
    <w:div w:id="1174107684">
      <w:bodyDiv w:val="1"/>
      <w:marLeft w:val="0"/>
      <w:marRight w:val="0"/>
      <w:marTop w:val="0"/>
      <w:marBottom w:val="0"/>
      <w:divBdr>
        <w:top w:val="none" w:sz="0" w:space="0" w:color="auto"/>
        <w:left w:val="none" w:sz="0" w:space="0" w:color="auto"/>
        <w:bottom w:val="none" w:sz="0" w:space="0" w:color="auto"/>
        <w:right w:val="none" w:sz="0" w:space="0" w:color="auto"/>
      </w:divBdr>
    </w:div>
    <w:div w:id="1342731840">
      <w:bodyDiv w:val="1"/>
      <w:marLeft w:val="0"/>
      <w:marRight w:val="0"/>
      <w:marTop w:val="0"/>
      <w:marBottom w:val="0"/>
      <w:divBdr>
        <w:top w:val="none" w:sz="0" w:space="0" w:color="auto"/>
        <w:left w:val="none" w:sz="0" w:space="0" w:color="auto"/>
        <w:bottom w:val="none" w:sz="0" w:space="0" w:color="auto"/>
        <w:right w:val="none" w:sz="0" w:space="0" w:color="auto"/>
      </w:divBdr>
    </w:div>
    <w:div w:id="2021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5D1C-C8BB-4789-94D0-86A3B696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Pages>
  <Words>2182</Words>
  <Characters>15209</Characters>
  <Application>Microsoft Office Word</Application>
  <DocSecurity>0</DocSecurity>
  <Lines>262</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2019-09-23T08:48:00Z</cp:lastPrinted>
  <dcterms:created xsi:type="dcterms:W3CDTF">2020-01-28T16:54:00Z</dcterms:created>
  <dcterms:modified xsi:type="dcterms:W3CDTF">2020-02-05T09:08:00Z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