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8C" w:rsidRDefault="0085752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39902CF-13EE-4993-93E4-3BDF1EAF6142" style="width:450.7pt;height:320.55pt">
            <v:imagedata r:id="rId8" o:title=""/>
          </v:shape>
        </w:pict>
      </w:r>
    </w:p>
    <w:bookmarkEnd w:id="0"/>
    <w:p w:rsidR="00D8298C" w:rsidRDefault="00D8298C">
      <w:pPr>
        <w:rPr>
          <w:noProof/>
        </w:rPr>
        <w:sectPr w:rsidR="00D8298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D8298C" w:rsidRDefault="00857529">
      <w:pPr>
        <w:pStyle w:val="ListParagraph"/>
        <w:numPr>
          <w:ilvl w:val="0"/>
          <w:numId w:val="25"/>
        </w:numPr>
        <w:spacing w:after="240"/>
        <w:jc w:val="both"/>
        <w:rPr>
          <w:rFonts w:ascii="Times New Roman" w:eastAsia="Times New Roman" w:hAnsi="Times New Roman" w:cs="Times New Roman"/>
          <w:b/>
          <w:i/>
          <w:noProof/>
          <w:sz w:val="24"/>
          <w:szCs w:val="24"/>
          <w:u w:val="single"/>
        </w:rPr>
      </w:pPr>
      <w:r>
        <w:rPr>
          <w:rFonts w:ascii="Times New Roman" w:hAnsi="Times New Roman"/>
          <w:b/>
          <w:i/>
          <w:noProof/>
          <w:u w:val="single"/>
        </w:rPr>
        <w:lastRenderedPageBreak/>
        <w:t>Bevezetés</w:t>
      </w:r>
    </w:p>
    <w:p w:rsidR="00D8298C" w:rsidRDefault="00857529">
      <w:pPr>
        <w:jc w:val="both"/>
        <w:rPr>
          <w:noProof/>
        </w:rPr>
      </w:pPr>
      <w:r>
        <w:rPr>
          <w:noProof/>
        </w:rPr>
        <w:t>A távközlési hálózatok ötödik generációja (5G) alapvető szerepet fog játszani az európai társadalom és gazdaság fejlődésében. A várakozások szerint hatalmas gazdasági lehetőségeket fognak kínálni, és fontos alapként fognak szolgálni a digitális és zöld áta</w:t>
      </w:r>
      <w:r>
        <w:rPr>
          <w:noProof/>
        </w:rPr>
        <w:t xml:space="preserve">lakuláshoz olyan területeken, mint a közlekedés, az energia, a gyártás, az egészségügy, a mezőgazdaság és a média. </w:t>
      </w:r>
    </w:p>
    <w:p w:rsidR="00D8298C" w:rsidRDefault="00D8298C">
      <w:pPr>
        <w:jc w:val="both"/>
        <w:rPr>
          <w:noProof/>
        </w:rPr>
      </w:pPr>
    </w:p>
    <w:p w:rsidR="00D8298C" w:rsidRDefault="00857529">
      <w:pPr>
        <w:jc w:val="both"/>
        <w:rPr>
          <w:noProof/>
        </w:rPr>
      </w:pPr>
      <w:r>
        <w:rPr>
          <w:noProof/>
        </w:rPr>
        <w:t>Az 5G ily módon potenciálisan hatással lesz az uniós polgárok életének csaknem valamennyi aspektusára. Az 5G hálózatok kiberbiztonsága ezér</w:t>
      </w:r>
      <w:r>
        <w:rPr>
          <w:noProof/>
        </w:rPr>
        <w:t xml:space="preserve">t nemcsak gazdaságaink, társadalmaink és demokratikus folyamataink védelme, hanem az összes uniós polgár javát szolgáló megbízható digitális átalakulás biztosítása szempontjából is alapvető fontosságú.  </w:t>
      </w:r>
    </w:p>
    <w:p w:rsidR="00D8298C" w:rsidRDefault="00D8298C">
      <w:pPr>
        <w:spacing w:after="240"/>
        <w:contextualSpacing/>
        <w:jc w:val="both"/>
        <w:rPr>
          <w:noProof/>
        </w:rPr>
      </w:pPr>
    </w:p>
    <w:p w:rsidR="00D8298C" w:rsidRDefault="00857529">
      <w:pPr>
        <w:spacing w:after="240"/>
        <w:contextualSpacing/>
        <w:jc w:val="both"/>
        <w:rPr>
          <w:noProof/>
        </w:rPr>
      </w:pPr>
      <w:r>
        <w:rPr>
          <w:noProof/>
        </w:rPr>
        <w:t>Számos kritikus szolgáltatás 5G hálózatoktól való f</w:t>
      </w:r>
      <w:r>
        <w:rPr>
          <w:noProof/>
        </w:rPr>
        <w:t>üggése miatt a rendszerszintű és széles körű zavarok következményei különösen súlyosak lennének, és – tekintettel a digitális ökoszisztémák összekapcsolt jellegére – határokon átnyúló, jelentős hatásokkal járnának. Ennek következtében az 5G hálózatok kiber</w:t>
      </w:r>
      <w:r>
        <w:rPr>
          <w:noProof/>
        </w:rPr>
        <w:t>biztonságának megvalósítása stratégiai fontosságú kérdés az Unió számára egy olyan időszakban, amikor a kibertámadások egyre gyakoribbak és kifinomultabbak, mint valaha, és a fenyegetést jelentő szereplők széles körétől – különösen az EU-n kívüli állami va</w:t>
      </w:r>
      <w:r>
        <w:rPr>
          <w:noProof/>
        </w:rPr>
        <w:t>gy valamely nem uniós állam által támogatott szereplőktől – érkeznek.  Ami az olyan kritikus infrastruktúrák biztonságát illeti, mint az 5G, a választott megoldás az, hogy – most első alkalommal – meg kell határozni egy közös európai megközelítést. Ez a me</w:t>
      </w:r>
      <w:r>
        <w:rPr>
          <w:noProof/>
        </w:rPr>
        <w:t xml:space="preserve">gközelítés teljes mértékben tiszteletben tartja az EU belső piacának nyitottságát mindaddig, amíg tiszteletben tartják a kockázatalapú uniós biztonsági követelményeket. </w:t>
      </w:r>
    </w:p>
    <w:p w:rsidR="00D8298C" w:rsidRDefault="00D8298C">
      <w:pPr>
        <w:spacing w:after="240"/>
        <w:contextualSpacing/>
        <w:jc w:val="both"/>
        <w:rPr>
          <w:noProof/>
        </w:rPr>
      </w:pPr>
    </w:p>
    <w:p w:rsidR="00D8298C" w:rsidRDefault="00857529">
      <w:pPr>
        <w:spacing w:after="240"/>
        <w:contextualSpacing/>
        <w:jc w:val="both"/>
        <w:rPr>
          <w:noProof/>
        </w:rPr>
      </w:pPr>
      <w:r>
        <w:rPr>
          <w:noProof/>
        </w:rPr>
        <w:t>2019. március 22-i ülésén az Európai Tanács az 5G hálózatok biztonságát illetően össz</w:t>
      </w:r>
      <w:r>
        <w:rPr>
          <w:noProof/>
        </w:rPr>
        <w:t>ehangolt megközelítésre szólított fel. A Bizottság 2019. március 26-án elfogadta az 5G hálózatok kiberbiztonságáról szóló (EU) 2019/534 ajánlást</w:t>
      </w:r>
      <w:r>
        <w:rPr>
          <w:rStyle w:val="FootnoteReference"/>
          <w:noProof/>
        </w:rPr>
        <w:footnoteReference w:id="2"/>
      </w:r>
      <w:r>
        <w:rPr>
          <w:noProof/>
        </w:rPr>
        <w:t xml:space="preserve">. Az ajánlásban felkérte a tagállamokat, hogy készítsenek nemzeti kockázatértékelést, vizsgálják felül nemzeti </w:t>
      </w:r>
      <w:r>
        <w:rPr>
          <w:noProof/>
        </w:rPr>
        <w:t xml:space="preserve">intézkedéseiket, valamint hogy uniós szintű együttműködés keretében vegyenek részt az összehangolt kockázatértékelés elvégzésében és dolgozzanak ki egy, a lehetséges kockázatcsökkentő intézkedéseket tartalmazó eszköztárat. Ez a közlemény az Európai Tanács </w:t>
      </w:r>
      <w:r>
        <w:rPr>
          <w:noProof/>
        </w:rPr>
        <w:t xml:space="preserve">kérésének megfelelően szerves részét képezi a Bizottság átfogó európai digitális stratégiájának.  </w:t>
      </w:r>
    </w:p>
    <w:p w:rsidR="00D8298C" w:rsidRDefault="00D8298C">
      <w:pPr>
        <w:spacing w:after="240"/>
        <w:contextualSpacing/>
        <w:jc w:val="both"/>
        <w:rPr>
          <w:noProof/>
        </w:rPr>
      </w:pPr>
    </w:p>
    <w:p w:rsidR="00D8298C" w:rsidRDefault="00857529">
      <w:pPr>
        <w:pStyle w:val="ListParagraph"/>
        <w:numPr>
          <w:ilvl w:val="0"/>
          <w:numId w:val="25"/>
        </w:numPr>
        <w:spacing w:after="240"/>
        <w:jc w:val="both"/>
        <w:rPr>
          <w:rFonts w:ascii="Times New Roman" w:eastAsia="Times New Roman" w:hAnsi="Times New Roman" w:cs="Times New Roman"/>
          <w:b/>
          <w:i/>
          <w:noProof/>
          <w:sz w:val="24"/>
          <w:szCs w:val="24"/>
          <w:u w:val="single"/>
        </w:rPr>
      </w:pPr>
      <w:r>
        <w:rPr>
          <w:rFonts w:ascii="Times New Roman" w:hAnsi="Times New Roman"/>
          <w:b/>
          <w:i/>
          <w:noProof/>
          <w:u w:val="single"/>
        </w:rPr>
        <w:t xml:space="preserve">Az 5G bevezetése az EU-ban </w:t>
      </w:r>
    </w:p>
    <w:p w:rsidR="00D8298C" w:rsidRDefault="00857529">
      <w:pPr>
        <w:jc w:val="both"/>
        <w:rPr>
          <w:noProof/>
        </w:rPr>
      </w:pPr>
      <w:r>
        <w:rPr>
          <w:noProof/>
        </w:rPr>
        <w:t xml:space="preserve">Az 5G hálózati infrastruktúra kiépítése Európában központi jelentőségű az európai ipari stratégia és versenyképesség </w:t>
      </w:r>
      <w:r>
        <w:rPr>
          <w:noProof/>
        </w:rPr>
        <w:t>szempontjából. A Bizottság a hálózati technológiák 5. generációjának (5G) kiépítését a jövőbeli digitális szolgáltatások egyik fő elősegítő tényezőjeként ismerte el. A Bizottság 2016-ban elfogadta az 5G cselekvési tervet</w:t>
      </w:r>
      <w:r>
        <w:rPr>
          <w:rStyle w:val="FootnoteReference"/>
          <w:noProof/>
        </w:rPr>
        <w:footnoteReference w:id="3"/>
      </w:r>
      <w:r>
        <w:rPr>
          <w:noProof/>
        </w:rPr>
        <w:t xml:space="preserve"> annak biztosítása érdekében, hogy </w:t>
      </w:r>
      <w:r>
        <w:rPr>
          <w:noProof/>
        </w:rPr>
        <w:t xml:space="preserve">az Unió 2020-tól rendelkezzen a digitális átalakulásához szükséges hálózati infrastruktúrával, 2025-ig pedig a városi területeken és a fő közlekedési útvonalakon történő átfogó bevezetéshez szükséges hálózati infrastruktúrával. A gigabitalapú </w:t>
      </w:r>
      <w:r>
        <w:rPr>
          <w:noProof/>
        </w:rPr>
        <w:lastRenderedPageBreak/>
        <w:t>társadalomról</w:t>
      </w:r>
      <w:r>
        <w:rPr>
          <w:noProof/>
        </w:rPr>
        <w:t xml:space="preserve"> szóló közlemény</w:t>
      </w:r>
      <w:r>
        <w:rPr>
          <w:rStyle w:val="FootnoteReference"/>
          <w:noProof/>
        </w:rPr>
        <w:footnoteReference w:id="4"/>
      </w:r>
      <w:r>
        <w:rPr>
          <w:noProof/>
        </w:rPr>
        <w:t xml:space="preserve"> azt a célt tűzi ki, hogy a mobil adatkapcsolatok mindenhol elérhetőek legyenek, beleértve a vidéki és távoli területeket is.</w:t>
      </w:r>
    </w:p>
    <w:p w:rsidR="00D8298C" w:rsidRDefault="00D8298C">
      <w:pPr>
        <w:jc w:val="both"/>
        <w:rPr>
          <w:noProof/>
        </w:rPr>
      </w:pPr>
    </w:p>
    <w:p w:rsidR="00D8298C" w:rsidRDefault="00857529">
      <w:pPr>
        <w:jc w:val="both"/>
        <w:rPr>
          <w:noProof/>
        </w:rPr>
      </w:pPr>
      <w:r>
        <w:rPr>
          <w:noProof/>
        </w:rPr>
        <w:t>Ami a frekvenciakiosztást illeti, a tagállamok az 5G úttörő sávok 16 %-át osztották ki</w:t>
      </w:r>
      <w:r>
        <w:rPr>
          <w:rStyle w:val="FootnoteReference"/>
          <w:noProof/>
        </w:rPr>
        <w:footnoteReference w:id="5"/>
      </w:r>
      <w:r>
        <w:rPr>
          <w:noProof/>
        </w:rPr>
        <w:t>. Tekintettel arra a jogi</w:t>
      </w:r>
      <w:r>
        <w:rPr>
          <w:noProof/>
        </w:rPr>
        <w:t xml:space="preserve"> kötelezettségre, hogy az év végéig lehetővé kell tenni valamennyi 5G úttörő sáv használatát, az elkövetkező hónapokban több kiosztási eljárásról is várhatók konzultációk.  </w:t>
      </w:r>
    </w:p>
    <w:p w:rsidR="00D8298C" w:rsidRDefault="00D8298C">
      <w:pPr>
        <w:jc w:val="both"/>
        <w:rPr>
          <w:noProof/>
        </w:rPr>
      </w:pPr>
    </w:p>
    <w:p w:rsidR="00D8298C" w:rsidRDefault="00857529">
      <w:pPr>
        <w:jc w:val="both"/>
        <w:rPr>
          <w:noProof/>
        </w:rPr>
      </w:pPr>
      <w:r>
        <w:rPr>
          <w:noProof/>
        </w:rPr>
        <w:t>Európa a világ egyik legfejlettebb régiója az 5G szolgáltatások kereskedelmi beve</w:t>
      </w:r>
      <w:r>
        <w:rPr>
          <w:noProof/>
        </w:rPr>
        <w:t>zetése tekintetében</w:t>
      </w:r>
      <w:r>
        <w:rPr>
          <w:rStyle w:val="FootnoteReference"/>
          <w:noProof/>
        </w:rPr>
        <w:footnoteReference w:id="6"/>
      </w:r>
      <w:r>
        <w:rPr>
          <w:noProof/>
        </w:rPr>
        <w:t>. A jelenlegi előrejelzések szerint az első 5G szolgáltatások 138 európai városban állnak majd rendelkezésre 2020 végéig. Az első 5G hálózatok a hálózati technológiák jelenlegi 4. generációjára (4G) épülnek, és az 5G szolgáltatások első</w:t>
      </w:r>
      <w:r>
        <w:rPr>
          <w:noProof/>
        </w:rPr>
        <w:t>sorban vagy a 4G kapacitás és sebesség javításaként, vagy a vezetékes hálózatok költséghatékony vezeték nélküli alternatívájaként állnak a lakosság rendelkezésére</w:t>
      </w:r>
      <w:r>
        <w:rPr>
          <w:rStyle w:val="FootnoteReference"/>
          <w:noProof/>
        </w:rPr>
        <w:footnoteReference w:id="7"/>
      </w:r>
      <w:r>
        <w:rPr>
          <w:noProof/>
        </w:rPr>
        <w:t xml:space="preserve">. </w:t>
      </w:r>
    </w:p>
    <w:p w:rsidR="00D8298C" w:rsidRDefault="00D8298C">
      <w:pPr>
        <w:jc w:val="both"/>
        <w:rPr>
          <w:noProof/>
        </w:rPr>
      </w:pPr>
    </w:p>
    <w:p w:rsidR="00D8298C" w:rsidRDefault="00857529">
      <w:pPr>
        <w:jc w:val="both"/>
        <w:rPr>
          <w:noProof/>
        </w:rPr>
      </w:pPr>
      <w:r>
        <w:rPr>
          <w:noProof/>
        </w:rPr>
        <w:t xml:space="preserve">Ami az új, vállalkozások közötti szolgáltatásokban – például az energia-, az élelmiszer- </w:t>
      </w:r>
      <w:r>
        <w:rPr>
          <w:noProof/>
        </w:rPr>
        <w:t>és a mezőgazdasági, az egészségügyi, a feldolgozóipari vagy a közlekedési ágazatban – rejlő lehetőségeket illeti, Európa jól halad a mintegy 1 milliárd EUR összegű beruházással, beleértve a Horizont 2020 égisze alatti 5G köz-magán társulás keretében megval</w:t>
      </w:r>
      <w:r>
        <w:rPr>
          <w:noProof/>
        </w:rPr>
        <w:t>ósuló 300 millió EUR összegű uniós finanszírozást is. Ez a beruházás több mint 160, Európában azonosított nagyszabású 5G tesztelést foglal magában, beleértve tíz, határokon átnyúló autópálya-folyosót az 5G-alapú összekapcsolt és automatizált mobilitási szo</w:t>
      </w:r>
      <w:r>
        <w:rPr>
          <w:noProof/>
        </w:rPr>
        <w:t>lgáltatások nagyszabású tesztelésére. A tesztelések kiterjednek a fenntartható egészségügyi ellátástól és az automatizált mobilitástól az erőforrás-hatékony mezőgazdaságon át az intelligens villamosenergia-hálózatokig és az Ipar 4.0-ig a legkülönbözőbb ter</w:t>
      </w:r>
      <w:r>
        <w:rPr>
          <w:noProof/>
        </w:rPr>
        <w:t>ületek 5G-alapú alkalmazásaira. Emellett az EBB az Európai Stratégiai Beruházási Alap támogatásával hiteleket nyújtott az 5G technológiával kapcsolatos kutatás-fejlesztés felgyorsításához.</w:t>
      </w:r>
    </w:p>
    <w:p w:rsidR="00D8298C" w:rsidRDefault="00D8298C">
      <w:pPr>
        <w:jc w:val="both"/>
        <w:rPr>
          <w:noProof/>
        </w:rPr>
      </w:pPr>
    </w:p>
    <w:p w:rsidR="00D8298C" w:rsidRDefault="00857529">
      <w:pPr>
        <w:jc w:val="both"/>
        <w:rPr>
          <w:noProof/>
        </w:rPr>
      </w:pPr>
      <w:r>
        <w:rPr>
          <w:noProof/>
        </w:rPr>
        <w:t>A 2020. december 21-től alkalmazandó Európai Elektronikus Hírközlé</w:t>
      </w:r>
      <w:r>
        <w:rPr>
          <w:noProof/>
        </w:rPr>
        <w:t>si Kódex (a továbbiakban: Kódex)</w:t>
      </w:r>
      <w:r>
        <w:rPr>
          <w:rStyle w:val="FootnoteReference"/>
          <w:noProof/>
        </w:rPr>
        <w:footnoteReference w:id="8"/>
      </w:r>
      <w:r>
        <w:rPr>
          <w:noProof/>
        </w:rPr>
        <w:t xml:space="preserve"> fontos alapot jelent az 5G hálózatok és az azon túlmutató infrastruktúrák beruházásbarát környezetének megteremtéséhez. Emellett az olyan közfinanszírozású programok, mint az Európai Hálózatfinanszírozási Eszköz</w:t>
      </w:r>
      <w:r>
        <w:rPr>
          <w:rStyle w:val="FootnoteReference"/>
          <w:noProof/>
        </w:rPr>
        <w:footnoteReference w:id="9"/>
      </w:r>
      <w:r>
        <w:rPr>
          <w:noProof/>
        </w:rPr>
        <w:t xml:space="preserve"> digitális</w:t>
      </w:r>
      <w:r>
        <w:rPr>
          <w:noProof/>
        </w:rPr>
        <w:t xml:space="preserve"> ága vagy az európai strukturális és beruházási alapok szintén alapvető fontosságúak lesznek az 5G hálózatok jövőbeli kiépítésének támogatása szempontjából, különösen azáltal, hogy a közösségeket összekapcsolják az 5G-alapú szolgáltatásokkal, például az is</w:t>
      </w:r>
      <w:r>
        <w:rPr>
          <w:noProof/>
        </w:rPr>
        <w:t xml:space="preserve">kolákkal, kórházakkal, városokkal és helyi közigazgatási szervekkel. </w:t>
      </w:r>
    </w:p>
    <w:p w:rsidR="00D8298C" w:rsidRDefault="00D8298C">
      <w:pPr>
        <w:jc w:val="both"/>
        <w:rPr>
          <w:noProof/>
        </w:rPr>
      </w:pPr>
    </w:p>
    <w:p w:rsidR="00D8298C" w:rsidRDefault="00857529">
      <w:pPr>
        <w:spacing w:after="240"/>
        <w:jc w:val="both"/>
        <w:rPr>
          <w:noProof/>
        </w:rPr>
      </w:pPr>
      <w:r>
        <w:rPr>
          <w:noProof/>
        </w:rPr>
        <w:lastRenderedPageBreak/>
        <w:t>Figyelembe véve Európa stratégiai lehetőségeit az 5G szolgáltatások terén a különböző ágazatok esetében, rendkívül fontos, hogy az üzemeltetők és szolgáltatók beruházásai fejlett 5G hál</w:t>
      </w:r>
      <w:r>
        <w:rPr>
          <w:noProof/>
        </w:rPr>
        <w:t>ózati és szolgáltatási megoldásokra irányuljanak. Ehhez nemcsak új 5G rádióhálózatokra lesz szükség, hanem új, úgynevezett „önálló” 5G gerinchálózatokra is annak érdekében, hogy olyan fejlett 5G funkciókat biztosítsanak, mint a hálózati szeletelés</w:t>
      </w:r>
      <w:r>
        <w:rPr>
          <w:rStyle w:val="FootnoteReference"/>
          <w:noProof/>
        </w:rPr>
        <w:footnoteReference w:id="10"/>
      </w:r>
      <w:r>
        <w:rPr>
          <w:noProof/>
        </w:rPr>
        <w:t xml:space="preserve"> és a pe</w:t>
      </w:r>
      <w:r>
        <w:rPr>
          <w:noProof/>
        </w:rPr>
        <w:t>reminformatikai alkalmazások</w:t>
      </w:r>
      <w:r>
        <w:rPr>
          <w:rStyle w:val="FootnoteReference"/>
          <w:noProof/>
        </w:rPr>
        <w:footnoteReference w:id="11"/>
      </w:r>
      <w:r>
        <w:rPr>
          <w:noProof/>
        </w:rPr>
        <w:t xml:space="preserve">. </w:t>
      </w:r>
    </w:p>
    <w:p w:rsidR="00D8298C" w:rsidRDefault="00857529">
      <w:pPr>
        <w:spacing w:after="240"/>
        <w:jc w:val="both"/>
        <w:rPr>
          <w:iCs/>
          <w:noProof/>
        </w:rPr>
      </w:pPr>
      <w:r>
        <w:rPr>
          <w:noProof/>
        </w:rPr>
        <w:t xml:space="preserve">A Bizottság továbbra is teljes mértékben támogatni fogja az 5G sikeres bevezetését az EU-ban, többek között azáltal, hogy a tagállamokkal és az érdekelt felekkel együttműködve megragadja az 5G nyújtotta lehetőségeket. Az </w:t>
      </w:r>
      <w:r>
        <w:rPr>
          <w:noProof/>
        </w:rPr>
        <w:t>érintett nemzetközi szervezetekkel és a tudományos közösséggel együttműködve az elővigyázatosság elve alapján kellő figyelmet kell fordítani a releváns egészségügyi szempontokra</w:t>
      </w:r>
      <w:r>
        <w:rPr>
          <w:rStyle w:val="FootnoteReference"/>
          <w:iCs/>
          <w:noProof/>
        </w:rPr>
        <w:footnoteReference w:id="12"/>
      </w:r>
      <w:r>
        <w:rPr>
          <w:noProof/>
        </w:rPr>
        <w:t>.</w:t>
      </w:r>
    </w:p>
    <w:p w:rsidR="00D8298C" w:rsidRDefault="00857529">
      <w:pPr>
        <w:spacing w:after="240"/>
        <w:jc w:val="both"/>
        <w:rPr>
          <w:rFonts w:eastAsia="Times New Roman"/>
          <w:b/>
          <w:i/>
          <w:noProof/>
          <w:u w:val="single"/>
        </w:rPr>
      </w:pPr>
      <w:r>
        <w:rPr>
          <w:b/>
          <w:i/>
          <w:noProof/>
          <w:u w:val="single"/>
        </w:rPr>
        <w:t>3. Az 5G hálózatokon belüli kiberbiztonságra vonatkozó összehangolt uniós ko</w:t>
      </w:r>
      <w:r>
        <w:rPr>
          <w:b/>
          <w:i/>
          <w:noProof/>
          <w:u w:val="single"/>
        </w:rPr>
        <w:t>ckázatértékelés</w:t>
      </w:r>
    </w:p>
    <w:p w:rsidR="00D8298C" w:rsidRDefault="00857529">
      <w:pPr>
        <w:spacing w:after="240"/>
        <w:contextualSpacing/>
        <w:jc w:val="both"/>
        <w:rPr>
          <w:noProof/>
        </w:rPr>
      </w:pPr>
      <w:r>
        <w:rPr>
          <w:noProof/>
        </w:rPr>
        <w:t>A Kiberbiztonsági</w:t>
      </w:r>
      <w:r>
        <w:rPr>
          <w:rStyle w:val="FootnoteReference"/>
          <w:noProof/>
        </w:rPr>
        <w:footnoteReference w:id="13"/>
      </w:r>
      <w:r>
        <w:rPr>
          <w:noProof/>
        </w:rPr>
        <w:t xml:space="preserve"> Együttműködési Csoport keretében együttműködve valamennyi tagállam elvégezte az 5G hálózati infrastruktúráira vonatkozó saját nemzeti kockázatértékelését, és az eredményeket 2019. július elejéig továbbította a Bizottságna</w:t>
      </w:r>
      <w:r>
        <w:rPr>
          <w:noProof/>
        </w:rPr>
        <w:t xml:space="preserve">k és az Európai Uniós Kiberbiztonsági Ügynökségnek, az ENISA-nak. </w:t>
      </w:r>
    </w:p>
    <w:p w:rsidR="00D8298C" w:rsidRDefault="00D8298C">
      <w:pPr>
        <w:spacing w:after="240"/>
        <w:contextualSpacing/>
        <w:jc w:val="both"/>
        <w:rPr>
          <w:noProof/>
        </w:rPr>
      </w:pPr>
    </w:p>
    <w:p w:rsidR="00D8298C" w:rsidRDefault="00857529">
      <w:pPr>
        <w:spacing w:after="240"/>
        <w:contextualSpacing/>
        <w:jc w:val="both"/>
        <w:rPr>
          <w:noProof/>
        </w:rPr>
      </w:pPr>
      <w:r>
        <w:rPr>
          <w:noProof/>
        </w:rPr>
        <w:t>E nemzeti kockázatértékelések alapján a tagállamok, a Bizottság és az ENISA képviselőiből álló Kiberbiztonsági Együttműködési Csoport 2019. október 9-én jelentést tett közzé az 5G hálózato</w:t>
      </w:r>
      <w:r>
        <w:rPr>
          <w:noProof/>
        </w:rPr>
        <w:t>k kiberbiztonságára vonatkozó összehangolt uniós kockázatértékelésről</w:t>
      </w:r>
      <w:r>
        <w:rPr>
          <w:rStyle w:val="FootnoteReference"/>
          <w:noProof/>
        </w:rPr>
        <w:footnoteReference w:id="14"/>
      </w:r>
      <w:r>
        <w:rPr>
          <w:noProof/>
        </w:rPr>
        <w:t xml:space="preserve">. A jelentés azonosítja az 5G hálózatokat érintő főbb fenyegetéseket és a fenyegetést jelentő szereplőket, a legérzékenyebb eszközöket és a főbb sebezhető pontokat (ideértve a technikai </w:t>
      </w:r>
      <w:r>
        <w:rPr>
          <w:noProof/>
        </w:rPr>
        <w:t>jellegű és az egyéb típusú sebezhetőségeket). Ennek alapján a jelentés az uniós szempontból stratégiai jelentőségű kockázatok számos kategóriáját is azonosította, amelyeket konkrét kockázati forgatókönyvek illusztrálnak, és amelyek tükrözik a különböző par</w:t>
      </w:r>
      <w:r>
        <w:rPr>
          <w:noProof/>
        </w:rPr>
        <w:t>améterek (sebezhetőségek, fenyegetések és a fenyegetést jelentő szereplők) releváns kombinációit a különböző eszközök tekintetében (lásd a függeléket).</w:t>
      </w:r>
    </w:p>
    <w:p w:rsidR="00D8298C" w:rsidRDefault="00D8298C">
      <w:pPr>
        <w:spacing w:after="240"/>
        <w:contextualSpacing/>
        <w:jc w:val="both"/>
        <w:rPr>
          <w:noProof/>
        </w:rPr>
      </w:pPr>
    </w:p>
    <w:p w:rsidR="00D8298C" w:rsidRDefault="00857529">
      <w:pPr>
        <w:spacing w:after="240"/>
        <w:jc w:val="both"/>
        <w:rPr>
          <w:noProof/>
        </w:rPr>
      </w:pPr>
      <w:r>
        <w:rPr>
          <w:noProof/>
        </w:rPr>
        <w:t xml:space="preserve">A jelentés kiegészítése céljából és az eszköztárhoz való további hozzájárulásként az ENISA elvégezte a </w:t>
      </w:r>
      <w:r>
        <w:rPr>
          <w:noProof/>
        </w:rPr>
        <w:t>fenyegetettségi helyzet célzott feltérképezését</w:t>
      </w:r>
      <w:r>
        <w:rPr>
          <w:rStyle w:val="FootnoteReference"/>
          <w:noProof/>
        </w:rPr>
        <w:footnoteReference w:id="15"/>
      </w:r>
      <w:r>
        <w:rPr>
          <w:noProof/>
        </w:rPr>
        <w:t xml:space="preserve">, amely egyes technikai szempontok – különösen a hálózati eszközök és az azokat érintő fenyegetések – részletes elemzéséből áll. </w:t>
      </w:r>
    </w:p>
    <w:p w:rsidR="00D8298C" w:rsidRDefault="00857529">
      <w:pPr>
        <w:spacing w:after="240"/>
        <w:jc w:val="both"/>
        <w:rPr>
          <w:noProof/>
        </w:rPr>
      </w:pPr>
      <w:r>
        <w:rPr>
          <w:noProof/>
        </w:rPr>
        <w:t>Az összehangolt uniós kockázatértékelésről szóló jelentés rávilágít számos, az</w:t>
      </w:r>
      <w:r>
        <w:rPr>
          <w:noProof/>
        </w:rPr>
        <w:t xml:space="preserve"> 5G hálózatok szempontjából fontos szempontra.</w:t>
      </w:r>
      <w:r>
        <w:rPr>
          <w:i/>
          <w:noProof/>
        </w:rPr>
        <w:t xml:space="preserve"> </w:t>
      </w:r>
      <w:r>
        <w:rPr>
          <w:noProof/>
        </w:rPr>
        <w:t>Ezek a következők:</w:t>
      </w:r>
    </w:p>
    <w:p w:rsidR="00D8298C" w:rsidRDefault="00857529">
      <w:pPr>
        <w:pBdr>
          <w:top w:val="single" w:sz="4" w:space="1" w:color="auto"/>
          <w:left w:val="single" w:sz="4" w:space="4" w:color="auto"/>
          <w:bottom w:val="single" w:sz="4" w:space="1" w:color="auto"/>
          <w:right w:val="single" w:sz="4" w:space="4" w:color="auto"/>
        </w:pBdr>
        <w:spacing w:after="240"/>
        <w:contextualSpacing/>
        <w:jc w:val="both"/>
        <w:rPr>
          <w:i/>
          <w:noProof/>
          <w:color w:val="000000"/>
        </w:rPr>
      </w:pPr>
      <w:r>
        <w:rPr>
          <w:i/>
          <w:noProof/>
        </w:rPr>
        <w:t>a) Az 5G által előidézett technológiai változások összességében növelni fogják a támadási felületet és a támadók lehetséges belépési pontjainak számát:</w:t>
      </w:r>
    </w:p>
    <w:p w:rsidR="00D8298C" w:rsidRDefault="00857529">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 xml:space="preserve"> </w:t>
      </w:r>
    </w:p>
    <w:p w:rsidR="00D8298C" w:rsidRDefault="00857529">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 xml:space="preserve">- A jobb hálózatperemi </w:t>
      </w:r>
      <w:r>
        <w:rPr>
          <w:i/>
          <w:noProof/>
        </w:rPr>
        <w:t>funkcionalitás és a mobilhálózatok korábbi generációihoz képest kevésbé központosított architektúra révén a gerinchálózat egyes funkciói beépíthetők a hálózatok más részeibe, ami érzékenyebbé teszi a megfelelő berendezéseket (pl. bázisállomások vagy MANO-f</w:t>
      </w:r>
      <w:r>
        <w:rPr>
          <w:i/>
          <w:noProof/>
        </w:rPr>
        <w:t>unkciók);</w:t>
      </w:r>
    </w:p>
    <w:p w:rsidR="00D8298C" w:rsidRDefault="00D8298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p>
    <w:p w:rsidR="00D8298C" w:rsidRDefault="00857529">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 Az 5G berendezések megnövekedett szoftveraránya növeli a szoftverfejlesztési és -frissítési folyamatokhoz kapcsolódó kockázatokat, új konfigurációs hibák lehetőségét hordozza magában, és emiatt fontosabb szemponttá válik, hogy az egyes mobilhá</w:t>
      </w:r>
      <w:r>
        <w:rPr>
          <w:i/>
          <w:noProof/>
        </w:rPr>
        <w:t xml:space="preserve">lózat-üzemeltetők a hálózat kiépítési szakaszában a biztonsági elemzésben szereplő opciók közül melyeket választják; </w:t>
      </w:r>
    </w:p>
    <w:p w:rsidR="00D8298C" w:rsidRDefault="00857529">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 xml:space="preserve"> </w:t>
      </w:r>
    </w:p>
    <w:p w:rsidR="00D8298C" w:rsidRDefault="00857529">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b) Ezen új technológiai jellemzők miatt fokozódni fog a mobilhálózat-üzemeltetők harmadik fél beszállítóktól való függése, és az utóbbia</w:t>
      </w:r>
      <w:r>
        <w:rPr>
          <w:i/>
          <w:noProof/>
        </w:rPr>
        <w:t xml:space="preserve">k hangsúlyosabb szerepet fognak betölteni az 5G ellátási láncban. </w:t>
      </w:r>
    </w:p>
    <w:p w:rsidR="00D8298C" w:rsidRDefault="00D8298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p>
    <w:p w:rsidR="00D8298C" w:rsidRDefault="00857529">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 xml:space="preserve">Ez pedig növelni fogja azoknak a támadási útvonalaknak a számát, amelyeket a fenyegetést jelentő szereplők – különösen az EU-n kívüli állami vagy valamely nem uniós állam által támogatott </w:t>
      </w:r>
      <w:r>
        <w:rPr>
          <w:i/>
          <w:noProof/>
        </w:rPr>
        <w:t xml:space="preserve">szereplők – kihasználhatnak, figyelembe véve az uniós tagállamok távközlési hálózatai elleni támadások végrehajtására való képességüket (szándékukat és erőforrásaikat), valamint fokozni fogja az ilyen támadások következményeinek potenciális súlyosságát. </w:t>
      </w:r>
    </w:p>
    <w:p w:rsidR="00D8298C" w:rsidRDefault="00D8298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p>
    <w:p w:rsidR="00D8298C" w:rsidRDefault="00857529">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A harmadik fél beszállítók miatt könnyebbé váló támadásoknak való fokozott kitettséggel összefüggésben különösen fontossá válik az egyes beszállítók kockázati profilja, különösen akkor, ha a beszállító jelentős jelenléttel rendelkezik egyes hálózatokban va</w:t>
      </w:r>
      <w:r>
        <w:rPr>
          <w:i/>
          <w:noProof/>
        </w:rPr>
        <w:t>gy területeken.</w:t>
      </w:r>
    </w:p>
    <w:p w:rsidR="00D8298C" w:rsidRDefault="00D8298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p>
    <w:p w:rsidR="00D8298C" w:rsidRDefault="00857529">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c) Az egyetlen beszállítótól való nagy fokú függés növeli az adott beszállító esetleges kieséséből fakadó következményekkel szembeni kitettséget. A nagy fokú függőség súlyosbítja továbbá a gyengeségeknek és sebezhetőségeknek, valamint ezek</w:t>
      </w:r>
      <w:r>
        <w:rPr>
          <w:i/>
          <w:noProof/>
        </w:rPr>
        <w:t xml:space="preserve"> támadók általi kihasználhatóságának potenciális következményeit, különösen abban az esetben, ha olyan beszállítóról van szó, amely magas szintű kockázatot jelent. </w:t>
      </w:r>
    </w:p>
    <w:p w:rsidR="00D8298C" w:rsidRDefault="00857529">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 xml:space="preserve"> </w:t>
      </w:r>
    </w:p>
    <w:p w:rsidR="00D8298C" w:rsidRDefault="00857529">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r>
        <w:rPr>
          <w:i/>
          <w:noProof/>
        </w:rPr>
        <w:t>d) Ha az 5G-vel kapcsolatban tervezett új felhasználási forgatókönyvek némelyike megvalós</w:t>
      </w:r>
      <w:r>
        <w:rPr>
          <w:i/>
          <w:noProof/>
        </w:rPr>
        <w:t>ul, az 5G hálózatok végül számos kritikus informatikai alkalmazás ellátási láncának fontos részét fogják képezni, és az nemcsak a titoktartási és adatvédelmi követelményeket fogja érinteni, hanem a hálózatok integritását és rendelkezésre állását érintő jel</w:t>
      </w:r>
      <w:r>
        <w:rPr>
          <w:i/>
          <w:noProof/>
        </w:rPr>
        <w:t>entős nemzetbiztonsági aggályok is fel fognak merülni, ami uniós szempontból jelentős biztonsági kihívást jelen majd.</w:t>
      </w:r>
    </w:p>
    <w:p w:rsidR="00D8298C" w:rsidRDefault="00D8298C">
      <w:pPr>
        <w:pBdr>
          <w:top w:val="single" w:sz="4" w:space="1" w:color="auto"/>
          <w:left w:val="single" w:sz="4" w:space="4" w:color="auto"/>
          <w:bottom w:val="single" w:sz="4" w:space="1" w:color="auto"/>
          <w:right w:val="single" w:sz="4" w:space="4" w:color="auto"/>
        </w:pBdr>
        <w:autoSpaceDE w:val="0"/>
        <w:autoSpaceDN w:val="0"/>
        <w:adjustRightInd w:val="0"/>
        <w:jc w:val="both"/>
        <w:rPr>
          <w:i/>
          <w:noProof/>
          <w:color w:val="000000"/>
        </w:rPr>
      </w:pPr>
    </w:p>
    <w:p w:rsidR="00D8298C" w:rsidRDefault="00857529">
      <w:pPr>
        <w:spacing w:after="240"/>
        <w:contextualSpacing/>
        <w:jc w:val="both"/>
        <w:rPr>
          <w:noProof/>
        </w:rPr>
      </w:pPr>
      <w:r>
        <w:rPr>
          <w:noProof/>
        </w:rPr>
        <w:t>Forrás: Összehangolt uniós kockázatértékelés</w:t>
      </w:r>
    </w:p>
    <w:p w:rsidR="00D8298C" w:rsidRDefault="00D8298C">
      <w:pPr>
        <w:spacing w:after="240"/>
        <w:contextualSpacing/>
        <w:jc w:val="both"/>
        <w:rPr>
          <w:noProof/>
        </w:rPr>
      </w:pPr>
    </w:p>
    <w:p w:rsidR="00D8298C" w:rsidRDefault="00857529">
      <w:pPr>
        <w:spacing w:after="240"/>
        <w:contextualSpacing/>
        <w:jc w:val="both"/>
        <w:rPr>
          <w:noProof/>
        </w:rPr>
      </w:pPr>
      <w:r>
        <w:rPr>
          <w:noProof/>
        </w:rPr>
        <w:t>Az összehangolt uniós kockázatértékelésről szóló jelentés továbbá arra a következtetésre ju</w:t>
      </w:r>
      <w:r>
        <w:rPr>
          <w:noProof/>
        </w:rPr>
        <w:t>t, hogy ezek a kihívások új biztonsági paradigmát hoznak létre, ami szükségessé teszi az 5G ágazatra és annak ökoszisztémájára alkalmazandó jelenlegi szakpolitikai és biztonsági keret újraértékelését, és elengedhetetlenné teszi, hogy a tagállamok meghozzák</w:t>
      </w:r>
      <w:r>
        <w:rPr>
          <w:noProof/>
        </w:rPr>
        <w:t xml:space="preserve"> a szükséges kockázatcsökkentő intézkedéseket.  </w:t>
      </w:r>
    </w:p>
    <w:p w:rsidR="00D8298C" w:rsidRDefault="00D8298C">
      <w:pPr>
        <w:spacing w:after="240"/>
        <w:contextualSpacing/>
        <w:jc w:val="both"/>
        <w:rPr>
          <w:noProof/>
        </w:rPr>
      </w:pPr>
    </w:p>
    <w:p w:rsidR="00D8298C" w:rsidRDefault="00857529">
      <w:pPr>
        <w:spacing w:after="240"/>
        <w:jc w:val="both"/>
        <w:rPr>
          <w:noProof/>
        </w:rPr>
      </w:pPr>
      <w:r>
        <w:rPr>
          <w:noProof/>
        </w:rPr>
        <w:t>Az azonosított kockázatok hatékony kezelése, valamint az 5G hálózatok biztonságának és ellenálló képességének megerősítése érdekében átfogó megközelítésre van szükség, ami azt jelenti, hogy olyan kulcsintéz</w:t>
      </w:r>
      <w:r>
        <w:rPr>
          <w:noProof/>
        </w:rPr>
        <w:t>kedéseket és kapcsolódó támogató intézkedéseket kell életbe léptetni, amelyek egyszerre képesek kezelni a kockázatokat. Az összehangolt uniós kockázatértékelés alapul szolgált a nemzeti és európai szinten alkalmazható kockázatcsökkentő intézkedések meghatá</w:t>
      </w:r>
      <w:r>
        <w:rPr>
          <w:noProof/>
        </w:rPr>
        <w:t>rozásához.</w:t>
      </w:r>
    </w:p>
    <w:p w:rsidR="00D8298C" w:rsidRDefault="00857529">
      <w:pPr>
        <w:spacing w:after="240"/>
        <w:jc w:val="both"/>
        <w:rPr>
          <w:noProof/>
        </w:rPr>
      </w:pPr>
      <w:r>
        <w:rPr>
          <w:noProof/>
        </w:rPr>
        <w:t>2019. december 3-i következtetéseiben</w:t>
      </w:r>
      <w:r>
        <w:rPr>
          <w:rStyle w:val="FootnoteReference"/>
          <w:noProof/>
        </w:rPr>
        <w:footnoteReference w:id="16"/>
      </w:r>
      <w:r>
        <w:rPr>
          <w:noProof/>
        </w:rPr>
        <w:t xml:space="preserve"> a Tanács támogatta az összehangolt kockázatértékelés megállapításait, és hangsúlyozta, hogy „az egységes piac fragmentálódásának elkerülése érdekében fontos az ajánlással kapcsolatos koordinált megközelítés</w:t>
      </w:r>
      <w:r>
        <w:rPr>
          <w:noProof/>
        </w:rPr>
        <w:t xml:space="preserve"> és az ajánlás tényleges végrehajtása”. E célból a Tanács felszólította a tagállamokat, a Bizottságot és az ENISA-t, hogy „tegyenek meg a hatáskörükbe tartozó minden szükséges intézkedést az elektronikus hírközlő hálózatok, különösen az 5G hálózatok bizton</w:t>
      </w:r>
      <w:r>
        <w:rPr>
          <w:noProof/>
        </w:rPr>
        <w:t>ságának és sérthetetlenségének biztosítása érdekében, továbbá folytassák [...] az 5G technológiákhoz kapcsolódó biztonsági kihívások kezelését célzó összehangolt megközelítés megszilárdítását”.</w:t>
      </w:r>
    </w:p>
    <w:p w:rsidR="00D8298C" w:rsidRDefault="00857529">
      <w:pPr>
        <w:spacing w:after="240"/>
        <w:ind w:firstLine="720"/>
        <w:jc w:val="both"/>
        <w:rPr>
          <w:rFonts w:eastAsia="Times New Roman"/>
          <w:b/>
          <w:i/>
          <w:noProof/>
          <w:u w:val="single"/>
        </w:rPr>
      </w:pPr>
      <w:r>
        <w:rPr>
          <w:b/>
          <w:i/>
          <w:noProof/>
          <w:u w:val="single"/>
        </w:rPr>
        <w:t>4. Az 5G kiberbiztonsággal kapcsolatos uniós eszköztár</w:t>
      </w:r>
    </w:p>
    <w:p w:rsidR="00D8298C" w:rsidRDefault="00857529">
      <w:pPr>
        <w:spacing w:after="240"/>
        <w:jc w:val="both"/>
        <w:rPr>
          <w:rFonts w:eastAsia="Times New Roman"/>
          <w:noProof/>
        </w:rPr>
      </w:pPr>
      <w:r>
        <w:rPr>
          <w:noProof/>
        </w:rPr>
        <w:t xml:space="preserve">2020. </w:t>
      </w:r>
      <w:r>
        <w:rPr>
          <w:noProof/>
        </w:rPr>
        <w:t>január 29-én a Kiberbiztonsági Együttműködési Csoport közzétette a kockázatcsökkentő intézkedések uniós eszköztárát</w:t>
      </w:r>
      <w:r>
        <w:rPr>
          <w:rStyle w:val="FootnoteReference"/>
          <w:noProof/>
        </w:rPr>
        <w:footnoteReference w:id="17"/>
      </w:r>
      <w:r>
        <w:rPr>
          <w:noProof/>
        </w:rPr>
        <w:t xml:space="preserve">. Az eszköztár az összehangolt kockázatértékelésről szóló jelentésben azonosított valamennyi kockázatra kitér. </w:t>
      </w:r>
    </w:p>
    <w:p w:rsidR="00D8298C" w:rsidRDefault="00857529">
      <w:pPr>
        <w:spacing w:after="240"/>
        <w:jc w:val="both"/>
        <w:rPr>
          <w:rFonts w:eastAsia="Times New Roman"/>
          <w:noProof/>
        </w:rPr>
      </w:pPr>
      <w:r>
        <w:rPr>
          <w:noProof/>
        </w:rPr>
        <w:t>Az uniós eszköztár meghatáro</w:t>
      </w:r>
      <w:r>
        <w:rPr>
          <w:noProof/>
        </w:rPr>
        <w:t xml:space="preserve">zza és leírja az azonosított kockázatok csökkentése érdekében bevezetendő stratégiai és technikai intézkedéseket, valamint a hatékonyságuk növelését célzó kapcsolódó támogató intézkedéseket. A </w:t>
      </w:r>
      <w:r>
        <w:rPr>
          <w:b/>
          <w:noProof/>
        </w:rPr>
        <w:t>stratégiai intézkedések</w:t>
      </w:r>
      <w:r>
        <w:rPr>
          <w:noProof/>
        </w:rPr>
        <w:t xml:space="preserve"> a következőket foglalják magukban: a há</w:t>
      </w:r>
      <w:r>
        <w:rPr>
          <w:noProof/>
        </w:rPr>
        <w:t>lózatok beszerzésének és kiépítésének ellenőrzése területén a hatóságok kibővített szabályozói hatáskörével kapcsolatos intézkedések, a nem technikai jellegű sebezhetőségekhez kapcsolódó kockázatok kezelésére irányuló konkrét intézkedések, valamint adott e</w:t>
      </w:r>
      <w:r>
        <w:rPr>
          <w:noProof/>
        </w:rPr>
        <w:t xml:space="preserve">setben a rendszerszintű, hosszú távú függőségi kockázatok elkerülése érdekében a fenntartható és diverzifikált 5G ellátási és értéklánc előmozdítására irányuló kezdeményezések. A </w:t>
      </w:r>
      <w:r>
        <w:rPr>
          <w:b/>
          <w:noProof/>
        </w:rPr>
        <w:t>technikai intézkedések</w:t>
      </w:r>
      <w:r>
        <w:rPr>
          <w:noProof/>
        </w:rPr>
        <w:t xml:space="preserve"> közé tartoznak az 5G hálózatok és berendezések biztonságának a technológiákból, folyamatokból, emberi és fizikai tényezőkből eredő kockázatok kezelése révén történő megerősítését célzó intézkedések. Az eszköztár ezen túlmenően a leghatékonyabb intézkedése</w:t>
      </w:r>
      <w:r>
        <w:rPr>
          <w:noProof/>
        </w:rPr>
        <w:t xml:space="preserve">ken alapuló </w:t>
      </w:r>
      <w:r>
        <w:rPr>
          <w:b/>
          <w:noProof/>
        </w:rPr>
        <w:t>kockázatcsökkentési terveket</w:t>
      </w:r>
      <w:r>
        <w:rPr>
          <w:noProof/>
        </w:rPr>
        <w:t xml:space="preserve"> tartalmaz az összehangolt uniós kockázatértékelésben azonosított valamennyi kockázati területre vonatkozóan. </w:t>
      </w:r>
    </w:p>
    <w:p w:rsidR="00D8298C" w:rsidRDefault="00857529">
      <w:pPr>
        <w:spacing w:after="240"/>
        <w:jc w:val="both"/>
        <w:rPr>
          <w:rFonts w:eastAsia="Times New Roman"/>
          <w:noProof/>
        </w:rPr>
      </w:pPr>
      <w:r>
        <w:rPr>
          <w:noProof/>
        </w:rPr>
        <w:t xml:space="preserve">Az uniós eszköztár Kiberbiztonsági Együttműködési Csoport által elfogadott következtetései olyan </w:t>
      </w:r>
      <w:r>
        <w:rPr>
          <w:b/>
          <w:noProof/>
        </w:rPr>
        <w:t>kulcsint</w:t>
      </w:r>
      <w:r>
        <w:rPr>
          <w:b/>
          <w:noProof/>
        </w:rPr>
        <w:t>ézkedéseket</w:t>
      </w:r>
      <w:r>
        <w:rPr>
          <w:noProof/>
        </w:rPr>
        <w:t xml:space="preserve"> javasolnak, amelyeket valamennyi tagállamnak és a Bizottságnak is végre kell hajtania:</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jc w:val="center"/>
        <w:rPr>
          <w:rFonts w:ascii="Times New Roman" w:hAnsi="Times New Roman" w:cs="Times New Roman"/>
          <w:b/>
          <w:i/>
          <w:noProof/>
          <w:sz w:val="24"/>
        </w:rPr>
      </w:pPr>
      <w:r>
        <w:rPr>
          <w:rFonts w:ascii="Times New Roman" w:hAnsi="Times New Roman"/>
          <w:b/>
          <w:i/>
          <w:noProof/>
        </w:rPr>
        <w:t xml:space="preserve">Az uniós eszköztár következtetései </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Az uniós eszköztár számos olyan intézkedést és fellépést határoz meg, amelyek – megfelelő ötvözésük és hatékony végrehajt</w:t>
      </w:r>
      <w:r>
        <w:rPr>
          <w:rFonts w:ascii="Times New Roman" w:hAnsi="Times New Roman"/>
          <w:i/>
          <w:noProof/>
        </w:rPr>
        <w:t>ásuk esetén – az összehangolt megközelítés alapját képezik ezen a területen. Tekintettel az összehangolt uniós kockázatértékelésben azonosított kockázati területek széles körére és eltérő jellegére, nem lesz elegendő egyetlen intézkedéstípus, hanem több, m</w:t>
      </w:r>
      <w:r>
        <w:rPr>
          <w:rFonts w:ascii="Times New Roman" w:hAnsi="Times New Roman"/>
          <w:i/>
          <w:noProof/>
        </w:rPr>
        <w:t>egfelelő kombinációban alkalmazott intézkedés szükséges az összes kulcsfontosságú kockázati terület kezeléséhez.</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A lehetséges kockázatcsökkentési tervek értékelése és a leghatékonyabb intézkedések meghatározása alapján ez az eszköztár a következőket ajánlj</w:t>
      </w:r>
      <w:r>
        <w:rPr>
          <w:rFonts w:ascii="Times New Roman" w:hAnsi="Times New Roman"/>
          <w:i/>
          <w:noProof/>
        </w:rPr>
        <w:t>a:</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1. Valamennyi tagállamnak gondoskodnia kell arról, hogy meghozza azokat az intézkedéseket (ideértve a nemzeti hatóságok hatáskörére irányulóakat is), amelyek révén megfelelő és arányos módon tud reagálni a már azonosított és a jövőbeli kockázatokra, kül</w:t>
      </w:r>
      <w:r>
        <w:rPr>
          <w:rFonts w:ascii="Times New Roman" w:hAnsi="Times New Roman"/>
          <w:i/>
          <w:noProof/>
        </w:rPr>
        <w:t>önösen pedig arról, hogy kockázatalapú megközelítést követve és a biztonsággal kapcsolatos indokok alapján képes legyen az 5G hálózati berendezések szolgáltatását, kiépítését és üzemeltetését korlátozni, megtiltatni és/vagy egyedi követelményekhez vagy fel</w:t>
      </w:r>
      <w:r>
        <w:rPr>
          <w:rFonts w:ascii="Times New Roman" w:hAnsi="Times New Roman"/>
          <w:i/>
          <w:noProof/>
        </w:rPr>
        <w:t>tételekhez kötni.</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 xml:space="preserve">Különösen a következő feladatokat kell ellátniuk: </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w:t>
      </w:r>
      <w:r>
        <w:rPr>
          <w:rFonts w:ascii="Times New Roman" w:hAnsi="Times New Roman"/>
          <w:i/>
          <w:noProof/>
        </w:rPr>
        <w:tab/>
        <w:t xml:space="preserve">a mobilhálózat-üzemeltetőkre vonatkozó </w:t>
      </w:r>
      <w:r>
        <w:rPr>
          <w:rFonts w:ascii="Times New Roman" w:hAnsi="Times New Roman"/>
          <w:b/>
          <w:i/>
          <w:noProof/>
        </w:rPr>
        <w:t>biztonsági követelmények</w:t>
      </w:r>
      <w:r>
        <w:rPr>
          <w:rFonts w:ascii="Times New Roman" w:hAnsi="Times New Roman"/>
          <w:i/>
          <w:noProof/>
        </w:rPr>
        <w:t xml:space="preserve"> szigorítása (pl. szigorú hozzáférés-ellenőrzés, a biztonságos üzemeltetésre és nyomon követésre vonatkozó szabályok, bizo</w:t>
      </w:r>
      <w:r>
        <w:rPr>
          <w:rFonts w:ascii="Times New Roman" w:hAnsi="Times New Roman"/>
          <w:i/>
          <w:noProof/>
        </w:rPr>
        <w:t xml:space="preserve">nyos funkciók kiszervezésének korlátozása stb.); </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w:t>
      </w:r>
      <w:r>
        <w:rPr>
          <w:rFonts w:ascii="Times New Roman" w:hAnsi="Times New Roman"/>
          <w:i/>
          <w:noProof/>
        </w:rPr>
        <w:tab/>
        <w:t xml:space="preserve">a beszállítók kockázati profiljának értékelése; következésképpen az összehangolt uniós kockázatértékelésben kritikusként és érzékenyként meghatározott </w:t>
      </w:r>
      <w:r>
        <w:rPr>
          <w:rFonts w:ascii="Times New Roman" w:hAnsi="Times New Roman"/>
          <w:b/>
          <w:i/>
          <w:noProof/>
        </w:rPr>
        <w:t>kulcsfontosságú eszközök</w:t>
      </w:r>
      <w:r>
        <w:rPr>
          <w:rFonts w:ascii="Times New Roman" w:hAnsi="Times New Roman"/>
          <w:i/>
          <w:noProof/>
        </w:rPr>
        <w:t xml:space="preserve"> (pl. a gerinchálózati funkci</w:t>
      </w:r>
      <w:r>
        <w:rPr>
          <w:rFonts w:ascii="Times New Roman" w:hAnsi="Times New Roman"/>
          <w:i/>
          <w:noProof/>
        </w:rPr>
        <w:t xml:space="preserve">ók, hálózati MANO-funkciók, valamint a hozzáférési hálózati funkciók) </w:t>
      </w:r>
      <w:r>
        <w:rPr>
          <w:rFonts w:ascii="Times New Roman" w:hAnsi="Times New Roman"/>
          <w:b/>
          <w:i/>
          <w:noProof/>
        </w:rPr>
        <w:t>tekintetében megfelelő korlátozások – többek között a hatékony kockázatcsökkentéshez szükséges kizárások – alkalmazása a magas kockázatúnak tekintett beszállítók esetében</w:t>
      </w:r>
      <w:r>
        <w:rPr>
          <w:rFonts w:ascii="Times New Roman" w:hAnsi="Times New Roman"/>
          <w:i/>
          <w:noProof/>
        </w:rPr>
        <w:t xml:space="preserve">; </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w:t>
      </w:r>
      <w:r>
        <w:rPr>
          <w:rFonts w:ascii="Times New Roman" w:hAnsi="Times New Roman"/>
          <w:i/>
          <w:noProof/>
        </w:rPr>
        <w:tab/>
        <w:t>annak bizto</w:t>
      </w:r>
      <w:r>
        <w:rPr>
          <w:rFonts w:ascii="Times New Roman" w:hAnsi="Times New Roman"/>
          <w:i/>
          <w:noProof/>
        </w:rPr>
        <w:t xml:space="preserve">sítása, hogy minden üzemeltető rendelkezzen megfelelő, több forgalmazóra kiterjedő stratégiával az egyetlen beszállítótól (vagy hasonló kockázati profillal rendelkező beszállítóktól) való </w:t>
      </w:r>
      <w:r>
        <w:rPr>
          <w:rFonts w:ascii="Times New Roman" w:hAnsi="Times New Roman"/>
          <w:b/>
          <w:i/>
          <w:noProof/>
        </w:rPr>
        <w:t>nagy fokú függés elkerülése vagy korlátozása</w:t>
      </w:r>
      <w:r>
        <w:rPr>
          <w:rFonts w:ascii="Times New Roman" w:hAnsi="Times New Roman"/>
          <w:i/>
          <w:noProof/>
        </w:rPr>
        <w:t xml:space="preserve"> érdekében, a beszállító</w:t>
      </w:r>
      <w:r>
        <w:rPr>
          <w:rFonts w:ascii="Times New Roman" w:hAnsi="Times New Roman"/>
          <w:i/>
          <w:noProof/>
        </w:rPr>
        <w:t xml:space="preserve">k közötti megfelelő egyensúly nemzeti szintű biztosítása és </w:t>
      </w:r>
      <w:r>
        <w:rPr>
          <w:rFonts w:ascii="Times New Roman" w:hAnsi="Times New Roman"/>
          <w:b/>
          <w:i/>
          <w:noProof/>
        </w:rPr>
        <w:t>a magas kockázatúnak tekintett beszállítóktól való függés elkerülése</w:t>
      </w:r>
      <w:r>
        <w:rPr>
          <w:rFonts w:ascii="Times New Roman" w:hAnsi="Times New Roman"/>
          <w:i/>
          <w:noProof/>
        </w:rPr>
        <w:t>; ehhez az egyetlen beszállító általi vevőfogvatartás-helyzetek elkerülésére is szükség van, többek között a berendezések fokozo</w:t>
      </w:r>
      <w:r>
        <w:rPr>
          <w:rFonts w:ascii="Times New Roman" w:hAnsi="Times New Roman"/>
          <w:i/>
          <w:noProof/>
        </w:rPr>
        <w:t>tt interoperabilitásának előmozdítása révén.</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2. Az Európai Bizottságnak a tagállamokkal közösen hozzá kell járulnia a következőkhöz:</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w:t>
      </w:r>
      <w:r>
        <w:rPr>
          <w:rFonts w:ascii="Times New Roman" w:hAnsi="Times New Roman"/>
          <w:i/>
          <w:noProof/>
        </w:rPr>
        <w:tab/>
      </w:r>
      <w:r>
        <w:rPr>
          <w:rFonts w:ascii="Times New Roman" w:hAnsi="Times New Roman"/>
          <w:b/>
          <w:i/>
          <w:noProof/>
        </w:rPr>
        <w:t>diverzifikált és fenntartható 5G ellátási lánc</w:t>
      </w:r>
      <w:r>
        <w:rPr>
          <w:rFonts w:ascii="Times New Roman" w:hAnsi="Times New Roman"/>
          <w:i/>
          <w:noProof/>
        </w:rPr>
        <w:t xml:space="preserve"> működtetése a hosszú távú függőség elkerülése érdekében, többek között az </w:t>
      </w:r>
      <w:r>
        <w:rPr>
          <w:rFonts w:ascii="Times New Roman" w:hAnsi="Times New Roman"/>
          <w:i/>
          <w:noProof/>
        </w:rPr>
        <w:t>alábbiak révén:</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ind w:firstLine="720"/>
        <w:rPr>
          <w:rFonts w:ascii="Times New Roman" w:hAnsi="Times New Roman" w:cs="Times New Roman"/>
          <w:i/>
          <w:noProof/>
          <w:sz w:val="24"/>
        </w:rPr>
      </w:pPr>
      <w:r>
        <w:rPr>
          <w:rFonts w:ascii="Times New Roman" w:hAnsi="Times New Roman"/>
          <w:i/>
          <w:noProof/>
        </w:rPr>
        <w:t xml:space="preserve">o a meglévő uniós alapok és eszközök teljes körű kihasználása, különösen az 5G kulcsfontosságú eszközeit érintő potenciális </w:t>
      </w:r>
      <w:r>
        <w:rPr>
          <w:rFonts w:ascii="Times New Roman" w:hAnsi="Times New Roman"/>
          <w:b/>
          <w:i/>
          <w:noProof/>
        </w:rPr>
        <w:t>közvetlen külföldi befektetések</w:t>
      </w:r>
      <w:r>
        <w:rPr>
          <w:rFonts w:ascii="Times New Roman" w:hAnsi="Times New Roman"/>
          <w:i/>
          <w:noProof/>
        </w:rPr>
        <w:t xml:space="preserve"> átvilágításán és az 5G kínálati piacán az esetleges dömpingből vagy támogatásokból eredő </w:t>
      </w:r>
      <w:r>
        <w:rPr>
          <w:rFonts w:ascii="Times New Roman" w:hAnsi="Times New Roman"/>
          <w:b/>
          <w:i/>
          <w:noProof/>
        </w:rPr>
        <w:t>torzulások</w:t>
      </w:r>
      <w:r>
        <w:rPr>
          <w:rFonts w:ascii="Times New Roman" w:hAnsi="Times New Roman"/>
          <w:i/>
          <w:noProof/>
        </w:rPr>
        <w:t xml:space="preserve"> elkerülésén keresztül; valamint </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ind w:firstLine="720"/>
        <w:rPr>
          <w:rFonts w:ascii="Times New Roman" w:hAnsi="Times New Roman" w:cs="Times New Roman"/>
          <w:i/>
          <w:noProof/>
          <w:sz w:val="24"/>
        </w:rPr>
      </w:pPr>
      <w:r>
        <w:rPr>
          <w:rFonts w:ascii="Times New Roman" w:hAnsi="Times New Roman"/>
          <w:i/>
          <w:noProof/>
        </w:rPr>
        <w:t xml:space="preserve">o </w:t>
      </w:r>
      <w:r>
        <w:rPr>
          <w:rFonts w:ascii="Times New Roman" w:hAnsi="Times New Roman"/>
          <w:b/>
          <w:i/>
          <w:noProof/>
        </w:rPr>
        <w:t>az 5G és az 5G utáni technológiákkal kapcsolatos uniós kapacitások</w:t>
      </w:r>
      <w:r>
        <w:rPr>
          <w:rFonts w:ascii="Times New Roman" w:hAnsi="Times New Roman"/>
          <w:i/>
          <w:noProof/>
        </w:rPr>
        <w:t xml:space="preserve"> további erősítése a vonatkozó uniós programok és fina</w:t>
      </w:r>
      <w:r>
        <w:rPr>
          <w:rFonts w:ascii="Times New Roman" w:hAnsi="Times New Roman"/>
          <w:i/>
          <w:noProof/>
        </w:rPr>
        <w:t>nszírozás felhasználásával;</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w:t>
      </w:r>
      <w:r>
        <w:rPr>
          <w:rFonts w:ascii="Times New Roman" w:hAnsi="Times New Roman"/>
          <w:i/>
          <w:noProof/>
        </w:rPr>
        <w:tab/>
        <w:t xml:space="preserve">a </w:t>
      </w:r>
      <w:r>
        <w:rPr>
          <w:rFonts w:ascii="Times New Roman" w:hAnsi="Times New Roman"/>
          <w:b/>
          <w:i/>
          <w:noProof/>
        </w:rPr>
        <w:t>szabványosítás</w:t>
      </w:r>
      <w:r>
        <w:rPr>
          <w:rFonts w:ascii="Times New Roman" w:hAnsi="Times New Roman"/>
          <w:i/>
          <w:noProof/>
        </w:rPr>
        <w:t xml:space="preserve"> terén a tagállamok közötti koordináció elősegítése a konkrét biztonsági célkitűzések teljesítése érdekében, valamint a </w:t>
      </w:r>
      <w:r>
        <w:rPr>
          <w:rFonts w:ascii="Times New Roman" w:hAnsi="Times New Roman"/>
          <w:b/>
          <w:i/>
          <w:noProof/>
        </w:rPr>
        <w:t>vonatkozó uniós szintű tanúsítási rendszer(ek)</w:t>
      </w:r>
      <w:r>
        <w:rPr>
          <w:rFonts w:ascii="Times New Roman" w:hAnsi="Times New Roman"/>
          <w:i/>
          <w:noProof/>
        </w:rPr>
        <w:t xml:space="preserve"> kidolgozása a biztonságosabb termékek és fo</w:t>
      </w:r>
      <w:r>
        <w:rPr>
          <w:rFonts w:ascii="Times New Roman" w:hAnsi="Times New Roman"/>
          <w:i/>
          <w:noProof/>
        </w:rPr>
        <w:t>lyamatok előmozdítása érdekében.</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3. Annak biztosítása céljából, hogy a szóban forgó összehangolt megközelítés kiállja az idő próbáját, ki kell terjeszteni a Kiberbiztonsági Együttműködési Csoport megbízatását és az egyéb érintett szervekkel és szereplőkkel</w:t>
      </w:r>
      <w:r>
        <w:rPr>
          <w:rFonts w:ascii="Times New Roman" w:hAnsi="Times New Roman"/>
          <w:i/>
          <w:noProof/>
        </w:rPr>
        <w:t xml:space="preserve"> való együttműködést, különösen az alábbiak érdekében:</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w:t>
      </w:r>
      <w:r>
        <w:rPr>
          <w:rFonts w:ascii="Times New Roman" w:hAnsi="Times New Roman"/>
          <w:i/>
          <w:noProof/>
        </w:rPr>
        <w:tab/>
        <w:t xml:space="preserve">az 5G hálózatok és az 5G utáni hálózatok biztonságára vonatkozó </w:t>
      </w:r>
      <w:r>
        <w:rPr>
          <w:rFonts w:ascii="Times New Roman" w:hAnsi="Times New Roman"/>
          <w:b/>
          <w:i/>
          <w:noProof/>
        </w:rPr>
        <w:t>nemzeti és uniós kockázatértékelések</w:t>
      </w:r>
      <w:r>
        <w:rPr>
          <w:rFonts w:ascii="Times New Roman" w:hAnsi="Times New Roman"/>
          <w:i/>
          <w:noProof/>
        </w:rPr>
        <w:t xml:space="preserve"> rendszeres felülvizsgálata a Bizottság és az ENISA támogatásával, kiegészítve a követett értékelés</w:t>
      </w:r>
      <w:r>
        <w:rPr>
          <w:rFonts w:ascii="Times New Roman" w:hAnsi="Times New Roman"/>
          <w:i/>
          <w:noProof/>
        </w:rPr>
        <w:t>i módszertan továbbfejlesztésével és finomításával, valamint annak a kialakulóban lévő 5G technológiához való hozzáigazításával;</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w:t>
      </w:r>
      <w:r>
        <w:rPr>
          <w:rFonts w:ascii="Times New Roman" w:hAnsi="Times New Roman"/>
          <w:i/>
          <w:noProof/>
        </w:rPr>
        <w:tab/>
        <w:t xml:space="preserve">a tagállamok strukturált jelentéstétele alapján </w:t>
      </w:r>
      <w:r>
        <w:rPr>
          <w:rFonts w:ascii="Times New Roman" w:hAnsi="Times New Roman"/>
          <w:b/>
          <w:i/>
          <w:noProof/>
        </w:rPr>
        <w:t>az eszköztár alkalmazásának részletes és rendszeres nyomon követése és értéke</w:t>
      </w:r>
      <w:r>
        <w:rPr>
          <w:rFonts w:ascii="Times New Roman" w:hAnsi="Times New Roman"/>
          <w:b/>
          <w:i/>
          <w:noProof/>
        </w:rPr>
        <w:t>lése</w:t>
      </w:r>
      <w:r>
        <w:rPr>
          <w:rFonts w:ascii="Times New Roman" w:hAnsi="Times New Roman"/>
          <w:i/>
          <w:noProof/>
        </w:rPr>
        <w:t>;</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i/>
          <w:noProof/>
          <w:sz w:val="24"/>
        </w:rPr>
      </w:pPr>
      <w:r>
        <w:rPr>
          <w:rFonts w:ascii="Times New Roman" w:hAnsi="Times New Roman"/>
          <w:i/>
          <w:noProof/>
        </w:rPr>
        <w:t></w:t>
      </w:r>
      <w:r>
        <w:rPr>
          <w:rFonts w:ascii="Times New Roman" w:hAnsi="Times New Roman"/>
          <w:i/>
          <w:noProof/>
        </w:rPr>
        <w:tab/>
        <w:t xml:space="preserve">az uniós szintű együttműködést igénylő </w:t>
      </w:r>
      <w:r>
        <w:rPr>
          <w:rFonts w:ascii="Times New Roman" w:hAnsi="Times New Roman"/>
          <w:b/>
          <w:i/>
          <w:noProof/>
        </w:rPr>
        <w:t>támogató intézkedések</w:t>
      </w:r>
      <w:r>
        <w:rPr>
          <w:rFonts w:ascii="Times New Roman" w:hAnsi="Times New Roman"/>
          <w:i/>
          <w:noProof/>
        </w:rPr>
        <w:t xml:space="preserve"> végrehajtásának koordinálása és támogatása, különös tekintettel a különböző intézkedésekre vonatkozó iránymutatások kidolgozására és bevált gyakorlatok cseréjére;</w:t>
      </w:r>
    </w:p>
    <w:p w:rsidR="00D8298C" w:rsidRDefault="00857529">
      <w:pPr>
        <w:pStyle w:val="Briefingtext"/>
        <w:pBdr>
          <w:top w:val="single" w:sz="4" w:space="1" w:color="auto"/>
          <w:left w:val="single" w:sz="4" w:space="4" w:color="auto"/>
          <w:bottom w:val="single" w:sz="4" w:space="1" w:color="auto"/>
          <w:right w:val="single" w:sz="4" w:space="4" w:color="auto"/>
        </w:pBdr>
        <w:shd w:val="clear" w:color="auto" w:fill="FFFFFF" w:themeFill="background1"/>
        <w:suppressAutoHyphens/>
        <w:rPr>
          <w:rFonts w:ascii="Times New Roman" w:hAnsi="Times New Roman" w:cs="Times New Roman"/>
          <w:b/>
          <w:i/>
          <w:noProof/>
          <w:sz w:val="24"/>
        </w:rPr>
      </w:pPr>
      <w:r>
        <w:rPr>
          <w:rFonts w:ascii="Times New Roman" w:hAnsi="Times New Roman"/>
          <w:i/>
          <w:noProof/>
        </w:rPr>
        <w:t></w:t>
      </w:r>
      <w:r>
        <w:rPr>
          <w:rFonts w:ascii="Times New Roman" w:hAnsi="Times New Roman"/>
          <w:i/>
          <w:noProof/>
        </w:rPr>
        <w:tab/>
        <w:t xml:space="preserve">adott esetben további </w:t>
      </w:r>
      <w:r>
        <w:rPr>
          <w:rFonts w:ascii="Times New Roman" w:hAnsi="Times New Roman"/>
          <w:i/>
          <w:noProof/>
        </w:rPr>
        <w:t xml:space="preserve">uniós szintű koordináció támogatása, különösen </w:t>
      </w:r>
      <w:r>
        <w:rPr>
          <w:rFonts w:ascii="Times New Roman" w:hAnsi="Times New Roman"/>
          <w:b/>
          <w:i/>
          <w:noProof/>
        </w:rPr>
        <w:t>a hálózatüzemeltetőkre vonatkozó műszaki és szervezeti biztonsági követelmények</w:t>
      </w:r>
      <w:r>
        <w:rPr>
          <w:rFonts w:ascii="Times New Roman" w:hAnsi="Times New Roman"/>
          <w:i/>
          <w:noProof/>
        </w:rPr>
        <w:t xml:space="preserve"> további közelítése érdekében.</w:t>
      </w:r>
    </w:p>
    <w:p w:rsidR="00D8298C" w:rsidRDefault="00857529">
      <w:pPr>
        <w:jc w:val="both"/>
        <w:rPr>
          <w:rFonts w:eastAsia="Times New Roman"/>
          <w:noProof/>
        </w:rPr>
      </w:pPr>
      <w:r>
        <w:rPr>
          <w:noProof/>
        </w:rPr>
        <w:t>Forrás: Uniós eszköztár.</w:t>
      </w:r>
    </w:p>
    <w:p w:rsidR="00D8298C" w:rsidRDefault="00D8298C">
      <w:pPr>
        <w:jc w:val="both"/>
        <w:rPr>
          <w:rFonts w:eastAsia="Times New Roman"/>
          <w:noProof/>
        </w:rPr>
      </w:pPr>
    </w:p>
    <w:p w:rsidR="00D8298C" w:rsidRDefault="00857529">
      <w:pPr>
        <w:jc w:val="both"/>
        <w:rPr>
          <w:rFonts w:eastAsia="Times New Roman"/>
          <w:noProof/>
        </w:rPr>
      </w:pPr>
      <w:r>
        <w:rPr>
          <w:noProof/>
        </w:rPr>
        <w:t xml:space="preserve">Az eszköztár következtetései azt mutatják, hogy a tagállamok határozott </w:t>
      </w:r>
      <w:r>
        <w:rPr>
          <w:noProof/>
        </w:rPr>
        <w:t>szándéka, hogy közösen reagáljanak az 5G hálózatok biztonsági kihívásaira. Ez alapvető fontosságú a tagállamokon és az egész EU-n belüli biztonság, a nemzeti gazdaságok, valamint az EU belső piaca és Európa technológiai szuverenitása szempontjából. Mind az</w:t>
      </w:r>
      <w:r>
        <w:rPr>
          <w:noProof/>
        </w:rPr>
        <w:t xml:space="preserve"> összehangolt uniós kockázatértékelés, mind az uniós eszköztár azt mutatja, hogy a Kiberbiztonsági Együttműködési Csoport keretében a tagállamok, a Bizottság és az ENISA képviselőinek intenzív együttműködésével végzett közös munka nagy értéket képvisel.</w:t>
      </w:r>
    </w:p>
    <w:p w:rsidR="00D8298C" w:rsidRDefault="00D8298C">
      <w:pPr>
        <w:jc w:val="both"/>
        <w:rPr>
          <w:rFonts w:eastAsia="Times New Roman"/>
          <w:noProof/>
        </w:rPr>
      </w:pPr>
    </w:p>
    <w:p w:rsidR="00D8298C" w:rsidRDefault="00857529">
      <w:pPr>
        <w:jc w:val="both"/>
        <w:rPr>
          <w:rFonts w:eastAsia="Times New Roman"/>
          <w:noProof/>
        </w:rPr>
      </w:pPr>
      <w:r>
        <w:rPr>
          <w:noProof/>
        </w:rPr>
        <w:t>A</w:t>
      </w:r>
      <w:r>
        <w:rPr>
          <w:noProof/>
        </w:rPr>
        <w:t>z eszköztár a belső piac egységességének az uniós szakpolitikákkal és koordinációval történő támogatása révén lehetővé teszi az 5G kiberbiztonságra vonatkozó közös uniós megközelítés alkalmazását, ugyanakkor azt is, hogy a tagállamok – különösen a nemzetbi</w:t>
      </w:r>
      <w:r>
        <w:rPr>
          <w:noProof/>
        </w:rPr>
        <w:t>ztonság terén – továbbra is gyakorolhassák hatásköreiket. Az eszköztárban foglalt kockázatcsökkentő intézkedések és kockázatcsökkentési tervek lehetővé teszik, hogy az EU megfelelő, hatékony és arányos módon reagáljon a közös 5G kiberbiztonsági kihívásokra</w:t>
      </w:r>
      <w:r>
        <w:rPr>
          <w:noProof/>
        </w:rPr>
        <w:t>.</w:t>
      </w:r>
    </w:p>
    <w:p w:rsidR="00D8298C" w:rsidRDefault="00D8298C">
      <w:pPr>
        <w:jc w:val="both"/>
        <w:rPr>
          <w:rFonts w:eastAsia="Times New Roman"/>
          <w:noProof/>
        </w:rPr>
      </w:pP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eastAsia="Times New Roman"/>
          <w:noProof/>
        </w:rPr>
      </w:pPr>
      <w:r>
        <w:rPr>
          <w:noProof/>
        </w:rPr>
        <w:t xml:space="preserve">A Bizottság üdvözli az 5G kiberbiztonsággal kapcsolatos uniós eszköztár közzétételét, és teljes mértékben támogatja annak fenti következtetéseit. </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eastAsia="Times New Roman"/>
          <w:noProof/>
        </w:rPr>
      </w:pPr>
      <w:r>
        <w:rPr>
          <w:noProof/>
        </w:rPr>
        <w:t xml:space="preserve">A Bizottság felszólítja a tagállamokat és az érintett uniós intézményeket, ügynökségeket és egyéb </w:t>
      </w:r>
      <w:r>
        <w:rPr>
          <w:noProof/>
        </w:rPr>
        <w:t>szerveket, hogy:</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eastAsia="Times New Roman"/>
          <w:noProof/>
        </w:rPr>
      </w:pPr>
      <w:r>
        <w:rPr>
          <w:noProof/>
        </w:rPr>
        <w:t xml:space="preserve">i. az uniós eszköztárral összhangban Unió-szerte biztosítsák a hatékony és megfelelő kockázatcsökkentési stratégiák gyors végrehajtását, és </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noProof/>
        </w:rPr>
      </w:pPr>
      <w:r>
        <w:rPr>
          <w:noProof/>
        </w:rPr>
        <w:t>ii. az intézkedések hatékonyságának és a belső piac zavartalan működésének szavatolása érdekében t</w:t>
      </w:r>
      <w:r>
        <w:rPr>
          <w:noProof/>
        </w:rPr>
        <w:t>egyenek meg minden szükséges további lépést az uniós szintű koordináció biztosítása céljából, többek között a Kiberbiztonsági Együttműködési Csoporton belüli folyamatos munka, valamint az uniós eszköztár alkalmazásának nyomon követésére szolgáló szilárd me</w:t>
      </w:r>
      <w:r>
        <w:rPr>
          <w:noProof/>
        </w:rPr>
        <w:t xml:space="preserve">chanizmus létrehozása révén. </w:t>
      </w:r>
    </w:p>
    <w:p w:rsidR="00D8298C" w:rsidRDefault="00D8298C">
      <w:pPr>
        <w:spacing w:after="240"/>
        <w:jc w:val="both"/>
        <w:rPr>
          <w:rFonts w:eastAsia="Times New Roman"/>
          <w:b/>
          <w:noProof/>
        </w:rPr>
      </w:pPr>
    </w:p>
    <w:p w:rsidR="00D8298C" w:rsidRDefault="00857529">
      <w:pPr>
        <w:spacing w:after="240"/>
        <w:jc w:val="both"/>
        <w:rPr>
          <w:rFonts w:eastAsia="Times New Roman"/>
          <w:b/>
          <w:i/>
          <w:noProof/>
          <w:u w:val="single"/>
        </w:rPr>
      </w:pPr>
      <w:r>
        <w:rPr>
          <w:b/>
          <w:i/>
          <w:noProof/>
          <w:u w:val="single"/>
        </w:rPr>
        <w:t>5. Az eszköztár alkalmazása</w:t>
      </w:r>
    </w:p>
    <w:p w:rsidR="00D8298C" w:rsidRDefault="00857529">
      <w:pPr>
        <w:spacing w:after="240"/>
        <w:jc w:val="both"/>
        <w:rPr>
          <w:rFonts w:eastAsia="Times New Roman"/>
          <w:iCs/>
          <w:noProof/>
        </w:rPr>
      </w:pPr>
      <w:r>
        <w:rPr>
          <w:noProof/>
        </w:rPr>
        <w:t>Az 5G biztonsággal kapcsolatos hiteles és sikeres európai megközelítéshez elengedhetetlen, hogy a tagállamok elkötelezettek legyenek az eszköztár teljes körű kihasználása mellett. Jóllehet a tagáll</w:t>
      </w:r>
      <w:r>
        <w:rPr>
          <w:noProof/>
        </w:rPr>
        <w:t xml:space="preserve">amok a nemzeti körülmények alapján döntenek egy adott intézkedés megfelelőségéről, elengedhetetlen, hogy </w:t>
      </w:r>
      <w:r>
        <w:rPr>
          <w:b/>
          <w:iCs/>
          <w:noProof/>
        </w:rPr>
        <w:t xml:space="preserve">a Kiberbiztonsági Együttműködési Csoport ajánlásának (lásd az eszköztár fenti következtetéseit) megfelelően valamennyi tagállamban, egyes intézkedések </w:t>
      </w:r>
      <w:r>
        <w:rPr>
          <w:b/>
          <w:iCs/>
          <w:noProof/>
        </w:rPr>
        <w:t>esetében pedig uniós szinten kulcsintézkedéseket vezessenek be</w:t>
      </w:r>
      <w:r>
        <w:rPr>
          <w:noProof/>
        </w:rPr>
        <w:t xml:space="preserve"> az azonosított kockázatok kezelése érdekében. </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eastAsia="Times New Roman"/>
          <w:noProof/>
        </w:rPr>
      </w:pPr>
      <w:r>
        <w:rPr>
          <w:noProof/>
        </w:rPr>
        <w:t>A Bizottság készen áll arra, hogy a következő szakaszokban továbbra is teljes körű támogatást nyújtson, és felszólítja a tagállamokat, hogy:</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b/>
          <w:noProof/>
        </w:rPr>
        <w:t>2020.</w:t>
      </w:r>
      <w:r>
        <w:rPr>
          <w:b/>
          <w:noProof/>
        </w:rPr>
        <w:t xml:space="preserve"> április 30-ig</w:t>
      </w:r>
      <w:r>
        <w:rPr>
          <w:noProof/>
        </w:rPr>
        <w:t xml:space="preserve"> tegyenek konkrét és mérhető lépéseket az uniós eszköztár következtetéseiben ajánlott kulcsintézkedések végrehajtására;  </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b/>
          <w:noProof/>
        </w:rPr>
        <w:t>2020. június 30-ig</w:t>
      </w:r>
      <w:r>
        <w:rPr>
          <w:noProof/>
        </w:rPr>
        <w:t xml:space="preserve"> a Kiberbiztonsági Együttműködési Csoport keretében állítsanak össze egy jelentést arról, hogy az egye</w:t>
      </w:r>
      <w:r>
        <w:rPr>
          <w:noProof/>
        </w:rPr>
        <w:t xml:space="preserve">s tagállamokban milyen szakaszban van e kulcsintézkedések végrehajtása, különösen a Kiberbiztonsági Együttműködési Csoport által a Bizottság és az ENISA támogatásával végzett rendszeres jelentéstétel és nyomon követés alapján. </w:t>
      </w:r>
    </w:p>
    <w:p w:rsidR="00D8298C" w:rsidRDefault="00857529">
      <w:pPr>
        <w:spacing w:after="240"/>
        <w:jc w:val="both"/>
        <w:rPr>
          <w:rFonts w:eastAsia="Times New Roman"/>
          <w:i/>
          <w:noProof/>
          <w:u w:val="single"/>
        </w:rPr>
      </w:pPr>
      <w:r>
        <w:rPr>
          <w:i/>
          <w:noProof/>
          <w:u w:val="single"/>
        </w:rPr>
        <w:t>5.1. Kockázatalapú, összehan</w:t>
      </w:r>
      <w:r>
        <w:rPr>
          <w:i/>
          <w:noProof/>
          <w:u w:val="single"/>
        </w:rPr>
        <w:t>golt megközelítés az 5G beszállítók tekintetében</w:t>
      </w:r>
    </w:p>
    <w:p w:rsidR="00D8298C" w:rsidRDefault="00857529">
      <w:pPr>
        <w:spacing w:after="240"/>
        <w:jc w:val="both"/>
        <w:rPr>
          <w:rFonts w:eastAsia="Times New Roman"/>
          <w:iCs/>
          <w:noProof/>
        </w:rPr>
      </w:pPr>
      <w:r>
        <w:rPr>
          <w:noProof/>
        </w:rPr>
        <w:t>Tekintettel arra a végső célkitűzésre, hogy biztosítani kell az 5G hálózatok biztonságát, ellenálló képességét és fenntarthatóságát, a tagállamok egyetértettek abban, hogy értékelni kell az egyes beszállítók</w:t>
      </w:r>
      <w:r>
        <w:rPr>
          <w:noProof/>
        </w:rPr>
        <w:t xml:space="preserve"> kockázati profilját, és ennek szellemében – az eszköztárban foglaltaknak megfelelően – megfelelő korlátozásokat kell alkalmazni a magas kockázatúnak tekintett beszállítók esetében, ideértve a hatékony kockázatcsökkentéshez szükséges kizárásokat is a kulcs</w:t>
      </w:r>
      <w:r>
        <w:rPr>
          <w:noProof/>
        </w:rPr>
        <w:t>fontosságú eszközök tekintetében. A Bizottság kész támogatni a tagállamokat ezen intézkedések végrehajtásában.</w:t>
      </w:r>
    </w:p>
    <w:p w:rsidR="00D8298C" w:rsidRDefault="00857529">
      <w:pPr>
        <w:spacing w:after="240"/>
        <w:jc w:val="both"/>
        <w:rPr>
          <w:rFonts w:eastAsia="Times New Roman"/>
          <w:iCs/>
          <w:noProof/>
        </w:rPr>
      </w:pPr>
      <w:r>
        <w:rPr>
          <w:noProof/>
        </w:rPr>
        <w:t>Az EU-n belüli végrehajtásuk támogatása érdekében az összehangolt uniós kockázatértékelés és az uniós eszköztár iránymutatást nyújt 1. a beszállí</w:t>
      </w:r>
      <w:r>
        <w:rPr>
          <w:noProof/>
        </w:rPr>
        <w:t>tók kockázati profiljának értékelésével</w:t>
      </w:r>
      <w:r>
        <w:rPr>
          <w:rStyle w:val="FootnoteReference"/>
          <w:iCs/>
          <w:noProof/>
        </w:rPr>
        <w:footnoteReference w:id="18"/>
      </w:r>
      <w:r>
        <w:rPr>
          <w:noProof/>
        </w:rPr>
        <w:t>, valamint 2. a hálózati elemek és funkciók, valamint az egyéb eszközök érzékenységével</w:t>
      </w:r>
      <w:r>
        <w:rPr>
          <w:rStyle w:val="FootnoteReference"/>
          <w:iCs/>
          <w:noProof/>
        </w:rPr>
        <w:footnoteReference w:id="19"/>
      </w:r>
      <w:r>
        <w:rPr>
          <w:noProof/>
        </w:rPr>
        <w:t xml:space="preserve"> kapcsolatban. Mind az összehangolt uniós kockázatértékelés, mind az eszköztár intézkedései kiterjednek az 5G hálózati berendezé</w:t>
      </w:r>
      <w:r>
        <w:rPr>
          <w:noProof/>
        </w:rPr>
        <w:t xml:space="preserve">sek és hálózati szolgáltatások beszállítóival kapcsolatos kockázatokra. Nem terjednek ki ugyanakkor egyéb olyan termékekre és szolgáltatásokra, amelyeket adott esetben ezek vagy más beszállítók nyújtanak. </w:t>
      </w:r>
    </w:p>
    <w:p w:rsidR="00D8298C" w:rsidRDefault="00857529">
      <w:pPr>
        <w:spacing w:after="240"/>
        <w:jc w:val="both"/>
        <w:rPr>
          <w:rFonts w:eastAsia="Times New Roman"/>
          <w:noProof/>
        </w:rPr>
      </w:pPr>
      <w:r>
        <w:rPr>
          <w:noProof/>
        </w:rPr>
        <w:t>Az összehangolt uniós kockázatértékelés 2.37. pont</w:t>
      </w:r>
      <w:r>
        <w:rPr>
          <w:noProof/>
        </w:rPr>
        <w:t>jában meghatározottak szerint az egyes beszállítók kockázati profilja több tényező alapján értékelhető.</w:t>
      </w:r>
    </w:p>
    <w:p w:rsidR="00D8298C" w:rsidRDefault="00857529">
      <w:pPr>
        <w:jc w:val="both"/>
        <w:rPr>
          <w:rFonts w:eastAsia="Times New Roman"/>
          <w:iCs/>
          <w:noProof/>
        </w:rPr>
      </w:pPr>
      <w:r>
        <w:rPr>
          <w:noProof/>
        </w:rPr>
        <w:t>A beszállítók kockázati profiljának értékelését kizárólag biztonsági okokból szabad és objektív kritériumok alapján kell elvégezni. Az ezen intézkedések</w:t>
      </w:r>
      <w:r>
        <w:rPr>
          <w:noProof/>
        </w:rPr>
        <w:t xml:space="preserve"> végrehajtására vonatkozó összehangolt megközelítés elősegítése érdekében az eszköztár azt ajánlja, hogy a tagállamok osszák meg egymással a nemzeti megközelítéseikkel és a bevált gyakorlatokkal kapcsolatos információkat. A Bizottság továbbá úgy véli, hogy</w:t>
      </w:r>
      <w:r>
        <w:rPr>
          <w:noProof/>
        </w:rPr>
        <w:t xml:space="preserve"> ennek a fellépésnek a Kiberbiztonsági Együttműködési Csoport keretében a Bizottsággal és az ENISA-val közösen végzett munka következő szakaszának egyik fő prioritását kell képeznie. </w:t>
      </w:r>
    </w:p>
    <w:p w:rsidR="00D8298C" w:rsidRDefault="00D8298C">
      <w:pPr>
        <w:jc w:val="both"/>
        <w:rPr>
          <w:rFonts w:eastAsia="Times New Roman"/>
          <w:iCs/>
          <w:noProof/>
        </w:rPr>
      </w:pPr>
    </w:p>
    <w:p w:rsidR="00D8298C" w:rsidRDefault="00857529">
      <w:pPr>
        <w:jc w:val="both"/>
        <w:rPr>
          <w:rFonts w:eastAsia="Times New Roman"/>
          <w:iCs/>
          <w:noProof/>
        </w:rPr>
      </w:pPr>
      <w:r>
        <w:rPr>
          <w:noProof/>
        </w:rPr>
        <w:t>Fontos, hogy a magas kockázatúnak tekintett beszállítókra vonatkozó korlátozásokat – beleértve a hatékony kockázatcsökkentéshez szükséges kizárásokat –, valamint az e beszállítóktól való függőség elkerülését célzó intézkedéseket időben meghatározzák. Ha ez</w:t>
      </w:r>
      <w:r>
        <w:rPr>
          <w:noProof/>
        </w:rPr>
        <w:t xml:space="preserve"> már a legkorábbi szakaszban megtörténik – többek között az 5G frekvenciákra vonatkozó engedélyezési eljárások tekintetében is, amennyiben lehetséges –, az növelni fogja a kiszámíthatóságot a piaci szereplők számára és ezáltal felgyorsítja az 5G hálózatok </w:t>
      </w:r>
      <w:r>
        <w:rPr>
          <w:noProof/>
        </w:rPr>
        <w:t xml:space="preserve">kiépítését, valamint biztosítja az 5G hálózatok hosszú távú biztonságát és az 5G ellátási lánc ellenálló képességét. </w:t>
      </w:r>
    </w:p>
    <w:p w:rsidR="00D8298C" w:rsidRDefault="00D8298C">
      <w:pPr>
        <w:jc w:val="both"/>
        <w:rPr>
          <w:rFonts w:eastAsia="Times New Roman"/>
          <w:iCs/>
          <w:noProof/>
        </w:rPr>
      </w:pPr>
    </w:p>
    <w:p w:rsidR="00D8298C" w:rsidRDefault="00857529">
      <w:pPr>
        <w:jc w:val="both"/>
        <w:rPr>
          <w:rFonts w:eastAsia="Times New Roman"/>
          <w:iCs/>
          <w:noProof/>
        </w:rPr>
      </w:pPr>
      <w:r>
        <w:rPr>
          <w:noProof/>
        </w:rPr>
        <w:t>Ugyanakkor ezen intézkedések nemzeti végrehajtása során – amennyiben szükséges és indokolt – eltérő időkeretek is meghatározhatók, különö</w:t>
      </w:r>
      <w:r>
        <w:rPr>
          <w:noProof/>
        </w:rPr>
        <w:t xml:space="preserve">sen abban az esetben, ha a berendezések vagy szolgáltatások igénybevétele az adott pillanatban nagy kockázatot jelentőként értékelt beszállítóktól nagymértékben függ (pl. figyelembe véve a berendezések korszerűsítésének ciklusait, különösen a „nem önálló” </w:t>
      </w:r>
      <w:r>
        <w:rPr>
          <w:noProof/>
        </w:rPr>
        <w:t>5G hálózatokról az „önálló” 5G hálózatokra való átállást). A tagállamok mérlegelhetik olyan végrehajtási tervek kidolgozását, amelyek megfelelő átmeneti időszakokat tartalmaznak az érintett hálózatüzemeltetők számára. Ebben az összefüggésben az átmeneti id</w:t>
      </w:r>
      <w:r>
        <w:rPr>
          <w:noProof/>
        </w:rPr>
        <w:t>őszakokat úgy kell meghatározni, hogy az 5G cselekvési terv</w:t>
      </w:r>
      <w:r>
        <w:rPr>
          <w:rStyle w:val="FootnoteReference"/>
          <w:iCs/>
          <w:noProof/>
        </w:rPr>
        <w:footnoteReference w:id="20"/>
      </w:r>
      <w:r>
        <w:rPr>
          <w:noProof/>
        </w:rPr>
        <w:t xml:space="preserve"> célkitűzéseivel összhangban a modern hálózati berendezésekbe – többek között a teljes értékű (önálló) 5G gerinchálózatok kiépítésének felgyorsításába és a hálózatok más részeiben (pl. a rádió-hoz</w:t>
      </w:r>
      <w:r>
        <w:rPr>
          <w:noProof/>
        </w:rPr>
        <w:t xml:space="preserve">záférési hálózatban) meglévő 4G berendezések lecserélésébe – való beruházás ösztönzői megmaradjanak vagy akár erősödjenek. </w:t>
      </w:r>
    </w:p>
    <w:p w:rsidR="00D8298C" w:rsidRDefault="00D8298C">
      <w:pPr>
        <w:jc w:val="both"/>
        <w:rPr>
          <w:rFonts w:eastAsia="Times New Roman"/>
          <w:noProof/>
        </w:rPr>
      </w:pPr>
    </w:p>
    <w:p w:rsidR="00D8298C" w:rsidRDefault="00857529">
      <w:pPr>
        <w:jc w:val="both"/>
        <w:rPr>
          <w:noProof/>
        </w:rPr>
      </w:pPr>
      <w:r>
        <w:rPr>
          <w:noProof/>
        </w:rPr>
        <w:t xml:space="preserve">Emellett az 5G szoftveralapú hálózatok összetettsége miatt a távközlési szolgáltatók valószínűleg egyre inkább arra kényszerülnek </w:t>
      </w:r>
      <w:r>
        <w:rPr>
          <w:noProof/>
        </w:rPr>
        <w:t>majd, hogy a hálózati berendezések biztosításán túlmenően bizonyos feladatok – például az 5G hálózatok és szoftverek karbantartása és korszerűsítése, valamint egyéb kiszervezett irányítású szolgáltatások – elvégzéséhez is harmadik felekre támaszkodjanak. A</w:t>
      </w:r>
      <w:r>
        <w:rPr>
          <w:noProof/>
        </w:rPr>
        <w:t>z összehangolt uniós kockázatértékelés szerint ez komoly biztonsági kockázatot jelent. Ezért különös figyelmet kell fordítani erre a szempontra. Alapvető fontosságú az e szolgáltatásokkal megbízott beszállítók kockázati profiljának alapos biztonsági értéke</w:t>
      </w:r>
      <w:r>
        <w:rPr>
          <w:noProof/>
        </w:rPr>
        <w:t>lése is, különösen akkor, ha ezeket a feladatokat nem az EU-ban végzik. Az 5G infrastruktúra hosszú távú integritásának megőrzése érdekében megfelelő intézkedéseket kell hozni, ideértve különösen az 5G hálózatok érzékeny részeire vonatkozó korlátozások alk</w:t>
      </w:r>
      <w:r>
        <w:rPr>
          <w:noProof/>
        </w:rPr>
        <w:t>almazását, illetve szükség esetén az eszköztár kockázatcsökkentő intézkedéseivel összhangban a nagy kockázatot jelentő szervezetek kizárását.</w:t>
      </w:r>
    </w:p>
    <w:p w:rsidR="00D8298C" w:rsidRDefault="00D8298C">
      <w:pPr>
        <w:jc w:val="both"/>
        <w:rPr>
          <w:rFonts w:eastAsia="Times New Roman"/>
          <w:noProof/>
        </w:rPr>
      </w:pPr>
    </w:p>
    <w:p w:rsidR="00D8298C" w:rsidRDefault="00857529">
      <w:pPr>
        <w:spacing w:after="240"/>
        <w:jc w:val="both"/>
        <w:rPr>
          <w:rFonts w:eastAsia="Times New Roman"/>
          <w:i/>
          <w:iCs/>
          <w:noProof/>
          <w:u w:val="single"/>
        </w:rPr>
      </w:pPr>
      <w:r>
        <w:rPr>
          <w:i/>
          <w:iCs/>
          <w:noProof/>
          <w:u w:val="single"/>
        </w:rPr>
        <w:t>5.2. A Bizottság szerepe az eszköztár alkalmazásának támogatásában</w:t>
      </w:r>
    </w:p>
    <w:p w:rsidR="00D8298C" w:rsidRDefault="00857529">
      <w:pPr>
        <w:spacing w:after="240"/>
        <w:jc w:val="both"/>
        <w:rPr>
          <w:rFonts w:eastAsia="Times New Roman"/>
          <w:noProof/>
        </w:rPr>
      </w:pPr>
      <w:r>
        <w:rPr>
          <w:noProof/>
        </w:rPr>
        <w:t>A Bizottság továbbra is általános szinten támo</w:t>
      </w:r>
      <w:r>
        <w:rPr>
          <w:noProof/>
        </w:rPr>
        <w:t>gatni fogja az 5G kiberbiztonságra vonatkozó uniós megközelítés végrehajtását, valamint konkrét kezdeményezéseket fog tenni az eszköztár intézkedései és célkitűzései tekintetében, amennyiben ez hozzáadott értéket teremthet. A Bizottság az azonosított bizto</w:t>
      </w:r>
      <w:r>
        <w:rPr>
          <w:noProof/>
        </w:rPr>
        <w:t>nsági megfontolások kezeléséhez szükséges mértékben lehetőség szerint élni fog hatásköreivel és a vonatkozó eszközökkel. Ezáltal, valamint a tagállamokkal és a magánszektorral együttműködve a Bizottság olyan stratégiai intézkedéseket kíván támogatni, amely</w:t>
      </w:r>
      <w:r>
        <w:rPr>
          <w:noProof/>
        </w:rPr>
        <w:t>ek hozzájárulnak az EU technológiai szuverenitásának és vezető szerepének biztosításához a hálózati technológiák jövőbeli fejlesztése, a kiberbiztonsági technológiák és minden olyan releváns építőelem tekintetében, amelyektől egész gazdaságunk és biztonság</w:t>
      </w:r>
      <w:r>
        <w:rPr>
          <w:noProof/>
        </w:rPr>
        <w:t xml:space="preserve">unk függ. </w:t>
      </w:r>
    </w:p>
    <w:p w:rsidR="00D8298C" w:rsidRDefault="00857529">
      <w:pPr>
        <w:spacing w:after="240"/>
        <w:jc w:val="both"/>
        <w:rPr>
          <w:rFonts w:eastAsia="Times New Roman"/>
          <w:noProof/>
        </w:rPr>
      </w:pPr>
      <w:r>
        <w:rPr>
          <w:noProof/>
        </w:rPr>
        <w:t>Ezen belül a Bizottság a következőket vállalja annak érdekében, hogy biztosítsa az eszköztár megfelelő kockázatcsökkentő intézkedéseinek végrehajtását a hatáskörébe tartozó területeken:</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b/>
          <w:noProof/>
        </w:rPr>
      </w:pPr>
      <w:r>
        <w:rPr>
          <w:b/>
          <w:noProof/>
        </w:rPr>
        <w:t>Az 5G hálózatok és a diverzifikált 5G értéklánc kiberbizton</w:t>
      </w:r>
      <w:r>
        <w:rPr>
          <w:b/>
          <w:noProof/>
        </w:rPr>
        <w:t>ságának védelme:</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Kiberbiztonsági együttműködés</w:t>
      </w:r>
      <w:r>
        <w:rPr>
          <w:noProof/>
        </w:rPr>
        <w:t xml:space="preserve">: a Kiberbiztonsági Együttműködési Csoporton keresztül továbbra is támogatást nyújt a tagállamoknak nemzeti intézkedéseik hatékony, összehangolt és időben történő végrehajtásához. </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Távközlési és kiberbizton</w:t>
      </w:r>
      <w:r>
        <w:rPr>
          <w:b/>
          <w:noProof/>
        </w:rPr>
        <w:t>sági szabályok</w:t>
      </w:r>
      <w:r>
        <w:rPr>
          <w:noProof/>
        </w:rPr>
        <w:t>: támogatja az eszköztár biztonsági követelményekkel kapcsolatos -intézkedéseinek végrehajtását, különös tekintettel az elektronikus hírközlésre vonatkozó európai szabályok vonatkozó rendelkezéseire, és mérlegeli a technikai és szervezeti biz</w:t>
      </w:r>
      <w:r>
        <w:rPr>
          <w:noProof/>
        </w:rPr>
        <w:t>tonsági intézkedéseket részletesen meghatározó lehetséges végrehajtási jogi aktusok hozzáadott értékét a nemzeti szabályok kiegészítése és az üzemeltetőkre vonatkozó biztonsági intézkedések hatékonyságának és következetességének fokozása érdekében.</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Szabv</w:t>
      </w:r>
      <w:r>
        <w:rPr>
          <w:b/>
          <w:noProof/>
        </w:rPr>
        <w:t>ányosítás</w:t>
      </w:r>
      <w:r>
        <w:rPr>
          <w:noProof/>
        </w:rPr>
        <w:t>: Európa biztonsági és interoperabilitási célkitűzéseinek elérése céljából lépéseket tesz annak érdekében, hogy segítsen fenntartani és szükség esetén növelni az európai részvételt a megfelelő szabványügyi szervekben. Ennek keretében a Bizottság a</w:t>
      </w:r>
      <w:r>
        <w:rPr>
          <w:noProof/>
        </w:rPr>
        <w:t xml:space="preserve"> tagállamokkal együtt értékelni és támogatni fogja különösen azokat a műszaki előírásokat és szabványokat, amelyek lehetővé teszik a hálózat – többek között a hagyományos hálózatok – különböző részeiben használt 5G berendezések beszállítói közötti interope</w:t>
      </w:r>
      <w:r>
        <w:rPr>
          <w:noProof/>
        </w:rPr>
        <w:t xml:space="preserve">rabilitást annak érdekében, hogy – például nyílt, interoperábilis interfészek révén – valódi több beszállítós környezetet teremtsen.  </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Tanúsítás</w:t>
      </w:r>
      <w:r>
        <w:rPr>
          <w:noProof/>
        </w:rPr>
        <w:t>: támogatja az 5G hálózatok igényeinek megfelelő 5G tanúsítási rendszerek kidolgozását az EU kiberbiztonsági t</w:t>
      </w:r>
      <w:r>
        <w:rPr>
          <w:noProof/>
        </w:rPr>
        <w:t>anúsítási rendszere keretében.</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A közvetlen külföldi befektetések átvilágítása</w:t>
      </w:r>
      <w:r>
        <w:rPr>
          <w:noProof/>
        </w:rPr>
        <w:t>: támogatja az uniós átvilágítási keret végrehajtását azáltal, hogy feltérképezi az 5G értékláncot, beleértve az érzékeny hálózati eszközöket is, és rendszeresen nyomon követi a</w:t>
      </w:r>
      <w:r>
        <w:rPr>
          <w:noProof/>
        </w:rPr>
        <w:t xml:space="preserve"> közvetlen külföldi befektetéseket az értéklánc mentén. A közvetlen külföldi befektetések átvilágítási ütemtervének megfelelően (2020 októberétől) a Bizottság az (EU) 2019/452 rendeletben meghatározott iránymutatásokkal összhangban ellenőrizni fogja a külf</w:t>
      </w:r>
      <w:r>
        <w:rPr>
          <w:noProof/>
        </w:rPr>
        <w:t xml:space="preserve">öldi befektetéseket az 5G területén, figyelembe véve az összehangolt uniós kockázatértékelést és az uniós eszköztárat. </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Piacvédelmi eszközök</w:t>
      </w:r>
      <w:r>
        <w:rPr>
          <w:noProof/>
        </w:rPr>
        <w:t>: nyomon követi az EU-ban és a harmadik országokban bekövetkező valamennyi releváns piaci fejleményt, valamint a k</w:t>
      </w:r>
      <w:r>
        <w:rPr>
          <w:noProof/>
        </w:rPr>
        <w:t xml:space="preserve">ereskedelemtorzító gyakorlatok (dömping vagy támogatás) kezelésére irányuló piacvédelmi intézkedésekkel védi az európai 5G piac uniós szereplőit, adott esetben előzetes vizsgálatok indítása révén. </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b/>
          <w:noProof/>
        </w:rPr>
        <w:t xml:space="preserve">- Versenyszabályok: </w:t>
      </w:r>
      <w:r>
        <w:rPr>
          <w:noProof/>
        </w:rPr>
        <w:t>figyelemmel kíséri az 5G hardver- és s</w:t>
      </w:r>
      <w:r>
        <w:rPr>
          <w:noProof/>
        </w:rPr>
        <w:t>zoftverellátás piacainak működését annak biztosítása érdekében, hogy azok versenyképes eredményeket produkáljanak, többek között az esetleges szerződéses vagy műszaki függőségi helyzetekkel kapcsolatban.</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Uniós finanszírozási programok</w:t>
      </w:r>
      <w:r>
        <w:rPr>
          <w:noProof/>
        </w:rPr>
        <w:t>: biztosítja, hogy a</w:t>
      </w:r>
      <w:r>
        <w:rPr>
          <w:noProof/>
        </w:rPr>
        <w:t xml:space="preserve"> vonatkozó technológiai területeken az uniós finanszírozási programokban való részvételt – a biztonsági feltételek teljes körű kihasználása és K+I-programokba, különösen az Európai horizont kutatási és innovációs keretprogramba, a Digitális Európa programb</w:t>
      </w:r>
      <w:r>
        <w:rPr>
          <w:noProof/>
        </w:rPr>
        <w:t>a, az Európai Hálózatfinanszírozási Eszköz 2 programba, az európai strukturális és beruházási alapokba és más idevágó programokba való beépítése révén – a biztonsági követelményeknek való megfeleléshez kössék.</w:t>
      </w:r>
      <w:r>
        <w:rPr>
          <w:rStyle w:val="FootnoteReference"/>
          <w:noProof/>
        </w:rPr>
        <w:t xml:space="preserve"> </w:t>
      </w:r>
      <w:r>
        <w:rPr>
          <w:noProof/>
        </w:rPr>
        <w:t>Hasonló megközelítést kell alkalmazni az EU kü</w:t>
      </w:r>
      <w:r>
        <w:rPr>
          <w:noProof/>
        </w:rPr>
        <w:t>lső finanszírozási programjai és pénzügyi eszközei esetében is, többek között a nemzetközi pénzügyi intézményeken keresztül nyújtott finanszírozás tekintetében.</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b/>
          <w:noProof/>
        </w:rPr>
        <w:t>- Közbeszerzés:</w:t>
      </w:r>
      <w:r>
        <w:rPr>
          <w:noProof/>
        </w:rPr>
        <w:t xml:space="preserve"> ösztönzi a közbeszerzéseket az 5G hálózatok területén a biztonság, a beszállító</w:t>
      </w:r>
      <w:r>
        <w:rPr>
          <w:noProof/>
        </w:rPr>
        <w:t>k diverzifikációja és az 5G hálózatok hosszú távú fenntarthatósága terén meghatározott célkitűzések támogatására; különösen pedig törekszik annak biztosítására, hogy az 5G hálózatokhoz kapcsolódó közbeszerzési szerződések odaítélésekor az uniós közbeszerzé</w:t>
      </w:r>
      <w:r>
        <w:rPr>
          <w:noProof/>
        </w:rPr>
        <w:t>si szabályokkal összhangban kellő figyelmet fordítsanak a biztonsági szempontokra.</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b/>
          <w:noProof/>
        </w:rPr>
        <w:t>- Eseményekre való reagálás és válságkezelés (tervezet) és kiberbiztonsági gyakorlatok</w:t>
      </w:r>
      <w:r>
        <w:rPr>
          <w:noProof/>
        </w:rPr>
        <w:t>: teljes körűen kihasználja a nagyszabású kiberbiztonsági eseményekre való összehangolt</w:t>
      </w:r>
      <w:r>
        <w:rPr>
          <w:noProof/>
        </w:rPr>
        <w:t xml:space="preserve"> reagálásról szóló tervezet</w:t>
      </w:r>
      <w:r>
        <w:rPr>
          <w:rStyle w:val="FootnoteReference"/>
          <w:noProof/>
        </w:rPr>
        <w:footnoteReference w:id="21"/>
      </w:r>
      <w:r>
        <w:rPr>
          <w:noProof/>
        </w:rPr>
        <w:t xml:space="preserve"> kidolgozásából eredő lehetőségeket. Továbbá az ENISA-val együtt mérlegeli egy 5G kiberbiztonsági gyakorlat lefolytatásának lehetőségét, amint azt a piac érettsége lehetővé teszi. </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Ezen túlmenően az Unió külügyi és biztonságpoli</w:t>
      </w:r>
      <w:r>
        <w:rPr>
          <w:noProof/>
        </w:rPr>
        <w:t xml:space="preserve">tikai főképviselőjének és a Bizottság alelnökének, valamint a Tanácsnak a felelőssége mellett: </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noProof/>
        </w:rPr>
      </w:pPr>
      <w:r>
        <w:rPr>
          <w:noProof/>
        </w:rPr>
        <w:t xml:space="preserve">- </w:t>
      </w:r>
      <w:r>
        <w:rPr>
          <w:b/>
          <w:noProof/>
        </w:rPr>
        <w:t>A rossz szándékú kibertevékenységekkel szembeni közös uniós diplomáciai intézkedések kerete („kiberdiplomáciai eszköztár”)</w:t>
      </w:r>
      <w:r>
        <w:rPr>
          <w:rStyle w:val="FootnoteReference"/>
          <w:b/>
          <w:noProof/>
        </w:rPr>
        <w:footnoteReference w:id="22"/>
      </w:r>
      <w:r>
        <w:rPr>
          <w:noProof/>
        </w:rPr>
        <w:t>: az EU integritását és biztonságát</w:t>
      </w:r>
      <w:r>
        <w:rPr>
          <w:noProof/>
        </w:rPr>
        <w:t xml:space="preserve"> veszélyeztető rossz szándékú kibertevékenységek esetében a tagállamokat arra ösztönzi, hogy az együttműködés előmozdítása, a fenyegetések enyhítése és a potenciális támadók magatartásának befolyásolása érdekében alkalmazzák az uniós kiberdiplomáciai eszkö</w:t>
      </w:r>
      <w:r>
        <w:rPr>
          <w:noProof/>
        </w:rPr>
        <w:t xml:space="preserve">ztár részét képező releváns közös kül- és biztonságpolitikai intézkedéseket (ideértve szükség esetén a korlátozó intézkedéseket is). </w:t>
      </w:r>
    </w:p>
    <w:p w:rsidR="00D8298C" w:rsidRDefault="00857529">
      <w:pPr>
        <w:shd w:val="clear" w:color="auto" w:fill="FFFFFF" w:themeFill="background1"/>
        <w:spacing w:before="100" w:beforeAutospacing="1" w:after="240"/>
        <w:ind w:left="66"/>
        <w:jc w:val="both"/>
        <w:rPr>
          <w:rFonts w:eastAsia="Times New Roman"/>
          <w:noProof/>
        </w:rPr>
      </w:pPr>
      <w:r>
        <w:rPr>
          <w:noProof/>
        </w:rPr>
        <w:t>Emellett számos program hozzá fog járulni a hosszú távú függőség kockázatának elkerülésére vagy korlátozására irányuló célkitűzések teljesítéséhez azáltal, hogy előmozdítja az 5G piac diverzifikációját és fenntarthatóságát, többek között oly módon, hogy az</w:t>
      </w:r>
      <w:r>
        <w:rPr>
          <w:noProof/>
        </w:rPr>
        <w:t xml:space="preserve"> EU nemzetközi kötelezettségeivel összhangban fenntartja az 5G értékláncban meglévő uniós kapacitásokat és beruház az innovációba. </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240"/>
        <w:ind w:left="66"/>
        <w:jc w:val="both"/>
        <w:rPr>
          <w:rFonts w:eastAsia="Times New Roman"/>
          <w:b/>
          <w:noProof/>
        </w:rPr>
      </w:pPr>
      <w:r>
        <w:rPr>
          <w:b/>
          <w:noProof/>
        </w:rPr>
        <w:t xml:space="preserve">Az innováció előmozdítása, valamint beruházás a kiberbiztonságba és a hálózati infrastruktúra-technológiákba:  </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240"/>
        <w:ind w:left="66"/>
        <w:jc w:val="both"/>
        <w:rPr>
          <w:rFonts w:eastAsia="Times New Roman"/>
          <w:noProof/>
        </w:rPr>
      </w:pPr>
      <w:r>
        <w:rPr>
          <w:noProof/>
        </w:rPr>
        <w:t xml:space="preserve">- </w:t>
      </w:r>
      <w:r>
        <w:rPr>
          <w:b/>
          <w:noProof/>
        </w:rPr>
        <w:t xml:space="preserve">Uniós </w:t>
      </w:r>
      <w:r>
        <w:rPr>
          <w:b/>
          <w:noProof/>
        </w:rPr>
        <w:t>finanszírozási programok</w:t>
      </w:r>
      <w:r>
        <w:rPr>
          <w:noProof/>
        </w:rPr>
        <w:t>: növeli a hálózati technológiákkal és a releváns építőelemekkel kapcsolatos kutatásba, innovációba és kiépítési tevékenységekbe való beruházások mértékét. A Bizottság a 2021–2027-es időszakra vonatkozó következő uniós költségvetésb</w:t>
      </w:r>
      <w:r>
        <w:rPr>
          <w:noProof/>
        </w:rPr>
        <w:t>ől közel 3 milliárd euró értékű beruházást javasolt a kiberbiztonsági technológiákba. Ez magában foglalja az Európai horizont égisze alatt végzett kutatást és innovációt, valamint a kiberbiztonsági képességeknek a Digitális Európa program keretében történő</w:t>
      </w:r>
      <w:r>
        <w:rPr>
          <w:noProof/>
        </w:rPr>
        <w:t xml:space="preserve"> támogatását. Az InvestEU program szintén nyújthat pénzügyi támogatást az 5G területén folytatott kutatáshoz és fejlesztéshez, valamint az infrastruktúra kiépítéséhez.</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240"/>
        <w:ind w:left="66"/>
        <w:jc w:val="both"/>
        <w:rPr>
          <w:rFonts w:eastAsia="Times New Roman"/>
          <w:noProof/>
        </w:rPr>
      </w:pPr>
      <w:bookmarkStart w:id="1" w:name="_GoBack"/>
      <w:bookmarkEnd w:id="1"/>
      <w:r>
        <w:rPr>
          <w:noProof/>
        </w:rPr>
        <w:t>Ezen túlmenően az 5G kiépítésének befejezése és főként a mobiltechnológia következő g</w:t>
      </w:r>
      <w:r>
        <w:rPr>
          <w:noProof/>
        </w:rPr>
        <w:t xml:space="preserve">enerációjára, </w:t>
      </w:r>
      <w:r>
        <w:rPr>
          <w:b/>
          <w:noProof/>
        </w:rPr>
        <w:t>a 6G-re való felkészülés érdekében</w:t>
      </w:r>
      <w:r>
        <w:rPr>
          <w:noProof/>
        </w:rPr>
        <w:t xml:space="preserve"> a Bizottság javaslatot tett egy, az újgenerációs internettel/6G-vel (intelligens hálózatokkal és szolgáltatásokkal) kapcsolatos intézményesített uniós partnerség létrehozására a következő Európai horizont pr</w:t>
      </w:r>
      <w:r>
        <w:rPr>
          <w:noProof/>
        </w:rPr>
        <w:t>ogram keretében</w:t>
      </w:r>
      <w:r>
        <w:rPr>
          <w:rStyle w:val="FootnoteReference"/>
          <w:noProof/>
        </w:rPr>
        <w:footnoteReference w:id="23"/>
      </w:r>
      <w:r>
        <w:rPr>
          <w:noProof/>
        </w:rPr>
        <w:t>, az ágazattal partnerségben és a tagállamokkal együttműködve. Az uniós költségvetésből (2021–2027) több mint 2,5 milliárd EUR összegű uniós beruházást javasolt, amelyhez e kezdeményezés keretében legalább 7,5 milliárd EUR összegű magánbefe</w:t>
      </w:r>
      <w:r>
        <w:rPr>
          <w:noProof/>
        </w:rPr>
        <w:t>ktetés társulna.</w:t>
      </w:r>
    </w:p>
    <w:p w:rsidR="00D8298C" w:rsidRDefault="00857529">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240"/>
        <w:ind w:left="66"/>
        <w:jc w:val="both"/>
        <w:rPr>
          <w:noProof/>
        </w:rPr>
      </w:pPr>
      <w:r>
        <w:rPr>
          <w:b/>
          <w:noProof/>
        </w:rPr>
        <w:t>- Ipari fejlesztés és kiépítés</w:t>
      </w:r>
      <w:r>
        <w:rPr>
          <w:noProof/>
        </w:rPr>
        <w:t>: értékeli az 5G értékláncon belüli potenciális piaci hiányosságokat és hibákat, amelyek célzott beavatkozásokat indokolnának a következő hosszú távú költségvetés keretében vagy egy esetleges, a kiberbiztonság</w:t>
      </w:r>
      <w:r>
        <w:rPr>
          <w:noProof/>
        </w:rPr>
        <w:t>gal kapcsolatos, közös európai érdeket szolgáló fontos projekt keretében, összhangban a közös európai érdeket szolgáló fontos projekt magas szintű fórumának javaslataival. A közös európai érdeket szolgáló fontos projektek kialakítására és létrehozására von</w:t>
      </w:r>
      <w:r>
        <w:rPr>
          <w:noProof/>
        </w:rPr>
        <w:t>atkozó döntés a tagállamok és a vállalkozások kezében van. Az uniós szabályok támogató keretet biztosítanak, a Bizottság pedig készen áll arra, hogy megkönnyítse a szükséges kapcsolatok létrejöttét és iránymutatást nyújtson.</w:t>
      </w:r>
    </w:p>
    <w:p w:rsidR="00D8298C" w:rsidRDefault="00857529">
      <w:pPr>
        <w:spacing w:after="200" w:line="276" w:lineRule="auto"/>
        <w:ind w:firstLine="720"/>
        <w:rPr>
          <w:rFonts w:eastAsia="Times New Roman"/>
          <w:b/>
          <w:i/>
          <w:noProof/>
          <w:u w:val="single"/>
        </w:rPr>
      </w:pPr>
      <w:r>
        <w:rPr>
          <w:noProof/>
        </w:rPr>
        <w:br w:type="page"/>
      </w:r>
      <w:r>
        <w:rPr>
          <w:b/>
          <w:i/>
          <w:noProof/>
          <w:u w:val="single"/>
        </w:rPr>
        <w:t>6. Következtetés</w:t>
      </w:r>
    </w:p>
    <w:p w:rsidR="00D8298C" w:rsidRDefault="00857529">
      <w:pPr>
        <w:spacing w:after="240"/>
        <w:jc w:val="both"/>
        <w:rPr>
          <w:rFonts w:eastAsia="Times New Roman"/>
          <w:noProof/>
        </w:rPr>
      </w:pPr>
      <w:r>
        <w:rPr>
          <w:noProof/>
        </w:rPr>
        <w:t>Az 5G hálózat</w:t>
      </w:r>
      <w:r>
        <w:rPr>
          <w:noProof/>
        </w:rPr>
        <w:t>ok egy sor lehetőséget teremtenek az európai polgárok, valamint az európai társadalom és gazdaság számára. Az 5G hálózatok biztonságának és ellenálló képességének biztosítása ezért alapvető fontosságú. Ugyanakkor a kiberbiztonsági fenyegetések (ideértve az</w:t>
      </w:r>
      <w:r>
        <w:rPr>
          <w:noProof/>
        </w:rPr>
        <w:t xml:space="preserve"> EU-n kívüli állami vagy valamely nem uniós állam által támogatott szereplők általi beavatkozás kockázatát is) folyamatosan változó kihívást jelentenek, amely a technológiákra és az adatokra való támaszkodás fokozódásával párhuzamosan egyre nagyobb figyelm</w:t>
      </w:r>
      <w:r>
        <w:rPr>
          <w:noProof/>
        </w:rPr>
        <w:t xml:space="preserve">et követel. A kiberbiztonság elhanyagolása aláásná a digitális gazdaság és társadalom fejlődésébe vetett bizalmat, és megakadályozná, hogy az EU teljes mértékben kihasználja annak előnyeit. Ehhez megfelelő, folyamatosan fejlődő és határozott reakcióra van </w:t>
      </w:r>
      <w:r>
        <w:rPr>
          <w:noProof/>
        </w:rPr>
        <w:t>szükség. </w:t>
      </w:r>
    </w:p>
    <w:p w:rsidR="00D8298C" w:rsidRDefault="00857529">
      <w:pPr>
        <w:spacing w:after="240"/>
        <w:jc w:val="both"/>
        <w:rPr>
          <w:rFonts w:eastAsia="Times New Roman"/>
          <w:noProof/>
        </w:rPr>
      </w:pPr>
      <w:r>
        <w:rPr>
          <w:noProof/>
        </w:rPr>
        <w:t>A kritikus technológiák és hálózatok kiberbiztonságának uniós szinten összehangolt és következetes megközelítése elengedhetetlen az EU technológiai szuverenitásának biztosításához, valamint az ipari kapacitások fenntartásához és fejlesztéséhez. A</w:t>
      </w:r>
      <w:r>
        <w:rPr>
          <w:noProof/>
        </w:rPr>
        <w:t xml:space="preserve"> Bizottság teljes mértékben támogatni fogja az 5G hálózatokra vonatkozó uniós kiberbiztonsági megközelítés végrehajtását, miközben biztosítja, hogy az uniós piacok továbbra is nyitottak maradjanak az olyan termékek és szolgáltatások előtt, amelyek megfelel</w:t>
      </w:r>
      <w:r>
        <w:rPr>
          <w:noProof/>
        </w:rPr>
        <w:t xml:space="preserve">nek a folyamatosan változó kiberbiztonsági és megbízhatósági követelményeknek. </w:t>
      </w:r>
    </w:p>
    <w:p w:rsidR="00D8298C" w:rsidRDefault="00857529">
      <w:pPr>
        <w:spacing w:after="240"/>
        <w:jc w:val="both"/>
        <w:rPr>
          <w:rFonts w:eastAsia="Times New Roman"/>
          <w:iCs/>
          <w:noProof/>
        </w:rPr>
      </w:pPr>
      <w:r>
        <w:rPr>
          <w:noProof/>
        </w:rPr>
        <w:t>E célból fontos, hogy az 5G biztonságban érintett valamennyi érdekelt fél elkötelezettsége szilárd maradjon, és folyamatos együttműködésre lesz szükség a tagállamok, a Bizottsá</w:t>
      </w:r>
      <w:r>
        <w:rPr>
          <w:noProof/>
        </w:rPr>
        <w:t xml:space="preserve">g és az ENISA között. </w:t>
      </w:r>
    </w:p>
    <w:p w:rsidR="00D8298C" w:rsidRDefault="00857529">
      <w:pPr>
        <w:spacing w:after="240"/>
        <w:jc w:val="both"/>
        <w:rPr>
          <w:rFonts w:eastAsia="Times New Roman"/>
          <w:noProof/>
        </w:rPr>
      </w:pPr>
      <w:r>
        <w:rPr>
          <w:noProof/>
        </w:rPr>
        <w:t>A fent vázoltaknak megfelelően következő lépésként a Bizottság felszólítja a tagállamokat, hogy tegyenek gyors lépéseket az eszköztár részeként elfogadott intézkedések hatékony és objektív végrehajtása érdekében, és a Bizottság és az</w:t>
      </w:r>
      <w:r>
        <w:rPr>
          <w:noProof/>
        </w:rPr>
        <w:t xml:space="preserve"> ENISA támogatásával folytassák az együttműködést az uniós szintű koordináció biztosítása érdekében. Ezzel párhuzamosan a Bizottság a hatáskörébe tartozó minden releváns intézkedést meg fog hozni annak érdekében, hogy támogassa az eszköztár tagállamok álta</w:t>
      </w:r>
      <w:r>
        <w:rPr>
          <w:noProof/>
        </w:rPr>
        <w:t xml:space="preserve">li alkalmazását és erősítse annak hatását. </w:t>
      </w:r>
      <w:r>
        <w:rPr>
          <w:noProof/>
        </w:rPr>
        <w:br w:type="page"/>
      </w:r>
    </w:p>
    <w:p w:rsidR="00D8298C" w:rsidRDefault="00857529">
      <w:pPr>
        <w:spacing w:after="240"/>
        <w:rPr>
          <w:i/>
          <w:noProof/>
          <w:u w:val="single"/>
        </w:rPr>
      </w:pPr>
      <w:r>
        <w:rPr>
          <w:i/>
          <w:noProof/>
          <w:u w:val="single"/>
        </w:rPr>
        <w:t>Függelék: Kockázati kategóriák (forrás: az összehangolt uniós kockázatértékelés)</w:t>
      </w:r>
    </w:p>
    <w:tbl>
      <w:tblPr>
        <w:tblStyle w:val="TableGrid"/>
        <w:tblW w:w="8075" w:type="dxa"/>
        <w:tblLook w:val="04A0" w:firstRow="1" w:lastRow="0" w:firstColumn="1" w:lastColumn="0" w:noHBand="0" w:noVBand="1"/>
      </w:tblPr>
      <w:tblGrid>
        <w:gridCol w:w="4106"/>
        <w:gridCol w:w="3969"/>
      </w:tblGrid>
      <w:tr w:rsidR="00D8298C">
        <w:tc>
          <w:tcPr>
            <w:tcW w:w="4106" w:type="dxa"/>
            <w:shd w:val="clear" w:color="auto" w:fill="8DB3E2" w:themeFill="text2" w:themeFillTint="66"/>
          </w:tcPr>
          <w:p w:rsidR="00D8298C" w:rsidRDefault="00D8298C">
            <w:pPr>
              <w:spacing w:after="120"/>
              <w:rPr>
                <w:b/>
                <w:i/>
                <w:noProof/>
                <w:sz w:val="22"/>
                <w:szCs w:val="22"/>
              </w:rPr>
            </w:pPr>
          </w:p>
        </w:tc>
        <w:tc>
          <w:tcPr>
            <w:tcW w:w="3969" w:type="dxa"/>
            <w:shd w:val="clear" w:color="auto" w:fill="FFFFFF" w:themeFill="background1"/>
          </w:tcPr>
          <w:p w:rsidR="00D8298C" w:rsidRDefault="00857529">
            <w:pPr>
              <w:spacing w:after="120"/>
              <w:jc w:val="both"/>
              <w:rPr>
                <w:b/>
                <w:i/>
                <w:noProof/>
                <w:sz w:val="22"/>
                <w:szCs w:val="22"/>
              </w:rPr>
            </w:pPr>
            <w:r>
              <w:rPr>
                <w:b/>
                <w:i/>
                <w:noProof/>
                <w:sz w:val="22"/>
                <w:szCs w:val="22"/>
              </w:rPr>
              <w:t>Kockázati kategóriák</w:t>
            </w:r>
          </w:p>
        </w:tc>
      </w:tr>
      <w:tr w:rsidR="00D8298C">
        <w:tc>
          <w:tcPr>
            <w:tcW w:w="4106" w:type="dxa"/>
            <w:vMerge w:val="restart"/>
            <w:shd w:val="clear" w:color="auto" w:fill="8DB3E2" w:themeFill="text2" w:themeFillTint="66"/>
          </w:tcPr>
          <w:p w:rsidR="00D8298C" w:rsidRDefault="00D8298C">
            <w:pPr>
              <w:spacing w:after="120"/>
              <w:rPr>
                <w:b/>
                <w:i/>
                <w:noProof/>
                <w:sz w:val="22"/>
                <w:szCs w:val="22"/>
              </w:rPr>
            </w:pPr>
          </w:p>
          <w:p w:rsidR="00D8298C" w:rsidRDefault="00857529">
            <w:pPr>
              <w:spacing w:after="120"/>
              <w:rPr>
                <w:b/>
                <w:i/>
                <w:noProof/>
                <w:sz w:val="22"/>
                <w:szCs w:val="22"/>
              </w:rPr>
            </w:pPr>
            <w:r>
              <w:rPr>
                <w:b/>
                <w:i/>
                <w:noProof/>
                <w:sz w:val="22"/>
                <w:szCs w:val="22"/>
              </w:rPr>
              <w:t>Az elégtelen biztonsági intézkedésekkel kapcsolatos kockázati forgatókönyvek</w:t>
            </w:r>
          </w:p>
        </w:tc>
        <w:tc>
          <w:tcPr>
            <w:tcW w:w="3969" w:type="dxa"/>
            <w:shd w:val="clear" w:color="auto" w:fill="FFFFFF" w:themeFill="background1"/>
          </w:tcPr>
          <w:p w:rsidR="00D8298C" w:rsidRDefault="00857529">
            <w:pPr>
              <w:spacing w:after="120"/>
              <w:rPr>
                <w:i/>
                <w:noProof/>
                <w:sz w:val="22"/>
                <w:szCs w:val="22"/>
              </w:rPr>
            </w:pPr>
            <w:r>
              <w:rPr>
                <w:i/>
                <w:noProof/>
                <w:sz w:val="22"/>
                <w:szCs w:val="22"/>
              </w:rPr>
              <w:t xml:space="preserve">K1: A hálózatok hibás </w:t>
            </w:r>
            <w:r>
              <w:rPr>
                <w:i/>
                <w:noProof/>
                <w:sz w:val="22"/>
                <w:szCs w:val="22"/>
              </w:rPr>
              <w:t>konfigurációja</w:t>
            </w:r>
          </w:p>
          <w:p w:rsidR="00D8298C" w:rsidRDefault="00D8298C">
            <w:pPr>
              <w:spacing w:after="120"/>
              <w:jc w:val="both"/>
              <w:rPr>
                <w:b/>
                <w:i/>
                <w:noProof/>
                <w:sz w:val="22"/>
                <w:szCs w:val="22"/>
              </w:rPr>
            </w:pPr>
          </w:p>
        </w:tc>
      </w:tr>
      <w:tr w:rsidR="00D8298C">
        <w:tc>
          <w:tcPr>
            <w:tcW w:w="4106" w:type="dxa"/>
            <w:vMerge/>
            <w:shd w:val="clear" w:color="auto" w:fill="8DB3E2" w:themeFill="text2" w:themeFillTint="66"/>
          </w:tcPr>
          <w:p w:rsidR="00D8298C" w:rsidRDefault="00D8298C">
            <w:pPr>
              <w:spacing w:after="120"/>
              <w:rPr>
                <w:b/>
                <w:i/>
                <w:noProof/>
                <w:sz w:val="22"/>
                <w:szCs w:val="22"/>
              </w:rPr>
            </w:pPr>
          </w:p>
        </w:tc>
        <w:tc>
          <w:tcPr>
            <w:tcW w:w="3969" w:type="dxa"/>
            <w:shd w:val="clear" w:color="auto" w:fill="FFFFFF" w:themeFill="background1"/>
          </w:tcPr>
          <w:p w:rsidR="00D8298C" w:rsidRDefault="00857529">
            <w:pPr>
              <w:spacing w:after="120"/>
              <w:jc w:val="both"/>
              <w:rPr>
                <w:i/>
                <w:noProof/>
                <w:sz w:val="22"/>
                <w:szCs w:val="22"/>
              </w:rPr>
            </w:pPr>
            <w:r>
              <w:rPr>
                <w:i/>
                <w:noProof/>
                <w:sz w:val="22"/>
                <w:szCs w:val="22"/>
              </w:rPr>
              <w:t>K2: A hozzáférési ellenőrzések hiánya</w:t>
            </w:r>
          </w:p>
        </w:tc>
      </w:tr>
      <w:tr w:rsidR="00D8298C">
        <w:tc>
          <w:tcPr>
            <w:tcW w:w="4106" w:type="dxa"/>
            <w:vMerge w:val="restart"/>
            <w:shd w:val="clear" w:color="auto" w:fill="8DB3E2" w:themeFill="text2" w:themeFillTint="66"/>
          </w:tcPr>
          <w:p w:rsidR="00D8298C" w:rsidRDefault="00D8298C">
            <w:pPr>
              <w:spacing w:after="120"/>
              <w:rPr>
                <w:b/>
                <w:i/>
                <w:noProof/>
                <w:sz w:val="22"/>
                <w:szCs w:val="22"/>
              </w:rPr>
            </w:pPr>
          </w:p>
          <w:p w:rsidR="00D8298C" w:rsidRDefault="00857529">
            <w:pPr>
              <w:spacing w:after="120"/>
              <w:rPr>
                <w:b/>
                <w:i/>
                <w:noProof/>
                <w:sz w:val="22"/>
                <w:szCs w:val="22"/>
              </w:rPr>
            </w:pPr>
            <w:r>
              <w:rPr>
                <w:b/>
                <w:i/>
                <w:noProof/>
                <w:sz w:val="22"/>
                <w:szCs w:val="22"/>
              </w:rPr>
              <w:t>Az 5G ellátási lánccal kapcsolatos kockázati forgatókönyvek</w:t>
            </w:r>
          </w:p>
          <w:p w:rsidR="00D8298C" w:rsidRDefault="00D8298C">
            <w:pPr>
              <w:spacing w:after="120"/>
              <w:rPr>
                <w:b/>
                <w:i/>
                <w:noProof/>
                <w:sz w:val="22"/>
                <w:szCs w:val="22"/>
              </w:rPr>
            </w:pPr>
          </w:p>
        </w:tc>
        <w:tc>
          <w:tcPr>
            <w:tcW w:w="3969" w:type="dxa"/>
            <w:shd w:val="clear" w:color="auto" w:fill="FFFFFF" w:themeFill="background1"/>
          </w:tcPr>
          <w:p w:rsidR="00D8298C" w:rsidRDefault="00857529">
            <w:pPr>
              <w:spacing w:after="120"/>
              <w:jc w:val="both"/>
              <w:rPr>
                <w:i/>
                <w:noProof/>
                <w:sz w:val="22"/>
                <w:szCs w:val="22"/>
              </w:rPr>
            </w:pPr>
            <w:r>
              <w:rPr>
                <w:i/>
                <w:noProof/>
                <w:sz w:val="22"/>
                <w:szCs w:val="22"/>
              </w:rPr>
              <w:t xml:space="preserve">K3: Gyenge termékminőség </w:t>
            </w:r>
          </w:p>
          <w:p w:rsidR="00D8298C" w:rsidRDefault="00D8298C">
            <w:pPr>
              <w:spacing w:after="120"/>
              <w:jc w:val="both"/>
              <w:rPr>
                <w:b/>
                <w:i/>
                <w:noProof/>
                <w:sz w:val="22"/>
                <w:szCs w:val="22"/>
              </w:rPr>
            </w:pPr>
          </w:p>
        </w:tc>
      </w:tr>
      <w:tr w:rsidR="00D8298C">
        <w:tc>
          <w:tcPr>
            <w:tcW w:w="4106" w:type="dxa"/>
            <w:vMerge/>
            <w:shd w:val="clear" w:color="auto" w:fill="8DB3E2" w:themeFill="text2" w:themeFillTint="66"/>
          </w:tcPr>
          <w:p w:rsidR="00D8298C" w:rsidRDefault="00D8298C">
            <w:pPr>
              <w:spacing w:after="120"/>
              <w:rPr>
                <w:b/>
                <w:i/>
                <w:noProof/>
                <w:sz w:val="22"/>
                <w:szCs w:val="22"/>
              </w:rPr>
            </w:pPr>
          </w:p>
        </w:tc>
        <w:tc>
          <w:tcPr>
            <w:tcW w:w="3969" w:type="dxa"/>
            <w:shd w:val="clear" w:color="auto" w:fill="FFFFFF" w:themeFill="background1"/>
          </w:tcPr>
          <w:p w:rsidR="00D8298C" w:rsidRDefault="00857529">
            <w:pPr>
              <w:spacing w:after="120"/>
              <w:jc w:val="both"/>
              <w:rPr>
                <w:i/>
                <w:noProof/>
                <w:sz w:val="22"/>
                <w:szCs w:val="22"/>
              </w:rPr>
            </w:pPr>
            <w:r>
              <w:rPr>
                <w:i/>
                <w:noProof/>
                <w:sz w:val="22"/>
                <w:szCs w:val="22"/>
              </w:rPr>
              <w:t xml:space="preserve">K4: Az egyes hálózatokon belül egyetlen beszállítótól való függés vagy a diverzifikáció hiánya országos </w:t>
            </w:r>
            <w:r>
              <w:rPr>
                <w:i/>
                <w:noProof/>
                <w:sz w:val="22"/>
                <w:szCs w:val="22"/>
              </w:rPr>
              <w:t>szinten</w:t>
            </w:r>
          </w:p>
        </w:tc>
      </w:tr>
      <w:tr w:rsidR="00D8298C">
        <w:tc>
          <w:tcPr>
            <w:tcW w:w="4106" w:type="dxa"/>
            <w:vMerge w:val="restart"/>
            <w:shd w:val="clear" w:color="auto" w:fill="8DB3E2" w:themeFill="text2" w:themeFillTint="66"/>
          </w:tcPr>
          <w:p w:rsidR="00D8298C" w:rsidRDefault="00857529">
            <w:pPr>
              <w:spacing w:after="120"/>
              <w:rPr>
                <w:b/>
                <w:i/>
                <w:noProof/>
                <w:sz w:val="22"/>
                <w:szCs w:val="22"/>
              </w:rPr>
            </w:pPr>
            <w:r>
              <w:rPr>
                <w:b/>
                <w:i/>
                <w:noProof/>
                <w:sz w:val="22"/>
                <w:szCs w:val="22"/>
              </w:rPr>
              <w:t>A fenyegetést jelentő főbb szereplők működési módjával kapcsolatos kockázati forgatókönyvek</w:t>
            </w:r>
          </w:p>
          <w:p w:rsidR="00D8298C" w:rsidRDefault="00D8298C">
            <w:pPr>
              <w:spacing w:after="120"/>
              <w:rPr>
                <w:b/>
                <w:i/>
                <w:noProof/>
                <w:sz w:val="22"/>
                <w:szCs w:val="22"/>
              </w:rPr>
            </w:pPr>
          </w:p>
        </w:tc>
        <w:tc>
          <w:tcPr>
            <w:tcW w:w="3969" w:type="dxa"/>
            <w:shd w:val="clear" w:color="auto" w:fill="FFFFFF" w:themeFill="background1"/>
          </w:tcPr>
          <w:p w:rsidR="00D8298C" w:rsidRDefault="00857529">
            <w:pPr>
              <w:spacing w:after="120"/>
              <w:jc w:val="both"/>
              <w:rPr>
                <w:i/>
                <w:noProof/>
                <w:sz w:val="22"/>
                <w:szCs w:val="22"/>
              </w:rPr>
            </w:pPr>
            <w:r>
              <w:rPr>
                <w:i/>
                <w:noProof/>
                <w:sz w:val="22"/>
                <w:szCs w:val="22"/>
              </w:rPr>
              <w:t>K5: Állami beavatkozás az 5G ellátási láncon keresztül</w:t>
            </w:r>
          </w:p>
          <w:p w:rsidR="00D8298C" w:rsidRDefault="00D8298C">
            <w:pPr>
              <w:spacing w:after="120"/>
              <w:jc w:val="both"/>
              <w:rPr>
                <w:b/>
                <w:i/>
                <w:noProof/>
                <w:sz w:val="22"/>
                <w:szCs w:val="22"/>
              </w:rPr>
            </w:pPr>
          </w:p>
        </w:tc>
      </w:tr>
      <w:tr w:rsidR="00D8298C">
        <w:tc>
          <w:tcPr>
            <w:tcW w:w="4106" w:type="dxa"/>
            <w:vMerge/>
            <w:shd w:val="clear" w:color="auto" w:fill="8DB3E2" w:themeFill="text2" w:themeFillTint="66"/>
          </w:tcPr>
          <w:p w:rsidR="00D8298C" w:rsidRDefault="00D8298C">
            <w:pPr>
              <w:spacing w:after="120"/>
              <w:rPr>
                <w:b/>
                <w:i/>
                <w:noProof/>
                <w:sz w:val="22"/>
                <w:szCs w:val="22"/>
              </w:rPr>
            </w:pPr>
          </w:p>
        </w:tc>
        <w:tc>
          <w:tcPr>
            <w:tcW w:w="3969" w:type="dxa"/>
            <w:shd w:val="clear" w:color="auto" w:fill="FFFFFF" w:themeFill="background1"/>
          </w:tcPr>
          <w:p w:rsidR="00D8298C" w:rsidRDefault="00857529">
            <w:pPr>
              <w:spacing w:after="120"/>
              <w:jc w:val="both"/>
              <w:rPr>
                <w:i/>
                <w:noProof/>
                <w:sz w:val="22"/>
                <w:szCs w:val="22"/>
              </w:rPr>
            </w:pPr>
            <w:r>
              <w:rPr>
                <w:i/>
                <w:noProof/>
                <w:sz w:val="22"/>
                <w:szCs w:val="22"/>
              </w:rPr>
              <w:t xml:space="preserve">K6: Az 5G hálózatok szervezett bűnözés általi kihasználása vagy a végfelhasználók szervezett bűnözői csoportok általi megcélzása </w:t>
            </w:r>
          </w:p>
        </w:tc>
      </w:tr>
      <w:tr w:rsidR="00D8298C">
        <w:tc>
          <w:tcPr>
            <w:tcW w:w="4106" w:type="dxa"/>
            <w:vMerge w:val="restart"/>
            <w:shd w:val="clear" w:color="auto" w:fill="8DB3E2" w:themeFill="text2" w:themeFillTint="66"/>
          </w:tcPr>
          <w:p w:rsidR="00D8298C" w:rsidRDefault="00857529">
            <w:pPr>
              <w:spacing w:after="120"/>
              <w:rPr>
                <w:b/>
                <w:i/>
                <w:noProof/>
                <w:sz w:val="22"/>
                <w:szCs w:val="22"/>
              </w:rPr>
            </w:pPr>
            <w:r>
              <w:rPr>
                <w:b/>
                <w:i/>
                <w:noProof/>
                <w:sz w:val="22"/>
                <w:szCs w:val="22"/>
              </w:rPr>
              <w:t>Az 5G hálózatok és más kritikus rendszerek közötti kölcsönös függőségekkel kapcsolatos kockázati forgatókönyvek</w:t>
            </w:r>
          </w:p>
          <w:p w:rsidR="00D8298C" w:rsidRDefault="00D8298C">
            <w:pPr>
              <w:spacing w:after="120"/>
              <w:rPr>
                <w:b/>
                <w:i/>
                <w:noProof/>
                <w:sz w:val="22"/>
                <w:szCs w:val="22"/>
              </w:rPr>
            </w:pPr>
          </w:p>
        </w:tc>
        <w:tc>
          <w:tcPr>
            <w:tcW w:w="3969" w:type="dxa"/>
            <w:shd w:val="clear" w:color="auto" w:fill="FFFFFF" w:themeFill="background1"/>
          </w:tcPr>
          <w:p w:rsidR="00D8298C" w:rsidRDefault="00857529">
            <w:pPr>
              <w:spacing w:after="120"/>
              <w:jc w:val="both"/>
              <w:rPr>
                <w:b/>
                <w:i/>
                <w:noProof/>
                <w:sz w:val="22"/>
                <w:szCs w:val="22"/>
              </w:rPr>
            </w:pPr>
            <w:r>
              <w:rPr>
                <w:i/>
                <w:noProof/>
                <w:sz w:val="22"/>
                <w:szCs w:val="22"/>
              </w:rPr>
              <w:t>K7: Jelentős</w:t>
            </w:r>
            <w:r>
              <w:rPr>
                <w:i/>
                <w:noProof/>
                <w:sz w:val="22"/>
                <w:szCs w:val="22"/>
              </w:rPr>
              <w:t xml:space="preserve"> fennakadás a kritikus infrastruktúrákban vagy szolgáltatásokban</w:t>
            </w:r>
          </w:p>
        </w:tc>
      </w:tr>
      <w:tr w:rsidR="00D8298C">
        <w:tc>
          <w:tcPr>
            <w:tcW w:w="4106" w:type="dxa"/>
            <w:vMerge/>
            <w:shd w:val="clear" w:color="auto" w:fill="8DB3E2" w:themeFill="text2" w:themeFillTint="66"/>
          </w:tcPr>
          <w:p w:rsidR="00D8298C" w:rsidRDefault="00D8298C">
            <w:pPr>
              <w:spacing w:after="120"/>
              <w:rPr>
                <w:b/>
                <w:i/>
                <w:noProof/>
                <w:sz w:val="22"/>
                <w:szCs w:val="22"/>
              </w:rPr>
            </w:pPr>
          </w:p>
        </w:tc>
        <w:tc>
          <w:tcPr>
            <w:tcW w:w="3969" w:type="dxa"/>
            <w:shd w:val="clear" w:color="auto" w:fill="FFFFFF" w:themeFill="background1"/>
          </w:tcPr>
          <w:p w:rsidR="00D8298C" w:rsidRDefault="00857529">
            <w:pPr>
              <w:spacing w:after="120"/>
              <w:jc w:val="both"/>
              <w:rPr>
                <w:i/>
                <w:noProof/>
                <w:sz w:val="22"/>
                <w:szCs w:val="22"/>
              </w:rPr>
            </w:pPr>
            <w:r>
              <w:rPr>
                <w:i/>
                <w:noProof/>
                <w:sz w:val="22"/>
                <w:szCs w:val="22"/>
              </w:rPr>
              <w:t>K8: Súlyos hiba a hálózatokban a villamosenergia-ellátás megszakadása vagy más kiszolgáló rendszerek leállása miatt</w:t>
            </w:r>
          </w:p>
        </w:tc>
      </w:tr>
      <w:tr w:rsidR="00D8298C">
        <w:tc>
          <w:tcPr>
            <w:tcW w:w="4106" w:type="dxa"/>
            <w:shd w:val="clear" w:color="auto" w:fill="8DB3E2" w:themeFill="text2" w:themeFillTint="66"/>
          </w:tcPr>
          <w:p w:rsidR="00D8298C" w:rsidRDefault="00857529">
            <w:pPr>
              <w:spacing w:after="120"/>
              <w:rPr>
                <w:b/>
                <w:i/>
                <w:noProof/>
                <w:sz w:val="22"/>
                <w:szCs w:val="22"/>
              </w:rPr>
            </w:pPr>
            <w:r>
              <w:rPr>
                <w:b/>
                <w:i/>
                <w:noProof/>
                <w:sz w:val="22"/>
                <w:szCs w:val="22"/>
              </w:rPr>
              <w:t>A végfelhasználói berendezésekkel kapcsolatos kockázati forgatókönyvek</w:t>
            </w:r>
          </w:p>
        </w:tc>
        <w:tc>
          <w:tcPr>
            <w:tcW w:w="3969" w:type="dxa"/>
            <w:shd w:val="clear" w:color="auto" w:fill="FFFFFF" w:themeFill="background1"/>
          </w:tcPr>
          <w:p w:rsidR="00D8298C" w:rsidRDefault="00857529">
            <w:pPr>
              <w:spacing w:after="120"/>
              <w:jc w:val="both"/>
              <w:rPr>
                <w:i/>
                <w:noProof/>
                <w:sz w:val="22"/>
                <w:szCs w:val="22"/>
              </w:rPr>
            </w:pPr>
            <w:r>
              <w:rPr>
                <w:i/>
                <w:noProof/>
                <w:sz w:val="22"/>
                <w:szCs w:val="22"/>
              </w:rPr>
              <w:t>K9: A dolgok internetével való visszaélés</w:t>
            </w:r>
          </w:p>
        </w:tc>
      </w:tr>
    </w:tbl>
    <w:p w:rsidR="00D8298C" w:rsidRDefault="00D8298C">
      <w:pPr>
        <w:spacing w:after="240"/>
        <w:contextualSpacing/>
        <w:jc w:val="both"/>
        <w:rPr>
          <w:noProof/>
        </w:rPr>
      </w:pPr>
    </w:p>
    <w:p w:rsidR="00D8298C" w:rsidRDefault="00D8298C">
      <w:pPr>
        <w:spacing w:after="240"/>
        <w:contextualSpacing/>
        <w:jc w:val="both"/>
        <w:rPr>
          <w:noProof/>
        </w:rPr>
      </w:pPr>
    </w:p>
    <w:sectPr w:rsidR="00D8298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8C" w:rsidRDefault="00857529">
      <w:r>
        <w:separator/>
      </w:r>
    </w:p>
  </w:endnote>
  <w:endnote w:type="continuationSeparator" w:id="0">
    <w:p w:rsidR="00D8298C" w:rsidRDefault="00857529">
      <w:r>
        <w:continuationSeparator/>
      </w:r>
    </w:p>
  </w:endnote>
  <w:endnote w:type="continuationNotice" w:id="1">
    <w:p w:rsidR="00D8298C" w:rsidRDefault="00D82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8C" w:rsidRDefault="00D82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8C" w:rsidRDefault="00857529">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8C" w:rsidRDefault="00D8298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8C" w:rsidRDefault="00D829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52909"/>
      <w:docPartObj>
        <w:docPartGallery w:val="Page Numbers (Bottom of Page)"/>
        <w:docPartUnique/>
      </w:docPartObj>
    </w:sdtPr>
    <w:sdtEndPr>
      <w:rPr>
        <w:noProof/>
        <w:sz w:val="20"/>
        <w:szCs w:val="20"/>
      </w:rPr>
    </w:sdtEndPr>
    <w:sdtContent>
      <w:p w:rsidR="00D8298C" w:rsidRDefault="00857529">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12</w:t>
        </w:r>
        <w:r>
          <w:rPr>
            <w:sz w:val="20"/>
            <w:szCs w:val="20"/>
          </w:rPr>
          <w:fldChar w:fldCharType="end"/>
        </w:r>
      </w:p>
    </w:sdtContent>
  </w:sdt>
  <w:p w:rsidR="00D8298C" w:rsidRDefault="00D8298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8C" w:rsidRDefault="00D8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8C" w:rsidRDefault="00857529">
      <w:r>
        <w:separator/>
      </w:r>
    </w:p>
  </w:footnote>
  <w:footnote w:type="continuationSeparator" w:id="0">
    <w:p w:rsidR="00D8298C" w:rsidRDefault="00857529">
      <w:r>
        <w:continuationSeparator/>
      </w:r>
    </w:p>
  </w:footnote>
  <w:footnote w:type="continuationNotice" w:id="1">
    <w:p w:rsidR="00D8298C" w:rsidRDefault="00D8298C"/>
  </w:footnote>
  <w:footnote w:id="2">
    <w:p w:rsidR="00D8298C" w:rsidRDefault="00857529">
      <w:pPr>
        <w:pStyle w:val="FootnoteText"/>
      </w:pPr>
      <w:r>
        <w:rPr>
          <w:rStyle w:val="FootnoteReference"/>
        </w:rPr>
        <w:footnoteRef/>
      </w:r>
      <w:r>
        <w:t xml:space="preserve"> </w:t>
      </w:r>
      <w:r>
        <w:rPr>
          <w:rFonts w:ascii="Times New Roman" w:hAnsi="Times New Roman"/>
          <w:sz w:val="18"/>
          <w:szCs w:val="18"/>
        </w:rPr>
        <w:t xml:space="preserve">A Bizottság (EU) 2019/534 ajánlása az 5G hálózatok kiberbiztonságáról (HL L 88., 2019.3.29., 42. o.). </w:t>
      </w:r>
    </w:p>
  </w:footnote>
  <w:footnote w:id="3">
    <w:p w:rsidR="00D8298C" w:rsidRDefault="00857529">
      <w:pPr>
        <w:pStyle w:val="FootnoteText"/>
      </w:pPr>
      <w:r>
        <w:rPr>
          <w:rStyle w:val="FootnoteReference"/>
        </w:rPr>
        <w:footnoteRef/>
      </w:r>
      <w:r>
        <w:t xml:space="preserve"> </w:t>
      </w:r>
      <w:r>
        <w:rPr>
          <w:rFonts w:ascii="Times New Roman" w:hAnsi="Times New Roman"/>
          <w:sz w:val="18"/>
          <w:szCs w:val="18"/>
        </w:rPr>
        <w:t xml:space="preserve">COM(2016) 588, 2016. szeptember 14., 5G Európa számára: </w:t>
      </w:r>
      <w:r>
        <w:rPr>
          <w:rFonts w:ascii="Times New Roman" w:hAnsi="Times New Roman"/>
          <w:sz w:val="18"/>
          <w:szCs w:val="18"/>
        </w:rPr>
        <w:t>cselekvési terv.</w:t>
      </w:r>
    </w:p>
  </w:footnote>
  <w:footnote w:id="4">
    <w:p w:rsidR="00D8298C" w:rsidRDefault="00857529">
      <w:pPr>
        <w:pStyle w:val="FootnoteText"/>
      </w:pPr>
      <w:r>
        <w:rPr>
          <w:rStyle w:val="FootnoteReference"/>
        </w:rPr>
        <w:footnoteRef/>
      </w:r>
      <w:r>
        <w:t xml:space="preserve"> </w:t>
      </w:r>
      <w:r>
        <w:rPr>
          <w:rFonts w:ascii="Times New Roman" w:hAnsi="Times New Roman"/>
          <w:sz w:val="18"/>
          <w:szCs w:val="18"/>
        </w:rPr>
        <w:t>COM(2016) 587, 2016. szeptember 14., Az összekapcsoltság a versenyképes digitális egységes piac szolgálatában: Úton a gigabitalapú európai információs társadalom felé.</w:t>
      </w:r>
      <w:r>
        <w:rPr>
          <w:color w:val="1F497D"/>
        </w:rPr>
        <w:t xml:space="preserve"> </w:t>
      </w:r>
    </w:p>
  </w:footnote>
  <w:footnote w:id="5">
    <w:p w:rsidR="00D8298C" w:rsidRDefault="00857529">
      <w:pPr>
        <w:pStyle w:val="FootnoteText"/>
      </w:pPr>
      <w:r>
        <w:rPr>
          <w:rStyle w:val="FootnoteReference"/>
        </w:rPr>
        <w:footnoteRef/>
      </w:r>
      <w:r>
        <w:t xml:space="preserve"> </w:t>
      </w:r>
      <w:hyperlink r:id="rId1" w:history="1">
        <w:r>
          <w:rPr>
            <w:rFonts w:ascii="Times New Roman" w:hAnsi="Times New Roman"/>
            <w:sz w:val="18"/>
            <w:szCs w:val="18"/>
          </w:rPr>
          <w:t>http://www.5GObservato</w:t>
        </w:r>
        <w:r>
          <w:rPr>
            <w:rFonts w:ascii="Times New Roman" w:hAnsi="Times New Roman"/>
            <w:sz w:val="18"/>
            <w:szCs w:val="18"/>
          </w:rPr>
          <w:t>ry.eu</w:t>
        </w:r>
      </w:hyperlink>
    </w:p>
  </w:footnote>
  <w:footnote w:id="6">
    <w:p w:rsidR="00D8298C" w:rsidRDefault="00857529">
      <w:pPr>
        <w:pStyle w:val="FootnoteText"/>
        <w:jc w:val="both"/>
      </w:pPr>
      <w:r>
        <w:rPr>
          <w:rStyle w:val="FootnoteReference"/>
        </w:rPr>
        <w:footnoteRef/>
      </w:r>
      <w:r>
        <w:t xml:space="preserve"> </w:t>
      </w:r>
      <w:hyperlink r:id="rId2" w:history="1">
        <w:r>
          <w:rPr>
            <w:rFonts w:ascii="Times New Roman" w:hAnsi="Times New Roman"/>
            <w:sz w:val="18"/>
            <w:szCs w:val="18"/>
          </w:rPr>
          <w:t>http://www.5GObservatory.eu</w:t>
        </w:r>
      </w:hyperlink>
    </w:p>
  </w:footnote>
  <w:footnote w:id="7">
    <w:p w:rsidR="00D8298C" w:rsidRDefault="00857529">
      <w:pPr>
        <w:pStyle w:val="FootnoteText"/>
        <w:jc w:val="both"/>
      </w:pPr>
      <w:r>
        <w:rPr>
          <w:rStyle w:val="FootnoteReference"/>
        </w:rPr>
        <w:footnoteRef/>
      </w:r>
      <w:r>
        <w:t xml:space="preserve"> </w:t>
      </w:r>
      <w:r>
        <w:rPr>
          <w:rFonts w:ascii="Times New Roman" w:hAnsi="Times New Roman"/>
          <w:sz w:val="18"/>
          <w:szCs w:val="18"/>
        </w:rPr>
        <w:t xml:space="preserve">Az 5G új funkcióinak egy részét szakaszos megközelítést követve vezetik be. Az első szakaszban (nagyon rövid vagy rövid távon) az 5G kiépítése elsősorban „nem önálló” </w:t>
      </w:r>
      <w:r>
        <w:rPr>
          <w:rFonts w:ascii="Times New Roman" w:hAnsi="Times New Roman"/>
          <w:sz w:val="18"/>
          <w:szCs w:val="18"/>
        </w:rPr>
        <w:t>hálózatokból fog állni, amelyek esetében csak a rádió-hozzáférési hálózatot korszerűsítik az 5G technológiára, és más tekintetben továbbra is a meglévő 4G gerinchálózatokra támaszkodnak, amelyek jobb széles sávú mobilszolgáltatásokat biztosítanak a végfelh</w:t>
      </w:r>
      <w:r>
        <w:rPr>
          <w:rFonts w:ascii="Times New Roman" w:hAnsi="Times New Roman"/>
          <w:sz w:val="18"/>
          <w:szCs w:val="18"/>
        </w:rPr>
        <w:t>asználók számára. Az ezt követő (rövid/közép- és hosszú távú) szakaszokban az „önálló” 5G hálózatok kiépítése – beleértve az 5G gerinchálózati funkciókat is – a hálózati architektúra sokkal szélesebb körű változását teszi szükségessé és fogja eredményezni.</w:t>
      </w:r>
      <w:r>
        <w:t xml:space="preserve"> </w:t>
      </w:r>
    </w:p>
  </w:footnote>
  <w:footnote w:id="8">
    <w:p w:rsidR="00D8298C" w:rsidRDefault="00857529">
      <w:pPr>
        <w:pStyle w:val="FootnoteText"/>
        <w:jc w:val="both"/>
        <w:rPr>
          <w:rFonts w:ascii="Times New Roman" w:hAnsi="Times New Roman" w:cs="Times New Roman"/>
          <w:sz w:val="18"/>
          <w:szCs w:val="18"/>
        </w:rPr>
      </w:pPr>
      <w:r>
        <w:rPr>
          <w:rStyle w:val="FootnoteReference"/>
        </w:rPr>
        <w:footnoteRef/>
      </w:r>
      <w:r>
        <w:rPr>
          <w:rStyle w:val="FootnoteReference"/>
        </w:rPr>
        <w:t xml:space="preserve"> </w:t>
      </w:r>
      <w:r>
        <w:rPr>
          <w:rFonts w:ascii="Times New Roman" w:hAnsi="Times New Roman"/>
          <w:sz w:val="18"/>
          <w:szCs w:val="18"/>
        </w:rPr>
        <w:t>Az Európai Parlament és a Tanács (EU) 2018/1972 irányelve (2018. december 11.) az Európai Elektronikus Hírközlési Kódex létrehozásáról (átdolgozás).</w:t>
      </w:r>
    </w:p>
  </w:footnote>
  <w:footnote w:id="9">
    <w:p w:rsidR="00D8298C" w:rsidRDefault="00857529">
      <w:pPr>
        <w:pStyle w:val="FootnoteText"/>
        <w:jc w:val="both"/>
      </w:pPr>
      <w:r>
        <w:rPr>
          <w:rStyle w:val="FootnoteReference"/>
        </w:rPr>
        <w:footnoteRef/>
      </w:r>
      <w:r>
        <w:rPr>
          <w:rFonts w:ascii="Times New Roman" w:hAnsi="Times New Roman"/>
          <w:sz w:val="18"/>
          <w:szCs w:val="18"/>
        </w:rPr>
        <w:t>COM(2018) 438, 2018. június 6., Rendeletjavaslat az Európai Hálózatfinanszírozási Eszköz létrehozásáró</w:t>
      </w:r>
      <w:r>
        <w:rPr>
          <w:rFonts w:ascii="Times New Roman" w:hAnsi="Times New Roman"/>
          <w:sz w:val="18"/>
          <w:szCs w:val="18"/>
        </w:rPr>
        <w:t xml:space="preserve">l, valamint az 1316/2013/EU és a 283/2014/EU rendelet hatályon kívül helyezéséről. </w:t>
      </w:r>
    </w:p>
  </w:footnote>
  <w:footnote w:id="10">
    <w:p w:rsidR="00D8298C" w:rsidRDefault="00857529">
      <w:pPr>
        <w:pStyle w:val="PlainText"/>
        <w:jc w:val="both"/>
      </w:pPr>
      <w:r>
        <w:rPr>
          <w:rStyle w:val="FootnoteReference"/>
        </w:rPr>
        <w:footnoteRef/>
      </w:r>
      <w:r>
        <w:t xml:space="preserve"> </w:t>
      </w:r>
      <w:r>
        <w:rPr>
          <w:rFonts w:ascii="Times New Roman" w:hAnsi="Times New Roman"/>
          <w:sz w:val="18"/>
          <w:szCs w:val="18"/>
        </w:rPr>
        <w:t>Az 5G hálózati szeletelés lehetővé teszi ugyanazon fizikai hálózat különböző szolgáltatási rétegei közötti nagy fokú elkülönítést, ami növeli a differenciált szolgáltatás</w:t>
      </w:r>
      <w:r>
        <w:rPr>
          <w:rFonts w:ascii="Times New Roman" w:hAnsi="Times New Roman"/>
          <w:sz w:val="18"/>
          <w:szCs w:val="18"/>
        </w:rPr>
        <w:t xml:space="preserve">ok nyújtásának lehetőségeit a hálózat egészében. </w:t>
      </w:r>
    </w:p>
  </w:footnote>
  <w:footnote w:id="11">
    <w:p w:rsidR="00D8298C" w:rsidRDefault="00857529">
      <w:pPr>
        <w:pStyle w:val="FootnoteText"/>
        <w:jc w:val="both"/>
      </w:pPr>
      <w:r>
        <w:rPr>
          <w:rStyle w:val="FootnoteReference"/>
        </w:rPr>
        <w:footnoteRef/>
      </w:r>
      <w:r>
        <w:t xml:space="preserve"> </w:t>
      </w:r>
      <w:r>
        <w:rPr>
          <w:rFonts w:ascii="Times New Roman" w:hAnsi="Times New Roman"/>
          <w:sz w:val="18"/>
          <w:szCs w:val="18"/>
        </w:rPr>
        <w:t xml:space="preserve">A pereminformatikai alkalmazások egy </w:t>
      </w:r>
      <w:hyperlink r:id="rId3" w:tooltip="Elosztott számítások" w:history="1">
        <w:r>
          <w:rPr>
            <w:rFonts w:ascii="Times New Roman" w:hAnsi="Times New Roman"/>
            <w:sz w:val="18"/>
            <w:szCs w:val="18"/>
          </w:rPr>
          <w:t>elosztott számítási</w:t>
        </w:r>
      </w:hyperlink>
      <w:r>
        <w:rPr>
          <w:rFonts w:ascii="Times New Roman" w:hAnsi="Times New Roman"/>
          <w:sz w:val="18"/>
          <w:szCs w:val="18"/>
        </w:rPr>
        <w:t xml:space="preserve"> paradigma, amely a válaszidők javítása </w:t>
      </w:r>
      <w:r>
        <w:rPr>
          <w:rFonts w:ascii="Times New Roman" w:hAnsi="Times New Roman"/>
          <w:sz w:val="18"/>
          <w:szCs w:val="18"/>
        </w:rPr>
        <w:t xml:space="preserve">és a sávszélesség megtakarítása érdekében közelebb hozza a </w:t>
      </w:r>
      <w:hyperlink r:id="rId4" w:tooltip="Számítás" w:history="1">
        <w:r>
          <w:rPr>
            <w:rFonts w:ascii="Times New Roman" w:hAnsi="Times New Roman"/>
            <w:sz w:val="18"/>
            <w:szCs w:val="18"/>
          </w:rPr>
          <w:t>számítást</w:t>
        </w:r>
      </w:hyperlink>
      <w:r>
        <w:rPr>
          <w:rFonts w:ascii="Times New Roman" w:hAnsi="Times New Roman"/>
          <w:sz w:val="18"/>
          <w:szCs w:val="18"/>
        </w:rPr>
        <w:t xml:space="preserve"> és az </w:t>
      </w:r>
      <w:hyperlink r:id="rId5" w:tooltip="Adattárolás" w:history="1">
        <w:r>
          <w:rPr>
            <w:rFonts w:ascii="Times New Roman" w:hAnsi="Times New Roman"/>
            <w:sz w:val="18"/>
            <w:szCs w:val="18"/>
          </w:rPr>
          <w:t>adattárolást</w:t>
        </w:r>
      </w:hyperlink>
      <w:r>
        <w:rPr>
          <w:rFonts w:ascii="Times New Roman" w:hAnsi="Times New Roman"/>
          <w:sz w:val="18"/>
          <w:szCs w:val="18"/>
        </w:rPr>
        <w:t xml:space="preserve"> ahhoz a helyhez, aho</w:t>
      </w:r>
      <w:r>
        <w:rPr>
          <w:rFonts w:ascii="Times New Roman" w:hAnsi="Times New Roman"/>
          <w:sz w:val="18"/>
          <w:szCs w:val="18"/>
        </w:rPr>
        <w:t>l arra szükség van</w:t>
      </w:r>
      <w:r>
        <w:t>.</w:t>
      </w:r>
    </w:p>
  </w:footnote>
  <w:footnote w:id="12">
    <w:p w:rsidR="00D8298C" w:rsidRDefault="00857529">
      <w:pPr>
        <w:pStyle w:val="FootnoteText"/>
        <w:jc w:val="both"/>
      </w:pPr>
      <w:r>
        <w:rPr>
          <w:rStyle w:val="FootnoteReference"/>
        </w:rPr>
        <w:footnoteRef/>
      </w:r>
      <w:r>
        <w:t xml:space="preserve"> </w:t>
      </w:r>
      <w:r>
        <w:rPr>
          <w:rFonts w:ascii="Times New Roman" w:hAnsi="Times New Roman"/>
          <w:sz w:val="18"/>
          <w:szCs w:val="18"/>
        </w:rPr>
        <w:t>A Tanács 1999/519/EK ajánlása (1999. július 12.) a lakosságot érő (0 Hz – 300 GHz közötti) elektromágneses sugárterhelés korlátozásáról.</w:t>
      </w:r>
    </w:p>
  </w:footnote>
  <w:footnote w:id="13">
    <w:p w:rsidR="00D8298C" w:rsidRDefault="00857529">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sz w:val="18"/>
          <w:szCs w:val="18"/>
        </w:rPr>
        <w:t>Az Európai Parlament és a Tanács (EU) 2016/1148 irányelve (2016. július 6.) a hálózati és infor</w:t>
      </w:r>
      <w:r>
        <w:rPr>
          <w:rFonts w:ascii="Times New Roman" w:hAnsi="Times New Roman"/>
          <w:sz w:val="18"/>
          <w:szCs w:val="18"/>
        </w:rPr>
        <w:t>mációs rendszerek biztonságának az egész Unióban egységesen magas szintjét biztosító intézkedésekről (kiberbiztonsági irányelv). A Kiberbiztonsági Együttműködési Csoportot a kiberbiztonsági irányelv hozta létre azzal a céllal, hogy biztosítsa az uniós tagá</w:t>
      </w:r>
      <w:r>
        <w:rPr>
          <w:rFonts w:ascii="Times New Roman" w:hAnsi="Times New Roman"/>
          <w:sz w:val="18"/>
          <w:szCs w:val="18"/>
        </w:rPr>
        <w:t>llamok közötti stratégiai együttműködést és információcserét a kiberbiztonság területén.</w:t>
      </w:r>
    </w:p>
  </w:footnote>
  <w:footnote w:id="14">
    <w:p w:rsidR="00D8298C" w:rsidRDefault="0085752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hyperlink r:id="rId6" w:history="1">
        <w:r>
          <w:rPr>
            <w:rStyle w:val="Hyperlink"/>
            <w:rFonts w:ascii="Times New Roman" w:hAnsi="Times New Roman"/>
            <w:sz w:val="18"/>
            <w:szCs w:val="18"/>
          </w:rPr>
          <w:t>https://ec.europa.eu/digital-single-marke</w:t>
        </w:r>
        <w:r>
          <w:rPr>
            <w:rStyle w:val="Hyperlink"/>
            <w:rFonts w:ascii="Times New Roman" w:hAnsi="Times New Roman"/>
            <w:sz w:val="18"/>
            <w:szCs w:val="18"/>
          </w:rPr>
          <w:t>t/en/news/eu-wide-coordinated-risk-assessment-5g-networks-security</w:t>
        </w:r>
      </w:hyperlink>
    </w:p>
  </w:footnote>
  <w:footnote w:id="15">
    <w:p w:rsidR="00D8298C" w:rsidRDefault="0085752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Az ENISA 5G hálózatokkal kapcsolatos fenyegetettségi helyzetjelentése: https://www.enisa.europa.eu/publications/enisa-threat-landscape-for-5g-networks.</w:t>
      </w:r>
    </w:p>
  </w:footnote>
  <w:footnote w:id="16">
    <w:p w:rsidR="00D8298C" w:rsidRDefault="00857529">
      <w:pPr>
        <w:pStyle w:val="FootnoteText"/>
        <w:jc w:val="both"/>
        <w:rPr>
          <w:rFonts w:ascii="Times New Roman" w:hAnsi="Times New Roman" w:cs="Times New Roman"/>
          <w:sz w:val="16"/>
          <w:szCs w:val="16"/>
        </w:rPr>
      </w:pPr>
      <w:r>
        <w:rPr>
          <w:rStyle w:val="FootnoteReference"/>
          <w:rFonts w:ascii="Times New Roman" w:hAnsi="Times New Roman" w:cs="Times New Roman"/>
          <w:sz w:val="18"/>
          <w:szCs w:val="18"/>
        </w:rPr>
        <w:footnoteRef/>
      </w:r>
      <w:r>
        <w:rPr>
          <w:rFonts w:ascii="Times New Roman" w:hAnsi="Times New Roman"/>
          <w:sz w:val="18"/>
          <w:szCs w:val="18"/>
        </w:rPr>
        <w:t xml:space="preserve">A Tanács következtetései – „Az 5G </w:t>
      </w:r>
      <w:r>
        <w:rPr>
          <w:rFonts w:ascii="Times New Roman" w:hAnsi="Times New Roman"/>
          <w:sz w:val="18"/>
          <w:szCs w:val="18"/>
        </w:rPr>
        <w:t>jelentősége az európai gazdaság számára és az 5G-hez kapcsolódó biztonsági kockázatok enyhítésének szükségessége”, 14517/19, 2019. december 3.,</w:t>
      </w:r>
      <w:r>
        <w:t xml:space="preserve"> </w:t>
      </w:r>
      <w:hyperlink r:id="rId7" w:history="1">
        <w:r>
          <w:rPr>
            <w:rStyle w:val="Hyperlink"/>
            <w:rFonts w:ascii="Times New Roman" w:hAnsi="Times New Roman"/>
            <w:sz w:val="18"/>
            <w:szCs w:val="18"/>
          </w:rPr>
          <w:t>https://data.consilium.e</w:t>
        </w:r>
        <w:r>
          <w:rPr>
            <w:rStyle w:val="Hyperlink"/>
            <w:rFonts w:ascii="Times New Roman" w:hAnsi="Times New Roman"/>
            <w:sz w:val="18"/>
            <w:szCs w:val="18"/>
          </w:rPr>
          <w:t>uropa.eu/doc/document/ST-14517-2019-INIT/hu/pdf</w:t>
        </w:r>
      </w:hyperlink>
      <w:r>
        <w:rPr>
          <w:rFonts w:ascii="Times New Roman" w:hAnsi="Times New Roman"/>
          <w:sz w:val="16"/>
          <w:szCs w:val="16"/>
        </w:rPr>
        <w:t>.</w:t>
      </w:r>
    </w:p>
  </w:footnote>
  <w:footnote w:id="17">
    <w:p w:rsidR="00D8298C" w:rsidRDefault="00857529">
      <w:pPr>
        <w:pStyle w:val="FootnoteText"/>
        <w:jc w:val="both"/>
      </w:pPr>
      <w:r>
        <w:rPr>
          <w:rStyle w:val="FootnoteReference"/>
        </w:rPr>
        <w:footnoteRef/>
      </w:r>
      <w:r>
        <w:t xml:space="preserve"> </w:t>
      </w:r>
      <w:r>
        <w:rPr>
          <w:rFonts w:ascii="Times New Roman" w:hAnsi="Times New Roman"/>
          <w:sz w:val="16"/>
          <w:szCs w:val="16"/>
        </w:rPr>
        <w:t>Az 5G hálózatok kiberbiztonsága – A kockázatcsökkentő intézkedések uniós eszköztára, 2020. január 29., https://ec.europa.eu/digital-single-market/en/nis-cooperation-group.</w:t>
      </w:r>
    </w:p>
  </w:footnote>
  <w:footnote w:id="18">
    <w:p w:rsidR="00D8298C" w:rsidRDefault="00857529">
      <w:pPr>
        <w:pStyle w:val="FootnoteText"/>
        <w:jc w:val="both"/>
      </w:pPr>
      <w:r>
        <w:rPr>
          <w:rStyle w:val="FootnoteReference"/>
        </w:rPr>
        <w:footnoteRef/>
      </w:r>
      <w:r>
        <w:t xml:space="preserve"> </w:t>
      </w:r>
      <w:r>
        <w:rPr>
          <w:rFonts w:ascii="Times New Roman" w:hAnsi="Times New Roman"/>
          <w:sz w:val="18"/>
          <w:szCs w:val="18"/>
        </w:rPr>
        <w:t>Az összehangolt uniós kockázaté</w:t>
      </w:r>
      <w:r>
        <w:rPr>
          <w:rFonts w:ascii="Times New Roman" w:hAnsi="Times New Roman"/>
          <w:sz w:val="18"/>
          <w:szCs w:val="18"/>
        </w:rPr>
        <w:t>rtékelés 2.37. pontja.</w:t>
      </w:r>
      <w:r>
        <w:t xml:space="preserve"> </w:t>
      </w:r>
    </w:p>
  </w:footnote>
  <w:footnote w:id="19">
    <w:p w:rsidR="00D8298C" w:rsidRDefault="00857529">
      <w:pPr>
        <w:pStyle w:val="FootnoteText"/>
        <w:jc w:val="both"/>
      </w:pPr>
      <w:r>
        <w:rPr>
          <w:rStyle w:val="FootnoteReference"/>
        </w:rPr>
        <w:footnoteRef/>
      </w:r>
      <w:r>
        <w:t xml:space="preserve"> </w:t>
      </w:r>
      <w:r>
        <w:rPr>
          <w:rFonts w:ascii="Times New Roman" w:hAnsi="Times New Roman"/>
          <w:sz w:val="18"/>
          <w:szCs w:val="18"/>
        </w:rPr>
        <w:t>Az összehangolt uniós kockázatértékelés 2.21. pontja bemutatja az elemek és funkciók fő kategóriáit és azok általános érzékenységi szintjét, és felsorol néhány, a tagállamok által az egyes kategóriák tekintetében azonosított kulcs</w:t>
      </w:r>
      <w:r>
        <w:rPr>
          <w:rFonts w:ascii="Times New Roman" w:hAnsi="Times New Roman"/>
          <w:sz w:val="18"/>
          <w:szCs w:val="18"/>
        </w:rPr>
        <w:t>fontosságú elemet, a 2.28. és 2.29. pont pedig az érzékeny eszközök és területek számos egyéb típusát határozza meg (pl. konkrét szervezeteket vagy földrajzi területeket).</w:t>
      </w:r>
      <w:r>
        <w:t xml:space="preserve"> </w:t>
      </w:r>
    </w:p>
  </w:footnote>
  <w:footnote w:id="20">
    <w:p w:rsidR="00D8298C" w:rsidRDefault="00857529">
      <w:pPr>
        <w:pStyle w:val="FootnoteText"/>
      </w:pPr>
      <w:r>
        <w:rPr>
          <w:rStyle w:val="FootnoteReference"/>
        </w:rPr>
        <w:footnoteRef/>
      </w:r>
      <w:r>
        <w:t xml:space="preserve"> </w:t>
      </w:r>
      <w:r>
        <w:rPr>
          <w:rFonts w:ascii="Times New Roman" w:hAnsi="Times New Roman"/>
          <w:sz w:val="18"/>
          <w:szCs w:val="18"/>
        </w:rPr>
        <w:t>COM(2016) 588, 2016. szeptember 14., 5G Európa számára: cselekvési terv.</w:t>
      </w:r>
    </w:p>
  </w:footnote>
  <w:footnote w:id="21">
    <w:p w:rsidR="00D8298C" w:rsidRDefault="00857529">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sz w:val="18"/>
          <w:szCs w:val="18"/>
        </w:rPr>
        <w:t>A Bizo</w:t>
      </w:r>
      <w:r>
        <w:rPr>
          <w:rFonts w:ascii="Times New Roman" w:hAnsi="Times New Roman"/>
          <w:sz w:val="18"/>
          <w:szCs w:val="18"/>
        </w:rPr>
        <w:t>ttság (EU) 2017/1584 ajánlása a nagyszabású kiberbiztonsági eseményekre és válsághelyzetekre való összehangolt reagálásról.</w:t>
      </w:r>
    </w:p>
  </w:footnote>
  <w:footnote w:id="22">
    <w:p w:rsidR="00D8298C" w:rsidRDefault="00857529">
      <w:pPr>
        <w:pStyle w:val="FootnoteText"/>
      </w:pPr>
      <w:r>
        <w:rPr>
          <w:rStyle w:val="FootnoteReference"/>
          <w:rFonts w:ascii="Times New Roman" w:hAnsi="Times New Roman" w:cs="Times New Roman"/>
          <w:sz w:val="18"/>
          <w:szCs w:val="18"/>
        </w:rPr>
        <w:footnoteRef/>
      </w:r>
      <w:r>
        <w:rPr>
          <w:rFonts w:ascii="Times New Roman" w:hAnsi="Times New Roman"/>
          <w:sz w:val="18"/>
          <w:szCs w:val="18"/>
        </w:rPr>
        <w:t>A Tanács 2017. november 20-i következtetései, 9916/17.</w:t>
      </w:r>
    </w:p>
  </w:footnote>
  <w:footnote w:id="23">
    <w:p w:rsidR="00D8298C" w:rsidRDefault="00857529">
      <w:pPr>
        <w:pStyle w:val="FootnoteText"/>
      </w:pPr>
      <w:r>
        <w:rPr>
          <w:rStyle w:val="FootnoteReference"/>
        </w:rPr>
        <w:footnoteRef/>
      </w:r>
      <w:r>
        <w:t xml:space="preserve"> </w:t>
      </w:r>
      <w:r>
        <w:rPr>
          <w:rFonts w:ascii="Times New Roman" w:hAnsi="Times New Roman"/>
          <w:sz w:val="18"/>
          <w:szCs w:val="18"/>
        </w:rPr>
        <w:t>Finanszírozás az Európai Hálózatfinanszírozási Eszköz 2 programon és a Dig</w:t>
      </w:r>
      <w:r>
        <w:rPr>
          <w:rFonts w:ascii="Times New Roman" w:hAnsi="Times New Roman"/>
          <w:sz w:val="18"/>
          <w:szCs w:val="18"/>
        </w:rPr>
        <w:t>itális Európa programon keresztül is biztosítható.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8C" w:rsidRDefault="00D82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8C" w:rsidRDefault="00D8298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8C" w:rsidRDefault="00D8298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8C" w:rsidRDefault="00D829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8C" w:rsidRDefault="00D829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8C" w:rsidRDefault="00D82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AF463A"/>
    <w:multiLevelType w:val="hybridMultilevel"/>
    <w:tmpl w:val="DBC4B0B0"/>
    <w:lvl w:ilvl="0" w:tplc="3BEC51E2">
      <w:start w:val="4"/>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C57465"/>
    <w:multiLevelType w:val="hybridMultilevel"/>
    <w:tmpl w:val="0C5205C2"/>
    <w:lvl w:ilvl="0" w:tplc="6DB4F02C">
      <w:numFmt w:val="bullet"/>
      <w:lvlText w:val="-"/>
      <w:lvlJc w:val="left"/>
      <w:pPr>
        <w:ind w:left="1080" w:hanging="360"/>
      </w:pPr>
      <w:rPr>
        <w:rFonts w:ascii="Arial" w:eastAsiaTheme="minorHAnsi" w:hAnsi="Arial" w:cs="Arial" w:hint="default"/>
        <w:i/>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814255F"/>
    <w:multiLevelType w:val="multilevel"/>
    <w:tmpl w:val="E1F06DB2"/>
    <w:lvl w:ilvl="0">
      <w:start w:val="1"/>
      <w:numFmt w:val="bullet"/>
      <w:lvlText w:val=""/>
      <w:lvlJc w:val="left"/>
      <w:pPr>
        <w:tabs>
          <w:tab w:val="num" w:pos="654"/>
        </w:tabs>
        <w:ind w:left="654" w:hanging="360"/>
      </w:pPr>
      <w:rPr>
        <w:rFonts w:ascii="Symbol" w:hAnsi="Symbol" w:hint="default"/>
        <w:sz w:val="20"/>
      </w:rPr>
    </w:lvl>
    <w:lvl w:ilvl="1">
      <w:start w:val="1"/>
      <w:numFmt w:val="bullet"/>
      <w:lvlText w:val="o"/>
      <w:lvlJc w:val="left"/>
      <w:pPr>
        <w:tabs>
          <w:tab w:val="num" w:pos="1374"/>
        </w:tabs>
        <w:ind w:left="1374" w:hanging="360"/>
      </w:pPr>
      <w:rPr>
        <w:rFonts w:ascii="Courier New" w:hAnsi="Courier New" w:cs="Times New Roman" w:hint="default"/>
        <w:sz w:val="20"/>
      </w:rPr>
    </w:lvl>
    <w:lvl w:ilvl="2">
      <w:start w:val="1"/>
      <w:numFmt w:val="bullet"/>
      <w:lvlText w:val=""/>
      <w:lvlJc w:val="left"/>
      <w:pPr>
        <w:tabs>
          <w:tab w:val="num" w:pos="2094"/>
        </w:tabs>
        <w:ind w:left="2094" w:hanging="360"/>
      </w:pPr>
      <w:rPr>
        <w:rFonts w:ascii="Wingdings" w:hAnsi="Wingdings" w:hint="default"/>
        <w:sz w:val="20"/>
      </w:rPr>
    </w:lvl>
    <w:lvl w:ilvl="3">
      <w:start w:val="1"/>
      <w:numFmt w:val="bullet"/>
      <w:lvlText w:val=""/>
      <w:lvlJc w:val="left"/>
      <w:pPr>
        <w:tabs>
          <w:tab w:val="num" w:pos="2814"/>
        </w:tabs>
        <w:ind w:left="2814" w:hanging="360"/>
      </w:pPr>
      <w:rPr>
        <w:rFonts w:ascii="Wingdings" w:hAnsi="Wingdings" w:hint="default"/>
        <w:sz w:val="20"/>
      </w:rPr>
    </w:lvl>
    <w:lvl w:ilvl="4">
      <w:start w:val="1"/>
      <w:numFmt w:val="bullet"/>
      <w:lvlText w:val=""/>
      <w:lvlJc w:val="left"/>
      <w:pPr>
        <w:tabs>
          <w:tab w:val="num" w:pos="3534"/>
        </w:tabs>
        <w:ind w:left="3534" w:hanging="360"/>
      </w:pPr>
      <w:rPr>
        <w:rFonts w:ascii="Wingdings" w:hAnsi="Wingdings" w:hint="default"/>
        <w:sz w:val="20"/>
      </w:rPr>
    </w:lvl>
    <w:lvl w:ilvl="5">
      <w:start w:val="1"/>
      <w:numFmt w:val="bullet"/>
      <w:lvlText w:val=""/>
      <w:lvlJc w:val="left"/>
      <w:pPr>
        <w:tabs>
          <w:tab w:val="num" w:pos="4254"/>
        </w:tabs>
        <w:ind w:left="4254" w:hanging="360"/>
      </w:pPr>
      <w:rPr>
        <w:rFonts w:ascii="Wingdings" w:hAnsi="Wingdings" w:hint="default"/>
        <w:sz w:val="20"/>
      </w:rPr>
    </w:lvl>
    <w:lvl w:ilvl="6">
      <w:start w:val="1"/>
      <w:numFmt w:val="bullet"/>
      <w:lvlText w:val=""/>
      <w:lvlJc w:val="left"/>
      <w:pPr>
        <w:tabs>
          <w:tab w:val="num" w:pos="4974"/>
        </w:tabs>
        <w:ind w:left="4974" w:hanging="360"/>
      </w:pPr>
      <w:rPr>
        <w:rFonts w:ascii="Wingdings" w:hAnsi="Wingdings" w:hint="default"/>
        <w:sz w:val="20"/>
      </w:rPr>
    </w:lvl>
    <w:lvl w:ilvl="7">
      <w:start w:val="1"/>
      <w:numFmt w:val="bullet"/>
      <w:lvlText w:val=""/>
      <w:lvlJc w:val="left"/>
      <w:pPr>
        <w:tabs>
          <w:tab w:val="num" w:pos="5694"/>
        </w:tabs>
        <w:ind w:left="5694" w:hanging="360"/>
      </w:pPr>
      <w:rPr>
        <w:rFonts w:ascii="Wingdings" w:hAnsi="Wingdings" w:hint="default"/>
        <w:sz w:val="20"/>
      </w:rPr>
    </w:lvl>
    <w:lvl w:ilvl="8">
      <w:start w:val="1"/>
      <w:numFmt w:val="bullet"/>
      <w:lvlText w:val=""/>
      <w:lvlJc w:val="left"/>
      <w:pPr>
        <w:tabs>
          <w:tab w:val="num" w:pos="6414"/>
        </w:tabs>
        <w:ind w:left="6414" w:hanging="360"/>
      </w:pPr>
      <w:rPr>
        <w:rFonts w:ascii="Wingdings" w:hAnsi="Wingdings" w:hint="default"/>
        <w:sz w:val="20"/>
      </w:rPr>
    </w:lvl>
  </w:abstractNum>
  <w:abstractNum w:abstractNumId="4" w15:restartNumberingAfterBreak="0">
    <w:nsid w:val="10D1540F"/>
    <w:multiLevelType w:val="hybridMultilevel"/>
    <w:tmpl w:val="20A4A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04444"/>
    <w:multiLevelType w:val="multilevel"/>
    <w:tmpl w:val="4F0C0336"/>
    <w:lvl w:ilvl="0">
      <w:start w:val="1"/>
      <w:numFmt w:val="bullet"/>
      <w:lvlText w:val=""/>
      <w:lvlJc w:val="left"/>
      <w:pPr>
        <w:tabs>
          <w:tab w:val="num" w:pos="426"/>
        </w:tabs>
        <w:ind w:left="426" w:hanging="360"/>
      </w:pPr>
      <w:rPr>
        <w:rFonts w:ascii="Symbol" w:hAnsi="Symbol" w:hint="default"/>
        <w:sz w:val="20"/>
      </w:rPr>
    </w:lvl>
    <w:lvl w:ilvl="1">
      <w:start w:val="1"/>
      <w:numFmt w:val="bullet"/>
      <w:lvlText w:val="o"/>
      <w:lvlJc w:val="left"/>
      <w:pPr>
        <w:tabs>
          <w:tab w:val="num" w:pos="1146"/>
        </w:tabs>
        <w:ind w:left="1146" w:hanging="360"/>
      </w:pPr>
      <w:rPr>
        <w:rFonts w:ascii="Courier New" w:hAnsi="Courier New" w:cs="Times New Roman" w:hint="default"/>
        <w:sz w:val="20"/>
      </w:rPr>
    </w:lvl>
    <w:lvl w:ilvl="2">
      <w:start w:val="1"/>
      <w:numFmt w:val="bullet"/>
      <w:lvlText w:val=""/>
      <w:lvlJc w:val="left"/>
      <w:pPr>
        <w:tabs>
          <w:tab w:val="num" w:pos="1866"/>
        </w:tabs>
        <w:ind w:left="1866" w:hanging="360"/>
      </w:pPr>
      <w:rPr>
        <w:rFonts w:ascii="Wingdings" w:hAnsi="Wingdings" w:hint="default"/>
        <w:sz w:val="20"/>
      </w:rPr>
    </w:lvl>
    <w:lvl w:ilvl="3">
      <w:start w:val="1"/>
      <w:numFmt w:val="bullet"/>
      <w:lvlText w:val=""/>
      <w:lvlJc w:val="left"/>
      <w:pPr>
        <w:tabs>
          <w:tab w:val="num" w:pos="2586"/>
        </w:tabs>
        <w:ind w:left="2586" w:hanging="360"/>
      </w:pPr>
      <w:rPr>
        <w:rFonts w:ascii="Wingdings" w:hAnsi="Wingdings" w:hint="default"/>
        <w:sz w:val="20"/>
      </w:rPr>
    </w:lvl>
    <w:lvl w:ilvl="4">
      <w:start w:val="1"/>
      <w:numFmt w:val="bullet"/>
      <w:lvlText w:val=""/>
      <w:lvlJc w:val="left"/>
      <w:pPr>
        <w:tabs>
          <w:tab w:val="num" w:pos="3306"/>
        </w:tabs>
        <w:ind w:left="3306" w:hanging="360"/>
      </w:pPr>
      <w:rPr>
        <w:rFonts w:ascii="Wingdings" w:hAnsi="Wingdings" w:hint="default"/>
        <w:sz w:val="20"/>
      </w:rPr>
    </w:lvl>
    <w:lvl w:ilvl="5">
      <w:start w:val="1"/>
      <w:numFmt w:val="bullet"/>
      <w:lvlText w:val=""/>
      <w:lvlJc w:val="left"/>
      <w:pPr>
        <w:tabs>
          <w:tab w:val="num" w:pos="4026"/>
        </w:tabs>
        <w:ind w:left="4026" w:hanging="360"/>
      </w:pPr>
      <w:rPr>
        <w:rFonts w:ascii="Wingdings" w:hAnsi="Wingdings" w:hint="default"/>
        <w:sz w:val="20"/>
      </w:rPr>
    </w:lvl>
    <w:lvl w:ilvl="6">
      <w:start w:val="1"/>
      <w:numFmt w:val="bullet"/>
      <w:lvlText w:val=""/>
      <w:lvlJc w:val="left"/>
      <w:pPr>
        <w:tabs>
          <w:tab w:val="num" w:pos="4746"/>
        </w:tabs>
        <w:ind w:left="4746" w:hanging="360"/>
      </w:pPr>
      <w:rPr>
        <w:rFonts w:ascii="Wingdings" w:hAnsi="Wingdings" w:hint="default"/>
        <w:sz w:val="20"/>
      </w:rPr>
    </w:lvl>
    <w:lvl w:ilvl="7">
      <w:start w:val="1"/>
      <w:numFmt w:val="bullet"/>
      <w:lvlText w:val=""/>
      <w:lvlJc w:val="left"/>
      <w:pPr>
        <w:tabs>
          <w:tab w:val="num" w:pos="5466"/>
        </w:tabs>
        <w:ind w:left="5466" w:hanging="360"/>
      </w:pPr>
      <w:rPr>
        <w:rFonts w:ascii="Wingdings" w:hAnsi="Wingdings" w:hint="default"/>
        <w:sz w:val="20"/>
      </w:rPr>
    </w:lvl>
    <w:lvl w:ilvl="8">
      <w:start w:val="1"/>
      <w:numFmt w:val="bullet"/>
      <w:lvlText w:val=""/>
      <w:lvlJc w:val="left"/>
      <w:pPr>
        <w:tabs>
          <w:tab w:val="num" w:pos="6186"/>
        </w:tabs>
        <w:ind w:left="6186" w:hanging="360"/>
      </w:pPr>
      <w:rPr>
        <w:rFonts w:ascii="Wingdings" w:hAnsi="Wingdings" w:hint="default"/>
        <w:sz w:val="20"/>
      </w:rPr>
    </w:lvl>
  </w:abstractNum>
  <w:abstractNum w:abstractNumId="6" w15:restartNumberingAfterBreak="0">
    <w:nsid w:val="204E0ABA"/>
    <w:multiLevelType w:val="multilevel"/>
    <w:tmpl w:val="6D62B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F38A4"/>
    <w:multiLevelType w:val="hybridMultilevel"/>
    <w:tmpl w:val="29A64B4E"/>
    <w:lvl w:ilvl="0" w:tplc="2DA466C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9270079"/>
    <w:multiLevelType w:val="hybridMultilevel"/>
    <w:tmpl w:val="B8FE5DBA"/>
    <w:lvl w:ilvl="0" w:tplc="58E22F30">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C0470D"/>
    <w:multiLevelType w:val="hybridMultilevel"/>
    <w:tmpl w:val="E58CEDE0"/>
    <w:lvl w:ilvl="0" w:tplc="080C0001">
      <w:start w:val="1"/>
      <w:numFmt w:val="bullet"/>
      <w:lvlText w:val=""/>
      <w:lvlJc w:val="left"/>
      <w:pPr>
        <w:ind w:left="784" w:hanging="360"/>
      </w:pPr>
      <w:rPr>
        <w:rFonts w:ascii="Symbol" w:hAnsi="Symbol" w:hint="default"/>
      </w:rPr>
    </w:lvl>
    <w:lvl w:ilvl="1" w:tplc="080C0003" w:tentative="1">
      <w:start w:val="1"/>
      <w:numFmt w:val="bullet"/>
      <w:lvlText w:val="o"/>
      <w:lvlJc w:val="left"/>
      <w:pPr>
        <w:ind w:left="1504" w:hanging="360"/>
      </w:pPr>
      <w:rPr>
        <w:rFonts w:ascii="Courier New" w:hAnsi="Courier New" w:cs="Courier New" w:hint="default"/>
      </w:rPr>
    </w:lvl>
    <w:lvl w:ilvl="2" w:tplc="080C0005" w:tentative="1">
      <w:start w:val="1"/>
      <w:numFmt w:val="bullet"/>
      <w:lvlText w:val=""/>
      <w:lvlJc w:val="left"/>
      <w:pPr>
        <w:ind w:left="2224" w:hanging="360"/>
      </w:pPr>
      <w:rPr>
        <w:rFonts w:ascii="Wingdings" w:hAnsi="Wingdings" w:hint="default"/>
      </w:rPr>
    </w:lvl>
    <w:lvl w:ilvl="3" w:tplc="080C0001" w:tentative="1">
      <w:start w:val="1"/>
      <w:numFmt w:val="bullet"/>
      <w:lvlText w:val=""/>
      <w:lvlJc w:val="left"/>
      <w:pPr>
        <w:ind w:left="2944" w:hanging="360"/>
      </w:pPr>
      <w:rPr>
        <w:rFonts w:ascii="Symbol" w:hAnsi="Symbol" w:hint="default"/>
      </w:rPr>
    </w:lvl>
    <w:lvl w:ilvl="4" w:tplc="080C0003" w:tentative="1">
      <w:start w:val="1"/>
      <w:numFmt w:val="bullet"/>
      <w:lvlText w:val="o"/>
      <w:lvlJc w:val="left"/>
      <w:pPr>
        <w:ind w:left="3664" w:hanging="360"/>
      </w:pPr>
      <w:rPr>
        <w:rFonts w:ascii="Courier New" w:hAnsi="Courier New" w:cs="Courier New" w:hint="default"/>
      </w:rPr>
    </w:lvl>
    <w:lvl w:ilvl="5" w:tplc="080C0005" w:tentative="1">
      <w:start w:val="1"/>
      <w:numFmt w:val="bullet"/>
      <w:lvlText w:val=""/>
      <w:lvlJc w:val="left"/>
      <w:pPr>
        <w:ind w:left="4384" w:hanging="360"/>
      </w:pPr>
      <w:rPr>
        <w:rFonts w:ascii="Wingdings" w:hAnsi="Wingdings" w:hint="default"/>
      </w:rPr>
    </w:lvl>
    <w:lvl w:ilvl="6" w:tplc="080C0001" w:tentative="1">
      <w:start w:val="1"/>
      <w:numFmt w:val="bullet"/>
      <w:lvlText w:val=""/>
      <w:lvlJc w:val="left"/>
      <w:pPr>
        <w:ind w:left="5104" w:hanging="360"/>
      </w:pPr>
      <w:rPr>
        <w:rFonts w:ascii="Symbol" w:hAnsi="Symbol" w:hint="default"/>
      </w:rPr>
    </w:lvl>
    <w:lvl w:ilvl="7" w:tplc="080C0003" w:tentative="1">
      <w:start w:val="1"/>
      <w:numFmt w:val="bullet"/>
      <w:lvlText w:val="o"/>
      <w:lvlJc w:val="left"/>
      <w:pPr>
        <w:ind w:left="5824" w:hanging="360"/>
      </w:pPr>
      <w:rPr>
        <w:rFonts w:ascii="Courier New" w:hAnsi="Courier New" w:cs="Courier New" w:hint="default"/>
      </w:rPr>
    </w:lvl>
    <w:lvl w:ilvl="8" w:tplc="080C0005" w:tentative="1">
      <w:start w:val="1"/>
      <w:numFmt w:val="bullet"/>
      <w:lvlText w:val=""/>
      <w:lvlJc w:val="left"/>
      <w:pPr>
        <w:ind w:left="6544" w:hanging="360"/>
      </w:pPr>
      <w:rPr>
        <w:rFonts w:ascii="Wingdings" w:hAnsi="Wingdings" w:hint="default"/>
      </w:rPr>
    </w:lvl>
  </w:abstractNum>
  <w:abstractNum w:abstractNumId="10" w15:restartNumberingAfterBreak="0">
    <w:nsid w:val="352808C7"/>
    <w:multiLevelType w:val="hybridMultilevel"/>
    <w:tmpl w:val="1A08F25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35E42105"/>
    <w:multiLevelType w:val="multilevel"/>
    <w:tmpl w:val="0950B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956A5"/>
    <w:multiLevelType w:val="multilevel"/>
    <w:tmpl w:val="1BE68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B65E1"/>
    <w:multiLevelType w:val="multilevel"/>
    <w:tmpl w:val="60DEADA8"/>
    <w:lvl w:ilvl="0">
      <w:start w:val="1"/>
      <w:numFmt w:val="bullet"/>
      <w:lvlText w:val=""/>
      <w:lvlJc w:val="left"/>
      <w:pPr>
        <w:tabs>
          <w:tab w:val="num" w:pos="709"/>
        </w:tabs>
        <w:ind w:left="709" w:hanging="360"/>
      </w:pPr>
      <w:rPr>
        <w:rFonts w:ascii="Symbol" w:hAnsi="Symbol" w:hint="default"/>
        <w:sz w:val="20"/>
      </w:rPr>
    </w:lvl>
    <w:lvl w:ilvl="1">
      <w:start w:val="1"/>
      <w:numFmt w:val="bullet"/>
      <w:lvlText w:val="o"/>
      <w:lvlJc w:val="left"/>
      <w:pPr>
        <w:tabs>
          <w:tab w:val="num" w:pos="1429"/>
        </w:tabs>
        <w:ind w:left="1429" w:hanging="360"/>
      </w:pPr>
      <w:rPr>
        <w:rFonts w:ascii="Courier New" w:hAnsi="Courier New" w:cs="Times New Roman" w:hint="default"/>
        <w:sz w:val="20"/>
      </w:rPr>
    </w:lvl>
    <w:lvl w:ilvl="2">
      <w:start w:val="1"/>
      <w:numFmt w:val="bullet"/>
      <w:lvlText w:val=""/>
      <w:lvlJc w:val="left"/>
      <w:pPr>
        <w:tabs>
          <w:tab w:val="num" w:pos="2149"/>
        </w:tabs>
        <w:ind w:left="2149" w:hanging="360"/>
      </w:pPr>
      <w:rPr>
        <w:rFonts w:ascii="Wingdings" w:hAnsi="Wingdings" w:hint="default"/>
        <w:sz w:val="20"/>
      </w:rPr>
    </w:lvl>
    <w:lvl w:ilvl="3">
      <w:start w:val="1"/>
      <w:numFmt w:val="bullet"/>
      <w:lvlText w:val=""/>
      <w:lvlJc w:val="left"/>
      <w:pPr>
        <w:tabs>
          <w:tab w:val="num" w:pos="2869"/>
        </w:tabs>
        <w:ind w:left="2869" w:hanging="360"/>
      </w:pPr>
      <w:rPr>
        <w:rFonts w:ascii="Wingdings" w:hAnsi="Wingdings" w:hint="default"/>
        <w:sz w:val="20"/>
      </w:rPr>
    </w:lvl>
    <w:lvl w:ilvl="4">
      <w:start w:val="1"/>
      <w:numFmt w:val="bullet"/>
      <w:lvlText w:val=""/>
      <w:lvlJc w:val="left"/>
      <w:pPr>
        <w:tabs>
          <w:tab w:val="num" w:pos="3589"/>
        </w:tabs>
        <w:ind w:left="3589" w:hanging="360"/>
      </w:pPr>
      <w:rPr>
        <w:rFonts w:ascii="Wingdings" w:hAnsi="Wingdings" w:hint="default"/>
        <w:sz w:val="20"/>
      </w:rPr>
    </w:lvl>
    <w:lvl w:ilvl="5">
      <w:start w:val="1"/>
      <w:numFmt w:val="bullet"/>
      <w:lvlText w:val=""/>
      <w:lvlJc w:val="left"/>
      <w:pPr>
        <w:tabs>
          <w:tab w:val="num" w:pos="4309"/>
        </w:tabs>
        <w:ind w:left="4309" w:hanging="360"/>
      </w:pPr>
      <w:rPr>
        <w:rFonts w:ascii="Wingdings" w:hAnsi="Wingdings" w:hint="default"/>
        <w:sz w:val="20"/>
      </w:rPr>
    </w:lvl>
    <w:lvl w:ilvl="6">
      <w:start w:val="1"/>
      <w:numFmt w:val="bullet"/>
      <w:lvlText w:val=""/>
      <w:lvlJc w:val="left"/>
      <w:pPr>
        <w:tabs>
          <w:tab w:val="num" w:pos="5029"/>
        </w:tabs>
        <w:ind w:left="5029" w:hanging="360"/>
      </w:pPr>
      <w:rPr>
        <w:rFonts w:ascii="Wingdings" w:hAnsi="Wingdings" w:hint="default"/>
        <w:sz w:val="20"/>
      </w:rPr>
    </w:lvl>
    <w:lvl w:ilvl="7">
      <w:start w:val="1"/>
      <w:numFmt w:val="bullet"/>
      <w:lvlText w:val=""/>
      <w:lvlJc w:val="left"/>
      <w:pPr>
        <w:tabs>
          <w:tab w:val="num" w:pos="5749"/>
        </w:tabs>
        <w:ind w:left="5749" w:hanging="360"/>
      </w:pPr>
      <w:rPr>
        <w:rFonts w:ascii="Wingdings" w:hAnsi="Wingdings" w:hint="default"/>
        <w:sz w:val="20"/>
      </w:rPr>
    </w:lvl>
    <w:lvl w:ilvl="8">
      <w:start w:val="1"/>
      <w:numFmt w:val="bullet"/>
      <w:lvlText w:val=""/>
      <w:lvlJc w:val="left"/>
      <w:pPr>
        <w:tabs>
          <w:tab w:val="num" w:pos="6469"/>
        </w:tabs>
        <w:ind w:left="6469" w:hanging="360"/>
      </w:pPr>
      <w:rPr>
        <w:rFonts w:ascii="Wingdings" w:hAnsi="Wingdings" w:hint="default"/>
        <w:sz w:val="20"/>
      </w:rPr>
    </w:lvl>
  </w:abstractNum>
  <w:abstractNum w:abstractNumId="14" w15:restartNumberingAfterBreak="0">
    <w:nsid w:val="46D76EFE"/>
    <w:multiLevelType w:val="hybridMultilevel"/>
    <w:tmpl w:val="E6FE65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DEA5C29"/>
    <w:multiLevelType w:val="hybridMultilevel"/>
    <w:tmpl w:val="9C224BFA"/>
    <w:lvl w:ilvl="0" w:tplc="080C0001">
      <w:start w:val="1"/>
      <w:numFmt w:val="bullet"/>
      <w:lvlText w:val=""/>
      <w:lvlJc w:val="left"/>
      <w:pPr>
        <w:ind w:left="1080" w:hanging="360"/>
      </w:pPr>
      <w:rPr>
        <w:rFonts w:ascii="Symbol" w:hAnsi="Symbol" w:hint="default"/>
        <w:i/>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4F105B17"/>
    <w:multiLevelType w:val="hybridMultilevel"/>
    <w:tmpl w:val="997C8F92"/>
    <w:lvl w:ilvl="0" w:tplc="080C0001">
      <w:start w:val="1"/>
      <w:numFmt w:val="bullet"/>
      <w:lvlText w:val=""/>
      <w:lvlJc w:val="left"/>
      <w:pPr>
        <w:ind w:left="1080" w:hanging="360"/>
      </w:pPr>
      <w:rPr>
        <w:rFonts w:ascii="Symbol" w:hAnsi="Symbol" w:hint="default"/>
        <w:i/>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50285F5D"/>
    <w:multiLevelType w:val="hybridMultilevel"/>
    <w:tmpl w:val="398AE9B2"/>
    <w:lvl w:ilvl="0" w:tplc="CFDCDBD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A857623"/>
    <w:multiLevelType w:val="multilevel"/>
    <w:tmpl w:val="C16E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A67"/>
    <w:multiLevelType w:val="multilevel"/>
    <w:tmpl w:val="1BE68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2610B"/>
    <w:multiLevelType w:val="hybridMultilevel"/>
    <w:tmpl w:val="23E8D4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22F4E58"/>
    <w:multiLevelType w:val="hybridMultilevel"/>
    <w:tmpl w:val="6E46D102"/>
    <w:lvl w:ilvl="0" w:tplc="080C0005">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76F0320B"/>
    <w:multiLevelType w:val="hybridMultilevel"/>
    <w:tmpl w:val="3F3C64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D4042F7"/>
    <w:multiLevelType w:val="multilevel"/>
    <w:tmpl w:val="7E723804"/>
    <w:lvl w:ilvl="0">
      <w:start w:val="1"/>
      <w:numFmt w:val="bullet"/>
      <w:lvlText w:val=""/>
      <w:lvlJc w:val="left"/>
      <w:pPr>
        <w:tabs>
          <w:tab w:val="num" w:pos="588"/>
        </w:tabs>
        <w:ind w:left="588" w:hanging="360"/>
      </w:pPr>
      <w:rPr>
        <w:rFonts w:ascii="Symbol" w:hAnsi="Symbol" w:hint="default"/>
        <w:sz w:val="20"/>
      </w:rPr>
    </w:lvl>
    <w:lvl w:ilvl="1">
      <w:start w:val="1"/>
      <w:numFmt w:val="bullet"/>
      <w:lvlText w:val="o"/>
      <w:lvlJc w:val="left"/>
      <w:pPr>
        <w:tabs>
          <w:tab w:val="num" w:pos="1308"/>
        </w:tabs>
        <w:ind w:left="1308" w:hanging="360"/>
      </w:pPr>
      <w:rPr>
        <w:rFonts w:ascii="Courier New" w:hAnsi="Courier New" w:cs="Times New Roman" w:hint="default"/>
        <w:sz w:val="20"/>
      </w:rPr>
    </w:lvl>
    <w:lvl w:ilvl="2">
      <w:start w:val="1"/>
      <w:numFmt w:val="bullet"/>
      <w:lvlText w:val=""/>
      <w:lvlJc w:val="left"/>
      <w:pPr>
        <w:tabs>
          <w:tab w:val="num" w:pos="2028"/>
        </w:tabs>
        <w:ind w:left="2028" w:hanging="360"/>
      </w:pPr>
      <w:rPr>
        <w:rFonts w:ascii="Wingdings" w:hAnsi="Wingdings" w:hint="default"/>
        <w:sz w:val="20"/>
      </w:rPr>
    </w:lvl>
    <w:lvl w:ilvl="3">
      <w:start w:val="1"/>
      <w:numFmt w:val="bullet"/>
      <w:lvlText w:val=""/>
      <w:lvlJc w:val="left"/>
      <w:pPr>
        <w:tabs>
          <w:tab w:val="num" w:pos="2748"/>
        </w:tabs>
        <w:ind w:left="2748" w:hanging="360"/>
      </w:pPr>
      <w:rPr>
        <w:rFonts w:ascii="Wingdings" w:hAnsi="Wingdings" w:hint="default"/>
        <w:sz w:val="20"/>
      </w:rPr>
    </w:lvl>
    <w:lvl w:ilvl="4">
      <w:start w:val="1"/>
      <w:numFmt w:val="bullet"/>
      <w:lvlText w:val=""/>
      <w:lvlJc w:val="left"/>
      <w:pPr>
        <w:tabs>
          <w:tab w:val="num" w:pos="3468"/>
        </w:tabs>
        <w:ind w:left="3468" w:hanging="360"/>
      </w:pPr>
      <w:rPr>
        <w:rFonts w:ascii="Wingdings" w:hAnsi="Wingdings" w:hint="default"/>
        <w:sz w:val="20"/>
      </w:rPr>
    </w:lvl>
    <w:lvl w:ilvl="5">
      <w:start w:val="1"/>
      <w:numFmt w:val="bullet"/>
      <w:lvlText w:val=""/>
      <w:lvlJc w:val="left"/>
      <w:pPr>
        <w:tabs>
          <w:tab w:val="num" w:pos="4188"/>
        </w:tabs>
        <w:ind w:left="4188" w:hanging="360"/>
      </w:pPr>
      <w:rPr>
        <w:rFonts w:ascii="Wingdings" w:hAnsi="Wingdings" w:hint="default"/>
        <w:sz w:val="20"/>
      </w:rPr>
    </w:lvl>
    <w:lvl w:ilvl="6">
      <w:start w:val="1"/>
      <w:numFmt w:val="bullet"/>
      <w:lvlText w:val=""/>
      <w:lvlJc w:val="left"/>
      <w:pPr>
        <w:tabs>
          <w:tab w:val="num" w:pos="4908"/>
        </w:tabs>
        <w:ind w:left="4908" w:hanging="360"/>
      </w:pPr>
      <w:rPr>
        <w:rFonts w:ascii="Wingdings" w:hAnsi="Wingdings" w:hint="default"/>
        <w:sz w:val="20"/>
      </w:rPr>
    </w:lvl>
    <w:lvl w:ilvl="7">
      <w:start w:val="1"/>
      <w:numFmt w:val="bullet"/>
      <w:lvlText w:val=""/>
      <w:lvlJc w:val="left"/>
      <w:pPr>
        <w:tabs>
          <w:tab w:val="num" w:pos="5628"/>
        </w:tabs>
        <w:ind w:left="5628" w:hanging="360"/>
      </w:pPr>
      <w:rPr>
        <w:rFonts w:ascii="Wingdings" w:hAnsi="Wingdings" w:hint="default"/>
        <w:sz w:val="20"/>
      </w:rPr>
    </w:lvl>
    <w:lvl w:ilvl="8">
      <w:start w:val="1"/>
      <w:numFmt w:val="bullet"/>
      <w:lvlText w:val=""/>
      <w:lvlJc w:val="left"/>
      <w:pPr>
        <w:tabs>
          <w:tab w:val="num" w:pos="6348"/>
        </w:tabs>
        <w:ind w:left="6348" w:hanging="360"/>
      </w:pPr>
      <w:rPr>
        <w:rFonts w:ascii="Wingdings" w:hAnsi="Wingdings" w:hint="default"/>
        <w:sz w:val="20"/>
      </w:rPr>
    </w:lvl>
  </w:abstractNum>
  <w:abstractNum w:abstractNumId="24" w15:restartNumberingAfterBreak="0">
    <w:nsid w:val="7E391CC1"/>
    <w:multiLevelType w:val="hybridMultilevel"/>
    <w:tmpl w:val="B802BCE6"/>
    <w:lvl w:ilvl="0" w:tplc="6A38404A">
      <w:start w:val="1"/>
      <w:numFmt w:val="bullet"/>
      <w:lvlText w:val=""/>
      <w:lvlJc w:val="left"/>
      <w:pPr>
        <w:ind w:left="1080" w:hanging="360"/>
      </w:pPr>
      <w:rPr>
        <w:rFonts w:ascii="Symbol" w:hAnsi="Symbol" w:hint="default"/>
        <w:b w:val="0"/>
        <w:i w:val="0"/>
        <w:caps w:val="0"/>
        <w:strike w:val="0"/>
        <w:dstrike w:val="0"/>
        <w:vanish w:val="0"/>
        <w:vertAlign w:val="baseline"/>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6DB4F02C">
      <w:numFmt w:val="bullet"/>
      <w:lvlText w:val="-"/>
      <w:lvlJc w:val="left"/>
      <w:pPr>
        <w:ind w:left="3240" w:hanging="360"/>
      </w:pPr>
      <w:rPr>
        <w:rFonts w:ascii="Arial" w:eastAsiaTheme="minorHAnsi" w:hAnsi="Arial" w:cs="Arial" w:hint="default"/>
        <w:i/>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13"/>
  </w:num>
  <w:num w:numId="4">
    <w:abstractNumId w:val="11"/>
  </w:num>
  <w:num w:numId="5">
    <w:abstractNumId w:val="3"/>
  </w:num>
  <w:num w:numId="6">
    <w:abstractNumId w:val="23"/>
  </w:num>
  <w:num w:numId="7">
    <w:abstractNumId w:val="5"/>
  </w:num>
  <w:num w:numId="8">
    <w:abstractNumId w:val="6"/>
  </w:num>
  <w:num w:numId="9">
    <w:abstractNumId w:val="17"/>
  </w:num>
  <w:num w:numId="10">
    <w:abstractNumId w:val="9"/>
  </w:num>
  <w:num w:numId="11">
    <w:abstractNumId w:val="0"/>
  </w:num>
  <w:num w:numId="12">
    <w:abstractNumId w:val="10"/>
  </w:num>
  <w:num w:numId="13">
    <w:abstractNumId w:val="12"/>
  </w:num>
  <w:num w:numId="14">
    <w:abstractNumId w:val="10"/>
  </w:num>
  <w:num w:numId="15">
    <w:abstractNumId w:val="4"/>
  </w:num>
  <w:num w:numId="16">
    <w:abstractNumId w:val="7"/>
  </w:num>
  <w:num w:numId="17">
    <w:abstractNumId w:val="21"/>
  </w:num>
  <w:num w:numId="18">
    <w:abstractNumId w:val="1"/>
  </w:num>
  <w:num w:numId="19">
    <w:abstractNumId w:val="14"/>
  </w:num>
  <w:num w:numId="20">
    <w:abstractNumId w:val="2"/>
  </w:num>
  <w:num w:numId="21">
    <w:abstractNumId w:val="22"/>
  </w:num>
  <w:num w:numId="22">
    <w:abstractNumId w:val="15"/>
  </w:num>
  <w:num w:numId="23">
    <w:abstractNumId w:val="16"/>
  </w:num>
  <w:num w:numId="24">
    <w:abstractNumId w:val="24"/>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39902CF-13EE-4993-93E4-3BDF1EAF6142"/>
    <w:docVar w:name="LW_COVERPAGE_TYPE" w:val="1"/>
    <w:docVar w:name="LW_CROSSREFERENCE" w:val="&lt;UNUSED&gt;"/>
    <w:docVar w:name="LW_DocType" w:val="NORMAL"/>
    <w:docVar w:name="LW_EMISSION" w:val="2020.1.29."/>
    <w:docVar w:name="LW_EMISSION_ISODATE" w:val="2020-01-29"/>
    <w:docVar w:name="LW_EMISSION_LOCATION" w:val="BRX"/>
    <w:docVar w:name="LW_EMISSION_PREFIX" w:val="Brüsszel, "/>
    <w:docVar w:name="LW_EMISSION_SUFFIX" w:val=" "/>
    <w:docVar w:name="LW_ID_DOCTYPE_NONLW" w:val="CP-01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z 5G biztonságos kiépítése az EU-ban \u8211? Az uniós eszköztár alkalmazása"/>
    <w:docVar w:name="LW_TYPE.DOC.CP" w:val="A BIZOTTSÁG KÖZLEMÉNYE AZ EURÓPAI PARLAMENTNEK, A TANÁCSNAK, AZ EURÓPAI GAZDASÁGI ÉS SZOCIÁLIS BIZOTTSÁGNAK ÉS A RÉGIÓK BIZOTTSÁGÁNAK"/>
    <w:docVar w:name="LW_TYPE.DOC.CP.USERTEXT" w:val="&lt;EMPTY&gt;"/>
  </w:docVars>
  <w:rsids>
    <w:rsidRoot w:val="00D8298C"/>
    <w:rsid w:val="00857529"/>
    <w:rsid w:val="00D82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pPr>
      <w:spacing w:after="200" w:line="276" w:lineRule="auto"/>
      <w:ind w:left="720"/>
      <w:contextualSpacing/>
    </w:pPr>
    <w:rPr>
      <w:rFonts w:asciiTheme="minorHAnsi" w:hAnsiTheme="minorHAnsi" w:cstheme="minorBidi"/>
      <w:sz w:val="22"/>
      <w:szCs w:val="22"/>
      <w:lang w:eastAsia="en-US"/>
    </w:rPr>
  </w:style>
  <w:style w:type="paragraph" w:styleId="FootnoteText">
    <w:name w:val="footnote text"/>
    <w:aliases w:val="Reference,Footnote text,Testo nota a piè di pagina_Rientro,Footnote Text Char Char Char Char,Footnote Text Char Char,Footnote Text Char Char Char Char Char,Footnote Text Char Char Ch,stile,Fußnote,Schriftart: 9 pt,Schriftart: 10 pt,o,f t,f"/>
    <w:basedOn w:val="Normal"/>
    <w:link w:val="FootnoteTextChar"/>
    <w:uiPriority w:val="99"/>
    <w:unhideWhenUsed/>
    <w:qFormat/>
    <w:rPr>
      <w:rFonts w:asciiTheme="minorHAnsi" w:hAnsiTheme="minorHAnsi" w:cstheme="minorBidi"/>
      <w:sz w:val="20"/>
      <w:szCs w:val="20"/>
      <w:lang w:eastAsia="en-US"/>
    </w:rPr>
  </w:style>
  <w:style w:type="character" w:customStyle="1" w:styleId="FootnoteTextChar">
    <w:name w:val="Footnote Text Char"/>
    <w:aliases w:val="Reference Char,Footnote text Char,Testo nota a piè di pagina_Rientro Char,Footnote Text Char Char Char Char Char1,Footnote Text Char Char Char,Footnote Text Char Char Char Char Char Char,Footnote Text Char Char Ch Char,stile Char"/>
    <w:basedOn w:val="DefaultParagraphFont"/>
    <w:link w:val="FootnoteText"/>
    <w:uiPriority w:val="99"/>
    <w:qFormat/>
    <w:rPr>
      <w:sz w:val="20"/>
      <w:szCs w:val="20"/>
    </w:rPr>
  </w:style>
  <w:style w:type="character" w:styleId="FootnoteReference">
    <w:name w:val="footnote reference"/>
    <w:aliases w:val="Footnote symbol,Voetnootverwijzing,Times 10 Point,Exposant 3 Point,Footnote,Footnote Reference Superscript,Odwołanie przypisu,footnote ref,FR,Fußnotenzeichen diss neu,Appel note de bas de p,Style 12,Style 124,Ref,fr, Exposant 3 Point"/>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efingtextChar">
    <w:name w:val="Briefing text Char"/>
    <w:link w:val="Briefingtext"/>
    <w:locked/>
    <w:rPr>
      <w:rFonts w:ascii="Arial" w:eastAsia="Times New Roman" w:hAnsi="Arial" w:cs="Arial"/>
      <w:szCs w:val="24"/>
    </w:rPr>
  </w:style>
  <w:style w:type="paragraph" w:customStyle="1" w:styleId="Briefingtext">
    <w:name w:val="Briefing text"/>
    <w:basedOn w:val="Normal"/>
    <w:link w:val="BriefingtextChar"/>
    <w:pPr>
      <w:spacing w:after="240"/>
      <w:jc w:val="both"/>
    </w:pPr>
    <w:rPr>
      <w:rFonts w:ascii="Arial" w:eastAsia="Times New Roman" w:hAnsi="Arial" w:cs="Arial"/>
      <w:sz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eastAsia="fr-B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eastAsia="fr-B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val="hu-HU" w:eastAsia="fr-B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hu-HU"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Pr>
      <w:rFonts w:ascii="Calibri" w:hAnsi="Calibri" w:cstheme="minorBidi"/>
      <w:sz w:val="22"/>
      <w:szCs w:val="21"/>
      <w:lang w:eastAsia="en-US"/>
    </w:rPr>
  </w:style>
  <w:style w:type="character" w:customStyle="1" w:styleId="PlainTextChar">
    <w:name w:val="Plain Text Char"/>
    <w:basedOn w:val="DefaultParagraphFont"/>
    <w:link w:val="PlainText"/>
    <w:uiPriority w:val="99"/>
    <w:rPr>
      <w:rFonts w:ascii="Calibri" w:hAnsi="Calibri"/>
      <w:szCs w:val="21"/>
      <w:lang w:val="hu-HU"/>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szCs w:val="24"/>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lang w:eastAsia="fr-B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hAnsi="Times New Roman" w:cs="Times New Roman"/>
      <w:sz w:val="24"/>
      <w:szCs w:val="24"/>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lang w:eastAsia="fr-B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0961">
      <w:bodyDiv w:val="1"/>
      <w:marLeft w:val="0"/>
      <w:marRight w:val="0"/>
      <w:marTop w:val="0"/>
      <w:marBottom w:val="0"/>
      <w:divBdr>
        <w:top w:val="none" w:sz="0" w:space="0" w:color="auto"/>
        <w:left w:val="none" w:sz="0" w:space="0" w:color="auto"/>
        <w:bottom w:val="none" w:sz="0" w:space="0" w:color="auto"/>
        <w:right w:val="none" w:sz="0" w:space="0" w:color="auto"/>
      </w:divBdr>
    </w:div>
    <w:div w:id="358162347">
      <w:bodyDiv w:val="1"/>
      <w:marLeft w:val="0"/>
      <w:marRight w:val="0"/>
      <w:marTop w:val="0"/>
      <w:marBottom w:val="0"/>
      <w:divBdr>
        <w:top w:val="none" w:sz="0" w:space="0" w:color="auto"/>
        <w:left w:val="none" w:sz="0" w:space="0" w:color="auto"/>
        <w:bottom w:val="none" w:sz="0" w:space="0" w:color="auto"/>
        <w:right w:val="none" w:sz="0" w:space="0" w:color="auto"/>
      </w:divBdr>
    </w:div>
    <w:div w:id="708458875">
      <w:bodyDiv w:val="1"/>
      <w:marLeft w:val="0"/>
      <w:marRight w:val="0"/>
      <w:marTop w:val="0"/>
      <w:marBottom w:val="0"/>
      <w:divBdr>
        <w:top w:val="none" w:sz="0" w:space="0" w:color="auto"/>
        <w:left w:val="none" w:sz="0" w:space="0" w:color="auto"/>
        <w:bottom w:val="none" w:sz="0" w:space="0" w:color="auto"/>
        <w:right w:val="none" w:sz="0" w:space="0" w:color="auto"/>
      </w:divBdr>
    </w:div>
    <w:div w:id="750002460">
      <w:bodyDiv w:val="1"/>
      <w:marLeft w:val="0"/>
      <w:marRight w:val="0"/>
      <w:marTop w:val="0"/>
      <w:marBottom w:val="0"/>
      <w:divBdr>
        <w:top w:val="none" w:sz="0" w:space="0" w:color="auto"/>
        <w:left w:val="none" w:sz="0" w:space="0" w:color="auto"/>
        <w:bottom w:val="none" w:sz="0" w:space="0" w:color="auto"/>
        <w:right w:val="none" w:sz="0" w:space="0" w:color="auto"/>
      </w:divBdr>
    </w:div>
    <w:div w:id="817184220">
      <w:bodyDiv w:val="1"/>
      <w:marLeft w:val="0"/>
      <w:marRight w:val="0"/>
      <w:marTop w:val="0"/>
      <w:marBottom w:val="0"/>
      <w:divBdr>
        <w:top w:val="none" w:sz="0" w:space="0" w:color="auto"/>
        <w:left w:val="none" w:sz="0" w:space="0" w:color="auto"/>
        <w:bottom w:val="none" w:sz="0" w:space="0" w:color="auto"/>
        <w:right w:val="none" w:sz="0" w:space="0" w:color="auto"/>
      </w:divBdr>
    </w:div>
    <w:div w:id="953244100">
      <w:bodyDiv w:val="1"/>
      <w:marLeft w:val="0"/>
      <w:marRight w:val="0"/>
      <w:marTop w:val="0"/>
      <w:marBottom w:val="0"/>
      <w:divBdr>
        <w:top w:val="none" w:sz="0" w:space="0" w:color="auto"/>
        <w:left w:val="none" w:sz="0" w:space="0" w:color="auto"/>
        <w:bottom w:val="none" w:sz="0" w:space="0" w:color="auto"/>
        <w:right w:val="none" w:sz="0" w:space="0" w:color="auto"/>
      </w:divBdr>
    </w:div>
    <w:div w:id="1119033273">
      <w:bodyDiv w:val="1"/>
      <w:marLeft w:val="0"/>
      <w:marRight w:val="0"/>
      <w:marTop w:val="0"/>
      <w:marBottom w:val="0"/>
      <w:divBdr>
        <w:top w:val="none" w:sz="0" w:space="0" w:color="auto"/>
        <w:left w:val="none" w:sz="0" w:space="0" w:color="auto"/>
        <w:bottom w:val="none" w:sz="0" w:space="0" w:color="auto"/>
        <w:right w:val="none" w:sz="0" w:space="0" w:color="auto"/>
      </w:divBdr>
    </w:div>
    <w:div w:id="1149900911">
      <w:bodyDiv w:val="1"/>
      <w:marLeft w:val="0"/>
      <w:marRight w:val="0"/>
      <w:marTop w:val="0"/>
      <w:marBottom w:val="0"/>
      <w:divBdr>
        <w:top w:val="none" w:sz="0" w:space="0" w:color="auto"/>
        <w:left w:val="none" w:sz="0" w:space="0" w:color="auto"/>
        <w:bottom w:val="none" w:sz="0" w:space="0" w:color="auto"/>
        <w:right w:val="none" w:sz="0" w:space="0" w:color="auto"/>
      </w:divBdr>
    </w:div>
    <w:div w:id="1239484386">
      <w:bodyDiv w:val="1"/>
      <w:marLeft w:val="0"/>
      <w:marRight w:val="0"/>
      <w:marTop w:val="0"/>
      <w:marBottom w:val="0"/>
      <w:divBdr>
        <w:top w:val="none" w:sz="0" w:space="0" w:color="auto"/>
        <w:left w:val="none" w:sz="0" w:space="0" w:color="auto"/>
        <w:bottom w:val="none" w:sz="0" w:space="0" w:color="auto"/>
        <w:right w:val="none" w:sz="0" w:space="0" w:color="auto"/>
      </w:divBdr>
    </w:div>
    <w:div w:id="1423843548">
      <w:bodyDiv w:val="1"/>
      <w:marLeft w:val="0"/>
      <w:marRight w:val="0"/>
      <w:marTop w:val="0"/>
      <w:marBottom w:val="0"/>
      <w:divBdr>
        <w:top w:val="none" w:sz="0" w:space="0" w:color="auto"/>
        <w:left w:val="none" w:sz="0" w:space="0" w:color="auto"/>
        <w:bottom w:val="none" w:sz="0" w:space="0" w:color="auto"/>
        <w:right w:val="none" w:sz="0" w:space="0" w:color="auto"/>
      </w:divBdr>
    </w:div>
    <w:div w:id="1744062838">
      <w:bodyDiv w:val="1"/>
      <w:marLeft w:val="0"/>
      <w:marRight w:val="0"/>
      <w:marTop w:val="0"/>
      <w:marBottom w:val="0"/>
      <w:divBdr>
        <w:top w:val="none" w:sz="0" w:space="0" w:color="auto"/>
        <w:left w:val="none" w:sz="0" w:space="0" w:color="auto"/>
        <w:bottom w:val="none" w:sz="0" w:space="0" w:color="auto"/>
        <w:right w:val="none" w:sz="0" w:space="0" w:color="auto"/>
      </w:divBdr>
    </w:div>
    <w:div w:id="19268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u.wikipedia.org/wiki/Elosztott_sz%C3%A1m%C3%ADt%C3%A1sok" TargetMode="External"/><Relationship Id="rId7" Type="http://schemas.openxmlformats.org/officeDocument/2006/relationships/hyperlink" Target="https://data.consilium.europa.eu/doc/document/ST-14517-2019-INIT/hu/pdf" TargetMode="External"/><Relationship Id="rId2" Type="http://schemas.openxmlformats.org/officeDocument/2006/relationships/hyperlink" Target="http://www.5GObservatory.eu" TargetMode="External"/><Relationship Id="rId1" Type="http://schemas.openxmlformats.org/officeDocument/2006/relationships/hyperlink" Target="http://www.5GObservatory.eu" TargetMode="External"/><Relationship Id="rId6" Type="http://schemas.openxmlformats.org/officeDocument/2006/relationships/hyperlink" Target="https://ec.europa.eu/digital-single-market/en/news/eu-wide-coordinated-risk-assessment-5g-networks-security" TargetMode="External"/><Relationship Id="rId5" Type="http://schemas.openxmlformats.org/officeDocument/2006/relationships/hyperlink" Target="https://en.wikipedia.org/wiki/Data_storage" TargetMode="External"/><Relationship Id="rId4" Type="http://schemas.openxmlformats.org/officeDocument/2006/relationships/hyperlink" Target="https://en.wikipedia.org/wiki/Comp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1096F8-CFDF-43DA-94E6-60081B36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4559</Words>
  <Characters>33925</Characters>
  <Application>Microsoft Office Word</Application>
  <DocSecurity>0</DocSecurity>
  <Lines>556</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2020-01-27T21:47:00Z</dcterms:created>
  <dcterms:modified xsi:type="dcterms:W3CDTF">2020-02-05T09:12:00Z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ies>
</file>