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080C3F1-A89B-437D-BC8D-1727A0364937" style="width:450.75pt;height:351.75pt">
            <v:imagedata r:id="rId9" o:title=""/>
          </v:shape>
        </w:pict>
      </w:r>
    </w:p>
    <w:p>
      <w:pPr>
        <w:rPr>
          <w:noProof/>
        </w:rPr>
        <w:sectPr>
          <w:footerReference w:type="default" r:id="rId10"/>
          <w:pgSz w:w="11906" w:h="16838"/>
          <w:pgMar w:top="1134" w:right="1418" w:bottom="1134" w:left="1418" w:header="709" w:footer="709" w:gutter="0"/>
          <w:pgNumType w:start="0"/>
          <w:cols w:space="720"/>
          <w:docGrid w:linePitch="326"/>
        </w:sectPr>
      </w:pPr>
    </w:p>
    <w:p>
      <w:pPr>
        <w:pStyle w:val="Exposdesmotifstitre"/>
        <w:rPr>
          <w:noProof/>
        </w:rPr>
      </w:pPr>
      <w:bookmarkStart w:id="0" w:name="_GoBack"/>
      <w:bookmarkEnd w:id="0"/>
      <w:r>
        <w:rPr>
          <w:noProof/>
        </w:rPr>
        <w:lastRenderedPageBreak/>
        <w:t>BEGRÜNDUNG</w:t>
      </w:r>
    </w:p>
    <w:p>
      <w:pPr>
        <w:pStyle w:val="Point0"/>
        <w:rPr>
          <w:noProof/>
        </w:rPr>
      </w:pPr>
      <w:r>
        <w:rPr>
          <w:noProof/>
        </w:rPr>
        <w:t>1.</w:t>
      </w:r>
      <w:r>
        <w:rPr>
          <w:noProof/>
        </w:rPr>
        <w:tab/>
        <w:t xml:space="preserve">Im Zusammenhang mit dem </w:t>
      </w:r>
      <w:r>
        <w:rPr>
          <w:noProof/>
          <w:color w:val="000000"/>
        </w:rPr>
        <w:t>„</w:t>
      </w:r>
      <w:r>
        <w:rPr>
          <w:noProof/>
        </w:rPr>
        <w:t>Europa der Bürger“ ist es ein wichtiges Anliegen der Kommission, das Unionsrecht zu vereinfachen und klarer zu gestalten, damit es für die Bürger besser verständlich und zugänglich wird und sie die spezifischen Rechte, die es ihnen zuerkennt, besser in Anspruch nehmen können.</w:t>
      </w:r>
    </w:p>
    <w:p>
      <w:pPr>
        <w:pStyle w:val="Text1"/>
        <w:rPr>
          <w:noProof/>
        </w:rPr>
      </w:pPr>
      <w:r>
        <w:rPr>
          <w:noProof/>
        </w:rPr>
        <w:t>Dieses Ziel lässt sich so lange nicht erreichen, wie zahlreiche Vorschriften, die mehrfach und oftmals in wesentlichen Punkten geändert wurden, in verschiedenen Rechtsakten, vom ursprünglichen Rechtsakt bis zu dessen letzter geänderter Fassung, verstreut sind und es einer aufwendigen Suche und eines Vergleichs vieler Rechtsakte bedarf, um die jeweils geltenden Vorschriften zu ermitteln.</w:t>
      </w:r>
    </w:p>
    <w:p>
      <w:pPr>
        <w:pStyle w:val="Text1"/>
        <w:rPr>
          <w:noProof/>
        </w:rPr>
      </w:pPr>
      <w:r>
        <w:rPr>
          <w:noProof/>
        </w:rPr>
        <w:t>Soll das Recht verständlich und transparent sein, müssen häufig geänderte Rechtsakte also kodifiziert werden.</w:t>
      </w:r>
    </w:p>
    <w:p>
      <w:pPr>
        <w:pStyle w:val="Point0"/>
        <w:rPr>
          <w:noProof/>
        </w:rPr>
      </w:pPr>
      <w:r>
        <w:rPr>
          <w:noProof/>
        </w:rPr>
        <w:t>2.</w:t>
      </w:r>
      <w:r>
        <w:rPr>
          <w:noProof/>
        </w:rPr>
        <w:tab/>
        <w:t>Die Kommission hat mit Beschluss vom 1. April 1987</w:t>
      </w:r>
      <w:r>
        <w:rPr>
          <w:rStyle w:val="FootnoteReference"/>
          <w:noProof/>
        </w:rPr>
        <w:footnoteReference w:id="1"/>
      </w:r>
      <w:r>
        <w:rPr>
          <w:noProof/>
        </w:rPr>
        <w:t xml:space="preserve"> ihre Dienststellen angewiesen, alle Rechtsakte spätestens nach der zehnten Änderung zu kodifizieren. Dabei hat sie jedoch betont, dass es sich um eine Mindestanforderung handelt, denn im Interesse der Klarheit und des guten Verständnisses der Rechtsvorschriften sollten die Dienststellen bemüht sein, die in ihre Zuständigkeit fallenden Rechtsakte in kürzeren Abständen zu kodifizieren.</w:t>
      </w:r>
    </w:p>
    <w:p>
      <w:pPr>
        <w:pStyle w:val="Point0"/>
        <w:rPr>
          <w:noProof/>
        </w:rPr>
      </w:pPr>
      <w:r>
        <w:rPr>
          <w:noProof/>
        </w:rPr>
        <w:t>3.</w:t>
      </w:r>
      <w:r>
        <w:rPr>
          <w:noProof/>
        </w:rPr>
        <w:tab/>
        <w:t>Der Europäische Rat von Edinburgh hat sich im Dezember 1992 in seinen Schlussfolgerungen ebenfalls in diesem Sinne geäußert</w:t>
      </w:r>
      <w:r>
        <w:rPr>
          <w:rStyle w:val="FootnoteReference"/>
          <w:noProof/>
        </w:rPr>
        <w:footnoteReference w:id="2"/>
      </w:r>
      <w:r>
        <w:rPr>
          <w:noProof/>
        </w:rPr>
        <w:t xml:space="preserve"> und die Bedeutung der Kodifizierung unterstrichen, da sie hinsichtlich der Frage, welches Recht zu einem bestimmten Zeitpunkt auf einen spezifischen Gegenstand anwendbar ist, Rechts</w:t>
      </w:r>
      <w:r>
        <w:rPr>
          <w:noProof/>
        </w:rPr>
        <w:softHyphen/>
        <w:t>sicherheit biete.</w:t>
      </w:r>
    </w:p>
    <w:p>
      <w:pPr>
        <w:pStyle w:val="Text1"/>
        <w:rPr>
          <w:noProof/>
        </w:rPr>
      </w:pPr>
      <w:r>
        <w:rPr>
          <w:noProof/>
        </w:rPr>
        <w:t>Bei der Kodifizierung ist das übliche Verfahren für den Erlass der Rechtsakte der Union uneingeschränkt einzuhalten.</w:t>
      </w:r>
    </w:p>
    <w:p>
      <w:pPr>
        <w:pStyle w:val="Text1"/>
        <w:rPr>
          <w:noProof/>
        </w:rPr>
      </w:pPr>
      <w:r>
        <w:rPr>
          <w:noProof/>
        </w:rPr>
        <w:t>Da an den zu kodifizierenden Rechtsakten keine materiell-inhaltlichen Änderungen vorgenommen werden dürfen, haben sich das Europäische Parlament, der Rat und die Kommission in der Interinstitutionellen Vereinbarung vom 20. Dezember 1994 auf ein beschleunigtes Verfahren für die rasche Annahme kodifizierter Rechtsakte geeinigt.</w:t>
      </w:r>
    </w:p>
    <w:p>
      <w:pPr>
        <w:pStyle w:val="Point0"/>
        <w:rPr>
          <w:noProof/>
        </w:rPr>
      </w:pPr>
      <w:r>
        <w:rPr>
          <w:noProof/>
        </w:rPr>
        <w:t>4.</w:t>
      </w:r>
      <w:r>
        <w:rPr>
          <w:noProof/>
        </w:rPr>
        <w:tab/>
        <w:t xml:space="preserve">Mit dem vorliegenden Vorschlag soll die Richtlinie 2011/16/EU des Rates vom 15. Februar 2011 über </w:t>
      </w:r>
      <w:r>
        <w:rPr>
          <w:noProof/>
          <w:color w:val="000000"/>
        </w:rPr>
        <w:t>die Zusammenarbeit der Verwaltungsbehörden im Bereich der Besteuerung und zur Aufhebung der Richtlinie 77/799/EWG</w:t>
      </w:r>
      <w:r>
        <w:rPr>
          <w:rStyle w:val="FootnoteReference"/>
          <w:noProof/>
        </w:rPr>
        <w:footnoteReference w:id="3"/>
      </w:r>
      <w:r>
        <w:rPr>
          <w:noProof/>
        </w:rPr>
        <w:t xml:space="preserve"> kodifiziert werden. Die neue Richtlinie ersetzt die verschiedenen Rechtsakte, die Gegenstand der Kodifizierung sind</w:t>
      </w:r>
      <w:r>
        <w:rPr>
          <w:rStyle w:val="FootnoteReference"/>
          <w:noProof/>
        </w:rPr>
        <w:footnoteReference w:id="4"/>
      </w:r>
      <w:r>
        <w:rPr>
          <w:noProof/>
        </w:rPr>
        <w:t>. Der Vorschlag behält den materiellen Inhalt der kodifizierten Rechtsakte vollständig bei und beschränkt sich darauf, sie in einem Rechtsakt zu vereinen, wobei nur insoweit formale Änderungen vorgenommen werden, als diese aufgrund der Kodifizierung selbst erforderlich sind.</w:t>
      </w:r>
    </w:p>
    <w:p>
      <w:pPr>
        <w:pStyle w:val="Point0"/>
        <w:rPr>
          <w:noProof/>
        </w:rPr>
      </w:pPr>
      <w:r>
        <w:rPr>
          <w:noProof/>
        </w:rPr>
        <w:t>5.</w:t>
      </w:r>
      <w:r>
        <w:rPr>
          <w:noProof/>
        </w:rPr>
        <w:tab/>
        <w:t>Der Kodifizierungsvorschlag wurde auf der Grundlage einer vorläufigen konsoli</w:t>
      </w:r>
      <w:r>
        <w:rPr>
          <w:noProof/>
        </w:rPr>
        <w:softHyphen/>
        <w:t>dierten Fassung der Richtlinie 2011/16/EU und der sie ändernden Rechtsakte ausgearbeitet. Diese konsolidierte Fassung war zuvor vom Amt für Veröffentlichun</w:t>
      </w:r>
      <w:r>
        <w:rPr>
          <w:noProof/>
        </w:rPr>
        <w:softHyphen/>
        <w:t>gen der Europäischen Union mit Hilfe eines Daten</w:t>
      </w:r>
      <w:r>
        <w:rPr>
          <w:noProof/>
        </w:rPr>
        <w:softHyphen/>
        <w:t xml:space="preserve">verarbeitungssystems </w:t>
      </w:r>
      <w:r>
        <w:rPr>
          <w:noProof/>
        </w:rPr>
        <w:lastRenderedPageBreak/>
        <w:t>in 23 Amtssprachen erstellt worden. Wenn die Artikel neu nummeriert wurden, werden die alte und die neue Nummerierung einander in der Entsprechungstabelle in Anhang VI der kodifizierten Richtlinie gegenübergestellt.</w:t>
      </w:r>
    </w:p>
    <w:p>
      <w:pPr>
        <w:rPr>
          <w:noProof/>
        </w:rPr>
        <w:sectPr>
          <w:footerReference w:type="default" r:id="rId11"/>
          <w:footerReference w:type="first" r:id="rId12"/>
          <w:footnotePr>
            <w:numRestart w:val="eachSect"/>
          </w:footnotePr>
          <w:pgSz w:w="11906" w:h="16838"/>
          <w:pgMar w:top="1134" w:right="1418" w:bottom="1134" w:left="1418" w:header="720" w:footer="720" w:gutter="0"/>
          <w:cols w:space="720"/>
          <w:docGrid w:linePitch="326"/>
        </w:sectPr>
      </w:pP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2011/16/EU (angepasst)</w:t>
      </w:r>
    </w:p>
    <w:p>
      <w:pPr>
        <w:pStyle w:val="Rfrenceinterinstitutionnelle"/>
        <w:rPr>
          <w:noProof/>
        </w:rPr>
      </w:pPr>
      <w:r>
        <w:rPr>
          <w:noProof/>
        </w:rPr>
        <w:t>2020/0022 (CNS)</w:t>
      </w:r>
    </w:p>
    <w:p>
      <w:pPr>
        <w:pStyle w:val="Statut"/>
        <w:rPr>
          <w:noProof/>
        </w:rPr>
      </w:pPr>
      <w:r>
        <w:rPr>
          <w:noProof/>
        </w:rPr>
        <w:t>Vorschlag für eine</w:t>
      </w:r>
    </w:p>
    <w:p>
      <w:pPr>
        <w:pStyle w:val="Typedudocument"/>
        <w:rPr>
          <w:noProof/>
        </w:rPr>
      </w:pPr>
      <w:r>
        <w:rPr>
          <w:noProof/>
        </w:rPr>
        <w:t>RICHTLINIE DES RATES</w:t>
      </w:r>
    </w:p>
    <w:p>
      <w:pPr>
        <w:pStyle w:val="Titreobjet"/>
        <w:rPr>
          <w:noProof/>
        </w:rPr>
      </w:pPr>
      <w:r>
        <w:rPr>
          <w:noProof/>
        </w:rPr>
        <w:t>über die Zusammenarbeit der Verwaltungsbehörden im Bereich der Besteuerung (kodifizierter Text)</w:t>
      </w:r>
    </w:p>
    <w:p>
      <w:pPr>
        <w:pStyle w:val="Institutionquiagit"/>
        <w:rPr>
          <w:noProof/>
        </w:rPr>
      </w:pPr>
      <w:r>
        <w:rPr>
          <w:noProof/>
        </w:rPr>
        <w:t>DER RAT DER EUROPÄISCHEN UNION —</w:t>
      </w:r>
    </w:p>
    <w:p>
      <w:pPr>
        <w:rPr>
          <w:noProof/>
        </w:rPr>
      </w:pPr>
      <w:r>
        <w:rPr>
          <w:noProof/>
        </w:rPr>
        <w:t>gestützt auf den Vertrag über die Arbeitsweise der Europäischen Union, insbesondere auf die Artikel 113 und 115,</w:t>
      </w:r>
    </w:p>
    <w:p>
      <w:pPr>
        <w:rPr>
          <w:noProof/>
        </w:rPr>
      </w:pPr>
      <w:r>
        <w:rPr>
          <w:noProof/>
        </w:rPr>
        <w:t>auf Vorschlag der Europäischen Kommission,</w:t>
      </w:r>
    </w:p>
    <w:p>
      <w:pPr>
        <w:rPr>
          <w:noProof/>
        </w:rPr>
      </w:pPr>
      <w:r>
        <w:rPr>
          <w:noProof/>
        </w:rPr>
        <w:t>nach Stellungnahme des Europäischen Parlaments,</w:t>
      </w:r>
    </w:p>
    <w:p>
      <w:pPr>
        <w:rPr>
          <w:noProof/>
        </w:rPr>
      </w:pPr>
      <w:r>
        <w:rPr>
          <w:noProof/>
        </w:rPr>
        <w:t>nach Stellungnahme des Europäischen Wirtschafts- und Sozialausschusses</w:t>
      </w:r>
      <w:r>
        <w:rPr>
          <w:rStyle w:val="FootnoteReference"/>
          <w:noProof/>
        </w:rPr>
        <w:footnoteReference w:id="5"/>
      </w:r>
      <w:r>
        <w:rPr>
          <w:noProof/>
        </w:rPr>
        <w:t>,</w:t>
      </w:r>
    </w:p>
    <w:p>
      <w:pPr>
        <w:rPr>
          <w:noProof/>
        </w:rPr>
      </w:pPr>
      <w:r>
        <w:rPr>
          <w:noProof/>
        </w:rPr>
        <w:t>gemäß einem besonderen Gesetzgebungsverfahren,</w:t>
      </w:r>
    </w:p>
    <w:p>
      <w:pPr>
        <w:rPr>
          <w:noProof/>
        </w:rPr>
      </w:pPr>
      <w:r>
        <w:rPr>
          <w:noProof/>
        </w:rPr>
        <w:t>in Erwägung nachstehender Gründe:</w:t>
      </w:r>
    </w:p>
    <w:p>
      <w:pPr>
        <w:pStyle w:val="CRSeparator"/>
        <w:rPr>
          <w:noProof/>
          <w:lang w:val="de-DE"/>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w:t>
      </w:r>
    </w:p>
    <w:p>
      <w:pPr>
        <w:pStyle w:val="ManualConsidrant"/>
        <w:rPr>
          <w:noProof/>
        </w:rPr>
      </w:pPr>
      <w:r>
        <w:t>(1)</w:t>
      </w:r>
      <w:r>
        <w:tab/>
      </w:r>
      <w:r>
        <w:rPr>
          <w:noProof/>
        </w:rPr>
        <w:t>Die Richtlinie 2011/16/EU des Rates</w:t>
      </w:r>
      <w:r>
        <w:rPr>
          <w:rStyle w:val="FootnoteReference"/>
          <w:noProof/>
        </w:rPr>
        <w:footnoteReference w:id="6"/>
      </w:r>
      <w:r>
        <w:rPr>
          <w:noProof/>
        </w:rPr>
        <w:t xml:space="preserve"> ist mehrfach und in wesentlichen Punkten geändert worden</w:t>
      </w:r>
      <w:r>
        <w:rPr>
          <w:rStyle w:val="FootnoteReference"/>
          <w:noProof/>
        </w:rPr>
        <w:footnoteReference w:id="7"/>
      </w:r>
      <w:r>
        <w:rPr>
          <w:noProof/>
        </w:rPr>
        <w:t>. Aus Gründen der Übersichtlichkeit und Klarheit empfiehlt es sich, die genannte Richtlinie zu kodifizieren.</w:t>
      </w:r>
    </w:p>
    <w:p>
      <w:pPr>
        <w:pStyle w:val="CRSeparator"/>
        <w:rPr>
          <w:noProof/>
          <w:lang w:val="de-DE"/>
        </w:rPr>
      </w:pPr>
    </w:p>
    <w:p>
      <w:pPr>
        <w:pStyle w:val="CRReference"/>
        <w:rPr>
          <w:noProof/>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xml:space="preserve"> 2011/16/EU </w:t>
      </w:r>
      <w:r>
        <w:rPr>
          <w:noProof/>
        </w:rPr>
        <w:t>Erwägungsgrund</w:t>
      </w:r>
      <w:r>
        <w:rPr>
          <w:noProof/>
          <w:lang w:val="de-DE"/>
        </w:rPr>
        <w:t> 3 (angepasst)</w:t>
      </w:r>
    </w:p>
    <w:p>
      <w:pPr>
        <w:pStyle w:val="ManualConsidrant"/>
        <w:rPr>
          <w:noProof/>
        </w:rPr>
      </w:pPr>
      <w:r>
        <w:t>(2)</w:t>
      </w:r>
      <w: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Die vorliegende Richtlinie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sollte den Mitgliedstaaten die Befugnis zu einer effizienten Zusammenarbeit auf internationaler Ebene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geben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und so die negativen Auswirkungen der immer weiter wachsenden Globalisierung auf den Binnenmarkt überwinden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helfen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pPr>
        <w:pStyle w:val="CRSeparator"/>
        <w:rPr>
          <w:noProof/>
          <w:lang w:val="de-DE"/>
        </w:rPr>
      </w:pPr>
    </w:p>
    <w:p>
      <w:pPr>
        <w:pStyle w:val="CRReference"/>
        <w:rPr>
          <w:noProof/>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xml:space="preserve"> 2011/16/EU </w:t>
      </w:r>
      <w:r>
        <w:rPr>
          <w:noProof/>
        </w:rPr>
        <w:t>Erwägungsgrund</w:t>
      </w:r>
      <w:r>
        <w:rPr>
          <w:noProof/>
          <w:lang w:val="de-DE"/>
        </w:rPr>
        <w:t> 6 (angepasst)</w:t>
      </w:r>
    </w:p>
    <w:p>
      <w:pPr>
        <w:pStyle w:val="ManualConsidrant"/>
        <w:rPr>
          <w:noProof/>
        </w:rPr>
      </w:pPr>
      <w:r>
        <w:t>(3)</w:t>
      </w:r>
      <w:r>
        <w:tab/>
      </w:r>
      <w:r>
        <w:rPr>
          <w:noProof/>
        </w:rPr>
        <w:t>Diese Richtlinie sollte für direkte und indirekte Steuern gelten, die bisher noch nicht in Rechtsvorschriften der Union erfasst sind. Die vorliegende Richtlinie wird als geeignetes Instrument für eine wirksame Zusammenarbeit der Verwaltungs</w:t>
      </w:r>
      <w:r>
        <w:rPr>
          <w:noProof/>
        </w:rPr>
        <w:softHyphen/>
        <w:t>behörden angesehen.</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xml:space="preserve"> 2011/16/EU Erwägungsgrund 7 (angepasst) </w:t>
      </w:r>
    </w:p>
    <w:p>
      <w:pPr>
        <w:pStyle w:val="ManualConsidrant"/>
        <w:rPr>
          <w:noProof/>
        </w:rPr>
      </w:pPr>
      <w:r>
        <w:t>(4)</w:t>
      </w:r>
      <w:r>
        <w:tab/>
      </w:r>
      <w:r>
        <w:rPr>
          <w:noProof/>
        </w:rPr>
        <w:t xml:space="preserve">Diese Richtlinie sieht klare und präzise Regeln für die Zusammenarbeit der Verwaltungsbehörden der Mitgliedstaaten vor, um, insbesondere was den Austausch von Informationen angeht,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eine breite Verwaltungszusammenarbeit zwischen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den Mitgliedstaaten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zu gewährleisten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Klare Regeln sollten es auch möglich machen, sämtliche juristische und natürliche Personen in der Union zu erfassen, wobei die immer größere Zahl der Arten von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Rechtsgebilden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einschließlich nicht nur klassischer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Gebilde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wie Trusts, Stiftungen oder Investmentfonds,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sondern jeglicher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neuartiger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Instrumente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die Steuerpflichtige in den Mitgliedstaaten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einsetzen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können, zu berücksichtigen sind.</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2011/16/EU Erwägungsgrund 8 (angepasst)</w:t>
      </w:r>
    </w:p>
    <w:p>
      <w:pPr>
        <w:pStyle w:val="ManualConsidrant"/>
        <w:rPr>
          <w:noProof/>
        </w:rPr>
      </w:pPr>
      <w:r>
        <w:t>(5)</w:t>
      </w:r>
      <w:r>
        <w:tab/>
      </w:r>
      <w:r>
        <w:rPr>
          <w:noProof/>
        </w:rPr>
        <w:t xml:space="preserve">Es sollte direkte Kontakte zwischen den für die Zusammenarbeit zuständigen lokalen oder nationalen Behörden der Mitgliedstaaten geben, und die Kommunikation zwischen zentralen Verbindungsbüros sollte die Regel sein. Das Fehlen direkter Kontakte beeinträchtigt die Effizienz, führt dazu, dass die vorhandenen Vereinbarungen zur Verwaltungszusammenarbeit nicht in dem möglichen Umfang genutzt werden, und verursacht Verzögerungen in der Kommunikation. Direkte Kontakte zwischen den Verwaltungsdienststellen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sollten stattfinden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um die Zusammenarbeit effizient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und schnell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zu machen. Die Zuweisung von Zuständigkeiten an die Verbindungsstellen sollte in den nationalen Vorschriften eines jeden Mitgliedstaats geregelt werden.</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2011/16/EU Erwägungsgrund 9 (angepasst)</w:t>
      </w:r>
    </w:p>
    <w:p>
      <w:pPr>
        <w:pStyle w:val="ManualConsidrant"/>
        <w:rPr>
          <w:noProof/>
        </w:rPr>
      </w:pPr>
      <w:r>
        <w:t>(6)</w:t>
      </w:r>
      <w:r>
        <w:tab/>
      </w:r>
      <w:r>
        <w:rPr>
          <w:noProof/>
        </w:rPr>
        <w:t xml:space="preserve">Mitgliedstaaten sollten Informationen über einzelne Fälle austauschen, wenn sie von einem anderen Mitgliedstaat darum ersucht werden, und sollten die notwendigen Ermittlungen durchführen, um die betreffenden Informationen zu beschaffen. Mit dem Standard der „voraussichtlichen Erheblichkeit“ soll gewährleistet werden, dass ein Informationsaustausch in Steuerangelegenheiten im größtmöglichen Umfang stattfindet, und zugleich klargestellt werden, dass es den Mitgliedstaaten nicht gestattet ist, sich an Beweisausforschungen („fishing expeditions“) zu beteiligen oder um </w:t>
      </w:r>
      <w:r>
        <w:rPr>
          <w:noProof/>
        </w:rPr>
        <w:lastRenderedPageBreak/>
        <w:t>Informationen zu ersuchen, bei denen es unwahrscheinlich ist, dass sie für die Steuerangelegenheiten eines bestimmten Steuerpflichtigen erheblich sind. Zwar enthält Artikel 24 dieser Richtlinie Verfahrensvorschriften, aber diese müssen großzügig ausgelegt werden, damit der effiziente Informationsaustausch nicht vereitelt wird.</w:t>
      </w:r>
    </w:p>
    <w:p>
      <w:pPr>
        <w:pStyle w:val="CRSeparator"/>
        <w:rPr>
          <w:noProof/>
          <w:lang w:val="de-DE"/>
        </w:rPr>
      </w:pPr>
    </w:p>
    <w:p>
      <w:pPr>
        <w:pStyle w:val="CRReference"/>
        <w:rPr>
          <w:noProof/>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2014/107/EU Erwägungsgrund 1 (angepasst)</w:t>
      </w:r>
      <w:r>
        <w:rPr>
          <w:noProof/>
        </w:rPr>
        <w:t xml:space="preserve"> </w:t>
      </w:r>
    </w:p>
    <w:p>
      <w:pPr>
        <w:pStyle w:val="ManualConsidrant"/>
        <w:rPr>
          <w:noProof/>
        </w:rPr>
      </w:pPr>
      <w:r>
        <w:t>(7)</w:t>
      </w:r>
      <w:r>
        <w:tab/>
      </w:r>
      <w:r>
        <w:rPr>
          <w:noProof/>
          <w:color w:val="000000"/>
        </w:rPr>
        <w:t>G</w:t>
      </w:r>
      <w:r>
        <w:rPr>
          <w:noProof/>
        </w:rPr>
        <w:t xml:space="preserve">renzüberschreitender Steuerbetrug und grenzüberschreitende Steuerhinterziehung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haben sich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zu einer erheblichen Herausforderung entwickelt und sind in der Union sowie weltweit in den Mittelpunkt des Interesses gerückt. Nationale Steuereinahmen werden durch nicht gemeldete und nicht besteuerte Einkünfte beträchtlich geschmälert.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Es bedarf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daher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einer effizienten und wirksamen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Steuererhebung.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Zudem haben g</w:t>
      </w:r>
      <w:r>
        <w:rPr>
          <w:noProof/>
          <w:color w:val="000000"/>
        </w:rPr>
        <w:t>renzüberschreitende Steuerumgehung bzw. Steuervermeidung, aggressive Steuerplanung und ein schädlicher Steuerwettbewerb ebenfalls erheblich zugenommen. Im Ergebnis werden die Mitgliedstaaten hierdurch daran gehindert, eine wachstumsfreundliche Steuerpolitik auf den Weg zu bringen.</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color w:val="000000"/>
        </w:rPr>
        <w:t xml:space="preserve"> </w:t>
      </w:r>
      <w:r>
        <w:rPr>
          <w:noProof/>
        </w:rPr>
        <w:t xml:space="preserve">Der automatische Austausch von Informationen ist in dieser Hinsicht ein wichtiges Instrument und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sollte nachdrücklich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als künftiger europäischer und internationaler Standard für Transparenz und Informationsaustausch in Steuerfragen gefördert werden.</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2014/107/EU Erwägungsgrund 2 (angepasst)</w:t>
      </w:r>
    </w:p>
    <w:p>
      <w:pPr>
        <w:pStyle w:val="ManualConsidrant"/>
        <w:rPr>
          <w:noProof/>
        </w:rPr>
      </w:pPr>
      <w:r>
        <w:t>(8)</w:t>
      </w:r>
      <w:r>
        <w:tab/>
      </w:r>
      <w:r>
        <w:rPr>
          <w:noProof/>
        </w:rPr>
        <w:t>Die Bedeutung des automatischen Austauschs von Informationen zur Bekämpfung von grenzüberschreitendem Steuerbetrug und grenzüberschreitender Steuerhinter</w:t>
      </w:r>
      <w:r>
        <w:rPr>
          <w:noProof/>
        </w:rPr>
        <w:softHyphen/>
        <w:t>ziehung wurde auch auf internationaler Ebene anerkannt (G20 und G8). Im Anschluss an die Verhandlungen zwischen den Vereinigten Staaten von Amerika und verschiedenen anderen Ländern — einschließlich aller Mitgliedstaaten — über bilaterale Vereinbarungen in Bezug auf den automatischen Informationsaustausch zur Umsetzung des US-amerikanischen Gesetzes „Foreign Account Tax Compliance Act“ (üblicherweise als „FATCA“ bezeichnet) wurde die Organisation für wirtschaftliche Zusammenarbeit und Entwicklung (OECD) von der G20 beauftragt, auf der Grundlage dieser Vereinbarungen einen einheitlichen globalen Standard für den automatischen Informationsaustausch in Steuerfragen zu erarbeiten.</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2014/107/EU Erwägungsgrund 4 (angepasst)</w:t>
      </w:r>
    </w:p>
    <w:p>
      <w:pPr>
        <w:pStyle w:val="ManualConsidrant"/>
        <w:rPr>
          <w:noProof/>
        </w:rPr>
      </w:pPr>
      <w:r>
        <w:t>(9)</w:t>
      </w:r>
      <w:r>
        <w:tab/>
      </w:r>
      <w:r>
        <w:rPr>
          <w:noProof/>
        </w:rPr>
        <w:t xml:space="preserve">Die OECD hat 2014 die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verschiedenen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Eckpunkte des globalen Standards für den automatischen Informationsaustausch über Finanzkonten in Steuersachen veröffentlicht,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welche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ein Muster für eine Vereinbarung zwischen zuständigen Behörden, einen gemeinsamen Meldestandard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(CRS – Common Reporting Standard)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Kommentare zum Muster für eine Vereinbarung zwischen den zuständigen Behörden und zum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CRS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lastRenderedPageBreak/>
        <w:fldChar w:fldCharType="separate"/>
      </w:r>
      <w:r>
        <w:rPr>
          <w:rStyle w:val="CRMarker"/>
          <w:noProof/>
        </w:rPr>
        <w:t>Õ</w:t>
      </w:r>
      <w:r>
        <w:rPr>
          <w:noProof/>
        </w:rPr>
        <w:fldChar w:fldCharType="end"/>
      </w:r>
      <w:r>
        <w:rPr>
          <w:noProof/>
        </w:rPr>
        <w:t xml:space="preserve"> und Modalitäten für die Informationstechnik zur Umsetzung des globalen Standards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umfassten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Das gesamte Paket zum globalen Standard wurde im September 2014 von den Finanz</w:t>
      </w:r>
      <w:r>
        <w:rPr>
          <w:noProof/>
        </w:rPr>
        <w:softHyphen/>
        <w:t xml:space="preserve">ministern und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Zentralbankpräsidenten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der G20 gebilligt.</w:t>
      </w:r>
    </w:p>
    <w:p>
      <w:pPr>
        <w:pStyle w:val="CRSeparator"/>
        <w:rPr>
          <w:noProof/>
          <w:lang w:val="de-DE"/>
        </w:rPr>
      </w:pPr>
    </w:p>
    <w:p>
      <w:pPr>
        <w:pStyle w:val="CRReference"/>
        <w:rPr>
          <w:noProof/>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xml:space="preserve"> 2014/107/EU Erwägungsgrund 5 (angepasst) </w:t>
      </w:r>
    </w:p>
    <w:p>
      <w:pPr>
        <w:pStyle w:val="ManualConsidrant"/>
        <w:rPr>
          <w:noProof/>
        </w:rPr>
      </w:pPr>
      <w:r>
        <w:t>(10)</w:t>
      </w:r>
      <w: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Zudem sollte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diese Richtlinie für bestimmte Arten von Einkünften und Vermögen, über die Steuerpflichtige in anderen Mitgliedstaaten als ihrem Ansässigkeitsstaat verfügen, einen verpflichtenden automatischen Informationsaustausch zwischen den Mitgliedstaaten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vorsehen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Sie sollte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ein schrittweises Vorgehen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einführen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um den automatischen Informationsaustausch durch die stufenweise Ausdehnung auf weitere Arten von Einkünften und Vermögen zu verstärken. </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xml:space="preserve"> 2014/107/EU Erwägungsgrund 9 (angepasst) </w:t>
      </w:r>
    </w:p>
    <w:p>
      <w:pPr>
        <w:pStyle w:val="ManualConsidrant"/>
        <w:rPr>
          <w:noProof/>
        </w:rPr>
      </w:pPr>
      <w:r>
        <w:t>(11)</w:t>
      </w:r>
      <w:r>
        <w:tab/>
      </w:r>
      <w:r>
        <w:rPr>
          <w:noProof/>
        </w:rPr>
        <w:t xml:space="preserve">Um die Kosten und die Verwaltungslasten sowohl für Steuerverwaltungen als auch für Wirtschaftsbeteiligte gering zu halten, ist es auch unabdingbar zu gewährleisten, dass der Geltungsbereich des automatischen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Austauschs von Finanzinformationen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innerhalb der Union im Einklang mit internationalen Entwicklungen steht. Um dieses Ziel zu erreichen, sollten die Mitgliedstaaten ihre FINANZINSTITUTE verpflichten, Melde- und Sorgfaltsvorschriften anzuwenden, die mit denen des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CRS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der OECD uneingeschränkt in Einklang stehen. Außerdem sollte der Geltungsbereich des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verpflichtenden Informationsaustauschs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dieselben Informationen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umfassen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die im Muster für eine Vereinbarung zwischen den zuständigen Behörden und im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CRS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der OECD enthalten sind. Jeder Mitgliedstaat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sollte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nur eine einzige Liste mit innerstaatlich definierten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NICHT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MELDENDEN FINANZINSTITUTEN und AUSGENOMMENEN KONTEN führen, die er sowohl für die Umsetzung dieser Richtlinie als auch die Anwendung anderer Vereinbarungen zur Umsetzung des globalen Standards heranziehen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sollte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2014/107/EU Erwägungsgrund 10</w:t>
      </w:r>
    </w:p>
    <w:p>
      <w:pPr>
        <w:pStyle w:val="ManualConsidrant"/>
        <w:rPr>
          <w:noProof/>
        </w:rPr>
      </w:pPr>
      <w:r>
        <w:t>(12)</w:t>
      </w:r>
      <w:r>
        <w:tab/>
      </w:r>
      <w:r>
        <w:rPr>
          <w:noProof/>
        </w:rPr>
        <w:t>Mit den von dieser Richtlinie erfassten Kategorien MELDENDER FINANZ</w:t>
      </w:r>
      <w:r>
        <w:rPr>
          <w:noProof/>
        </w:rPr>
        <w:softHyphen/>
        <w:t xml:space="preserve">INSTITUTE und MELDEPFLICHTIGER KONTEN sollen die Möglichkeiten der Steuerpflichtigen eingeschränkt werden, die Meldung zu vermeiden, indem sie Vermögen auf FINANZINSTITUTE verlagern oder in Finanzprodukte investieren, die nicht in den Geltungsbereich dieser Richtlinie fallen. Allerdings sollten einige FINANZINSTITUTE und Konten, bei denen ein geringes Risiko besteht, dass sie zur Steuerhinterziehung missbraucht werden, vom Geltungsbereich dieser Richtlinie ausgenommen werden. Es sollten allgemein keine Mindestbeträge in diese Richtlinie </w:t>
      </w:r>
      <w:r>
        <w:rPr>
          <w:noProof/>
        </w:rPr>
        <w:lastRenderedPageBreak/>
        <w:t>aufgenommen werden, da diese leicht umgangen werden könnten, indem Konten auf verschiedene FINANZINSTITUTE aufgeteilt werden. Die Finanzinformationen, die gemeldet und ausgetauscht werden müssen, sollten nicht nur die entsprechenden Einkünfte (Zinsen, Dividenden und ähnliche Einkünfte), sondern auch Kontosalden und Erlöse aus der Veräußerung von FINANZVERMÖGEN betreffen, um Situationen Rechnung zu tragen, in denen ein Steuerpflichtiger Kapital zu verstecken versucht, das selbst Einkünfte oder Vermögen darstellt, die bzw. das Gegenstand einer Steuerhinterziehung sind bzw. ist. Daher ist die Verarbeitung von Informationen im Rahmen dieser Richtlinie notwendig und verhältnismäßig, damit die Steuerverwal</w:t>
      </w:r>
      <w:r>
        <w:rPr>
          <w:noProof/>
        </w:rPr>
        <w:softHyphen/>
        <w:t>tungen der Mitgliedstaaten die betreffenden Steuerpflichtigen korrekt und zweifelsfrei ermitteln, ihr Steuerrecht bei grenzüberschreitenden Sachverhalten anwenden und durchsetzen, die Wahrscheinlichkeit einer vorliegenden Steuerhinterziehung beurteilen und unnötige weitere Untersuchungen vermeiden können.</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2014/107/EU Erwägungsgrund 11</w:t>
      </w:r>
    </w:p>
    <w:p>
      <w:pPr>
        <w:pStyle w:val="ManualConsidrant"/>
        <w:rPr>
          <w:noProof/>
        </w:rPr>
      </w:pPr>
      <w:r>
        <w:t>(13)</w:t>
      </w:r>
      <w:r>
        <w:tab/>
      </w:r>
      <w:r>
        <w:rPr>
          <w:noProof/>
        </w:rPr>
        <w:t>MELDENDE FINANZINSTITUTE könnten ihren Informationspflichten gegenüber natürlichen MELDEPFLICHTIGEN PERSONEN erfüllen, indem sie die Modalitäten der Übermittlung, einschließlich der Häufigkeit der Übermittlung, befolgen, die in ihren internen Verfahren im Einklang mit ihrem innerstaatlichen Recht vorgesehen sind.</w:t>
      </w:r>
    </w:p>
    <w:p>
      <w:pPr>
        <w:pStyle w:val="CRSeparator"/>
        <w:rPr>
          <w:noProof/>
          <w:lang w:val="de-DE"/>
        </w:rPr>
      </w:pPr>
    </w:p>
    <w:p>
      <w:pPr>
        <w:pStyle w:val="CRReference"/>
        <w:rPr>
          <w:noProof/>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xml:space="preserve"> (EU) 2015/2376 Erwägungsgrund 1 (angepasst) </w:t>
      </w:r>
    </w:p>
    <w:p>
      <w:pPr>
        <w:pStyle w:val="ManualConsidrant"/>
        <w:rPr>
          <w:noProof/>
        </w:rPr>
      </w:pPr>
      <w:r>
        <w:t>(14)</w:t>
      </w:r>
      <w:r>
        <w:tab/>
      </w:r>
      <w:r>
        <w:rPr>
          <w:noProof/>
        </w:rPr>
        <w:t xml:space="preserve">Die Erteilung von Steuervorbescheiden, die eine konsequente und transparente Anwendung der Rechtsvorschriften erleichtern, ist auch in der Union gängige Praxis. Eine Präzisierung der Steuervorschriften für Steuerpflichtige bietet den Unternehmen Sicherheit und kann daher Investitionen und die Einhaltung der Rechtsvorschriften fördern und somit zum Ziel der Weiterentwicklung des Binnenmarkts der Union, aufbauend auf den Prinzipien und Grundfreiheiten, die den Verträgen zugrunde liegen, beitragen. Vorbescheide, die steuermotivierte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Strukturen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betreffen, haben jedoch in bestimmten Fällen dazu geführt, dass künstlich erhöhte Einkünfte einer niedrigen Besteuerung in dem den Vorbescheid erteilenden, ändernden oder erneuernden Land unterworfen werden und in anderen beteiligten Ländern nur künstlich verringerte steuerpflichtige Einkünfte verbleiben. Daher ist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ein hohes Maß an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Transparenz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erforderlich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(EU) 2015/2376 Erwägungsgrund 7</w:t>
      </w:r>
    </w:p>
    <w:p>
      <w:pPr>
        <w:pStyle w:val="ManualConsidrant"/>
        <w:rPr>
          <w:noProof/>
        </w:rPr>
      </w:pPr>
      <w:r>
        <w:t>(15)</w:t>
      </w:r>
      <w:r>
        <w:tab/>
      </w:r>
      <w:r>
        <w:rPr>
          <w:noProof/>
        </w:rPr>
        <w:t>Die Steuerpflichtigen können sich beispielsweise in Steuerverfahren oder bei Steuerprüfungen auf grenzüberschreitende Vorbescheide oder Vorabverständigungen über die Verrechnungspreisgestaltung berufen, sofern der Sachverhalt, der den grenzüberschreitenden Vorbescheiden oder den Vorabverständigungen über die Verrechnungspreisgestaltung zugrunde liegt, zutreffend dargestellt wurde und der Steuerpflichtige den grenzüberschreitenden Vorbescheiden oder den Vorabverständi</w:t>
      </w:r>
      <w:r>
        <w:rPr>
          <w:noProof/>
        </w:rPr>
        <w:softHyphen/>
        <w:t>gungen über die Verrechnungspreisgestaltung nachkommt.</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(EU) 2015/2376 Erwägungsgrund 8 (angepasst)</w:t>
      </w:r>
    </w:p>
    <w:p>
      <w:pPr>
        <w:pStyle w:val="ManualConsidrant"/>
        <w:rPr>
          <w:noProof/>
        </w:rPr>
      </w:pPr>
      <w:r>
        <w:t>(16)</w:t>
      </w:r>
      <w:r>
        <w:tab/>
      </w:r>
      <w:r>
        <w:rPr>
          <w:noProof/>
        </w:rPr>
        <w:t xml:space="preserve">Die Mitgliedstaaten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sollten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Informationen unabhängig davon austauschen, ob der Steuerpflichtige dem grenzüberschreitenden Vorbescheid bzw. der Vorabverständigung über die Verrechnungspreisgestaltung nachkommt oder nicht.</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(EU) 2015/2376 Erwägungsgrund 10 (angepasst)</w:t>
      </w:r>
    </w:p>
    <w:p>
      <w:pPr>
        <w:pStyle w:val="ManualConsidrant"/>
        <w:rPr>
          <w:noProof/>
        </w:rPr>
      </w:pPr>
      <w:r>
        <w:t>(17)</w:t>
      </w:r>
      <w:r>
        <w:tab/>
      </w:r>
      <w:r>
        <w:rPr>
          <w:noProof/>
        </w:rPr>
        <w:t>Damit der verpflichtende automatische Informationsaustausch über grenzüber</w:t>
      </w:r>
      <w:r>
        <w:rPr>
          <w:noProof/>
        </w:rPr>
        <w:softHyphen/>
        <w:t>schreitende Vorbescheide und Vorabverständigungen über die Verrechnungspreis</w:t>
      </w:r>
      <w:r>
        <w:rPr>
          <w:noProof/>
        </w:rPr>
        <w:softHyphen/>
        <w:t xml:space="preserve">gestaltung einen größtmöglichen Nutzen erbringt, sollten die Informationen unmittelbar nach Erteilung bzw. Treffen, Änderung oder Erneuerung des Bescheids oder der Vereinbarung übermittelt werden; es sollten daher regelmäßige Abstände für die Informationsübermittlung festgelegt werden. </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(EU) 2015/2376 Erwägungsgrund 11 (angepasst)</w:t>
      </w:r>
    </w:p>
    <w:p>
      <w:pPr>
        <w:pStyle w:val="ManualConsidrant"/>
        <w:rPr>
          <w:noProof/>
        </w:rPr>
      </w:pPr>
      <w:r>
        <w:t>(18)</w:t>
      </w:r>
      <w:r>
        <w:tab/>
      </w:r>
      <w:r>
        <w:rPr>
          <w:noProof/>
        </w:rPr>
        <w:t>Aus Gründen der Rechtssicherheit ist es zweckmäßig, unter sehr strengen Voraussetzungen bilaterale oder multilaterale Vorabverständigungen über die Verrechnungspreisgestaltung mit Drittländern unter Einhaltung des Rahmens der bestehenden internationalen Verträge mit diesen Ländern von dem verpflichtenden automatischen Informationsaustausch auszunehmen, wenn die Bestimmungen dieser Verträge die Weitergabe der in deren Rahmen erhaltenen Informationen an ein drittes Land nicht erlauben. In diesen Fällen sollten jedoch stattdessen die Informationen nach Artikel 9 Absatz 5 im Zusammenhang mit Ersuchen, die zur Erteilung solcher bilateraler oder multilateraler Vorabverständigungen über die Verrechnungspreis</w:t>
      </w:r>
      <w:r>
        <w:rPr>
          <w:noProof/>
        </w:rPr>
        <w:softHyphen/>
        <w:t>gestaltung führen, ausgetauscht werden. Daher sollten in solchen Fällen die zu übermittelnden Informationen den Hinweis enthalten, dass sie auf Grundlage eines derartigen Ersuchens bereitgestellt werden.</w:t>
      </w:r>
    </w:p>
    <w:p>
      <w:pPr>
        <w:pStyle w:val="CRSeparator"/>
        <w:rPr>
          <w:noProof/>
          <w:lang w:val="de-DE"/>
        </w:rPr>
      </w:pPr>
    </w:p>
    <w:p>
      <w:pPr>
        <w:pStyle w:val="CRReference"/>
        <w:rPr>
          <w:noProof/>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(EU) 2015/2376 Erwägungsgrund 13 (angepasst)</w:t>
      </w:r>
    </w:p>
    <w:p>
      <w:pPr>
        <w:pStyle w:val="ManualConsidrant"/>
        <w:rPr>
          <w:noProof/>
        </w:rPr>
      </w:pPr>
      <w:r>
        <w:t>(19)</w:t>
      </w:r>
      <w: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Im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Standardformblatt für den verpflichtenden automatischen Informationsaustausch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über grenzüberschreitende Vorbescheide und Vorabverständigungen über die Verrechnungspreisgestaltung sollte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die Arbeit des OECD</w:t>
      </w:r>
      <w:r>
        <w:rPr>
          <w:noProof/>
        </w:rPr>
        <w:noBreakHyphen/>
        <w:t xml:space="preserve">Forums Schädliche Steuerpraktiken im Zusammenhang mit dem Aktionsplan zur Bekämpfung der Gewinnverkürzung und Gewinnverlagerung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(BEPS</w:t>
      </w:r>
      <w:r>
        <w:rPr>
          <w:noProof/>
        </w:rPr>
        <w:noBreakHyphen/>
        <w:t>Aktionsplan – Action Plan on Base Erosion and Profit Shifting) berücksichtigt werden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Es ist zudem angebracht, in koordinierter Weise eng mit der OECD zusammenzuarbeiten, und zwar nicht nur auf dem Gebiet der Entwicklung eines solchen Standardformblatts für den verpflichtenden automatischen Informations</w:t>
      </w:r>
      <w:r>
        <w:rPr>
          <w:noProof/>
        </w:rPr>
        <w:softHyphen/>
        <w:t xml:space="preserve">austausch. Ziel sollte es letztlich sein, weltweit gleiche Wettbewerbsbedingungen zu schaffen, wobei die Union eine führende Rolle übernehmen sollte, indem sie sich dafür einsetzt, dass möglichst viele </w:t>
      </w:r>
      <w:r>
        <w:rPr>
          <w:noProof/>
        </w:rPr>
        <w:lastRenderedPageBreak/>
        <w:t>Informationen über grenzüberschreitende Vorbescheide und Vorabverständigungen über die Verrechnungspreisgestaltung automatisch ausgetauscht werden müssen.</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(EU) 2015/2376 Erwägungsgrund 14</w:t>
      </w:r>
    </w:p>
    <w:p>
      <w:pPr>
        <w:pStyle w:val="ManualConsidrant"/>
        <w:rPr>
          <w:noProof/>
        </w:rPr>
      </w:pPr>
      <w:r>
        <w:t>(20)</w:t>
      </w:r>
      <w:r>
        <w:tab/>
      </w:r>
      <w:r>
        <w:rPr>
          <w:noProof/>
        </w:rPr>
        <w:t>Die Mitgliedstaaten sollten Basisinformationen austauschen, und eine begrenzte Zahl von Basisinformationen sollte auch der Kommission übermittelt werden. Dies sollte es der Kommission ermöglichen, die effektive Anwendung des verpflichtenden automatischen Informationsaustauschs über grenzüberschreitende Vorbescheide und Vorabverständigungen über die Verrechnungspreisgestaltung jederzeit zu verfolgen und zu bewerten. Die Kommission sollte die übermittelten Angaben jedoch nicht für andere Zwecke verwenden. Eine solche Informationsübermittlung würde einen Mitgliedstaat jedoch nicht von seiner Verpflichtung entbinden, etwaige staatliche Beihilfen bei der Kommission anzumelden.</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(EU) 2015/2376 Erwägungsgrund 16 (angepasst)</w:t>
      </w:r>
    </w:p>
    <w:p>
      <w:pPr>
        <w:pStyle w:val="ManualConsidrant"/>
        <w:rPr>
          <w:noProof/>
        </w:rPr>
      </w:pPr>
      <w:r>
        <w:t>(21)</w:t>
      </w:r>
      <w:r>
        <w:tab/>
      </w:r>
      <w:r>
        <w:rPr>
          <w:noProof/>
        </w:rPr>
        <w:t xml:space="preserve">Falls erforderlich sollte sich ein Mitgliedstaat im Anschluss an den verpflichtenden automatischen Informationsaustausch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über grenzüberschreitende Vorbescheide und Vorabverständigungen über die Verrechnungspreisgestaltung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auf Artikel 5 im Hinblick auf den Informationsaustausch auf Ersuchen berufen können, um zusätzliche Informationen, einschließlich des vollständigen Wortlauts von grenzüberschreitenden Vorbescheiden oder Vorabverständigungen über die Verrechnungspreisgestaltung, von dem Mitgliedstaat, der solche Bescheide erlassen oder solche Vereinbarungen getroffen hat, zu erlangen.</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(EU) 2015/2376 Erwägungsgrund 18</w:t>
      </w:r>
    </w:p>
    <w:p>
      <w:pPr>
        <w:pStyle w:val="ManualConsidrant"/>
        <w:rPr>
          <w:noProof/>
        </w:rPr>
      </w:pPr>
      <w:r>
        <w:t>(22)</w:t>
      </w:r>
      <w:r>
        <w:tab/>
      </w:r>
      <w:r>
        <w:rPr>
          <w:noProof/>
        </w:rPr>
        <w:t>Die Mitgliedstaaten sollten alle angemessenen Maßnahmen treffen, die erforderlich sind, um etwaige Hindernisse zu beseitigen, die einem effektiven und möglichst umfassenden verpflichtenden automatischen Informationsaustausch über grenzüber</w:t>
      </w:r>
      <w:r>
        <w:rPr>
          <w:noProof/>
        </w:rPr>
        <w:softHyphen/>
        <w:t>schreitende Vorbescheide und Vorabverständigungen über die Verrechnungs</w:t>
      </w:r>
      <w:r>
        <w:rPr>
          <w:noProof/>
        </w:rPr>
        <w:softHyphen/>
        <w:t>preis</w:t>
      </w:r>
      <w:r>
        <w:rPr>
          <w:noProof/>
        </w:rPr>
        <w:softHyphen/>
        <w:t>gestaltung entgegenstehen könnten.</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(EU) 2015/2376 Erwägungsgrund 19 (angepasst)</w:t>
      </w:r>
    </w:p>
    <w:p>
      <w:pPr>
        <w:pStyle w:val="ManualConsidrant"/>
        <w:rPr>
          <w:noProof/>
        </w:rPr>
      </w:pPr>
      <w:r>
        <w:t>(23)</w:t>
      </w:r>
      <w:r>
        <w:tab/>
      </w:r>
      <w:r>
        <w:rPr>
          <w:noProof/>
        </w:rPr>
        <w:t>Um einen effizienteren Ressourceneinsatz zu gewährleisten, den Informations</w:t>
      </w:r>
      <w:r>
        <w:rPr>
          <w:noProof/>
        </w:rPr>
        <w:softHyphen/>
        <w:t xml:space="preserve">austausch zu erleichtern und zu vermeiden, dass alle Mitgliedstaaten ähnliche Änderungen an ihren Systemen zur Speicherung von Informationen vornehmen müssen, sollte ein Zentralverzeichnis vorgesehen werden, das für alle Mitgliedstaaten und die Kommission zugänglich ist und in das die Mitgliedstaaten ihre Informationen zwecks Abspeicherung hochladen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sollten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anstatt diese Informationen über ein gesichertes E</w:t>
      </w:r>
      <w:r>
        <w:rPr>
          <w:noProof/>
        </w:rPr>
        <w:noBreakHyphen/>
        <w:t xml:space="preserve">Mail-System untereinander auszutauschen. </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(EU) 2016/881 Erwägungsgrund 2</w:t>
      </w:r>
    </w:p>
    <w:p>
      <w:pPr>
        <w:pStyle w:val="ManualConsidrant"/>
        <w:rPr>
          <w:noProof/>
        </w:rPr>
      </w:pPr>
      <w:r>
        <w:t>(24)</w:t>
      </w:r>
      <w:r>
        <w:tab/>
      </w:r>
      <w:r>
        <w:rPr>
          <w:noProof/>
        </w:rPr>
        <w:t>Da multinationale Unternehmensgruppen in verschiedenen Ländern tätig sind, bietet sich ihnen die Möglichkeit der aggressiven Steuerplanung, die inländischen Unternehmen nicht zur Verfügung steht. In diesem Fall sind inländische Unternehmen — in der Regel kleine und mittlere Unternehmen (KMU) — unter Umständen besonders benachteiligt, da ihre Steuerbelastung höher ist als die der multinationalen Unternehmensgruppen. Auf der anderen Seite können allen Mitgliedstaaten Einnahmen entgehen, und es besteht die Gefahr, dass ein Wettbewerb um multinationale Unternehmensgruppen entsteht, die mit weiteren Steuer</w:t>
      </w:r>
      <w:r>
        <w:rPr>
          <w:noProof/>
        </w:rPr>
        <w:softHyphen/>
        <w:t>vergünstigungen angelockt werden sollen.</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(EU) 2016/881 Erwägungsgrund 3</w:t>
      </w:r>
    </w:p>
    <w:p>
      <w:pPr>
        <w:pStyle w:val="ManualConsidrant"/>
        <w:rPr>
          <w:noProof/>
        </w:rPr>
      </w:pPr>
      <w:r>
        <w:t>(25)</w:t>
      </w:r>
      <w:r>
        <w:tab/>
      </w:r>
      <w:r>
        <w:rPr>
          <w:noProof/>
        </w:rPr>
        <w:t>Die Steuerbehörden der Mitgliedstaaten benötigen umfassende und relevante Informationen über multinationale Unternehmensgruppen betreffend ihre Struktur, ihre Verrechnungspreispolitik und ihre internen Transaktionen sowohl innerhalb als auch außerhalb der Union. Diese Informationen ermöglichen es den Steuerbehörden, schädlichen Steuerpraktiken durch Änderungen der Rechtsvorschriften oder die Durchführung angemessener Risikobewertungen und Steuerprüfungen zu begegnen und festzustellen, ob Unternehmen Praktiken angewendet haben, die zu einer künstlichen Verlagerung erheblicher Gewinnbeträge in Gebiete mit günstigerer Besteuerung führen.</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(EU) 2016/881 Erwägungsgrund 4 (angepasst)</w:t>
      </w:r>
    </w:p>
    <w:p>
      <w:pPr>
        <w:pStyle w:val="ManualConsidrant"/>
        <w:rPr>
          <w:noProof/>
        </w:rPr>
      </w:pPr>
      <w:r>
        <w:t>(26)</w:t>
      </w:r>
      <w:r>
        <w:tab/>
      </w:r>
      <w:r>
        <w:rPr>
          <w:noProof/>
        </w:rPr>
        <w:t xml:space="preserve">Ein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hohes Maß an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Transparenz gegenüber den Steuerbehörden könnte für multinationale Unternehmensgruppen einen Anreiz schaffen, bestimmte Praktiken aufzugeben und ihren gerechten Anteil am Steueraufkommen in dem Land zu entrichten, in dem die Gewinne erzielt werden. Die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Gewährleistung von Transparenz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für multinationale Unternehmensgruppen ist daher ein wesentlicher Bestandteil der Bekämpfung von Gewinnverkürzung und Gewinnverlagerung.</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(EU) 2016/881 Erwägungsgrund 5 (angepasst)</w:t>
      </w:r>
    </w:p>
    <w:p>
      <w:pPr>
        <w:pStyle w:val="ManualConsidrant"/>
        <w:rPr>
          <w:noProof/>
        </w:rPr>
      </w:pPr>
      <w:r>
        <w:t>(27)</w:t>
      </w:r>
      <w:r>
        <w:tab/>
      </w:r>
      <w:r>
        <w:rPr>
          <w:noProof/>
        </w:rPr>
        <w:t>Die Entschließung des Rates und der im Rat vereinigten Vertreter der Regierungen der Mitgliedstaaten zu einem Verhaltenskodex zur Verrechnungspreisdokumentation für verbundene Unternehmen in der Europäischen Union (EU TPD)</w:t>
      </w:r>
      <w:r>
        <w:rPr>
          <w:rStyle w:val="FootnoteReference"/>
          <w:noProof/>
          <w:color w:val="000000"/>
        </w:rPr>
        <w:footnoteReference w:id="8"/>
      </w:r>
      <w:r>
        <w:rPr>
          <w:noProof/>
        </w:rPr>
        <w:t xml:space="preserve"> gibt den multinationalen Unternehmensgruppen in der Union ein Verfahren an die Hand, mit dem sie den Steuerbehörden Informationen über ihre weltweiten Geschäfte und ihre Verrechnungspreispolitik (im Folgenden „Master File“) sowie über die konkreten </w:t>
      </w:r>
      <w:r>
        <w:rPr>
          <w:noProof/>
        </w:rPr>
        <w:lastRenderedPageBreak/>
        <w:t>Transaktionen der inländischen Geschäftseinheit (im Folgenden „Local File“) zur Verfügung stellen können. Der EU TPD sieht jedoch keinen Mechanismus für die Bereitstellung eines länderbezogenen Berichts vor.</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(EU) 2016/881 Erwägungsgrund 7 (angepasst)</w:t>
      </w:r>
    </w:p>
    <w:p>
      <w:pPr>
        <w:pStyle w:val="ManualConsidrant"/>
        <w:rPr>
          <w:noProof/>
        </w:rPr>
      </w:pPr>
      <w:r>
        <w:t>(28)</w:t>
      </w:r>
      <w:r>
        <w:tab/>
      </w:r>
      <w:r>
        <w:rPr>
          <w:noProof/>
        </w:rPr>
        <w:t>Um eine effizientere Nutzung öffentlicher Mittel zu gewährleisten und den Verwaltungsaufwand für multinationale Unternehmensgruppen zu verringern, sollte die Berichterstattungspflicht nur für multinationale Unternehmensgruppen gelten, deren jährlicher konsolidierter Gesamtumsatz einen bestimmten Betrag überschreitet. Mit dieser Richtlinie sollte gewährleistet werden, dass in der gesamten Union die gleichen Informationen gesammelt und den Steuerverwaltungen zeitnah zur Verfügung gestellt werden.</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xml:space="preserve"> (EU) 2016/881 Erwägungsgrund 8 </w:t>
      </w:r>
    </w:p>
    <w:p>
      <w:pPr>
        <w:pStyle w:val="ManualConsidrant"/>
        <w:rPr>
          <w:noProof/>
        </w:rPr>
      </w:pPr>
      <w:r>
        <w:t>(29)</w:t>
      </w:r>
      <w:r>
        <w:tab/>
      </w:r>
      <w:r>
        <w:rPr>
          <w:noProof/>
        </w:rPr>
        <w:t>Um das ordnungsgemäße Funktionieren des Binnenmarkts zu gewährleisten, muss die Union für einen fairen Wettbewerb zwischen den multinationalen Unternehmensgruppen in der Union und den multinationalen Unternehmensgruppen aus Drittländern mit einer oder mehreren Geschäftseinheiten in der Union sorgen. Beide sollten daher der Berichterstattungspflicht unterliegen. Um einen reibungslosen Übergang zu gewährleisten, sollten die Mitgliedstaaten jedoch bei einer in einem Mitgliedstaat ansässigen Geschäftseinheit, die weder die oberste Muttergesellschaft noch die vertretende Muttergesellschaft einer multinationalen Unternehmensgruppe ist, die Berichterstattungspflicht für ein Jahr aussetzen können.</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(EU) 2016/881 Erwägungsgrund 12</w:t>
      </w:r>
    </w:p>
    <w:p>
      <w:pPr>
        <w:pStyle w:val="ManualConsidrant"/>
        <w:rPr>
          <w:noProof/>
        </w:rPr>
      </w:pPr>
      <w:r>
        <w:t>(30)</w:t>
      </w:r>
      <w:r>
        <w:tab/>
      </w:r>
      <w:r>
        <w:rPr>
          <w:noProof/>
        </w:rPr>
        <w:t>Der verpflichtende automatische Austausch länderbezogener Berichte zwischen den Mitgliedstaaten sollte in jedem Fall auch die Übermittlung bestimmter Basis</w:t>
      </w:r>
      <w:r>
        <w:rPr>
          <w:noProof/>
        </w:rPr>
        <w:softHyphen/>
        <w:t>informationen umfassen, zu denen diejenigen Mitgliedstaaten Zugang hätten, in denen gemäß den im Bericht enthaltenen Informationen eine oder mehrere Geschäftseinheiten der multinationalen Unternehmensgruppe entweder steuerlich ansässig oder in Bezug auf die Geschäftstätigkeiten, denen sie über eine Betriebsstätte nachgehen, steuerpflichtig sind.</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(EU) 2016/881 Erwägungsgrund 13 (angepasst)</w:t>
      </w:r>
    </w:p>
    <w:p>
      <w:pPr>
        <w:pStyle w:val="ManualConsidrant"/>
        <w:rPr>
          <w:noProof/>
        </w:rPr>
      </w:pPr>
      <w:r>
        <w:t>(31)</w:t>
      </w:r>
      <w:r>
        <w:tab/>
      </w:r>
      <w:r>
        <w:rPr>
          <w:noProof/>
        </w:rPr>
        <w:t xml:space="preserve">Um die Kosten und den Verwaltungsaufwand sowohl für die Steuerverwaltungen als auch für die multinationalen Unternehmensgruppen so gering wie möglich zu halten, gilt es, Vorschriften festzulegen, die den internationalen Entwicklungen Rechnung tragen, und positiv zu ihrer Umsetzung beizutragen. Am 19. Juli 2013 hat die OECD ihren BEPS-Aktionsplan veröffentlicht, der eine wichtige Initiative zur Änderung der bestehenden internationalen Steuervorschriften darstellt. Am 5. Oktober 2015 hat die OECD ihre Abschlussberichte vorgelegt, die von den Finanzministern der G20 gebilligt wurden. Auf der Tagung vom 15. und 16. November 2015 wurde das </w:t>
      </w:r>
      <w:r>
        <w:rPr>
          <w:noProof/>
        </w:rPr>
        <w:lastRenderedPageBreak/>
        <w:t>Maßnahmenpaket der OECD auch von den Staats- und Regierungschefs der G20 gebilligt.</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(EU) 2016/881 Erwägungsgrund 14 (angepasst)</w:t>
      </w:r>
    </w:p>
    <w:p>
      <w:pPr>
        <w:pStyle w:val="ManualConsidrant"/>
        <w:rPr>
          <w:noProof/>
        </w:rPr>
      </w:pPr>
      <w:r>
        <w:t>(32)</w:t>
      </w:r>
      <w:r>
        <w:tab/>
      </w:r>
      <w:r>
        <w:rPr>
          <w:noProof/>
        </w:rPr>
        <w:t xml:space="preserve">Die Arbeiten zum Aktionspunkt 13 des BEPS-Aktionsplans führten zu einer Reihe von Standards für die Bereitstellung von Informationen über multinationale Unternehmensgruppen, wozu auch das Master File, das Local File und der länderbezogene Bericht zählen.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Die OECD-Standards sollten daher im Hinblick auf die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Vorschriften für die länderbezogenen Berichte berücksichtigt werden.</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(EU) 2016/881 Erwägungsgrund 15</w:t>
      </w:r>
    </w:p>
    <w:p>
      <w:pPr>
        <w:pStyle w:val="ManualConsidrant"/>
        <w:rPr>
          <w:noProof/>
        </w:rPr>
      </w:pPr>
      <w:r>
        <w:t>(33)</w:t>
      </w:r>
      <w:r>
        <w:tab/>
      </w:r>
      <w:r>
        <w:rPr>
          <w:noProof/>
        </w:rPr>
        <w:t>Kann eine GESCHÄFTSEINHEIT nicht alle zur Erfüllung der Berichterstattungspflicht gemäß dieser Richtlinie erforderlichen Informationen erhalten oder einholen, könnten die Mitgliedstaaten dies als Hinweis betrachten, dass eine Beurteilung der hohen Risiken der Verrechnungspreisgestaltung und anderer Risiken der Gewinnverkürzung und Gewinnverlagerung im Zusammenhang mit dieser multinationalen Unternehmensgruppe erforderlich ist.</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(EU) 2016/881 Erwägungsgrund 16</w:t>
      </w:r>
    </w:p>
    <w:p>
      <w:pPr>
        <w:pStyle w:val="ManualConsidrant"/>
        <w:rPr>
          <w:noProof/>
        </w:rPr>
      </w:pPr>
      <w:r>
        <w:t>(34)</w:t>
      </w:r>
      <w:r>
        <w:tab/>
      </w:r>
      <w:r>
        <w:rPr>
          <w:noProof/>
        </w:rPr>
        <w:t>Wenn ein Mitgliedstaat feststellt, dass ein anderer Mitgliedstaat es über einen längeren Zeitraum hinweg versäumt hat, länderbezogene Berichte automatisch bereitzustellen, sollte er sich bemühen, den genannten Mitgliedstaat zu konsultieren.</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(EU) 2016/881 Erwägungsgrund 17</w:t>
      </w:r>
    </w:p>
    <w:p>
      <w:pPr>
        <w:pStyle w:val="ManualConsidrant"/>
        <w:rPr>
          <w:noProof/>
        </w:rPr>
      </w:pPr>
      <w:r>
        <w:t>(35)</w:t>
      </w:r>
      <w:r>
        <w:tab/>
      </w:r>
      <w:r>
        <w:rPr>
          <w:noProof/>
        </w:rPr>
        <w:t>Insbesondere sollte bei Maßnahmen der Union im Bereich der länderbezogenen Berichterstattung auch weiterhin künftigen Entwicklungen auf OECD-Ebene Rechnung getragen werden. Bei der Umsetzung dieser Richtlinie sollten die Mitgliedstaaten als Referenz oder zur Auslegung der Richtlinie den von der OECD erstellten Abschlussbericht 2015 zu Aktionspunkt 13 des OECD/G20-Projekts „Gewinnverkürzung und Gewinnverlagerung“ heranziehen, um eine einheitliche Anwendung in allen Mitgliedstaaten zu gewährleisten.</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(EU) 2016/881 Erwägungsgrund 20 (angepasst)</w:t>
      </w:r>
    </w:p>
    <w:p>
      <w:pPr>
        <w:pStyle w:val="ManualConsidrant"/>
        <w:rPr>
          <w:noProof/>
        </w:rPr>
      </w:pPr>
      <w:r>
        <w:t>(36)</w:t>
      </w:r>
      <w:r>
        <w:tab/>
      </w:r>
      <w:r>
        <w:rPr>
          <w:noProof/>
        </w:rPr>
        <w:t xml:space="preserve">Der verpflichtende Informationsaustauschs sollte daher den automatischen Austausch von Informationen über den länderbezogenen Bericht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umfassen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(EU) 2016/881 Erwägungsgrund 21 (angepasst)</w:t>
      </w:r>
    </w:p>
    <w:p>
      <w:pPr>
        <w:pStyle w:val="ManualConsidrant"/>
        <w:rPr>
          <w:noProof/>
        </w:rPr>
      </w:pPr>
      <w:r>
        <w:t>(37)</w:t>
      </w:r>
      <w:r>
        <w:tab/>
      </w:r>
      <w:r>
        <w:rPr>
          <w:noProof/>
        </w:rPr>
        <w:t xml:space="preserve">In den jährlichen Berichten der Mitgliedstaaten an die Kommission gemäß Artikel 27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dieser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Richtlinie sollten der Umfang der Vorlage landesspezifischer Informationen gemäß Artikel 10 und Anhang III Abschnitt II Nummer 1 im Einzelnen angegeben und eine Auflistung der Staaten vorgenommen werden, in denen die obersten Muttergesellschaften von Geschäftseinheiten mit Sitz in der Union ansässig sind, in denen aber keine vollständigen Berichte vorgelegt oder ausgetauscht wurden.</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(EU) 2018/822 Erwägungsgrund 3 (angepasst)</w:t>
      </w:r>
    </w:p>
    <w:p>
      <w:pPr>
        <w:pStyle w:val="ManualConsidrant"/>
        <w:rPr>
          <w:noProof/>
        </w:rPr>
      </w:pPr>
      <w:r>
        <w:t>(38)</w:t>
      </w:r>
      <w:r>
        <w:tab/>
      </w:r>
      <w:r>
        <w:rPr>
          <w:noProof/>
        </w:rPr>
        <w:t>Angesichts der Tatsache, dass die meisten potenziell aggressiven Steuerplanungs</w:t>
      </w:r>
      <w:r>
        <w:rPr>
          <w:noProof/>
        </w:rPr>
        <w:softHyphen/>
        <w:t xml:space="preserve">gestaltungen mehr als ein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Steuerhoheitsgebiet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betreffen,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ist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der automatische Informationsaustausch zwischen Steuer</w:t>
      </w:r>
      <w:r>
        <w:rPr>
          <w:noProof/>
        </w:rPr>
        <w:softHyphen/>
        <w:t xml:space="preserve">behörden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verschiedener Mitgliedstaaten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von entscheidender Bedeutung, um diese Behörden mit den erforderlichen Informationen zu versorgen, damit sie Maßnahmen ergreifen können, wenn sie aggressive Steuerpraktiken wahrnehmen.</w:t>
      </w:r>
    </w:p>
    <w:p>
      <w:pPr>
        <w:pStyle w:val="CRSeparator"/>
        <w:rPr>
          <w:i/>
          <w:noProof/>
          <w:lang w:val="de-DE"/>
        </w:rPr>
      </w:pPr>
    </w:p>
    <w:p>
      <w:pPr>
        <w:pStyle w:val="CRReference"/>
        <w:rPr>
          <w:noProof/>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(EU) 2018/822 Erwägungsgrund 4 (angepasst)</w:t>
      </w:r>
    </w:p>
    <w:p>
      <w:pPr>
        <w:pStyle w:val="ManualConsidrant"/>
        <w:rPr>
          <w:noProof/>
        </w:rPr>
      </w:pPr>
      <w:r>
        <w:t>(39)</w:t>
      </w:r>
      <w:r>
        <w:tab/>
      </w:r>
      <w:r>
        <w:rPr>
          <w:noProof/>
        </w:rPr>
        <w:t xml:space="preserve">In der Erklärung der G7 von Bari vom 13. Mai 2017 über die Bekämpfung von Steuerkriminalität und sonstigen illegalen Finanzströmen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wurde die OECD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aufgefordert, mit der Erörterung der Möglichkeiten zur Bekämpfung von Gestaltungen zu beginnen, die dazu dienen, die Meldung im Rahmen des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CRS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zu umgehen, oder die darauf abzielen, wirtschaftlichen Eigentümern den Schutz durch nicht transparente Strukturen zu gewähren, auch unter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Erwägung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von Mustervorschriften für verbindliche Offenlegungsregelungen auf Grundlage des Ansatzes zu Vermeidungsgestaltungen, der im Bericht über den Aktionspunkt 12 des BEPS-Projekts dargelegt ist.</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(EU) 2018/822 Erwägungsgrund 5 (angepasst)</w:t>
      </w:r>
    </w:p>
    <w:p>
      <w:pPr>
        <w:pStyle w:val="ManualConsidrant"/>
        <w:rPr>
          <w:noProof/>
        </w:rPr>
      </w:pPr>
      <w:r>
        <w:t>(40)</w:t>
      </w:r>
      <w:r>
        <w:tab/>
      </w:r>
      <w:r>
        <w:rPr>
          <w:noProof/>
        </w:rPr>
        <w:t xml:space="preserve">Es sei erneut darauf hingewiesen, wie bestimmte Finanzintermediäre und andere Steuerberater ihren Kunden offensichtlich aktiv dabei geholfen haben, Geld auf Offshore-Konten zu verstecken. </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(EU) 2018/822 Erwägungsgrund 6 (angepasst)</w:t>
      </w:r>
    </w:p>
    <w:p>
      <w:pPr>
        <w:pStyle w:val="ManualConsidrant"/>
        <w:rPr>
          <w:noProof/>
        </w:rPr>
      </w:pPr>
      <w:r>
        <w:t>(41)</w:t>
      </w:r>
      <w:r>
        <w:tab/>
      </w:r>
      <w:r>
        <w:rPr>
          <w:noProof/>
        </w:rPr>
        <w:t>Die Meldung potenziell aggressiver grenzüberschreitender Steuerplanungs</w:t>
      </w:r>
      <w:r>
        <w:rPr>
          <w:noProof/>
        </w:rPr>
        <w:softHyphen/>
        <w:t>gestaltun</w:t>
      </w:r>
      <w:r>
        <w:rPr>
          <w:noProof/>
        </w:rPr>
        <w:softHyphen/>
        <w:t>gen kann die Bemühungen zur Schaffung einer gerechten Besteuerung im Binnen</w:t>
      </w:r>
      <w:r>
        <w:rPr>
          <w:noProof/>
        </w:rPr>
        <w:softHyphen/>
        <w:t xml:space="preserve">markt nachhaltig unterstützen.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Angesichts dessen sollte eine </w:t>
      </w:r>
      <w:r>
        <w:rPr>
          <w:noProof/>
        </w:rPr>
        <w:fldChar w:fldCharType="begin"/>
      </w:r>
      <w:r>
        <w:rPr>
          <w:noProof/>
        </w:rPr>
        <w:instrText xml:space="preserve"> </w:instrText>
      </w:r>
      <w:r>
        <w:rPr>
          <w:noProof/>
        </w:rPr>
        <w:lastRenderedPageBreak/>
        <w:instrText>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Verpflichtung der Intermediäre, die Steuerbehörden über bestimmte grenzüberschreitende Gestaltungen zu informieren, die möglicherweise für aggressive Steuerplanung genutzt werden könnten,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vorgesehen werden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Die Steuerbehörden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sollten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nach der Meldung die Informationen mit ihren Amtskollegen in anderen Mitgliedstaaten teilen. Dadurch dürfte auch die Wirksamkeit des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CRS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erhöht werden. Darüber hinaus wäre es wichtig, der Kommission ausreichenden Zugang zu Informationen zu gewähren, damit sie das reibungslose Funktionieren der vorliegenden Richtlinie überwachen kann. Ein solcher Zugang der Kommission zu Informationen entbindet einen Mitgliedstaat nicht von seiner Verpflichtung, etwaige staatliche Beihilfen bei der Kommission anzumelden.</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(EU) 2018/822 Erwägungsgrund 7 (angepasst)</w:t>
      </w:r>
    </w:p>
    <w:p>
      <w:pPr>
        <w:pStyle w:val="ManualConsidrant"/>
        <w:rPr>
          <w:noProof/>
        </w:rPr>
      </w:pPr>
      <w:r>
        <w:t>(42)</w:t>
      </w:r>
      <w:r>
        <w:tab/>
      </w:r>
      <w:r>
        <w:rPr>
          <w:noProof/>
        </w:rPr>
        <w:t xml:space="preserve">Es steht außer Frage, dass die Meldung potenziell aggressiver grenzüberschreitender Steuerplanungsgestaltungen bessere Aussichten hätte, ihre abschreckende Wirkung zu entfalten, wenn die entsprechenden Informationen die Steuerbehörden frühzeitig erreichten, d. h., bevor diese Gestaltungen tatsächlich umgesetzt werden. Um die Arbeit der Verwaltungen der Mitgliedstaaten zu erleichtern,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sollte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der anschließende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automatische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Informationsaustausch über diese Gestaltungen vierteljährlich erfolgen.</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(EU) 2018/822 Erwägungsgrund 8</w:t>
      </w:r>
    </w:p>
    <w:p>
      <w:pPr>
        <w:pStyle w:val="ManualConsidrant"/>
        <w:rPr>
          <w:noProof/>
        </w:rPr>
      </w:pPr>
      <w:r>
        <w:t>(43)</w:t>
      </w:r>
      <w:r>
        <w:tab/>
      </w:r>
      <w:r>
        <w:rPr>
          <w:noProof/>
        </w:rPr>
        <w:t>Um das reibungslose Funktionieren des Binnenmarkts zu gewährleisten und Schlupflöcher in den vorgeschlagenen Rahmenvorschriften zu vermeiden, sollten alle Akteure, die normalerweise an der Konzeption, Vermarktung, Organisation oder Verwaltung der Umsetzung einer meldepflichtigen grenzüberschreitenden Transaktion oder einer Reihe solcher Transaktionen beteiligt sind, sowie alle, die Unterstützung oder Beratung leisten, zur Meldung verpflichtet sein. Es darf auch nicht außer Acht gelassen werden, dass in bestimmten Fällen die Meldepflicht eines Intermediärs aufgrund einer gesetzlichen Verschwiegenheitspflicht nicht durchsetzbar ist oder gar kein Intermediär vorhanden ist, weil beispielsweise der Steuerpflichtige eine Steuerplanungsgestaltung selbst konzipiert und umsetzt. Es wäre äußerst wichtig, dass die Steuerbehörden in solchen Fällen weiterhin die Möglichkeit haben, Informationen über Steuergestaltungen zu erhalten, die potenziell mit aggressiver Steuerplanung verbunden sind. Hierfür müsste die Meldepflicht auf den Steuerpflichtigen verlagert werden, der in diesen Fällen von der Gestaltung profitiert.</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(EU) 2018/822 Erwägungsgrund 9</w:t>
      </w:r>
    </w:p>
    <w:p>
      <w:pPr>
        <w:pStyle w:val="ManualConsidrant"/>
        <w:rPr>
          <w:noProof/>
        </w:rPr>
      </w:pPr>
      <w:r>
        <w:t>(44)</w:t>
      </w:r>
      <w:r>
        <w:tab/>
      </w:r>
      <w:r>
        <w:rPr>
          <w:noProof/>
        </w:rPr>
        <w:t xml:space="preserve">Aggressive Steuerplanungsgestaltungen haben sich über Jahre hinweg entwickelt, sind immer komplexer geworden und unterliegen ständigen Änderungen und Anpassungen, mit denen auf Gegenmaßnahmen der Steuerbehörden reagiert wird. Angesichts dessen wäre es wirksamer, potenziell aggressive Steuerplanungsgestaltungen durch die Zusammenstellung einer Liste von Merkmalen und Elementen von Transaktionen zu erfassen, die stark auf Steuervermeidung oder Steuermissbrauch hindeuten, anstatt den </w:t>
      </w:r>
      <w:r>
        <w:rPr>
          <w:noProof/>
        </w:rPr>
        <w:lastRenderedPageBreak/>
        <w:t>Begriff der aggressiven Steuerplanung zu definieren. Diese Merkmale werden als „Kennzeichen“ bezeichnet.</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(EU) 2018/822 Erwägungsgrund 10 (angepasst)</w:t>
      </w:r>
    </w:p>
    <w:p>
      <w:pPr>
        <w:pStyle w:val="ManualConsidrant"/>
        <w:rPr>
          <w:noProof/>
        </w:rPr>
      </w:pPr>
      <w:r>
        <w:t>(45)</w:t>
      </w:r>
      <w:r>
        <w:tab/>
      </w:r>
      <w:r>
        <w:rPr>
          <w:noProof/>
        </w:rPr>
        <w:t>Da das oberste Ziel dieser Richtlinie im Hinblick auf die Meldung potenziell aggressiver grenzüberschreitender Steuerplanungsgestaltungen darin bestehen sollte, das reibungslose Funktionieren des Binnenmarkts sicherzustellen, ist es wichtig, auf Unionsebene nur das zu regeln, was erforderlich ist, um die angestrebten Ziele zu erreichen. Daher sollten gemeinsame Melderegelungen auf grenzüberschreitende Sachverhalte beschränkt werden, d. h. Sachverhalte, an denen entweder mehr als ein Mitgliedstaat oder ein Mitgliedstaat und ein Drittland beteiligt sind. Bei solchen Sachverhalten kann es aufgrund der potenziellen Auswirkungen auf das Funktionieren des Binnenmarkts gerechtfertigt sein, gemeinsame Regelungen zu erlassen, anstatt die Angelegenheit auf nationaler Ebene zu regeln. Die Mitgliedstaaten könnten weitere nationale Meldevorschriften vergleichbarer Art erlassen, aber alle Informationen, die zusätzlich zu den gemäß dieser Richtlinie meldepflichtigen Informationen erhoben werden, sollten den zuständigen Behörden der anderen Mitgliedstaaten nicht automatisch mitgeteilt werden. Diese Informationen könnten auf Anfrage oder spontan im Einklang mit den geltenden Vorschriften ausgetauscht werden.</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(EU) 2018/822 Erwägungsgrund 11 (angepasst)</w:t>
      </w:r>
    </w:p>
    <w:p>
      <w:pPr>
        <w:pStyle w:val="ManualConsidrant"/>
        <w:rPr>
          <w:noProof/>
        </w:rPr>
      </w:pPr>
      <w:r>
        <w:t>(46)</w:t>
      </w:r>
      <w:r>
        <w:tab/>
      </w:r>
      <w:r>
        <w:rPr>
          <w:noProof/>
        </w:rPr>
        <w:t xml:space="preserve">Da die meldepflichtigen Gestaltungen eine grenzüberschreitende Dimension aufweisen sollten, wäre es wichtig, diese Informationen mit den Steuerbehörden anderer Mitgliedstaaten zu teilen, damit die Richtlinie ihre abschreckende Wirkung im Hinblick auf aggressive Steuerplanungspraktiken voll entfalten kann. </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(EU) 2018/822 Erwägungsgrund 13 (angepasst)</w:t>
      </w:r>
    </w:p>
    <w:p>
      <w:pPr>
        <w:pStyle w:val="ManualConsidrant"/>
        <w:rPr>
          <w:noProof/>
        </w:rPr>
      </w:pPr>
      <w:r>
        <w:t>(47)</w:t>
      </w:r>
      <w:r>
        <w:tab/>
      </w:r>
      <w:r>
        <w:rPr>
          <w:noProof/>
        </w:rPr>
        <w:t xml:space="preserve">Um die Kosten und den Verwaltungsaufwand sowohl für die Steuerverwaltungen als auch für die Intermediäre so gering wie möglich zu halten und die Wirksamkeit dieser Richtlinie bei der Abschreckung aggressiver Steuerplanungspraktiken zu gewährleisten, sollte der Umfang des automatischen Informationsaustauschs in Verbindung mit meldepflichtigen grenzüberschreitenden Gestaltungen innerhalb der Union mit den internationalen Entwicklungen im Einklang stehen. Es sollte ein besonderes Kennzeichen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festgelegt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werden, um gegen Gestaltungen vorzugehen, die darauf abstellen, die Meldepflichten, die den automatischen Austausch von Informationen bewirken, zu umgehen. Für die Zwecke dieses Kennzeichens sollten Abkommen über den automatischen Informationsaustausch über Finanzkonten auf der Grundlage des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CRS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als gleichwertig zu den Meldepflichten gemäß Artikel 8 Absatz 4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und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Anhang I gelten. Bei der Umsetzung der Teile dieser Richtlinie, die Gestaltungen zur Umgehung des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CRS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und Gestaltungen mit juristischen Personen oder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Rechtsgestaltungen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oder sonstigen ähnlichen Strukturen betreffen, könnten die Mitgliedstaaten die Arbeit der OECD zur Illustration oder </w:t>
      </w:r>
      <w:r>
        <w:rPr>
          <w:noProof/>
        </w:rPr>
        <w:lastRenderedPageBreak/>
        <w:t>Interpretation heranziehen, insbesondere ihre Mustervorschriften für verbindliche Offenlegungs</w:t>
      </w:r>
      <w:r>
        <w:rPr>
          <w:noProof/>
        </w:rPr>
        <w:softHyphen/>
        <w:t xml:space="preserve">regelungen für die Bekämpfung von Gestaltungen zur Umgehung des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CRS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und von undurchsichtigen Offshore-Strukturen sowie den dazugehörigen Kommentar, um eine einheitliche Anwendung in allen Mitgliedstaaten zu gewährleisten, sofern diese Texte an die Bestimmungen des Unionsrechts angeglichen sind.</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(EU) 2018/822 Erwägungsgrund 14 (angepasst)</w:t>
      </w:r>
    </w:p>
    <w:p>
      <w:pPr>
        <w:pStyle w:val="ManualConsidrant"/>
        <w:rPr>
          <w:noProof/>
        </w:rPr>
      </w:pPr>
      <w:r>
        <w:t>(48)</w:t>
      </w:r>
      <w:r>
        <w:tab/>
      </w:r>
      <w:r>
        <w:rPr>
          <w:noProof/>
        </w:rPr>
        <w:t xml:space="preserve">Obwohl die Mitgliedstaaten weiterhin für die direkte Besteuerung zuständig sind, ist es angemessen, ausschließlich zum Zweck der eindeutigen Festlegung des Geltungsbereichs des Kennzeichens für Gestaltungen, bei denen grenzüberschreitende Transaktionen vorgenommen werden, die gemäß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dieser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Richtlinie für Intermediäre oder gegebenenfalls Steuerpflichtige meldepflichtig sein sollten und über die die zuständigen Behörden automatisch Informationen austauschen sollten, auf einen Körperschaftsteuersatz von null oder nahe null Bezug zu nehmen. Ferner ist darauf hinzuweisen, dass aggressive grenzüberschreitende Steuerplanungs</w:t>
      </w:r>
      <w:r>
        <w:rPr>
          <w:noProof/>
        </w:rPr>
        <w:softHyphen/>
        <w:t>gestaltungen, die ausschließlich oder hauptsächlich dem Zweck dienen, einen steuerlichen Vorteil zu erlangen, der dem Ziel oder dem Zweck des geltenden Steuerrechts zuwider läuft, der allgemeinen Vorschrift zur Verhinderung von Missbrauch gemäß Artikel 6 der Richtlinie (EU) 2016/1164 des Rates</w:t>
      </w:r>
      <w:r>
        <w:rPr>
          <w:rStyle w:val="FootnoteReference"/>
          <w:noProof/>
          <w:color w:val="000000"/>
        </w:rPr>
        <w:footnoteReference w:id="9"/>
      </w:r>
      <w:r>
        <w:rPr>
          <w:noProof/>
        </w:rPr>
        <w:t xml:space="preserve"> unterliegen.</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2011/16/EU Erwägungsgrund 11 (angepasst)</w:t>
      </w:r>
    </w:p>
    <w:p>
      <w:pPr>
        <w:pStyle w:val="ManualConsidrant"/>
        <w:rPr>
          <w:noProof/>
        </w:rPr>
      </w:pPr>
      <w:r>
        <w:t>(49)</w:t>
      </w:r>
      <w:r>
        <w:tab/>
      </w:r>
      <w:r>
        <w:rPr>
          <w:noProof/>
        </w:rPr>
        <w:t>Auch der spontane Austausch von Informationen zwischen Mitgliedstaaten sollte gefördert werden.</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2011/16/EU Erwägungsgrund 12</w:t>
      </w:r>
    </w:p>
    <w:p>
      <w:pPr>
        <w:pStyle w:val="ManualConsidrant"/>
        <w:rPr>
          <w:noProof/>
        </w:rPr>
      </w:pPr>
      <w:r>
        <w:t>(50)</w:t>
      </w:r>
      <w:r>
        <w:tab/>
      </w:r>
      <w:r>
        <w:rPr>
          <w:noProof/>
        </w:rPr>
        <w:t>Es sollten Fristen für die Übermittlung von Informationen gemäß dieser Richtlinie festgelegt werden, um sicherzustellen, dass der Informationsaustausch zügig und damit effizient erfolgt.</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2011/16/EU Erwägungsgrund 13</w:t>
      </w:r>
    </w:p>
    <w:p>
      <w:pPr>
        <w:pStyle w:val="ManualConsidrant"/>
        <w:rPr>
          <w:noProof/>
        </w:rPr>
      </w:pPr>
      <w:r>
        <w:t>(51)</w:t>
      </w:r>
      <w:r>
        <w:tab/>
      </w:r>
      <w:r>
        <w:rPr>
          <w:noProof/>
        </w:rPr>
        <w:t>Es ist wichtig, dass sich Bedienstete der Steuerverwaltung eines Mitgliedstaats im Hoheitsgebiet eines anderen Mitgliedstaats aufhalten dürfen.</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2011/16/EU Erwägungsgrund 14</w:t>
      </w:r>
    </w:p>
    <w:p>
      <w:pPr>
        <w:pStyle w:val="ManualConsidrant"/>
        <w:rPr>
          <w:noProof/>
        </w:rPr>
      </w:pPr>
      <w:r>
        <w:t>(52)</w:t>
      </w:r>
      <w:r>
        <w:tab/>
      </w:r>
      <w:r>
        <w:rPr>
          <w:noProof/>
        </w:rPr>
        <w:t>Da die steuerliche Lage eines oder mehrerer in verschiedenen Mitgliedstaaten ansässigen Steuerpflichtigen häufig von gemeinsamem oder ergänzendem Interesse ist, sollte es möglich sein, bei solchen Personen in gegenseitigem Einvernehmen und auf freiwilliger Grundlage gleichzeitige Prüfungen durch zwei oder mehr Mitgliedstaaten vorzunehmen.</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2011/16/EU Erwägungsgrund 15 (angepasst)</w:t>
      </w:r>
    </w:p>
    <w:p>
      <w:pPr>
        <w:pStyle w:val="ManualConsidrant"/>
        <w:rPr>
          <w:noProof/>
        </w:rPr>
      </w:pPr>
      <w:r>
        <w:t>(53)</w:t>
      </w:r>
      <w:r>
        <w:tab/>
      </w:r>
      <w:r>
        <w:rPr>
          <w:noProof/>
        </w:rPr>
        <w:t xml:space="preserve">Da es in einigen Mitgliedstaaten gesetzlich vorgeschrieben ist, dem Steuerpflichtigen Entscheidungen und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Akte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die seine Steuerpflicht betreffen, zuzustellen, woraus den Steuerbehörden unter anderem in den Fällen, in denen ein Steuerpflichtiger in einen anderen Mitgliedstaat umgezogen ist, Schwierigkeiten erwachsen, ist es wünschenswert, dass die Behörden in solchen Fällen die zuständigen Behörden des Mitgliedstaats, in den der Steuerpflichtige umgezogen ist, um Zusammenarbeit ersuchen können.</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(EU) 2015/2376 Erwägungsgrund 15 (angepasst)</w:t>
      </w:r>
    </w:p>
    <w:p>
      <w:pPr>
        <w:pStyle w:val="ManualConsidrant"/>
        <w:rPr>
          <w:noProof/>
        </w:rPr>
      </w:pPr>
      <w:r>
        <w:t>(54)</w:t>
      </w:r>
      <w:r>
        <w:tab/>
      </w:r>
      <w:r>
        <w:rPr>
          <w:noProof/>
        </w:rPr>
        <w:t>Rückmeldungen des Mitgliedstaats, der die Informationen erhält, an den die Informationen übermittelnden Mitgliedstaat sind eine unverzichtbare Voraussetzung für ein effektives System des automatischen Informationsaustauschs. Daher ist es angebracht zu betonen, dass die zuständigen Behörden der Mitgliedstaaten den anderen betroffenen Mitgliedstaaten einmal jährlich eine Rückmeldung zum automatischen Informationsaustausch übermitteln sollten. In der Praxis sollten diese obligatorischen Rückmeldungen nach bilateral vereinbarten Regelungen erfolgen.</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2011/16/EU Erwägungsgrund 17</w:t>
      </w:r>
    </w:p>
    <w:p>
      <w:pPr>
        <w:pStyle w:val="ManualConsidrant"/>
        <w:rPr>
          <w:noProof/>
        </w:rPr>
      </w:pPr>
      <w:r>
        <w:t>(55)</w:t>
      </w:r>
      <w:r>
        <w:tab/>
      </w:r>
      <w:r>
        <w:rPr>
          <w:noProof/>
        </w:rPr>
        <w:t>Eine Zusammenarbeit zwischen den Mitgliedstaaten und der Kommission ist notwendig, um die Verfahren der Zusammenarbeit und den Erfahrungsaustausch sowie die bewährten Praktiken auf den betreffenden Gebieten ständig zu überprüfen.</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2011/16/EU Erwägungsgrund 18 (angepasst)</w:t>
      </w:r>
    </w:p>
    <w:p>
      <w:pPr>
        <w:pStyle w:val="ManualConsidrant"/>
        <w:rPr>
          <w:noProof/>
        </w:rPr>
      </w:pPr>
      <w:r>
        <w:t>(56)</w:t>
      </w:r>
      <w:r>
        <w:tab/>
      </w:r>
      <w:r>
        <w:rPr>
          <w:noProof/>
        </w:rPr>
        <w:t>Für die Effizienz der Zusammenarbeit der Verwaltungsbehörden ist es wichtig, dass die aufgrund dieser Richtlinie erhaltenen Informationen und Dokumente vorbehaltlich der in dieser Richtlinie festgelegten Beschränkungen in dem Empfängermitgliedstaat auch für andere Zwecke verwendet werden können. Es ist auch wichtig, dass die Mitgliedstaaten diese Information unter bestimmten Voraussetzungen an ein Drittland weiterleiten können.</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2011/16/EU Erwägungsgrund 19 (angepasst)</w:t>
      </w:r>
    </w:p>
    <w:p>
      <w:pPr>
        <w:pStyle w:val="ManualConsidrant"/>
        <w:rPr>
          <w:noProof/>
        </w:rPr>
      </w:pPr>
      <w:r>
        <w:t>(57)</w:t>
      </w:r>
      <w:r>
        <w:tab/>
      </w:r>
      <w:r>
        <w:rPr>
          <w:noProof/>
        </w:rPr>
        <w:t xml:space="preserve">Die Umstände, unter denen ein ersuchter Mitgliedstaat die Übermittlung von Informationen ablehnen kann, sollten eindeutig umschrieben und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begrenzt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sein, wobei bestimmten schützenswerten privaten Interessen ebenso Rechnung zu tragen ist wie dem öffentlichen Interesse.</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2011/16/EU Erwägungsgrund 20</w:t>
      </w:r>
    </w:p>
    <w:p>
      <w:pPr>
        <w:pStyle w:val="ManualConsidrant"/>
        <w:rPr>
          <w:noProof/>
        </w:rPr>
      </w:pPr>
      <w:r>
        <w:t>(58)</w:t>
      </w:r>
      <w:r>
        <w:tab/>
      </w:r>
      <w:r>
        <w:rPr>
          <w:noProof/>
        </w:rPr>
        <w:t>Allerdings sollte ein Mitgliedstaat die Übermittlung von Informationen nicht deshalb ablehnen, weil er kein eigenes Interesse daran hat oder weil diese Informationen sich bei einer Bank, einem sonstigen Finanzinstitut, einem Bevollmächtigten, Vertreter oder Treuhänder befinden oder sich auf Eigentumsanteile an einer Person beziehen.</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2011/16/EU Erwägungsgrund 21</w:t>
      </w:r>
    </w:p>
    <w:p>
      <w:pPr>
        <w:pStyle w:val="ManualConsidrant"/>
        <w:rPr>
          <w:noProof/>
        </w:rPr>
      </w:pPr>
      <w:r>
        <w:t>(59)</w:t>
      </w:r>
      <w:r>
        <w:tab/>
      </w:r>
      <w:r>
        <w:rPr>
          <w:noProof/>
        </w:rPr>
        <w:t>Diese Richtlinie legt Mindestnormen fest und berührt daher nicht das Recht der Mitgliedstaaten auf umfassendere Zusammenarbeit mit anderen Mitgliedstaaten nach ihrem nationalen Recht oder im Rahmen bi- oder multilateraler Abkommen mit anderen Mitgliedstaaten.</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2011/16/EU Erwägungsgrund 22 (angepasst)</w:t>
      </w:r>
    </w:p>
    <w:p>
      <w:pPr>
        <w:pStyle w:val="ManualConsidrant"/>
        <w:rPr>
          <w:noProof/>
        </w:rPr>
      </w:pPr>
      <w:r>
        <w:t>(60)</w:t>
      </w:r>
      <w: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Es sollte auch klargestellt werden, dass ein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Mitgliedstaat, der mit einem Drittland eine umfassendere als die in dieser Richtlinie vorgesehene Zusammenarbeit eingeht, es nicht ablehnen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sollte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eine solche umfassendere Zusammenarbeit auch mit anderen Mitgliedstaaten einzugehen, die eine solche umfassendere gegenseitige Zusammenarbeit wünschen.</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2011/16/EU Erwägungsgrund 23</w:t>
      </w:r>
    </w:p>
    <w:p>
      <w:pPr>
        <w:pStyle w:val="ManualConsidrant"/>
        <w:rPr>
          <w:noProof/>
        </w:rPr>
      </w:pPr>
      <w:r>
        <w:t>(61)</w:t>
      </w:r>
      <w:r>
        <w:tab/>
      </w:r>
      <w:r>
        <w:rPr>
          <w:noProof/>
        </w:rPr>
        <w:t>Die Informationen sollten mittels einheitlicher Formblätter, Formate und Kommunikationswege ausgetauscht werden.</w:t>
      </w:r>
    </w:p>
    <w:p>
      <w:pPr>
        <w:pStyle w:val="CRSeparator"/>
        <w:rPr>
          <w:noProof/>
          <w:lang w:val="de-DE"/>
        </w:rPr>
      </w:pPr>
    </w:p>
    <w:p>
      <w:pPr>
        <w:pStyle w:val="CRReference"/>
        <w:rPr>
          <w:noProof/>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(EU) 2016/2258 Erwägungsgrund 2 (angepasst)</w:t>
      </w:r>
    </w:p>
    <w:p>
      <w:pPr>
        <w:pStyle w:val="ManualConsidrant"/>
        <w:rPr>
          <w:noProof/>
        </w:rPr>
      </w:pPr>
      <w:r>
        <w:t>(62)</w:t>
      </w:r>
      <w:r>
        <w:tab/>
      </w:r>
      <w:r>
        <w:rPr>
          <w:noProof/>
        </w:rPr>
        <w:t xml:space="preserve">Sofern der Kontoinhaber eine zwischengeschaltete Struktur ist,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sollten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Finanzinstitute diese Struktur prüfen und deren wirtschaftliche Eigentümer ermitteln und melden. Dieser für die Anwendung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der vorliegenden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Richtlinie wichtige Aspekt baut auf den Informationen aus der Geldwäschebekämpfung auf, die gemäß der Richtlinie </w:t>
      </w:r>
      <w:r>
        <w:rPr>
          <w:noProof/>
        </w:rPr>
        <w:lastRenderedPageBreak/>
        <w:t>(EU) 2015/849 des Europäischen Parlaments und des Rates</w:t>
      </w:r>
      <w:r>
        <w:rPr>
          <w:rStyle w:val="FootnoteReference"/>
          <w:noProof/>
          <w:color w:val="000000"/>
        </w:rPr>
        <w:footnoteReference w:id="10"/>
      </w:r>
      <w:r>
        <w:rPr>
          <w:noProof/>
        </w:rPr>
        <w:t xml:space="preserve"> zum Zwecke der Ermittlung der wirtschaftlichen Eigentümer gewonnen wurden.</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(EU) 2016/2258 Erwägungsgrund 3 (angepasst)</w:t>
      </w:r>
    </w:p>
    <w:p>
      <w:pPr>
        <w:pStyle w:val="ManualConsidrant"/>
        <w:rPr>
          <w:noProof/>
        </w:rPr>
      </w:pPr>
      <w:r>
        <w:t>(63)</w:t>
      </w:r>
      <w:r>
        <w:tab/>
      </w:r>
      <w:r>
        <w:rPr>
          <w:noProof/>
        </w:rPr>
        <w:t xml:space="preserve">Um die Einhaltung der Sorgfaltspflichten gemäß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der vorliegenden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Richtlinie durch die FINANZINSTITUTE wirksam überwachen zu können, benötigen die Steuerbehörden Zugang zu den im Rahmen der Geldwäschebekämpfung gewonnenen Informationen. Ohne einen solchen Zugang wäre es diesen Behörden nicht möglich, zu überwachen, zu prüfen und zu bestätigen, dass die FINANZINSTITUTE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diese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Richtlinie ordnungsgemäß anwenden, indem sie die wirtschaftlichen Eigentümer zwischengeschalteter Strukturen korrekt ermitteln und melden.</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(EU) 2016/2258 Erwägungsgrund 4 (angepasst)</w:t>
      </w:r>
    </w:p>
    <w:p>
      <w:pPr>
        <w:pStyle w:val="ManualConsidrant"/>
        <w:rPr>
          <w:noProof/>
        </w:rPr>
      </w:pPr>
      <w:r>
        <w:t>(64)</w:t>
      </w:r>
      <w: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Die vorliegende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Richtlinie umfasst andere Arten des Austauschs von Informationen sowie andere Formen der Zusammenarbeit zwischen den Verwaltungen der Mitgliedstaaten. Durch den Zugang zu Informationen aus der Geldwäschebekämpfung, die von Stellen gemäß der Richtlinie (EU) 2015/849 aufbewahrt werden, im Rahmen der Zusammenarbeit der Verwaltungsbehörden im Bereich der Besteuerung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sollte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sichergestellt werden, dass die Steuerbehörden besser gerüstet sind, um ihre Verpflichtungen aus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der vorliegenden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Richtlinie zu erfüllen und um Steuerhinterziehung und Steuerbetrug wirksamer zu bekämpfen.</w:t>
      </w:r>
    </w:p>
    <w:p>
      <w:pPr>
        <w:pStyle w:val="CRSeparator"/>
        <w:rPr>
          <w:noProof/>
          <w:lang w:val="de-DE"/>
        </w:rPr>
      </w:pPr>
    </w:p>
    <w:p>
      <w:pPr>
        <w:pStyle w:val="CRReference"/>
        <w:rPr>
          <w:noProof/>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(EU) 2016/2258 Erwägungsgrund 5 (angepasst)</w:t>
      </w:r>
    </w:p>
    <w:p>
      <w:pPr>
        <w:pStyle w:val="ManualConsidrant"/>
        <w:rPr>
          <w:noProof/>
        </w:rPr>
      </w:pPr>
      <w:r>
        <w:t>(65)</w:t>
      </w:r>
      <w:r>
        <w:tab/>
      </w:r>
      <w:r>
        <w:rPr>
          <w:noProof/>
        </w:rPr>
        <w:t xml:space="preserve">Steuerbehörden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sollte daher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Zugang zu Informationen, Verfahren, Unterlagen und Mechanismen der Geldwäschebekämpfung gewährt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werden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damit sie ihren Pflichten zur Überwachung der korrekten Anwendung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dieser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Richtlinie nachkommen können und damit das Funktionieren aller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darin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vorgesehenen Formen der Zusammenarbeit zwischen Verwaltungsbehörden gewährleistet ist.</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2011/16/EU Erwägungsgrund 24</w:t>
      </w:r>
    </w:p>
    <w:p>
      <w:pPr>
        <w:pStyle w:val="ManualConsidrant"/>
        <w:rPr>
          <w:noProof/>
        </w:rPr>
      </w:pPr>
      <w:r>
        <w:t>(66)</w:t>
      </w:r>
      <w:r>
        <w:tab/>
      </w:r>
      <w:r>
        <w:rPr>
          <w:noProof/>
        </w:rPr>
        <w:t>Die Effizienz der Zusammenarbeit der Verwaltungsbehörden sollte insbesondere auf der Grundlage statistischer Angaben bewertet werden.</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2011/16/EU Erwägungsgrund 27</w:t>
      </w:r>
    </w:p>
    <w:p>
      <w:pPr>
        <w:pStyle w:val="ManualConsidrant"/>
        <w:rPr>
          <w:noProof/>
        </w:rPr>
      </w:pPr>
      <w:r>
        <w:t>(67)</w:t>
      </w:r>
      <w:r>
        <w:tab/>
      </w:r>
      <w:r>
        <w:rPr>
          <w:noProof/>
        </w:rPr>
        <w:t>Jeder Informationsaustausch, auf den in dieser Richtlinie Bezug genommen wird, unterliegt den Verordnungen (EU) 2016/679</w:t>
      </w:r>
      <w:r>
        <w:rPr>
          <w:rStyle w:val="FootnoteReference"/>
          <w:noProof/>
        </w:rPr>
        <w:footnoteReference w:id="11"/>
      </w:r>
      <w:r>
        <w:rPr>
          <w:noProof/>
        </w:rPr>
        <w:t xml:space="preserve"> und (EU) 2018/1725</w:t>
      </w:r>
      <w:r>
        <w:rPr>
          <w:rStyle w:val="FootnoteReference"/>
          <w:noProof/>
        </w:rPr>
        <w:footnoteReference w:id="12"/>
      </w:r>
      <w:r>
        <w:rPr>
          <w:noProof/>
        </w:rPr>
        <w:t xml:space="preserve"> des Europäischen Parlaments und des Rates. Allerdings sollten Beschränkungen bestimmter Rechte und Pflichten nach der Verordnung (EU) 2016/679 erwogen werden, um die in Artikel 23 Absatz 1 Buchstabe e jener Verordnung genannten Interessen zu schützen. Solche Beschränkungen sind angesichts der potenziellen Einnahmenausfälle für die Mitgliedstaaten und der wesentlichen Bedeutung der von der vorliegenden Richtlinie erfassten Informationen für eine wirksame Betrugsbekämpfung erforderlich und verhältnismäßig.</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2014/107/EU Erwägungsgrund 12 (angepasst)</w:t>
      </w:r>
    </w:p>
    <w:p>
      <w:pPr>
        <w:pStyle w:val="ManualConsidrant"/>
        <w:rPr>
          <w:noProof/>
        </w:rPr>
      </w:pPr>
      <w:r>
        <w:t>(68)</w:t>
      </w:r>
      <w:r>
        <w:tab/>
      </w:r>
      <w:r>
        <w:rPr>
          <w:noProof/>
        </w:rPr>
        <w:t>MELDENDE FINANZINSTITUTE, übermittelnde Mitgliedstaaten und empfangende Mitgliedstaaten sollten in ihrer Eigenschaft als für die Verarbeitung Verantwortliche im Einklang mit dieser Richtlinie verarbeitete Informationen nicht länger aufbewahren, als dies für die Zwecke dieser Richtlinie erforderlich ist. Angesichts der unterschiedlichen Rechtsvorschriften der Mitgliedstaaten sollte die maximale Vorhalte</w:t>
      </w:r>
      <w:r>
        <w:rPr>
          <w:noProof/>
        </w:rPr>
        <w:softHyphen/>
        <w:t>zeit unter Zugrundelegung der im innerstaatlichen Steuerrecht der einzelnen für die Verarbeitung Verantwortlichen vorgesehenen Verjährungsfristen festgelegt werden.</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(EU) 2016/881 Erwägungsgrund 22 (angepasst)</w:t>
      </w:r>
    </w:p>
    <w:p>
      <w:pPr>
        <w:pStyle w:val="ManualConsidrant"/>
        <w:rPr>
          <w:noProof/>
        </w:rPr>
      </w:pPr>
      <w:r>
        <w:t>(69)</w:t>
      </w:r>
      <w:r>
        <w:tab/>
      </w:r>
      <w:r>
        <w:rPr>
          <w:noProof/>
        </w:rPr>
        <w:t xml:space="preserve">Die gemäß dieser Richtlinie ausgetauschten Informationen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sollten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nicht zur Preisgabe eines Handels-, Gewerbe- oder Berufsgeheimnisses oder eines Geschäftsverfahrens oder von Informationen, deren Preisgabe die öffentliche Ordnung verletzen würde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 führen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(EU) 2016/881 Erwägungsgrund 9</w:t>
      </w:r>
    </w:p>
    <w:p>
      <w:pPr>
        <w:pStyle w:val="ManualConsidrant"/>
        <w:rPr>
          <w:noProof/>
        </w:rPr>
      </w:pPr>
      <w:r>
        <w:t>(70)</w:t>
      </w:r>
      <w:r>
        <w:tab/>
      </w:r>
      <w:r>
        <w:rPr>
          <w:noProof/>
        </w:rPr>
        <w:t xml:space="preserve">Die Mitgliedstaaten sollten für Verstöße gegen die aufgrund dieser Richtlinie erlassenen nationalen Vorschriften Sanktionen festlegen und dafür sorgen, dass diese Sanktionen angewendet werden. Die Wahl der Sanktionen bleibt zwar den </w:t>
      </w:r>
      <w:r>
        <w:rPr>
          <w:noProof/>
        </w:rPr>
        <w:lastRenderedPageBreak/>
        <w:t>Mitgliedstaaten überlassen, doch sollten die vorgesehenen Sanktionen wirksam, verhältnismäßig und abschreckend sein.</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2014/107/EU Erwägungsgrund 13 (angepasst)</w:t>
      </w:r>
    </w:p>
    <w:p>
      <w:pPr>
        <w:pStyle w:val="ManualConsidrant"/>
        <w:rPr>
          <w:noProof/>
        </w:rPr>
      </w:pPr>
      <w:r>
        <w:t>(71)</w:t>
      </w:r>
      <w:r>
        <w:tab/>
      </w:r>
      <w:r>
        <w:rPr>
          <w:noProof/>
        </w:rPr>
        <w:t xml:space="preserve">Bei der Umsetzung dieser Richtlinie sollten die Mitgliedstaaten die von der OECD ausgearbeiteten Kommentare zum Muster für eine Vereinbarung zwischen den zuständigen Behörden und zum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CRS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als Referenz oder zur Auslegung sowie zur Gewährleistung der einheitlichen Anwendung in allen Mitglied</w:t>
      </w:r>
      <w:r>
        <w:rPr>
          <w:noProof/>
        </w:rPr>
        <w:softHyphen/>
        <w:t>staaten verwenden. Die Maßnahmen der Union in diesem Bereich sollten auch weiterhin insbesondere künftigen Entwicklungen auf OECD-Ebene Rechnung tragen.</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(EU) 2018/822 Erwägungsgrund 16 (angepasst)</w:t>
      </w:r>
    </w:p>
    <w:p>
      <w:pPr>
        <w:pStyle w:val="ManualConsidrant"/>
        <w:rPr>
          <w:noProof/>
        </w:rPr>
      </w:pPr>
      <w:r>
        <w:t>(72)</w:t>
      </w:r>
      <w:r>
        <w:tab/>
      </w:r>
      <w:r>
        <w:rPr>
          <w:noProof/>
        </w:rPr>
        <w:t xml:space="preserve">Zur Gewährleistung einheitlicher Bedingungen für die Durchführung der vorliegenden Richtlinie und insbesondere für den automatischen Informationsaustausch zwischen Steuerbehörden sollten der Kommission Durchführungsbefugnisse zur Festlegung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von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Standardformularen mit einer beschränkten Anzahl von Bestandteilen, einschließlich der Sprachenregelung, übertragen werden. Aus demselben Grund sollten der Kommission auch Durchführungsbefugnisse zur Festlegung der notwendigen praktischen Regelungen für die Aktualisierung des Zentralverzeichnisses über die Zusammenarbeit der Verwaltungsbehörden im Bereich der Besteuerung übertragen werden. Diese Befugnisse sollten im Einklang mit der Verordnung (EU) Nr. 182/2011 des Europäischen Parlaments und des Rates</w:t>
      </w:r>
      <w:r>
        <w:rPr>
          <w:rStyle w:val="FootnoteReference"/>
          <w:noProof/>
          <w:color w:val="000000"/>
        </w:rPr>
        <w:footnoteReference w:id="13"/>
      </w:r>
      <w:r>
        <w:rPr>
          <w:noProof/>
        </w:rPr>
        <w:t xml:space="preserve"> ausgeübt werden.</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(EU) 2016/2258 Erwägungsgrund 6 (angepasst)</w:t>
      </w:r>
    </w:p>
    <w:p>
      <w:pPr>
        <w:pStyle w:val="ManualConsidrant"/>
        <w:rPr>
          <w:noProof/>
        </w:rPr>
      </w:pPr>
      <w:r>
        <w:t>(73)</w:t>
      </w:r>
      <w:r>
        <w:tab/>
      </w:r>
      <w:r>
        <w:rPr>
          <w:noProof/>
        </w:rPr>
        <w:t xml:space="preserve">Die vorliegende Richtlinie steht im Einklang mit den Grundrechten und Grundsätzen, die mit der Charta der Grundrechte der Europäischen Union anerkannt wurden.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Soweit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diese Richtlinie bestimmt, dass den Steuerbehörden der Zugang zu personenbezogenen Daten gesetzlich zu gewähren ist, erfordert das — unbeschadet der Verfassungsordnung des betreffenden Mitgliedstaats — nicht zwingend einen parlamentarischen Rechtsakt. Eine solche Vorschrift sollte jedoch klar und präzise sein, und ihre Anwendung sollte für diejenigen, die ihr unterliegen, im Einklang mit der Rechtsprechung des Gerichtshofs der Europäischen Union und des Europäischen Gerichtshofs für Menschenrechte klar und vorhersehbar sein.</w:t>
      </w:r>
    </w:p>
    <w:p>
      <w:pPr>
        <w:pStyle w:val="CRSeparator"/>
        <w:rPr>
          <w:noProof/>
          <w:lang w:val="de-DE"/>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(EU) 2015/2376 Erwägungsgrund 23</w:t>
      </w:r>
    </w:p>
    <w:p>
      <w:pPr>
        <w:pStyle w:val="ManualConsidrant"/>
        <w:rPr>
          <w:noProof/>
        </w:rPr>
      </w:pPr>
      <w:r>
        <w:t>(74)</w:t>
      </w:r>
      <w:r>
        <w:tab/>
      </w:r>
      <w:r>
        <w:rPr>
          <w:noProof/>
        </w:rPr>
        <w:t>Da das Ziel dieser Richtlinie, nämlich eine effiziente Verwaltungszusammenarbeit zwischen den Mitgliedstaaten unter Bedingungen, die mit dem reibungslosen Funktionieren des Binnenmarkts vereinbar sind, von den Mitgliedstaaten nicht ausreichend verwirklicht werden kann, sondern vielmehr wegen der erforderlichen Einheitlichkeit und Wirksamkeit auf Unionsebene besser zu verwirklichen ist, kann die Union im Einklang mit dem in Artikel 5 des Vertrags über die Europäische Union verankerten Subsidiaritätsprinzip tätig werden. Entsprechend dem in demselben Artikel genannten Grundsatz der Verhältnismäßigkeit geht diese Richtlinie nicht über das für die Verwirklichung dieses Ziels erforderliche Maß hinaus.</w:t>
      </w:r>
    </w:p>
    <w:p>
      <w:pPr>
        <w:pStyle w:val="CRSeparator"/>
        <w:rPr>
          <w:noProof/>
          <w:lang w:val="de-DE"/>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w:t>
      </w:r>
    </w:p>
    <w:p>
      <w:pPr>
        <w:pStyle w:val="ManualConsidrant"/>
        <w:rPr>
          <w:noProof/>
        </w:rPr>
      </w:pPr>
      <w:r>
        <w:t>(75)</w:t>
      </w:r>
      <w:r>
        <w:tab/>
      </w:r>
      <w:r>
        <w:rPr>
          <w:noProof/>
        </w:rPr>
        <w:t>Diese Richtlinie sollte die Verpflichtungen der Mitgliedstaaten hinsichtlich der in Anhang V Teil B genannten Fristen für die Umsetzung und Anwendung der dort genannten Richtlinien in nationales Recht unberührt lassen —</w:t>
      </w:r>
    </w:p>
    <w:p>
      <w:pPr>
        <w:pStyle w:val="CRSeparator"/>
        <w:keepLines/>
        <w:rPr>
          <w:noProof/>
          <w:lang w:val="de-DE"/>
        </w:rPr>
      </w:pPr>
    </w:p>
    <w:p>
      <w:pPr>
        <w:pStyle w:val="CRReference"/>
        <w:keepLines/>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2011/16/EU (angepasst)</w:t>
      </w:r>
    </w:p>
    <w:p>
      <w:pPr>
        <w:pStyle w:val="Formuledadoption"/>
        <w:keepLines/>
        <w:rPr>
          <w:noProof/>
        </w:rPr>
      </w:pPr>
      <w:r>
        <w:rPr>
          <w:noProof/>
        </w:rPr>
        <w:t>HAT FOLGENDE RICHTLINIE ERLASSEN:</w:t>
      </w:r>
    </w:p>
    <w:p>
      <w:pPr>
        <w:pStyle w:val="ChapterTitle"/>
        <w:keepLines/>
        <w:rPr>
          <w:noProof/>
        </w:rPr>
      </w:pPr>
      <w:r>
        <w:rPr>
          <w:noProof/>
        </w:rPr>
        <w:t>KAPITEL I</w:t>
      </w:r>
    </w:p>
    <w:p>
      <w:pPr>
        <w:pStyle w:val="ChapterTitle"/>
        <w:keepLines/>
        <w:rPr>
          <w:noProof/>
        </w:rPr>
      </w:pPr>
      <w:r>
        <w:rPr>
          <w:iCs/>
          <w:noProof/>
        </w:rPr>
        <w:t>ALLGEMEINE BESTIMMUNGEN</w:t>
      </w:r>
    </w:p>
    <w:p>
      <w:pPr>
        <w:pStyle w:val="Titrearticle"/>
        <w:keepLines/>
        <w:rPr>
          <w:noProof/>
        </w:rPr>
      </w:pPr>
      <w:r>
        <w:rPr>
          <w:noProof/>
        </w:rPr>
        <w:t>Artikel 1</w:t>
      </w:r>
    </w:p>
    <w:p>
      <w:pPr>
        <w:pStyle w:val="NormalCentered"/>
        <w:keepNext/>
        <w:keepLines/>
        <w:rPr>
          <w:b/>
          <w:bCs/>
          <w:noProof/>
        </w:rPr>
      </w:pPr>
      <w:r>
        <w:rPr>
          <w:b/>
          <w:bCs/>
          <w:noProof/>
        </w:rPr>
        <w:t>Gegenstand</w:t>
      </w:r>
    </w:p>
    <w:p>
      <w:pPr>
        <w:keepNext/>
        <w:keepLines/>
        <w:rPr>
          <w:noProof/>
        </w:rPr>
      </w:pPr>
      <w:r>
        <w:rPr>
          <w:noProof/>
        </w:rPr>
        <w:t>(1) Diese Richtlinie legt die Regeln und Verfahren fest, nach denen die Mitgliedstaaten untereinander im Hinblick auf den Austausch von Informationen zusammenarbeiten, die für die Anwendung und Durchsetzung des innerstaatlichen Rechts der Mitgliedstaaten über die in Artikel 2 genannten Steuern voraussichtlich erheblich sind.</w:t>
      </w:r>
    </w:p>
    <w:p>
      <w:pPr>
        <w:rPr>
          <w:noProof/>
        </w:rPr>
      </w:pPr>
      <w:r>
        <w:rPr>
          <w:noProof/>
        </w:rPr>
        <w:t>(2) Diese Richtlinie legt ferner Bestimmungen für den Austausch der Informationen nach Absatz 1 auf elektronischem Wege sowie die Regeln und Verfahren fest, nach denen die Mitgliedstaaten und die Kommission in Fragen der Koordinierung und der Bewertung zusammenarbeiten.</w:t>
      </w:r>
    </w:p>
    <w:p>
      <w:pPr>
        <w:rPr>
          <w:noProof/>
        </w:rPr>
      </w:pPr>
      <w:r>
        <w:rPr>
          <w:noProof/>
        </w:rPr>
        <w:t>(3) Diese Richtlinie berührt nicht die Anwendung der Vorschriften über die Rechtshilfe in Strafsachen in den Mitgliedstaaten. Sie berührt auch nicht die Erfüllung der Verpflichtungen, die den Mitgliedstaaten in Bezug auf eine umfassendere Zusammenarbeit der Verwaltungen aus anderen Rechtsinstrumenten, einschließlich bi- oder multilateralen Abkommen, erwachsen.</w:t>
      </w:r>
    </w:p>
    <w:p>
      <w:pPr>
        <w:pStyle w:val="Titrearticle"/>
        <w:rPr>
          <w:noProof/>
        </w:rPr>
      </w:pPr>
      <w:r>
        <w:rPr>
          <w:noProof/>
        </w:rPr>
        <w:t>Artikel 2</w:t>
      </w:r>
    </w:p>
    <w:p>
      <w:pPr>
        <w:pStyle w:val="NormalCentered"/>
        <w:rPr>
          <w:b/>
          <w:bCs/>
          <w:noProof/>
        </w:rPr>
      </w:pPr>
      <w:r>
        <w:rPr>
          <w:b/>
          <w:bCs/>
          <w:noProof/>
        </w:rPr>
        <w:t>Geltungsbereich</w:t>
      </w:r>
    </w:p>
    <w:p>
      <w:pPr>
        <w:rPr>
          <w:noProof/>
        </w:rPr>
      </w:pPr>
      <w:r>
        <w:rPr>
          <w:noProof/>
        </w:rPr>
        <w:lastRenderedPageBreak/>
        <w:t>(1) Diese Richtlinie gilt für Steuern aller Art, die von einem oder für einen Mitgliedstaat bzw. von oder für gebiets- oder verwaltungsmäßige Gliederungseinheiten eines Mitgliedstaats, einschließlich der lokalen Behörden, erhoben werden.</w:t>
      </w:r>
    </w:p>
    <w:p>
      <w:pPr>
        <w:rPr>
          <w:noProof/>
        </w:rPr>
      </w:pPr>
      <w:r>
        <w:rPr>
          <w:noProof/>
        </w:rPr>
        <w:t>(2) Ungeachtet des Absatzes 1 gilt diese Richtlinie nicht für die Mehrwertsteuer und Zölle oder für Verbrauchsteuern, die in anderen Rechtsvorschriften der Union über die Zusammenarbeit zwischen den Verwaltungsbehörden der Mitgliedstaaten erfasst sind. Diese Richtlinie gilt auch nicht für Pflichtbeiträge zu Sozialversicherungen, die an den Mitgliedstaat, eine Gliederungseinheit des Mitgliedstaats oder an öffentlich-rechtliche Sozialversicherungs</w:t>
      </w:r>
      <w:r>
        <w:rPr>
          <w:noProof/>
        </w:rPr>
        <w:softHyphen/>
        <w:t>einrichtungen zu leisten sind.</w:t>
      </w:r>
    </w:p>
    <w:p>
      <w:pPr>
        <w:rPr>
          <w:noProof/>
        </w:rPr>
      </w:pPr>
      <w:r>
        <w:rPr>
          <w:noProof/>
        </w:rPr>
        <w:t>(3) In keinem Fall sind die Steuern im Sinne von Absatz 1 dahingehend auszulegen, dass sie Folgendes einschließen:</w:t>
      </w:r>
    </w:p>
    <w:p>
      <w:pPr>
        <w:pStyle w:val="Point0"/>
        <w:rPr>
          <w:noProof/>
        </w:rPr>
      </w:pPr>
      <w:r>
        <w:rPr>
          <w:noProof/>
        </w:rPr>
        <w:t>a)</w:t>
      </w:r>
      <w:r>
        <w:rPr>
          <w:noProof/>
        </w:rPr>
        <w:tab/>
        <w:t xml:space="preserve">Gebühren, wie sie für von Behörden ausgestellte Bescheinigungen und andere Dokumente erhoben werden; </w:t>
      </w:r>
    </w:p>
    <w:p>
      <w:pPr>
        <w:pStyle w:val="Point0"/>
        <w:rPr>
          <w:noProof/>
        </w:rPr>
      </w:pPr>
      <w:r>
        <w:rPr>
          <w:noProof/>
        </w:rPr>
        <w:t>b)</w:t>
      </w:r>
      <w:r>
        <w:rPr>
          <w:noProof/>
        </w:rPr>
        <w:tab/>
        <w:t>vertragliche Gebühren, wie etwa Zahlungen an öffentliche Versorgungsbetriebe.</w:t>
      </w:r>
    </w:p>
    <w:p>
      <w:pPr>
        <w:rPr>
          <w:noProof/>
        </w:rPr>
      </w:pPr>
      <w:r>
        <w:rPr>
          <w:noProof/>
        </w:rPr>
        <w:t>(4) Diese Richtlinie gilt für die in Absatz 1 genannten Steuern, die in dem Gebiet erhoben werden, auf das die Verträge gemäß Artikel 52 des Vertrags über die Europäische Union Anwendung finden.</w:t>
      </w:r>
    </w:p>
    <w:p>
      <w:pPr>
        <w:pStyle w:val="Titrearticle"/>
        <w:rPr>
          <w:noProof/>
        </w:rPr>
      </w:pPr>
      <w:r>
        <w:rPr>
          <w:noProof/>
        </w:rPr>
        <w:t>Artikel 3</w:t>
      </w:r>
    </w:p>
    <w:p>
      <w:pPr>
        <w:pStyle w:val="NormalCentered"/>
        <w:rPr>
          <w:b/>
          <w:bCs/>
          <w:noProof/>
        </w:rPr>
      </w:pPr>
      <w:r>
        <w:rPr>
          <w:b/>
          <w:bCs/>
          <w:noProof/>
        </w:rPr>
        <w:t>Begriffsbestimmungen</w:t>
      </w:r>
    </w:p>
    <w:p>
      <w:pPr>
        <w:rPr>
          <w:noProof/>
        </w:rPr>
      </w:pPr>
      <w:r>
        <w:rPr>
          <w:noProof/>
        </w:rPr>
        <w:t>Für die Zwecke dieser Richtlinie bezeichnet der Ausdruck:</w:t>
      </w:r>
    </w:p>
    <w:p>
      <w:pPr>
        <w:pStyle w:val="Point0"/>
        <w:rPr>
          <w:noProof/>
        </w:rPr>
      </w:pPr>
      <w:r>
        <w:rPr>
          <w:noProof/>
        </w:rPr>
        <w:t>1.</w:t>
      </w:r>
      <w:r>
        <w:rPr>
          <w:noProof/>
        </w:rPr>
        <w:tab/>
        <w:t>„zuständige Behörde“ eines Mitgliedstaats die Behörde, die als solche von diesem Mitgliedstaat benannt worden ist. Ein zentrales Verbindungsbüro, eine Verbindungs</w:t>
      </w:r>
      <w:r>
        <w:rPr>
          <w:noProof/>
        </w:rPr>
        <w:softHyphen/>
        <w:t xml:space="preserve">stelle oder ein zuständiger Bediensteter, die gemäß dieser Richtlinie tätig werden, gelten ebenfalls als zuständige Behörde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durch Übertragung gemäß Artikel 4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pPr>
        <w:pStyle w:val="Point0"/>
        <w:rPr>
          <w:noProof/>
        </w:rPr>
      </w:pPr>
      <w:r>
        <w:rPr>
          <w:noProof/>
        </w:rPr>
        <w:t>2.</w:t>
      </w:r>
      <w:r>
        <w:rPr>
          <w:noProof/>
        </w:rPr>
        <w:tab/>
        <w:t>„zentrales Verbindungsbüro“ die als solche benannte Stelle, die für die Verbindungen zu den anderen Mitgliedstaaten auf dem Gebiet der Zusammenarbeit der Verwaltungsbehörden hauptverantwortlich ist;</w:t>
      </w:r>
    </w:p>
    <w:p>
      <w:pPr>
        <w:pStyle w:val="Point0"/>
        <w:rPr>
          <w:noProof/>
        </w:rPr>
      </w:pPr>
      <w:r>
        <w:rPr>
          <w:noProof/>
        </w:rPr>
        <w:t>3.</w:t>
      </w:r>
      <w:r>
        <w:rPr>
          <w:noProof/>
        </w:rPr>
        <w:tab/>
        <w:t>„Verbindungsstelle“ jede andere Stelle als das zentrale Verbindungsbüro, die als solche benannt worden ist, um nach Maßgabe dieser Richtlinie Informationen direkt auszutauschen;</w:t>
      </w:r>
    </w:p>
    <w:p>
      <w:pPr>
        <w:pStyle w:val="Point0"/>
        <w:rPr>
          <w:noProof/>
        </w:rPr>
      </w:pPr>
      <w:r>
        <w:rPr>
          <w:noProof/>
        </w:rPr>
        <w:t>4.</w:t>
      </w:r>
      <w:r>
        <w:rPr>
          <w:noProof/>
        </w:rPr>
        <w:tab/>
        <w:t>„zuständiger Bediensteter“ jeden Bediensteten, der zum direkten Informations</w:t>
      </w:r>
      <w:r>
        <w:rPr>
          <w:noProof/>
        </w:rPr>
        <w:softHyphen/>
        <w:t>austausch nach Maßgabe dieser Richtlinie befugt ist;</w:t>
      </w:r>
    </w:p>
    <w:p>
      <w:pPr>
        <w:pStyle w:val="Point0"/>
        <w:rPr>
          <w:noProof/>
        </w:rPr>
      </w:pPr>
      <w:r>
        <w:rPr>
          <w:noProof/>
        </w:rPr>
        <w:t>5.</w:t>
      </w:r>
      <w:r>
        <w:rPr>
          <w:noProof/>
        </w:rPr>
        <w:tab/>
        <w:t>„ersuchende Behörde“ das zentrale Verbindungsbüro, eine Verbindungsstelle oder jeden zuständigen Bediensteten eines Mitgliedstaats, der im Namen der zuständigen Behörde ein Amtshilfeersuchen stellt;</w:t>
      </w:r>
    </w:p>
    <w:p>
      <w:pPr>
        <w:pStyle w:val="Point0"/>
        <w:rPr>
          <w:noProof/>
        </w:rPr>
      </w:pPr>
      <w:r>
        <w:rPr>
          <w:noProof/>
        </w:rPr>
        <w:t>6.</w:t>
      </w:r>
      <w:r>
        <w:rPr>
          <w:noProof/>
        </w:rPr>
        <w:tab/>
        <w:t>„ersuchte Behörde“ das zentrale Verbindungsbüro, eine Verbindungsstelle oder jeden zuständigen Bediensteten eines Mitgliedstaats, der im Namen der zuständigen Behörde ein Amtshilfeersuchen entgegennimmt;</w:t>
      </w:r>
    </w:p>
    <w:p>
      <w:pPr>
        <w:pStyle w:val="Point0"/>
        <w:rPr>
          <w:noProof/>
        </w:rPr>
      </w:pPr>
      <w:r>
        <w:rPr>
          <w:noProof/>
        </w:rPr>
        <w:t>7.</w:t>
      </w:r>
      <w:r>
        <w:rPr>
          <w:noProof/>
        </w:rPr>
        <w:tab/>
        <w:t>„behördliche Ermittlungen“ alle von den Mitgliedstaaten in Ausübung ihrer Aufgaben vorgenommenen Kontrollen, Nachprüfungen und andere Handlungen mit dem Ziel, die ordnungsgemäße Anwendung der Steuervorschriften sicherzustellen;</w:t>
      </w:r>
    </w:p>
    <w:p>
      <w:pPr>
        <w:pStyle w:val="Point0"/>
        <w:rPr>
          <w:noProof/>
        </w:rPr>
      </w:pPr>
      <w:r>
        <w:rPr>
          <w:noProof/>
        </w:rPr>
        <w:lastRenderedPageBreak/>
        <w:t>8.</w:t>
      </w:r>
      <w:r>
        <w:rPr>
          <w:noProof/>
        </w:rPr>
        <w:tab/>
        <w:t>„Austausch von Informationen auf Ersuchen“ den Austausch von Informationen auf der Grundlage eines Ersuchens, das der ersuchende Mitgliedstaat an den ersuchten Mitgliedstaat in einem bestimmten Fall stellt;</w:t>
      </w:r>
    </w:p>
    <w:p>
      <w:pPr>
        <w:pStyle w:val="CRSeparator"/>
        <w:rPr>
          <w:noProof/>
          <w:lang w:val="de-DE"/>
        </w:rPr>
      </w:pPr>
    </w:p>
    <w:p>
      <w:pPr>
        <w:pStyle w:val="CRReference"/>
        <w:keepLines/>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(EU) 2016/881 Art. 1 Nr. 1</w:t>
      </w:r>
    </w:p>
    <w:p>
      <w:pPr>
        <w:pStyle w:val="Point0"/>
        <w:keepNext/>
        <w:keepLines/>
        <w:rPr>
          <w:noProof/>
        </w:rPr>
      </w:pPr>
      <w:r>
        <w:rPr>
          <w:noProof/>
        </w:rPr>
        <w:t>9.</w:t>
      </w:r>
      <w:r>
        <w:rPr>
          <w:noProof/>
        </w:rPr>
        <w:tab/>
        <w:t>„automatischer Austausch“</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(EU) 2018/822 Art. 1 Nr. 1 Buchst. a) Ziff. i)</w:t>
      </w:r>
    </w:p>
    <w:p>
      <w:pPr>
        <w:pStyle w:val="Point1"/>
        <w:rPr>
          <w:noProof/>
        </w:rPr>
      </w:pPr>
      <w:r>
        <w:rPr>
          <w:noProof/>
        </w:rPr>
        <w:t>a)</w:t>
      </w:r>
      <w:r>
        <w:rPr>
          <w:noProof/>
        </w:rPr>
        <w:tab/>
        <w:t>für die Zwecke des Artikels 8 Absatz 1 und der Artikel 9, 10 und 11 die systematische Übermittlung zuvor festgelegter Informationen an einen anderen Mitgliedstaat ohne dessen vorheriges Ersuchen in regelmäßigen, im Voraus bestimmten Abständen. Für die Zwecke des Artikels 8 Absatz 1 sind verfügbare Informationen solche, die in den Steuerakten des die Informationen übermittelnden Mitgliedstaats enthalten sind und die im Einklang mit den Verfahren für die Erhebung und Verarbeitung von Informationen des betreffenden Mitgliedstaats abgerufen werden können;</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(EU) 2016/881 Art. 1 Ziff. 1</w:t>
      </w:r>
    </w:p>
    <w:p>
      <w:pPr>
        <w:pStyle w:val="Point1"/>
        <w:rPr>
          <w:noProof/>
        </w:rPr>
      </w:pPr>
      <w:r>
        <w:rPr>
          <w:noProof/>
        </w:rPr>
        <w:t>b)</w:t>
      </w:r>
      <w:r>
        <w:rPr>
          <w:noProof/>
        </w:rPr>
        <w:tab/>
        <w:t>für die Zwecke des Artikels 8 Absatz 4 die systematische Übermittlung zuvor festgelegter Informationen über in anderen Mitgliedstaaten ansässige Personen an den jeweiligen Ansässigkeitsmitgliedstaat ohne dessen vorheriges Ersuchen in regelmäßigen, im Voraus bestimmten Abständen;</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(EU) 2018/822 Art. 1 Nr. 1 Buchst. a) Ziff. ii) (angepasst)</w:t>
      </w:r>
    </w:p>
    <w:p>
      <w:pPr>
        <w:pStyle w:val="Point1"/>
        <w:rPr>
          <w:noProof/>
        </w:rPr>
      </w:pPr>
      <w:r>
        <w:rPr>
          <w:noProof/>
        </w:rPr>
        <w:t>c)</w:t>
      </w:r>
      <w:r>
        <w:rPr>
          <w:noProof/>
        </w:rPr>
        <w:tab/>
        <w:t>für die Zwecke anderer Bestimmungen dieser Richtlinie als Artikel 8 Absätze 1 und 4 sowie Artikel 9, 10 und 11 die systematische Übermittlung zuvor festgelegter Informationen gemäß den Buchstaben a und b.</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(EU) 2016/881 Art. 1 Nr. 1</w:t>
      </w: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è</w:instrText>
      </w:r>
      <w:r>
        <w:rPr>
          <w:noProof/>
          <w:lang w:val="de-DE"/>
        </w:rPr>
        <w:instrText xml:space="preserve">" </w:instrText>
      </w:r>
      <w:r>
        <w:rPr>
          <w:noProof/>
        </w:rPr>
        <w:fldChar w:fldCharType="separate"/>
      </w:r>
      <w:r>
        <w:rPr>
          <w:rStyle w:val="CRMarker"/>
          <w:noProof/>
          <w:lang w:val="de-DE"/>
        </w:rPr>
        <w:t>è</w:t>
      </w:r>
      <w:r>
        <w:rPr>
          <w:noProof/>
        </w:rPr>
        <w:fldChar w:fldCharType="end"/>
      </w:r>
      <w:r>
        <w:rPr>
          <w:rStyle w:val="CRRefNum"/>
          <w:noProof/>
          <w:lang w:val="de-DE"/>
        </w:rPr>
        <w:t>1</w:t>
      </w:r>
      <w:r>
        <w:rPr>
          <w:noProof/>
          <w:lang w:val="de-DE"/>
        </w:rPr>
        <w:t> (EU) 2018/822 Art. 1 Nr. 1 Buchst. a) Ziff. iii) (angepasst)</w:t>
      </w:r>
    </w:p>
    <w:p>
      <w:pPr>
        <w:pStyle w:val="Text1"/>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Im Zusammenhang mit Artikel 8 Absätze 4 und 7, Artikel 25 Absatz 2, Artikel 30 Absätze 3 und 4 und Anhang IV hat jeder großgeschriebene Ausdruck die Bedeutung, die er gemäß der entsprechenden Definition in Anhang I hat.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r>
        <w:rPr>
          <w:noProof/>
        </w:rPr>
        <w:t xml:space="preserve"> Im Zusammenhang mit Artikel 10 und Anhang III hat jeder großgeschriebene Ausdruck die Bedeutung, die er gemäß den entsprechenden Definitionen in Anhang III hat;</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2011/16/EU (angepasst)</w:t>
      </w:r>
    </w:p>
    <w:p>
      <w:pPr>
        <w:pStyle w:val="Point0"/>
        <w:rPr>
          <w:noProof/>
        </w:rPr>
      </w:pPr>
      <w:r>
        <w:rPr>
          <w:noProof/>
        </w:rPr>
        <w:t>10.</w:t>
      </w:r>
      <w:r>
        <w:rPr>
          <w:noProof/>
        </w:rPr>
        <w:tab/>
        <w:t>„spontaner Austausch“ die nicht systematische Übermittlung von Informationen zu jeder Zeit an einen anderen Mitgliedstaat ohne dessen vorheriges Ersuchen;</w:t>
      </w:r>
    </w:p>
    <w:p>
      <w:pPr>
        <w:pStyle w:val="Point0"/>
        <w:rPr>
          <w:noProof/>
        </w:rPr>
      </w:pPr>
      <w:r>
        <w:rPr>
          <w:noProof/>
        </w:rPr>
        <w:t>11.</w:t>
      </w:r>
      <w:r>
        <w:rPr>
          <w:noProof/>
        </w:rPr>
        <w:tab/>
        <w:t>„Person“</w:t>
      </w:r>
    </w:p>
    <w:p>
      <w:pPr>
        <w:pStyle w:val="Point1"/>
        <w:rPr>
          <w:noProof/>
        </w:rPr>
      </w:pPr>
      <w:r>
        <w:rPr>
          <w:noProof/>
        </w:rPr>
        <w:t>a)</w:t>
      </w:r>
      <w:r>
        <w:rPr>
          <w:noProof/>
        </w:rPr>
        <w:tab/>
        <w:t>eine natürliche Person;</w:t>
      </w:r>
    </w:p>
    <w:p>
      <w:pPr>
        <w:pStyle w:val="Point1"/>
        <w:rPr>
          <w:noProof/>
        </w:rPr>
      </w:pPr>
      <w:r>
        <w:rPr>
          <w:noProof/>
        </w:rPr>
        <w:t>b)</w:t>
      </w:r>
      <w:r>
        <w:rPr>
          <w:noProof/>
        </w:rPr>
        <w:tab/>
        <w:t>eine juristische Person;</w:t>
      </w:r>
    </w:p>
    <w:p>
      <w:pPr>
        <w:pStyle w:val="Point1"/>
        <w:rPr>
          <w:noProof/>
        </w:rPr>
      </w:pPr>
      <w:r>
        <w:rPr>
          <w:noProof/>
        </w:rPr>
        <w:t>c)</w:t>
      </w:r>
      <w:r>
        <w:rPr>
          <w:noProof/>
        </w:rPr>
        <w:tab/>
        <w:t xml:space="preserve">sofern diese Möglichkeit nach den geltenden Rechtsvorschriften besteht, eine Personenvereinigung, der die Rechtsfähigkeit zuerkannt wurde, die aber nicht über die Rechtsstellung einer juristischen Person verfügt; </w:t>
      </w:r>
    </w:p>
    <w:p>
      <w:pPr>
        <w:pStyle w:val="Point1"/>
        <w:rPr>
          <w:noProof/>
        </w:rPr>
      </w:pPr>
      <w:r>
        <w:rPr>
          <w:noProof/>
        </w:rPr>
        <w:t>d)</w:t>
      </w:r>
      <w:r>
        <w:rPr>
          <w:noProof/>
        </w:rPr>
        <w:tab/>
        <w:t xml:space="preserve">alle anderen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Rechtsgebilde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gleich welcher Art und Form — mit oder ohne Rechtspersönlichkeit — die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Vermögenswerte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besitzen oder verwalten, welche einschließlich der daraus erzielten Einkünfte einer der von dieser Richtlinie erfassten Steuern unterliegen;</w:t>
      </w:r>
    </w:p>
    <w:p>
      <w:pPr>
        <w:pStyle w:val="Point0"/>
        <w:rPr>
          <w:noProof/>
        </w:rPr>
      </w:pPr>
      <w:r>
        <w:rPr>
          <w:noProof/>
        </w:rPr>
        <w:t>12.</w:t>
      </w:r>
      <w:r>
        <w:rPr>
          <w:noProof/>
        </w:rPr>
        <w:tab/>
        <w:t>„auf elektronischem Wege“ die Verwendung elektronischer Anlagen zur Verarbeitung (einschließlich der Datenkomprimierung) und zum Speichern von Daten und unter Einsatz von Draht, Funk, optischer Technologien oder anderer elektromagnetischer Verfahren;</w:t>
      </w:r>
    </w:p>
    <w:p>
      <w:pPr>
        <w:pStyle w:val="Point0"/>
        <w:rPr>
          <w:noProof/>
        </w:rPr>
      </w:pPr>
      <w:r>
        <w:rPr>
          <w:noProof/>
        </w:rPr>
        <w:t>13.</w:t>
      </w:r>
      <w:r>
        <w:rPr>
          <w:noProof/>
        </w:rPr>
        <w:tab/>
        <w:t>„CCN-Netz“ die gemeinsame Plattform auf der Grundlage des Gemeinsamen Kommunikationsnetzes (common communication network — CCN), die von der Union für jegliche elektronische Datenübertragung zwischen den zuständigen Behörden im Bereich Zoll und Steuern entwickelt wurde;</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(EU) 2015/2376 Art. 1 Nr. 1 Buchst. b) (angepasst)</w:t>
      </w:r>
    </w:p>
    <w:p>
      <w:pPr>
        <w:pStyle w:val="Point0"/>
        <w:rPr>
          <w:noProof/>
        </w:rPr>
      </w:pPr>
      <w:r>
        <w:rPr>
          <w:noProof/>
        </w:rPr>
        <w:t>14.</w:t>
      </w:r>
      <w:r>
        <w:rPr>
          <w:noProof/>
        </w:rPr>
        <w:tab/>
        <w:t>„grenzüberschreitender Vorbescheid“ eine Vereinbarung, eine Mitteilung oder ein anderes Instrument oder eine andere Maßnahme mit ähnlicher Wirkung, auch wenn sie bzw. es im Zuge einer Steuerprüfung erteilt bzw. getroffen, geändert oder erneuert wird, sofern sie bzw. es die folgenden Voraussetzungen erfüllt:</w:t>
      </w:r>
    </w:p>
    <w:p>
      <w:pPr>
        <w:pStyle w:val="Point1"/>
        <w:rPr>
          <w:noProof/>
        </w:rPr>
      </w:pPr>
      <w:r>
        <w:rPr>
          <w:noProof/>
        </w:rPr>
        <w:t>a)</w:t>
      </w:r>
      <w:r>
        <w:rPr>
          <w:noProof/>
        </w:rPr>
        <w:tab/>
        <w:t>sie bzw. es wird von bzw. im Namen der Regierung oder der Steuerbehörde eines Mitgliedstaats oder einer gebiets- oder verwaltungsmäßigen Gliederungseinheit eines Mitgliedstaats, einschließlich der lokalen Behörden, erteilt, geändert oder erneuert, unabhängig davon, ob sie bzw. es tatsächlich verwendet wird;</w:t>
      </w:r>
    </w:p>
    <w:p>
      <w:pPr>
        <w:pStyle w:val="Point1"/>
        <w:rPr>
          <w:noProof/>
        </w:rPr>
      </w:pPr>
      <w:r>
        <w:rPr>
          <w:noProof/>
        </w:rPr>
        <w:t>b)</w:t>
      </w:r>
      <w:r>
        <w:rPr>
          <w:noProof/>
        </w:rPr>
        <w:tab/>
        <w:t>sie bzw. es wird für eine bestimmte Person oder eine Gruppe von Personen erteilt, geändert oder erneuert, und diese Person oder Gruppe von Personen kann sich darauf berufen;</w:t>
      </w:r>
    </w:p>
    <w:p>
      <w:pPr>
        <w:pStyle w:val="Point1"/>
        <w:rPr>
          <w:noProof/>
        </w:rPr>
      </w:pPr>
      <w:r>
        <w:rPr>
          <w:noProof/>
        </w:rPr>
        <w:t>c)</w:t>
      </w:r>
      <w:r>
        <w:rPr>
          <w:noProof/>
        </w:rPr>
        <w:tab/>
        <w:t>sie bzw. es betrifft die Auslegung oder Anwendung einer Rechts- oder Verwaltungsvorschrift zur Handhabung oder Durchsetzung der Steuergesetze eines Mitgliedstaats oder seiner gebiets- oder verwaltungsmäßigen Gliederungseinheiten, einschließlich der lokalen Behörden;</w:t>
      </w:r>
    </w:p>
    <w:p>
      <w:pPr>
        <w:pStyle w:val="Point1"/>
        <w:rPr>
          <w:noProof/>
        </w:rPr>
      </w:pPr>
      <w:r>
        <w:rPr>
          <w:noProof/>
        </w:rPr>
        <w:lastRenderedPageBreak/>
        <w:t>d)</w:t>
      </w:r>
      <w:r>
        <w:rPr>
          <w:noProof/>
        </w:rPr>
        <w:tab/>
        <w:t xml:space="preserve">sie bzw. es bezieht sich auf eine grenzüberschreitende Transaktion oder auf die Frage, ob durch die Tätigkeiten, denen eine Person in einem anderen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Hoheitsgebiet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nachgeht, eine Betriebsstätte gegründet wird oder nicht; </w:t>
      </w:r>
    </w:p>
    <w:p>
      <w:pPr>
        <w:pStyle w:val="Point1"/>
        <w:rPr>
          <w:noProof/>
        </w:rPr>
      </w:pPr>
      <w:r>
        <w:rPr>
          <w:noProof/>
        </w:rPr>
        <w:t>e)</w:t>
      </w:r>
      <w:r>
        <w:rPr>
          <w:noProof/>
        </w:rPr>
        <w:tab/>
        <w:t xml:space="preserve">sie bzw. es wird vor den Transaktionen oder den Tätigkeiten in dem anderen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Hoheitsgebiet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die möglicherweise als Gründung einer Betriebsstätte zu betrachten sind, oder vor Abgabe der Steuererklärung für den Zeitraum, in dem die Transaktion bzw. die Transaktionen oder Tätigkeiten erfolgten, erteilt.</w:t>
      </w:r>
    </w:p>
    <w:p>
      <w:pPr>
        <w:pStyle w:val="Point0"/>
        <w:rPr>
          <w:noProof/>
        </w:rPr>
      </w:pPr>
      <w:r>
        <w:rPr>
          <w:noProof/>
        </w:rPr>
        <w:tab/>
        <w:t xml:space="preserve">Die grenzüberschreitende Transaktion kann unter anderem Investitionen, die Bereitstellung von Waren, Dienstleistungen oder Kapital oder den Einsatz materieller oder immaterieller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Vermögenswerte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umfassen, wobei der Empfänger des grenzüberschreitenden Vorbescheids nicht unmittelbar beteiligt sein muss;</w:t>
      </w:r>
    </w:p>
    <w:p>
      <w:pPr>
        <w:pStyle w:val="Point0"/>
        <w:rPr>
          <w:noProof/>
        </w:rPr>
      </w:pPr>
      <w:r>
        <w:rPr>
          <w:noProof/>
        </w:rPr>
        <w:t>15.</w:t>
      </w:r>
      <w:r>
        <w:rPr>
          <w:noProof/>
        </w:rPr>
        <w:tab/>
        <w:t>„Vorabverständigung über die Verrechnungspreisgestaltung“ eine Vereinbarung, eine Mitteilung oder ein anderes Instrument oder eine andere Maßnahme mit ähnlicher Wirkung — auch wenn sie bzw. es im Zuge einer Steuerprüfung getroffen, geändert oder erneuert wird —, sofern sie bzw. es die folgenden Voraussetzungen erfüllt:</w:t>
      </w:r>
    </w:p>
    <w:p>
      <w:pPr>
        <w:pStyle w:val="Point1"/>
        <w:rPr>
          <w:noProof/>
        </w:rPr>
      </w:pPr>
      <w:r>
        <w:rPr>
          <w:noProof/>
        </w:rPr>
        <w:t>a)</w:t>
      </w:r>
      <w:r>
        <w:rPr>
          <w:noProof/>
        </w:rPr>
        <w:tab/>
        <w:t>sie bzw. es wird von bzw. im Namen der Regierung oder der Steuerbehörde eines oder mehrerer Mitgliedstaaten oder seiner bzw. ihrer gebiets- oder verwaltungsmäßigen Gliederungseinheiten, einschließlich der lokalen Behörden, getroffen, geändert oder erneuert, unabhängig davon, ob sie tatsächlich verwendet wird oder nicht;</w:t>
      </w:r>
    </w:p>
    <w:p>
      <w:pPr>
        <w:pStyle w:val="Point1"/>
        <w:rPr>
          <w:noProof/>
        </w:rPr>
      </w:pPr>
      <w:r>
        <w:rPr>
          <w:noProof/>
        </w:rPr>
        <w:t>b)</w:t>
      </w:r>
      <w:r>
        <w:rPr>
          <w:noProof/>
        </w:rPr>
        <w:tab/>
        <w:t xml:space="preserve">sie bzw. es wird für eine bestimmte Person oder eine Gruppe von Personen getroffen, geändert oder erneuert, und diese Person oder Gruppe von Personen kann sich darauf berufen; </w:t>
      </w:r>
    </w:p>
    <w:p>
      <w:pPr>
        <w:pStyle w:val="Point1"/>
        <w:rPr>
          <w:noProof/>
        </w:rPr>
      </w:pPr>
      <w:r>
        <w:rPr>
          <w:noProof/>
        </w:rPr>
        <w:t>c)</w:t>
      </w:r>
      <w:r>
        <w:rPr>
          <w:noProof/>
        </w:rPr>
        <w:tab/>
        <w:t>sie bzw. es legt im Vorfeld grenzüberschreitender Transaktionen zwischen verbundenen Unternehmen geeignete Kriterien zur Bestimmung der Verrechnungspreise für die betreffenden Transaktionen fest oder regelt die Zuweisung von Gewinnen an eine Betriebsstätte.</w:t>
      </w:r>
    </w:p>
    <w:p>
      <w:pPr>
        <w:pStyle w:val="Text1"/>
        <w:rPr>
          <w:noProof/>
        </w:rPr>
      </w:pPr>
      <w:r>
        <w:rPr>
          <w:noProof/>
        </w:rPr>
        <w:t>Es handelt sich um verbundene Unternehmen, wenn ein Unternehmen unmittelbar oder mittelbar an der Geschäftsleitung, der Kontrolle oder dem Kapital eines anderen Unternehmens beteiligt ist oder wenn ein und dieselben Personen unmittelbar oder mittelbar an der Geschäftsleitung, der Kontrolle oder dem Kapital beider Unternehmen beteiligt sind.</w:t>
      </w:r>
    </w:p>
    <w:p>
      <w:pPr>
        <w:pStyle w:val="Text1"/>
        <w:rPr>
          <w:noProof/>
        </w:rPr>
      </w:pPr>
      <w:r>
        <w:rPr>
          <w:noProof/>
        </w:rPr>
        <w:t xml:space="preserve">Verrechnungspreise sind Preise, zu denen ein Unternehmen materielle oder immaterielle Güter auf verbundene Unternehmen überträgt oder Dienstleistungen für ein verbundenes Unternehmen erbringt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 „Verrechnungspreisgestaltung“ ist dementsprechend zu verstehen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pPr>
        <w:pStyle w:val="Point0"/>
        <w:rPr>
          <w:noProof/>
        </w:rPr>
      </w:pPr>
      <w:r>
        <w:rPr>
          <w:noProof/>
        </w:rPr>
        <w:t>16.</w:t>
      </w:r>
      <w:r>
        <w:rPr>
          <w:noProof/>
        </w:rPr>
        <w:tab/>
        <w:t xml:space="preserve">„grenzüberschreitende Transaktion“ für die Zwecke der Nummer 14 eine Transaktion oder Reihe von Transaktionen, bei der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einer oder mehrere der folgenden Fälle vorliegt: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pStyle w:val="Point1"/>
        <w:rPr>
          <w:noProof/>
        </w:rPr>
      </w:pPr>
      <w:r>
        <w:rPr>
          <w:noProof/>
        </w:rPr>
        <w:t>a)</w:t>
      </w:r>
      <w:r>
        <w:rPr>
          <w:noProof/>
        </w:rPr>
        <w:tab/>
        <w:t xml:space="preserve">nicht alle an der Transaktion oder Reihe von Transaktionen beteiligten Parteien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sind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in dem den grenzüberschreitenden </w:t>
      </w:r>
      <w:r>
        <w:rPr>
          <w:noProof/>
        </w:rPr>
        <w:lastRenderedPageBreak/>
        <w:t>Vorbescheid erteilenden, ändernden oder erneuernden Mitgliedstaat steuerlich ansässig;</w:t>
      </w:r>
    </w:p>
    <w:p>
      <w:pPr>
        <w:pStyle w:val="Point1"/>
        <w:rPr>
          <w:noProof/>
        </w:rPr>
      </w:pPr>
      <w:r>
        <w:rPr>
          <w:noProof/>
        </w:rPr>
        <w:t>b)</w:t>
      </w:r>
      <w:r>
        <w:rPr>
          <w:noProof/>
        </w:rPr>
        <w:tab/>
        <w:t xml:space="preserve">eine der an der Transaktion oder Reihe von Transaktionen beteiligten Parteien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ist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gleichzeitig in mehreren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Hoheitsgebieten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steuerlich ansässig;</w:t>
      </w:r>
    </w:p>
    <w:p>
      <w:pPr>
        <w:pStyle w:val="Point1"/>
        <w:rPr>
          <w:noProof/>
        </w:rPr>
      </w:pPr>
      <w:r>
        <w:rPr>
          <w:noProof/>
        </w:rPr>
        <w:t>c)</w:t>
      </w:r>
      <w:r>
        <w:rPr>
          <w:noProof/>
        </w:rPr>
        <w:tab/>
        <w:t xml:space="preserve">eine der an der Transaktion oder Reihe von Transaktionen beteiligten Parteien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geht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über eine Betriebsstätte Geschäftstätigkeiten in einem anderen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Hoheitsgebiet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nach und die Transaktion oder Reihe von Transaktionen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ist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Teil der Geschäftstätigkeiten der Betriebsstätte oder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macht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deren gesamte Geschäftstätigkeiten aus. Bei einer grenzüberschreitenden Transaktion oder Reihe von grenzüberschreitenden Transaktionen kann es sich auch um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Gestaltungen durch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eine Person in Bezug auf Geschäftstätigkeiten in einem anderen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Hoheitsgebiet handeln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denen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diese Person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über eine Betriebsstätte nachgeht; </w:t>
      </w:r>
    </w:p>
    <w:p>
      <w:pPr>
        <w:pStyle w:val="Point1"/>
        <w:rPr>
          <w:noProof/>
        </w:rPr>
      </w:pPr>
      <w:r>
        <w:rPr>
          <w:noProof/>
        </w:rPr>
        <w:t>d)</w:t>
      </w:r>
      <w:r>
        <w:rPr>
          <w:noProof/>
        </w:rPr>
        <w:tab/>
        <w:t xml:space="preserve">es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handelt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sich um eine Transaktion oder Reihe von Transaktionen, die grenzübergreifende Auswirkungen haben.</w:t>
      </w:r>
    </w:p>
    <w:p>
      <w:pPr>
        <w:pStyle w:val="Text1"/>
        <w:rPr>
          <w:noProof/>
        </w:rPr>
      </w:pPr>
      <w:r>
        <w:rPr>
          <w:noProof/>
        </w:rPr>
        <w:t xml:space="preserve">Für die Zwecke der Nummer 15 bezeichnet der Ausdruck „grenzüberschreitende Transaktion“ eine Transaktion oder Reihe von Transaktionen, an denen verbundene Unternehmen beteiligt sind, die nicht alle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in ein und demselben Hoheitsgebiet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steuerlich ansässig sind, oder bei denen eine Transaktion oder Reihe von Transaktionen grenzübergreifende Auswirkungen haben;</w:t>
      </w:r>
    </w:p>
    <w:p>
      <w:pPr>
        <w:pStyle w:val="Point0"/>
        <w:rPr>
          <w:noProof/>
        </w:rPr>
      </w:pPr>
      <w:r>
        <w:rPr>
          <w:noProof/>
        </w:rPr>
        <w:t>17.</w:t>
      </w:r>
      <w:r>
        <w:rPr>
          <w:noProof/>
        </w:rPr>
        <w:tab/>
        <w:t>Für die Zwecke der Nummern 15 und 16 bezeichnet „Unternehmen“ jede Form von Geschäftstätigkeit;</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(EU) 2018/822 Art. 1 Nr. 1 Buchst. b) (angepasst)</w:t>
      </w:r>
    </w:p>
    <w:p>
      <w:pPr>
        <w:pStyle w:val="Point0"/>
        <w:rPr>
          <w:noProof/>
        </w:rPr>
      </w:pPr>
      <w:r>
        <w:rPr>
          <w:noProof/>
        </w:rPr>
        <w:t>18.</w:t>
      </w:r>
      <w:r>
        <w:rPr>
          <w:noProof/>
        </w:rPr>
        <w:tab/>
        <w:t>„grenzüberschreitende Gestaltungen“ eine Gestaltung, die entweder mehr als einen Mitgliedstaat oder einen Mitgliedstaat und ein Drittland betrifft, wobei mindestens eine der folgenden Bedingungen erfüllt ist:</w:t>
      </w:r>
    </w:p>
    <w:p>
      <w:pPr>
        <w:pStyle w:val="Point1"/>
        <w:rPr>
          <w:noProof/>
        </w:rPr>
      </w:pPr>
      <w:r>
        <w:rPr>
          <w:noProof/>
        </w:rPr>
        <w:t>a)</w:t>
      </w:r>
      <w:r>
        <w:rPr>
          <w:noProof/>
        </w:rPr>
        <w:tab/>
        <w:t>nicht alle an der Gestaltung Beteiligten sind im selben Hoheitsgebiet steuerlich ansässig;</w:t>
      </w:r>
    </w:p>
    <w:p>
      <w:pPr>
        <w:pStyle w:val="Point1"/>
        <w:rPr>
          <w:noProof/>
        </w:rPr>
      </w:pPr>
      <w:r>
        <w:rPr>
          <w:noProof/>
        </w:rPr>
        <w:t>b)</w:t>
      </w:r>
      <w:r>
        <w:rPr>
          <w:noProof/>
        </w:rPr>
        <w:tab/>
        <w:t>einer oder mehrere der an der Gestaltung Beteiligten ist/sind gleichzeitig in mehreren Hoheitsgebieten steuerlich ansässig;</w:t>
      </w:r>
    </w:p>
    <w:p>
      <w:pPr>
        <w:pStyle w:val="Point1"/>
        <w:rPr>
          <w:noProof/>
        </w:rPr>
      </w:pPr>
      <w:r>
        <w:rPr>
          <w:noProof/>
        </w:rPr>
        <w:t>c)</w:t>
      </w:r>
      <w:r>
        <w:rPr>
          <w:noProof/>
        </w:rPr>
        <w:tab/>
        <w:t>einer oder mehrere der an der Gestaltung Beteiligten übt/üben in einem anderen Hoheitsgebiet über eine dort gelegene Betriebsstätte eine Geschäftstätigkeit aus, und die Gestaltung stellt teilweise oder ganz die durch die Betriebsstätte ausgeübte Geschäftstätigkeit dar;</w:t>
      </w:r>
    </w:p>
    <w:p>
      <w:pPr>
        <w:pStyle w:val="Point1"/>
        <w:rPr>
          <w:noProof/>
        </w:rPr>
      </w:pPr>
      <w:r>
        <w:rPr>
          <w:noProof/>
        </w:rPr>
        <w:t>d)</w:t>
      </w:r>
      <w:r>
        <w:rPr>
          <w:noProof/>
        </w:rPr>
        <w:tab/>
        <w:t>einer oder mehrere der an der Gestaltung Beteiligten übt/üben in einem anderen Hoheitsgebiet eine Tätigkeit aus, ohne dort steuerlich ansässig zu sein oder eine Betriebsstätte zu begründen;</w:t>
      </w:r>
    </w:p>
    <w:p>
      <w:pPr>
        <w:pStyle w:val="Point1"/>
        <w:rPr>
          <w:noProof/>
        </w:rPr>
      </w:pPr>
      <w:r>
        <w:rPr>
          <w:noProof/>
        </w:rPr>
        <w:lastRenderedPageBreak/>
        <w:t>e)</w:t>
      </w:r>
      <w:r>
        <w:rPr>
          <w:noProof/>
        </w:rPr>
        <w:tab/>
        <w:t>eine solche Gestaltung hat möglicherweise Auswirkungen auf den automatischen Informationsaustausch oder die Identifizierung der wirtschaftlichen Eigentümer.</w:t>
      </w:r>
    </w:p>
    <w:p>
      <w:pPr>
        <w:pStyle w:val="Point0"/>
        <w:rPr>
          <w:noProof/>
        </w:rPr>
      </w:pPr>
      <w:r>
        <w:rPr>
          <w:noProof/>
        </w:rPr>
        <w:tab/>
        <w:t>Für die Zwecke der Nummern 18 bis 25 dieses Artikels, des Artikels 11 und des Anhangs IV kann es sich bei einer Gestaltung auch um eine Reihe von Gestaltungen handeln. Eine Gestaltung kann mehr als einen Schritt oder Teil umfassen;</w:t>
      </w:r>
    </w:p>
    <w:p>
      <w:pPr>
        <w:pStyle w:val="Point0"/>
        <w:rPr>
          <w:noProof/>
        </w:rPr>
      </w:pPr>
      <w:r>
        <w:rPr>
          <w:noProof/>
        </w:rPr>
        <w:t>19.</w:t>
      </w:r>
      <w:r>
        <w:rPr>
          <w:noProof/>
        </w:rPr>
        <w:tab/>
        <w:t>„meldepflichtige grenzüberschreitende Gestaltung“ jede grenzüberschreitende Gestaltung, die mindestens eines der in Anhang IV aufgeführten Kennzeichen aufweist;</w:t>
      </w:r>
    </w:p>
    <w:p>
      <w:pPr>
        <w:pStyle w:val="Point0"/>
        <w:rPr>
          <w:noProof/>
        </w:rPr>
      </w:pPr>
      <w:r>
        <w:rPr>
          <w:noProof/>
        </w:rPr>
        <w:t>20.</w:t>
      </w:r>
      <w:r>
        <w:rPr>
          <w:noProof/>
        </w:rPr>
        <w:tab/>
        <w:t>„Kennzeichen“ ein Merkmal oder eine Eigenschaft einer grenzüberschreitenden Gestaltung gemäß Anhang IV, das bzw. die auf ein potenzielles Risiko der Steuervermeidung hindeutet;</w:t>
      </w:r>
    </w:p>
    <w:p>
      <w:pPr>
        <w:pStyle w:val="Point0"/>
        <w:rPr>
          <w:noProof/>
        </w:rPr>
      </w:pPr>
      <w:r>
        <w:rPr>
          <w:noProof/>
        </w:rPr>
        <w:t>21.</w:t>
      </w:r>
      <w:r>
        <w:rPr>
          <w:noProof/>
        </w:rPr>
        <w:tab/>
        <w:t>„Intermediär“ jede Person, die eine meldepflichtige grenzüberschreitende Gestaltung konzipiert, vermarktet, organisiert oder zur Umsetzung bereitstellt oder die die Umsetzung einer solchen Gestaltung verwaltet.</w:t>
      </w:r>
    </w:p>
    <w:p>
      <w:pPr>
        <w:pStyle w:val="Text1"/>
        <w:rPr>
          <w:noProof/>
        </w:rPr>
      </w:pPr>
      <w:r>
        <w:rPr>
          <w:noProof/>
        </w:rPr>
        <w:t>Dieser Ausdruck bezeichnet auch jede Person, die — unter Berücksichtigung der relevanten Fakten und Umstände und auf der Grundlage der verfügbaren Informationen sowie des einschlägigen Fachwissens und Verständnisses, die für die Erbringung solcher Dienstleistungen erforderlich sind, — weiß oder vernünftiger</w:t>
      </w:r>
      <w:r>
        <w:rPr>
          <w:noProof/>
        </w:rPr>
        <w:softHyphen/>
        <w:t>weise wissen müsste, dass sie unmittelbar oder über andere Personen Hilfe, Unterstützung oder Beratung im Hinblick auf Konzeption, Vermarktung, Organisation, Bereitstellung zur Umsetzung oder Verwaltung der Umsetzung einer meldepflichtigen grenzüberschreitenden Gestaltung geleistet hat. Jede Person hat das Recht, Beweise zu erbringen, wonach sie nicht wusste oder vernünftigerweise nicht wissen konnte, dass sie an einer meldepflichtigen grenzüberschreitenden Gestaltung beteiligt war. Die betreffende Person kann zu diesem Zweck alle relevanten Fakten und Umstände sowie verfügbaren Informationen und ihr einschlägiges Fachwissen und Verständnis geltend machen.</w:t>
      </w:r>
    </w:p>
    <w:p>
      <w:pPr>
        <w:pStyle w:val="Text1"/>
        <w:rPr>
          <w:noProof/>
        </w:rPr>
      </w:pPr>
      <w:r>
        <w:rPr>
          <w:noProof/>
        </w:rPr>
        <w:t>Damit eine Person als Intermediär fungieren kann, muss sie mindestens eine der folgenden zusätzlichen Bedingungen erfüllen:</w:t>
      </w:r>
    </w:p>
    <w:p>
      <w:pPr>
        <w:pStyle w:val="Point1"/>
        <w:rPr>
          <w:noProof/>
        </w:rPr>
      </w:pPr>
      <w:r>
        <w:rPr>
          <w:noProof/>
        </w:rPr>
        <w:t>a)</w:t>
      </w:r>
      <w:r>
        <w:rPr>
          <w:noProof/>
        </w:rPr>
        <w:tab/>
        <w:t>sie ist in einem Mitgliedstaat steuerlich ansässig;</w:t>
      </w:r>
    </w:p>
    <w:p>
      <w:pPr>
        <w:pStyle w:val="Point1"/>
        <w:rPr>
          <w:noProof/>
        </w:rPr>
      </w:pPr>
      <w:r>
        <w:rPr>
          <w:noProof/>
        </w:rPr>
        <w:t>b)</w:t>
      </w:r>
      <w:r>
        <w:rPr>
          <w:noProof/>
        </w:rPr>
        <w:tab/>
        <w:t>sie hat eine Betriebsstätte in einem Mitgliedstaat, durch die die Dienstleistungen im Zusammenhang mit der Gestaltung erbracht werden;</w:t>
      </w:r>
    </w:p>
    <w:p>
      <w:pPr>
        <w:pStyle w:val="Point1"/>
        <w:rPr>
          <w:noProof/>
        </w:rPr>
      </w:pPr>
      <w:r>
        <w:rPr>
          <w:noProof/>
        </w:rPr>
        <w:t>c)</w:t>
      </w:r>
      <w:r>
        <w:rPr>
          <w:noProof/>
        </w:rPr>
        <w:tab/>
        <w:t>sie ist nach dem Recht eines Mitgliedstaats eingetragen oder unterliegt dem Recht eines Mitgliedstaats;</w:t>
      </w:r>
    </w:p>
    <w:p>
      <w:pPr>
        <w:pStyle w:val="Point1"/>
        <w:rPr>
          <w:noProof/>
        </w:rPr>
      </w:pPr>
      <w:r>
        <w:rPr>
          <w:noProof/>
        </w:rPr>
        <w:t>d)</w:t>
      </w:r>
      <w:r>
        <w:rPr>
          <w:noProof/>
        </w:rPr>
        <w:tab/>
        <w:t>sie ist in einem Mitgliedstaat Mitglied in einer Organisation für juristische, steuerliche oder beratende Dienstleistungen;</w:t>
      </w:r>
    </w:p>
    <w:p>
      <w:pPr>
        <w:pStyle w:val="Point0"/>
        <w:rPr>
          <w:noProof/>
        </w:rPr>
      </w:pPr>
      <w:r>
        <w:rPr>
          <w:noProof/>
        </w:rPr>
        <w:t>22.</w:t>
      </w:r>
      <w:r>
        <w:rPr>
          <w:noProof/>
        </w:rPr>
        <w:tab/>
        <w:t>„relevanter Steuerpflichtiger“ jede Person, der eine meldepflichtige grenzüberschreitende Gestaltung zur Umsetzung bereitgestellt wird oder die bereit ist, eine meldepflichtige grenzüberschreitende Gestaltung umzusetzen, oder die den ersten Schritt einer solchen Gestaltung umgesetzt hat;</w:t>
      </w:r>
    </w:p>
    <w:p>
      <w:pPr>
        <w:pStyle w:val="Point0"/>
        <w:rPr>
          <w:noProof/>
        </w:rPr>
      </w:pPr>
      <w:r>
        <w:rPr>
          <w:noProof/>
        </w:rPr>
        <w:t>23.</w:t>
      </w:r>
      <w:r>
        <w:rPr>
          <w:noProof/>
        </w:rPr>
        <w:tab/>
        <w:t>„verbundenes Unternehmen“ für die Zwecke des Artikels 11 eine Person, die mit einer anderen Person auf mindestens eine der folgenden Arten verbunden ist:</w:t>
      </w:r>
    </w:p>
    <w:p>
      <w:pPr>
        <w:pStyle w:val="Point1"/>
        <w:rPr>
          <w:noProof/>
        </w:rPr>
      </w:pPr>
      <w:r>
        <w:rPr>
          <w:noProof/>
        </w:rPr>
        <w:t>a)</w:t>
      </w:r>
      <w:r>
        <w:rPr>
          <w:noProof/>
        </w:rPr>
        <w:tab/>
        <w:t>eine Person ist an der Geschäftsleitung einer anderen Person insofern beteiligt, als sie erheblichen Einfluss auf diese ausüben kann;</w:t>
      </w:r>
    </w:p>
    <w:p>
      <w:pPr>
        <w:pStyle w:val="Point1"/>
        <w:rPr>
          <w:noProof/>
        </w:rPr>
      </w:pPr>
      <w:r>
        <w:rPr>
          <w:noProof/>
        </w:rPr>
        <w:lastRenderedPageBreak/>
        <w:t>b)</w:t>
      </w:r>
      <w:r>
        <w:rPr>
          <w:noProof/>
        </w:rPr>
        <w:tab/>
        <w:t>eine Person ist über eine Holdinggesellschaft, die über mehr als 25 % der Stimmrechte verfügt, an der Kontrolle einer anderen Person beteiligt;</w:t>
      </w:r>
    </w:p>
    <w:p>
      <w:pPr>
        <w:pStyle w:val="Point1"/>
        <w:rPr>
          <w:noProof/>
        </w:rPr>
      </w:pPr>
      <w:r>
        <w:rPr>
          <w:noProof/>
        </w:rPr>
        <w:t>c)</w:t>
      </w:r>
      <w:r>
        <w:rPr>
          <w:noProof/>
        </w:rPr>
        <w:tab/>
        <w:t>eine Person ist über ein Eigentumsrecht, das unmittelbar oder mittelbar mehr als 25 % des Kapitals beträgt, am Kapital einer anderen Person beteiligt;</w:t>
      </w:r>
    </w:p>
    <w:p>
      <w:pPr>
        <w:pStyle w:val="Point1"/>
        <w:rPr>
          <w:noProof/>
        </w:rPr>
      </w:pPr>
      <w:r>
        <w:rPr>
          <w:noProof/>
        </w:rPr>
        <w:t>d)</w:t>
      </w:r>
      <w:r>
        <w:rPr>
          <w:noProof/>
        </w:rPr>
        <w:tab/>
        <w:t>eine Person hat Anspruch auf mindestens 25 % der Gewinne einer anderen Person.</w:t>
      </w:r>
    </w:p>
    <w:p>
      <w:pPr>
        <w:pStyle w:val="Text1"/>
        <w:rPr>
          <w:noProof/>
        </w:rPr>
      </w:pPr>
      <w:r>
        <w:rPr>
          <w:noProof/>
        </w:rPr>
        <w:t>Falls mehr als eine Person gemäß den Buchstaben a bis d an der Geschäftsleitung, der Kontrolle, dem Kapital oder den Gewinnen derselben Person beteiligt ist, gelten alle betroffenen Personen als verbundene Unternehmen.</w:t>
      </w:r>
    </w:p>
    <w:p>
      <w:pPr>
        <w:pStyle w:val="Text1"/>
        <w:rPr>
          <w:noProof/>
        </w:rPr>
      </w:pPr>
      <w:r>
        <w:rPr>
          <w:noProof/>
        </w:rPr>
        <w:t>Falls dieselben Personen gemäß den Buchstaben a bis d an der Geschäftsleitung, der Kontrolle, dem Kapital oder den Gewinnen von mehr als einer Person beteiligt sind, gelten alle betroffenen Personen als verbundene Unternehmen.</w:t>
      </w:r>
    </w:p>
    <w:p>
      <w:pPr>
        <w:pStyle w:val="Text1"/>
        <w:rPr>
          <w:noProof/>
        </w:rPr>
      </w:pPr>
      <w:r>
        <w:rPr>
          <w:noProof/>
        </w:rPr>
        <w:t>Für die Zwecke dieser Nummer wird eine Person, die in Bezug auf die Stimmrechte oder die Kapitalbeteiligung an einem Unternehmen gemeinsam mit einer anderen Person handelt, so behandelt, als würde sie eine Beteiligung an allen Stimmrechten oder dem gesamten Kapital dieses Unternehmens halten, die bzw. das von der anderen Person gehalten werden/wird.</w:t>
      </w:r>
    </w:p>
    <w:p>
      <w:pPr>
        <w:pStyle w:val="Text1"/>
        <w:rPr>
          <w:noProof/>
        </w:rPr>
      </w:pPr>
      <w:r>
        <w:rPr>
          <w:noProof/>
        </w:rPr>
        <w:t>Bei mittelbaren Beteiligungen wird die Erfüllung der Anforderungen gemäß Buchstabe c durch Multiplikation der Beteiligungsquoten an den nachgeordneten Unternehmen ermittelt. Eine Person mit einer Stimmrechtsbeteiligung von mehr als 50 % gilt als Halter von 100 % der Stimmrechte.</w:t>
      </w:r>
    </w:p>
    <w:p>
      <w:pPr>
        <w:pStyle w:val="Text1"/>
        <w:rPr>
          <w:noProof/>
        </w:rPr>
      </w:pPr>
      <w:r>
        <w:rPr>
          <w:noProof/>
        </w:rPr>
        <w:t>Eine natürliche Person, ihr Ehepartner und ihre Verwandte in aufsteigender oder absteigender gerader Linie werden als eine einzige Person behandelt;</w:t>
      </w:r>
    </w:p>
    <w:p>
      <w:pPr>
        <w:pStyle w:val="Point0"/>
        <w:rPr>
          <w:noProof/>
        </w:rPr>
      </w:pPr>
      <w:r>
        <w:rPr>
          <w:noProof/>
        </w:rPr>
        <w:t>24.</w:t>
      </w:r>
      <w:r>
        <w:rPr>
          <w:noProof/>
        </w:rPr>
        <w:tab/>
        <w:t xml:space="preserve">„marktfähige Gestaltung“ eine grenzüberschreitende Gestaltung, die konzipiert wird, vermarktet wird, umsetzungsbereit ist oder zur Umsetzung bereitgestellt wird, ohne dass sie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in wesentlichem Umfang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individuell angepasst werden muss;</w:t>
      </w:r>
    </w:p>
    <w:p>
      <w:pPr>
        <w:pStyle w:val="Point0"/>
        <w:rPr>
          <w:noProof/>
        </w:rPr>
      </w:pPr>
      <w:r>
        <w:rPr>
          <w:noProof/>
        </w:rPr>
        <w:t>25.</w:t>
      </w:r>
      <w:r>
        <w:rPr>
          <w:noProof/>
        </w:rPr>
        <w:tab/>
        <w:t>„maßgeschneiderte Gestaltung“ jede grenzüberschreitende Gestaltung, bei der es sich nicht um eine marktfähige Gestaltung handelt.</w:t>
      </w:r>
    </w:p>
    <w:p>
      <w:pPr>
        <w:pStyle w:val="CRSeparator"/>
        <w:keepLines/>
        <w:rPr>
          <w:noProof/>
          <w:lang w:val="de-DE"/>
        </w:rPr>
      </w:pPr>
    </w:p>
    <w:p>
      <w:pPr>
        <w:pStyle w:val="CRReference"/>
        <w:keepLines/>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2011/16/EU (angepasst)</w:t>
      </w:r>
    </w:p>
    <w:p>
      <w:pPr>
        <w:pStyle w:val="Titrearticle"/>
        <w:keepLines/>
        <w:rPr>
          <w:noProof/>
        </w:rPr>
      </w:pPr>
      <w:r>
        <w:rPr>
          <w:noProof/>
        </w:rPr>
        <w:t>Artikel 4</w:t>
      </w:r>
    </w:p>
    <w:p>
      <w:pPr>
        <w:pStyle w:val="NormalCentered"/>
        <w:keepNext/>
        <w:keepLines/>
        <w:rPr>
          <w:b/>
          <w:bCs/>
          <w:noProof/>
        </w:rPr>
      </w:pPr>
      <w:r>
        <w:rPr>
          <w:b/>
          <w:bCs/>
          <w:noProof/>
        </w:rPr>
        <w:t>Organisation</w:t>
      </w:r>
    </w:p>
    <w:p>
      <w:pPr>
        <w:keepNext/>
        <w:keepLines/>
        <w:rPr>
          <w:noProof/>
        </w:rPr>
      </w:pPr>
      <w:r>
        <w:rPr>
          <w:noProof/>
        </w:rPr>
        <w:t xml:space="preserve">(1) Jeder Mitgliedstaat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informiert die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Kommission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unverzüglich über jede Änderung bezüglich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seiner für die Zwecke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der vorliegenden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Richtlinie zuständigen Behörde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 welche der Kommission zuvor nach Artikel 4 Absatz 1 der Richtlinie 2011/61/EU mitgeteilt wurde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pPr>
        <w:rPr>
          <w:noProof/>
        </w:rPr>
      </w:pPr>
      <w:r>
        <w:rPr>
          <w:noProof/>
        </w:rPr>
        <w:t xml:space="preserve">Die Kommission stellt diese Information den anderen Mitgliedstaaten zur Verfügung und veröffentlicht die Liste der zuständigen Behörden der Mitgliedstaaten im </w:t>
      </w:r>
      <w:r>
        <w:rPr>
          <w:i/>
          <w:iCs/>
          <w:noProof/>
        </w:rPr>
        <w:t>Amtsblatt der Europäischen Union</w:t>
      </w:r>
      <w:r>
        <w:rPr>
          <w:noProof/>
        </w:rPr>
        <w:t>.</w:t>
      </w:r>
    </w:p>
    <w:p>
      <w:pPr>
        <w:rPr>
          <w:noProof/>
        </w:rPr>
      </w:pPr>
      <w:r>
        <w:rPr>
          <w:noProof/>
        </w:rPr>
        <w:lastRenderedPageBreak/>
        <w:t xml:space="preserve">(2) Die zuständige Behörde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jedes Mitgliedstaats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benennt ein einziges zentrales Verbindungsbüro.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Es obliegt der zuständigen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Behörde, die Kommission und die übrigen Mitgliedstaaten davon in Kenntnis zu setzen.</w:t>
      </w:r>
    </w:p>
    <w:p>
      <w:pPr>
        <w:rPr>
          <w:noProof/>
        </w:rPr>
      </w:pPr>
      <w:r>
        <w:rPr>
          <w:noProof/>
        </w:rPr>
        <w:t xml:space="preserve">Das zentrale Verbindungsbüro kann auch als die zuständige Stelle für die Verbindungen zur Kommission benannt werden.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Es obliegt der zuständigen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Behörde, die Kommission davon in Kenntnis zu setzen.</w:t>
      </w:r>
    </w:p>
    <w:p>
      <w:pPr>
        <w:rPr>
          <w:noProof/>
        </w:rPr>
      </w:pPr>
      <w:r>
        <w:rPr>
          <w:noProof/>
        </w:rPr>
        <w:t xml:space="preserve">(3) Die zuständige Behörde jedes Mitgliedstaats kann Verbindungsstellen mit einer auf seinen nationalen Rechtsvorschriften oder innenpolitischen Grundsätzen beruhenden Zuständigkeit benennen.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Es obliegt dem zentralen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Verbindungsbüro, das Verzeichnis der Verbindungsstellen auf dem neuesten Stand zu halten und es den zentralen Verbindungsbüros der anderen betroffenen Mitgliedstaaten und der Kommission zugänglich zu machen.</w:t>
      </w:r>
    </w:p>
    <w:p>
      <w:pPr>
        <w:rPr>
          <w:noProof/>
        </w:rPr>
      </w:pPr>
      <w:r>
        <w:rPr>
          <w:noProof/>
        </w:rPr>
        <w:t xml:space="preserve">(4) Die zuständige Behörde jedes Mitgliedstaats kann zuständige Bedienstete benennen.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Es obliegt dem zentralen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Verbindungsbüro, das Verzeichnis der zuständigen Bediensteten auf dem neuesten Stand zu halten und es den zentralen Verbindungsbüros der anderen betroffenen Mitgliedstaaten und der Kommission zugänglich zu machen.</w:t>
      </w:r>
    </w:p>
    <w:p>
      <w:pPr>
        <w:rPr>
          <w:noProof/>
        </w:rPr>
      </w:pPr>
      <w:r>
        <w:rPr>
          <w:noProof/>
        </w:rPr>
        <w:t>(5) Die nach Maßgabe dieser Richtlinie an der Zusammenarbeit der Verwaltungsbehörden beteiligten Bediensteten gelten entsprechend den von den zuständigen Behörden festgelegten Regelungen in jedem Fall als für diesen Zweck zuständige Bedienstete.</w:t>
      </w:r>
    </w:p>
    <w:p>
      <w:pPr>
        <w:rPr>
          <w:noProof/>
        </w:rPr>
      </w:pPr>
      <w:r>
        <w:rPr>
          <w:noProof/>
        </w:rPr>
        <w:t>(6) Wenn eine Verbindungsstelle oder ein zuständiger Bediensteter ein Ersuchen oder eine Antwort auf ein Ersuchen um Zusammenarbeit übermittelt bzw. entgegennimmt, unterrichtet sie/er das zentrale Verbindungsbüro ihres/seines Mitgliedstaats gemäß den von jenem Mitgliedstaat festgelegten Verfahren.</w:t>
      </w:r>
    </w:p>
    <w:p>
      <w:pPr>
        <w:rPr>
          <w:noProof/>
        </w:rPr>
      </w:pPr>
      <w:r>
        <w:rPr>
          <w:noProof/>
        </w:rPr>
        <w:t>(7) Erhält eine Verbindungsstelle oder ein zuständiger Bediensteter ein Ersuchen um Zusam</w:t>
      </w:r>
      <w:r>
        <w:rPr>
          <w:noProof/>
        </w:rPr>
        <w:softHyphen/>
        <w:t>menarbeit, das eine Tätigkeit außerhalb des ihr/ihm zugewiesenen Zuständigkeitsbereichs, der ihr/ihm nach den nationalen Rechtsvorschriften oder innenpolitischen Grundsätzen ihres/seines Mitgliedstaats zugewiesen ist, erfordert, so übermittelt sie/er dieses Ersuchen unverzüglich dem zentralen Verbindungsbüro ihres/seines Mitgliedstaats und teilt dies der ersuchenden Behörde mit. In einem solchen Fall beginnt die Frist nach Artikel 7 am Tag nach der Weiterleitung des Ersuchens um Zusammenarbeit an das zentrale Verbindungsbüro.</w:t>
      </w:r>
    </w:p>
    <w:p>
      <w:pPr>
        <w:pStyle w:val="ChapterTitle"/>
        <w:rPr>
          <w:noProof/>
        </w:rPr>
      </w:pPr>
      <w:r>
        <w:rPr>
          <w:noProof/>
        </w:rPr>
        <w:t>KAPITEL II</w:t>
      </w:r>
    </w:p>
    <w:p>
      <w:pPr>
        <w:pStyle w:val="ChapterTitle"/>
        <w:rPr>
          <w:noProof/>
        </w:rPr>
      </w:pPr>
      <w:r>
        <w:rPr>
          <w:iCs/>
          <w:noProof/>
        </w:rPr>
        <w:t>INFORMATIONSAUSTAUSCH</w:t>
      </w:r>
    </w:p>
    <w:p>
      <w:pPr>
        <w:pStyle w:val="SectionTitle"/>
        <w:rPr>
          <w:noProof/>
        </w:rPr>
      </w:pPr>
      <w:r>
        <w:rPr>
          <w:iCs/>
          <w:noProof/>
        </w:rPr>
        <w:t>ABSCHNITT I</w:t>
      </w:r>
    </w:p>
    <w:p>
      <w:pPr>
        <w:pStyle w:val="SectionTitle"/>
        <w:rPr>
          <w:noProof/>
        </w:rPr>
      </w:pPr>
      <w:r>
        <w:rPr>
          <w:iCs/>
          <w:noProof/>
        </w:rPr>
        <w:t>Informationsaustausch auf Ersuchen</w:t>
      </w:r>
    </w:p>
    <w:p>
      <w:pPr>
        <w:pStyle w:val="Titrearticle"/>
        <w:rPr>
          <w:noProof/>
        </w:rPr>
      </w:pPr>
      <w:r>
        <w:rPr>
          <w:noProof/>
        </w:rPr>
        <w:t>Artikel 5</w:t>
      </w:r>
    </w:p>
    <w:p>
      <w:pPr>
        <w:pStyle w:val="NormalCentered"/>
        <w:rPr>
          <w:b/>
          <w:bCs/>
          <w:noProof/>
        </w:rPr>
      </w:pPr>
      <w:r>
        <w:rPr>
          <w:b/>
          <w:bCs/>
          <w:noProof/>
        </w:rPr>
        <w:t>Verfahren für den Informationsaustausch auf Ersuchen</w:t>
      </w:r>
    </w:p>
    <w:p>
      <w:pPr>
        <w:rPr>
          <w:noProof/>
        </w:rPr>
      </w:pPr>
      <w:r>
        <w:rPr>
          <w:noProof/>
        </w:rPr>
        <w:lastRenderedPageBreak/>
        <w:t>Auf Ersuchen der ersuchenden Behörde übermittelt die ersuchte Behörde der ersuchenden Behörde alle in Artikel 1 Absatz 1 genannten Informationen, die sie besitzt oder die sie im Anschluss an behördliche Ermittlungen erhalten hat.</w:t>
      </w:r>
    </w:p>
    <w:p>
      <w:pPr>
        <w:pStyle w:val="Titrearticle"/>
        <w:rPr>
          <w:noProof/>
        </w:rPr>
      </w:pPr>
      <w:r>
        <w:rPr>
          <w:noProof/>
        </w:rPr>
        <w:t>Artikel 6</w:t>
      </w:r>
    </w:p>
    <w:p>
      <w:pPr>
        <w:pStyle w:val="NormalCentered"/>
        <w:rPr>
          <w:b/>
          <w:bCs/>
          <w:noProof/>
        </w:rPr>
      </w:pPr>
      <w:r>
        <w:rPr>
          <w:b/>
          <w:bCs/>
          <w:noProof/>
        </w:rPr>
        <w:t>Behördliche Ermittlungen</w:t>
      </w:r>
    </w:p>
    <w:p>
      <w:pPr>
        <w:rPr>
          <w:noProof/>
        </w:rPr>
      </w:pPr>
      <w:r>
        <w:rPr>
          <w:noProof/>
        </w:rPr>
        <w:t>(1) Die ersuchte Behörde trifft Vorkehrungen dafür, dass alle behördlichen Ermittlungen durchgeführt werden, die zur Beschaffung der in Artikel 5 genannten Informationen notwendig sind.</w:t>
      </w:r>
    </w:p>
    <w:p>
      <w:pPr>
        <w:rPr>
          <w:noProof/>
        </w:rPr>
      </w:pPr>
      <w:r>
        <w:rPr>
          <w:noProof/>
        </w:rPr>
        <w:t xml:space="preserve">(2) Das in Artikel 5 genannte Ersuchen kann ein begründetes Ersuchen um eine bestimmte behördliche Ermittlung enthalten. Ist die ersuchte Behörde der Auffassung, dass keine behördlichen Ermittlungen erforderlich sind, so teilt sie der ersuchenden Behörde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umgehend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die Gründe hierfür mit.</w:t>
      </w:r>
    </w:p>
    <w:p>
      <w:pPr>
        <w:rPr>
          <w:noProof/>
        </w:rPr>
      </w:pPr>
      <w:r>
        <w:rPr>
          <w:noProof/>
        </w:rPr>
        <w:t>(3) Zur Beschaffung der erbetenen Informationen oder zur Durchführung der erbetenen behördlichen Ermittlungen geht die ersuchte Behörde nach denselben Verfahren vor, die sie anwenden würde, wenn sie von sich aus oder auf Ersuchen einer anderen Behörde des eigenen Mitgliedstaats handeln würde.</w:t>
      </w:r>
    </w:p>
    <w:p>
      <w:pPr>
        <w:rPr>
          <w:noProof/>
        </w:rPr>
      </w:pPr>
      <w:r>
        <w:rPr>
          <w:noProof/>
        </w:rPr>
        <w:t>(4) Die ersuchte Behörde übermittelt Urschriften, sofern die ersuchende Behörde eigens darum bittet und die geltenden Rechtsvorschriften des Mitgliedstaats der ersuchten Behörde dem nicht entgegenstehen.</w:t>
      </w:r>
    </w:p>
    <w:p>
      <w:pPr>
        <w:pStyle w:val="Titrearticle"/>
        <w:rPr>
          <w:noProof/>
        </w:rPr>
      </w:pPr>
      <w:r>
        <w:rPr>
          <w:noProof/>
        </w:rPr>
        <w:t>Artikel 7</w:t>
      </w:r>
    </w:p>
    <w:p>
      <w:pPr>
        <w:pStyle w:val="NormalCentered"/>
        <w:rPr>
          <w:b/>
          <w:bCs/>
          <w:noProof/>
        </w:rPr>
      </w:pPr>
      <w:r>
        <w:rPr>
          <w:b/>
          <w:bCs/>
          <w:noProof/>
        </w:rPr>
        <w:t>Fristen</w:t>
      </w:r>
    </w:p>
    <w:p>
      <w:pPr>
        <w:rPr>
          <w:noProof/>
        </w:rPr>
      </w:pPr>
      <w:r>
        <w:rPr>
          <w:noProof/>
        </w:rPr>
        <w:t>(1) Die ersuchte Behörde stellt die in Artikel 5 genannten Informationen möglichst rasch, spätestens jedoch sechs Monate nach dem Datum des Eingangs des Ersuchens, zur Verfügung.</w:t>
      </w:r>
    </w:p>
    <w:p>
      <w:pPr>
        <w:rPr>
          <w:noProof/>
        </w:rPr>
      </w:pPr>
      <w:r>
        <w:rPr>
          <w:noProof/>
        </w:rPr>
        <w:t>Ist die ersuchte Behörde jedoch bereits im Besitz dieser Informationen, so werden sie innerhalb von zwei Monaten ab jenem Datum zur Verfügung gestellt.</w:t>
      </w:r>
    </w:p>
    <w:p>
      <w:pPr>
        <w:rPr>
          <w:noProof/>
        </w:rPr>
      </w:pPr>
      <w:r>
        <w:rPr>
          <w:noProof/>
        </w:rPr>
        <w:t>(2) In bestimmten besonders gelagerten Fällen können zwischen der ersuchten und der ersuchenden Behörde andere als die in Absatz 1 vorgesehenen Fristen vereinbart werden.</w:t>
      </w:r>
    </w:p>
    <w:p>
      <w:pPr>
        <w:rPr>
          <w:noProof/>
        </w:rPr>
      </w:pPr>
      <w:r>
        <w:rPr>
          <w:noProof/>
        </w:rPr>
        <w:t xml:space="preserve">(3) Die ersuchte Behörde bestätigt der ersuchenden Behörde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umgehend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spätestens jedoch sieben Arbeitstage nach Erhalt des Ersuchens, möglichst auf elektronischem Wege den Erhalt dieses Ersuchens.</w:t>
      </w:r>
    </w:p>
    <w:p>
      <w:pPr>
        <w:rPr>
          <w:noProof/>
        </w:rPr>
      </w:pPr>
      <w:r>
        <w:rPr>
          <w:noProof/>
        </w:rPr>
        <w:t>(4) Die ersuchte Behörde unterrichtet die ersuchende Behörde innerhalb eines Monats nach Erhalt des Ersuchens über eventuell bestehende Mängel in dem Ersuchen und gegebenenfalls erforderliche zusätzliche Hintergrundinformationen. In diesem Fall beginnt die Frist gemäß Absatz 1 am Tag nach dem Eingang der von der ersuchten Behörde angeforderten zusätzlichen Informationen.</w:t>
      </w:r>
    </w:p>
    <w:p>
      <w:pPr>
        <w:rPr>
          <w:noProof/>
        </w:rPr>
      </w:pPr>
      <w:r>
        <w:rPr>
          <w:noProof/>
        </w:rPr>
        <w:t xml:space="preserve">(5) Ist die ersuchte Behörde nicht in der Lage, auf ein Ersuchen fristgerecht zu antworten, so unterrichtet sie die ersuchende Behörde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umgehend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spätestens jedoch innerhalb von drei Monaten nach Erhalt des Ersuchens, über die Gründe, die einer fristgerechten Antwort entgegenstehen, sowie über den Zeitpunkt, an dem sie dem Ersuchen voraussichtlich nachkommen kann.</w:t>
      </w:r>
    </w:p>
    <w:p>
      <w:pPr>
        <w:rPr>
          <w:noProof/>
        </w:rPr>
      </w:pPr>
      <w:r>
        <w:rPr>
          <w:noProof/>
        </w:rPr>
        <w:lastRenderedPageBreak/>
        <w:t xml:space="preserve">(6) Ist die ersuchte Behörde nicht im Besitz der erbetenen Informationen und nicht in der Lage, dem Informationsersuchen nachzukommen, oder lehnt sie es aus den in Artikel 21 genannten Gründen ab, ihm nachzukommen, so teilt sie der ersuchenden Behörde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umgehend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spätestens jedoch innerhalb eines Monats nach Erhalt des Ersuchens, die Gründe mit.</w:t>
      </w:r>
    </w:p>
    <w:p>
      <w:pPr>
        <w:pStyle w:val="SectionTitle"/>
        <w:rPr>
          <w:noProof/>
        </w:rPr>
      </w:pPr>
      <w:r>
        <w:rPr>
          <w:iCs/>
          <w:noProof/>
        </w:rPr>
        <w:t>ABSCHNITT II</w:t>
      </w:r>
    </w:p>
    <w:p>
      <w:pPr>
        <w:pStyle w:val="SectionTitle"/>
        <w:rPr>
          <w:noProof/>
        </w:rPr>
      </w:pPr>
      <w:r>
        <w:rPr>
          <w:iCs/>
          <w:noProof/>
        </w:rPr>
        <w:t>Verpflichtender automatischer Informationsaustausch</w:t>
      </w:r>
    </w:p>
    <w:p>
      <w:pPr>
        <w:pStyle w:val="Titrearticle"/>
        <w:rPr>
          <w:noProof/>
        </w:rPr>
      </w:pPr>
      <w:r>
        <w:rPr>
          <w:noProof/>
        </w:rPr>
        <w:t>Artikel 8</w:t>
      </w:r>
    </w:p>
    <w:p>
      <w:pPr>
        <w:pStyle w:val="NormalCentered"/>
        <w:rPr>
          <w:b/>
          <w:bCs/>
          <w:noProof/>
        </w:rPr>
      </w:pPr>
      <w:r>
        <w:rPr>
          <w:b/>
          <w:bCs/>
          <w:noProof/>
        </w:rPr>
        <w:t>Umfang und Voraussetzungen des verpflichtenden automatischen Informationsaustauschs</w:t>
      </w:r>
    </w:p>
    <w:p>
      <w:pPr>
        <w:rPr>
          <w:noProof/>
        </w:rPr>
      </w:pPr>
      <w:r>
        <w:rPr>
          <w:noProof/>
        </w:rPr>
        <w:t xml:space="preserve">(1) Die zuständige Behörde jedes Mitgliedstaats übermittelt im Wege des automatischen Austauschs der zuständigen Behörde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eines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anderen Mitgliedstaats Informationen in Bezug auf Besteuerungszeiträume ab 1. Januar 2014, die über in jenem anderen Mitgliedstaat ansässige Personen in Bezug auf die folgenden bestimmten Arten von Einkünften und Vermögen, wie sie jeweils im Sinne des nationalen Rechts des die Informationen übermittelnden Mitgliedstaats zu verstehen sind, verfügbar sind:</w:t>
      </w:r>
    </w:p>
    <w:p>
      <w:pPr>
        <w:pStyle w:val="Point0"/>
        <w:rPr>
          <w:noProof/>
        </w:rPr>
      </w:pPr>
      <w:r>
        <w:rPr>
          <w:noProof/>
        </w:rPr>
        <w:t>a)</w:t>
      </w:r>
      <w:r>
        <w:rPr>
          <w:noProof/>
        </w:rPr>
        <w:tab/>
        <w:t>Vergütungen aus unselbständiger Arbeit;</w:t>
      </w:r>
    </w:p>
    <w:p>
      <w:pPr>
        <w:pStyle w:val="Point0"/>
        <w:rPr>
          <w:noProof/>
        </w:rPr>
      </w:pPr>
      <w:r>
        <w:rPr>
          <w:noProof/>
        </w:rPr>
        <w:t>b)</w:t>
      </w:r>
      <w:r>
        <w:rPr>
          <w:noProof/>
        </w:rPr>
        <w:tab/>
        <w:t>Aufsichtsrats- oder Verwaltungsratsvergütungen;</w:t>
      </w:r>
    </w:p>
    <w:p>
      <w:pPr>
        <w:pStyle w:val="Point0"/>
        <w:rPr>
          <w:noProof/>
        </w:rPr>
      </w:pPr>
      <w:r>
        <w:rPr>
          <w:noProof/>
        </w:rPr>
        <w:t>c)</w:t>
      </w:r>
      <w:r>
        <w:rPr>
          <w:noProof/>
        </w:rPr>
        <w:tab/>
        <w:t>Lebensversicherungsprodukte, die nicht von anderen Rechtsakten der Union über den Austausch von Informationen oder vergleichbare Maßnahmen erfasst sind;</w:t>
      </w:r>
    </w:p>
    <w:p>
      <w:pPr>
        <w:pStyle w:val="Point0"/>
        <w:rPr>
          <w:noProof/>
        </w:rPr>
      </w:pPr>
      <w:r>
        <w:rPr>
          <w:noProof/>
        </w:rPr>
        <w:t>d)</w:t>
      </w:r>
      <w:r>
        <w:rPr>
          <w:noProof/>
        </w:rPr>
        <w:tab/>
        <w:t>Ruhegehälter;</w:t>
      </w:r>
    </w:p>
    <w:p>
      <w:pPr>
        <w:pStyle w:val="Point0"/>
        <w:rPr>
          <w:noProof/>
        </w:rPr>
      </w:pPr>
      <w:r>
        <w:rPr>
          <w:noProof/>
        </w:rPr>
        <w:t>e)</w:t>
      </w:r>
      <w:r>
        <w:rPr>
          <w:noProof/>
        </w:rPr>
        <w:tab/>
        <w:t>Eigentum an unbeweglichem Vermögen und Einkünfte daraus.</w:t>
      </w:r>
    </w:p>
    <w:p>
      <w:pPr>
        <w:rPr>
          <w:noProof/>
        </w:rPr>
      </w:pPr>
      <w:r>
        <w:rPr>
          <w:noProof/>
        </w:rPr>
        <w:t xml:space="preserve">(2)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Die Mitgliedstaaten informieren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die Kommission über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jegliche Änderungen bezüglich der nach Artikel 8 Absatz 2 der Richtlinie 2011/61/EU übermittelten Informationen zu den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in Absatz 1 genannten Arten von Einkünften und Vermögen, zu denen für sie Informationen verfügbar sind. </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2014/107/EU Art. 1 Nr. 2 Buchst. a) (angepasst)</w:t>
      </w:r>
    </w:p>
    <w:p>
      <w:pPr>
        <w:rPr>
          <w:noProof/>
        </w:rPr>
      </w:pPr>
      <w:r>
        <w:rPr>
          <w:noProof/>
        </w:rPr>
        <w:t xml:space="preserve">(3) Die zuständige Behörde eines Mitgliedstaats kann der zuständigen Behörde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eines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anderen Mitgliedstaats mitteilen, dass sie keine Informationen über eine oder mehrere der in Absatz 1 genannten Arten von Einkünften und Vermögen zu erhalten wünscht. Sie setzt auch die Kommission hiervon in Kenntnis.</w:t>
      </w:r>
    </w:p>
    <w:p>
      <w:pPr>
        <w:rPr>
          <w:noProof/>
        </w:rPr>
      </w:pPr>
      <w:r>
        <w:rPr>
          <w:noProof/>
        </w:rPr>
        <w:t>Ein Mitgliedstaat kann als ein Mitgliedstaat betrachtet werden, der keine Informationen nach Absatz 1 zu erhalten wünscht, wenn er die Kommission über keine einzige Art von Einkünften und Vermögen unterrichtet, zu denen er Informationen zur Verfügung hat.</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2014/107/EU Art. 1 Nr. 2 Buchst. b) (angepasst)</w:t>
      </w:r>
    </w:p>
    <w:p>
      <w:pPr>
        <w:rPr>
          <w:noProof/>
        </w:rPr>
      </w:pPr>
      <w:r>
        <w:rPr>
          <w:noProof/>
        </w:rPr>
        <w:t xml:space="preserve">(4) Jeder Mitgliedstaat ergreift die notwendigen Maßnahmen, um seine MELDENDEN FINANZINSTITUTE zur Befolgung der in den Anhängen I und II enthaltenen Melde- und </w:t>
      </w:r>
      <w:r>
        <w:rPr>
          <w:noProof/>
        </w:rPr>
        <w:lastRenderedPageBreak/>
        <w:t xml:space="preserve">Sorgfaltsvorschriften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zu verpflichten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und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die wirksame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Anwendung und Einhaltung dieser Vorschriften im Einklang mit Abschnitt IX des Anhangs I zu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gewährleisten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pPr>
        <w:rPr>
          <w:noProof/>
        </w:rPr>
      </w:pPr>
      <w:r>
        <w:rPr>
          <w:noProof/>
        </w:rPr>
        <w:t xml:space="preserve">Gemäß den geltenden Melde- und Sorgfaltsvorschriften in den Anhängen I und II tauscht die zuständige Behörde jedes Mitgliedstaats innerhalb der in Absatz 5 Buchstabe b festgelegten Frist nach einem automatisierten Verfahren die folgenden Informationen über ein MELDEPFLICHTIGES KONTO in Bezug auf Besteuerungszeiträume ab dem 1. Januar 2016 mit der zuständigen Behörde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eines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anderen Mitgliedstaats aus:</w:t>
      </w:r>
    </w:p>
    <w:p>
      <w:pPr>
        <w:pStyle w:val="Point0"/>
        <w:rPr>
          <w:noProof/>
        </w:rPr>
      </w:pPr>
      <w:r>
        <w:rPr>
          <w:noProof/>
        </w:rPr>
        <w:t>a)</w:t>
      </w:r>
      <w:r>
        <w:rPr>
          <w:noProof/>
        </w:rPr>
        <w:tab/>
        <w:t>Name, Anschrift, STEUERIDENTIFIKATIONSNUMMER(N) sowie Geburts</w:t>
      </w:r>
      <w:r>
        <w:rPr>
          <w:noProof/>
        </w:rPr>
        <w:softHyphen/>
        <w:t xml:space="preserve">datum und -ort (bei natürlichen Personen) jeder MELDEPFLICHTIGEN PERSON, die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KONTOINHABER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ist, sowie bei einem RECHTSTRÄGER, der KONTO</w:t>
      </w:r>
      <w:r>
        <w:rPr>
          <w:noProof/>
        </w:rPr>
        <w:softHyphen/>
        <w:t>INHABER ist und für den nach Anwendung von Verfahren zur Erfüllung der Sorgfaltspflichten nach den Anlagen eine oder mehrere BEHERRSCHENDE PERSONEN ermittelt wurden, die MELDEPFLICHTIGE PERSONEN sind, Name, Anschrift und STEUERIDENTIFIKATIONSNUMMER(N) des RECHTS</w:t>
      </w:r>
      <w:r>
        <w:rPr>
          <w:noProof/>
        </w:rPr>
        <w:softHyphen/>
        <w:t>TRÄGERS sowie Name, Anschrift, STEUERIDENTIFIKATIONSNUMMER(N), Geburtsdatum und -ort jeder MELDEPFLICHTIGEN PERSON;</w:t>
      </w:r>
    </w:p>
    <w:p>
      <w:pPr>
        <w:pStyle w:val="Point0"/>
        <w:rPr>
          <w:noProof/>
        </w:rPr>
      </w:pPr>
      <w:r>
        <w:rPr>
          <w:noProof/>
        </w:rPr>
        <w:t>b)</w:t>
      </w:r>
      <w:r>
        <w:rPr>
          <w:noProof/>
        </w:rPr>
        <w:tab/>
        <w:t>Kontonummer (oder funktionale Entsprechung, wenn keine Kontonummer vorhanden);</w:t>
      </w:r>
    </w:p>
    <w:p>
      <w:pPr>
        <w:pStyle w:val="Point0"/>
        <w:rPr>
          <w:noProof/>
        </w:rPr>
      </w:pPr>
      <w:r>
        <w:rPr>
          <w:noProof/>
        </w:rPr>
        <w:t>c)</w:t>
      </w:r>
      <w:r>
        <w:rPr>
          <w:noProof/>
        </w:rPr>
        <w:tab/>
        <w:t>Name und (gegebenenfalls) Identifikationsnummer des MELDENDEN FINANZINSTITUTS;</w:t>
      </w:r>
    </w:p>
    <w:p>
      <w:pPr>
        <w:pStyle w:val="Point0"/>
        <w:rPr>
          <w:noProof/>
        </w:rPr>
      </w:pPr>
      <w:r>
        <w:rPr>
          <w:noProof/>
        </w:rPr>
        <w:t>d)</w:t>
      </w:r>
      <w:r>
        <w:rPr>
          <w:noProof/>
        </w:rPr>
        <w:tab/>
        <w:t>Kontosaldo oder -wert (einschließlich des BARWERTS oder Rückkaufwerts bei RÜCKKAUFSFÄHIGEN VERSICHERUNGS- oder RENTENVERSICHE</w:t>
      </w:r>
      <w:r>
        <w:rPr>
          <w:noProof/>
        </w:rPr>
        <w:softHyphen/>
        <w:t>RUNGS</w:t>
      </w:r>
      <w:r>
        <w:rPr>
          <w:noProof/>
        </w:rPr>
        <w:softHyphen/>
        <w:t>VERTRÄGEN) zum Ende des betreffenden Kalenderjahrs oder eines anderen geeigneten Meldezeitraums oder, wenn das Konto im Laufe des Jahres beziehungsweise Zeitraums aufgelöst wurde, die Auflösung des Kontos;</w:t>
      </w:r>
    </w:p>
    <w:p>
      <w:pPr>
        <w:pStyle w:val="Point0"/>
        <w:rPr>
          <w:noProof/>
        </w:rPr>
      </w:pPr>
      <w:r>
        <w:rPr>
          <w:noProof/>
        </w:rPr>
        <w:t>e)</w:t>
      </w:r>
      <w:r>
        <w:rPr>
          <w:noProof/>
        </w:rPr>
        <w:tab/>
        <w:t xml:space="preserve">bei VERWAHRKONTEN: </w:t>
      </w:r>
    </w:p>
    <w:p>
      <w:pPr>
        <w:pStyle w:val="Point1"/>
        <w:rPr>
          <w:noProof/>
        </w:rPr>
      </w:pPr>
      <w:r>
        <w:rPr>
          <w:noProof/>
        </w:rPr>
        <w:t>i)</w:t>
      </w:r>
      <w:r>
        <w:rPr>
          <w:noProof/>
        </w:rPr>
        <w:tab/>
        <w:t>Gesamtbruttobetrag der Zinsen, Gesamtbruttobetrag der Dividenden und Gesamtbruttobetrag anderer Einkünfte, die mittels der auf dem Konto vorhandenen Vermögenswerte erzielt und jeweils auf das Konto (oder in Bezug auf das Konto) im Laufe des Kalenderjahrs oder eines anderen geeigneten Meldezeitraums eingezahlt oder dem Konto gutgeschrieben wurden; sowie</w:t>
      </w:r>
    </w:p>
    <w:p>
      <w:pPr>
        <w:pStyle w:val="Point1"/>
        <w:rPr>
          <w:noProof/>
        </w:rPr>
      </w:pPr>
      <w:r>
        <w:rPr>
          <w:noProof/>
        </w:rPr>
        <w:t>ii)</w:t>
      </w:r>
      <w:r>
        <w:rPr>
          <w:noProof/>
        </w:rPr>
        <w:tab/>
        <w:t>Gesamtbruttoerlöse aus der Veräußerung oder dem Rückkauf von FINANZVERMÖGEN, die während des Kalenderjahrs oder eines anderen geeigneten Meldezeitraums auf das Konto eingezahlt oder dem Konto gutgeschrieben wurden und für die das MELDENDE FINANZINSTITUT als Verwahrstelle, Makler, Bevollmächtigter oder anderweitig als Vertreter für den KONTOINHABER tätig war;</w:t>
      </w:r>
    </w:p>
    <w:p>
      <w:pPr>
        <w:pStyle w:val="Point0"/>
        <w:rPr>
          <w:noProof/>
        </w:rPr>
      </w:pPr>
      <w:r>
        <w:rPr>
          <w:noProof/>
        </w:rPr>
        <w:t>f)</w:t>
      </w:r>
      <w:r>
        <w:rPr>
          <w:noProof/>
        </w:rPr>
        <w:tab/>
        <w:t xml:space="preserve">bei EINLAGENKONTEN der Gesamtbruttobetrag der Zinsen, die während des Kalenderjahrs oder eines anderen geeigneten Meldezeitraums auf das Konto eingezahlt oder dem Konto gutgeschrieben wurden; </w:t>
      </w:r>
    </w:p>
    <w:p>
      <w:pPr>
        <w:pStyle w:val="Point0"/>
        <w:rPr>
          <w:noProof/>
        </w:rPr>
      </w:pPr>
      <w:r>
        <w:rPr>
          <w:noProof/>
        </w:rPr>
        <w:t>g)</w:t>
      </w:r>
      <w:r>
        <w:rPr>
          <w:noProof/>
        </w:rPr>
        <w:tab/>
        <w:t xml:space="preserve">bei allen anderen Konten, die nicht unter Buchstabe e oder f aufgeführt sind, der Gesamtbruttobetrag, der in Bezug auf das Konto während des Kalenderjahrs oder </w:t>
      </w:r>
      <w:r>
        <w:rPr>
          <w:noProof/>
        </w:rPr>
        <w:lastRenderedPageBreak/>
        <w:t>eines anderen geeigneten Meldezeitraums an den KONTOINHABER gezahlt oder ihm gutgeschrieben wurde und für den das MELDENDE FINANZINSTITUT Schuldner ist, einschließlich der Gesamthöhe aller Einlösungsbeträge, die während des Kalenderjahrs oder eines anderen geeigneten Meldezeitraums an den KONTOINHABER geleistet wurden.</w:t>
      </w:r>
    </w:p>
    <w:p>
      <w:pPr>
        <w:rPr>
          <w:noProof/>
        </w:rPr>
      </w:pPr>
      <w:r>
        <w:rPr>
          <w:noProof/>
        </w:rPr>
        <w:t>Für die Zwecke des Informationsaustauschs nach diesem Absatz und sofern dieser Absatz oder die Anhänge I und II nichts Gegenteiliges vorsehen, können der Betrag und die Einordnung von Zahlungen zugunsten eines MELDEPFLICHTIGEN KONTOS nach den nationalen Rechtsvorschriften des die Informationen übermittelnden Mitgliedstaats bestimmt werden.</w:t>
      </w:r>
    </w:p>
    <w:p>
      <w:pPr>
        <w:rPr>
          <w:noProof/>
        </w:rPr>
      </w:pPr>
      <w:r>
        <w:rPr>
          <w:noProof/>
        </w:rPr>
        <w:t>Die Unterabsätze 1 und 2 dieses Absatzes haben Vorrang vor Absatz 1 Buchstabe c oder jedem anderen Rechtsinstrument der Union, soweit der betreffende Informationsaustausch in den Geltungsbereich des Absatzes 1 Buchstabe c oder den jedes anderen Rechtsinstruments der Union fallen würde.</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2014/107/EU Art. 1 Nr. 2 Buchst. d)</w:t>
      </w:r>
    </w:p>
    <w:p>
      <w:pPr>
        <w:rPr>
          <w:noProof/>
        </w:rPr>
      </w:pPr>
      <w:r>
        <w:rPr>
          <w:noProof/>
        </w:rPr>
        <w:t>(5) Die Übermittlung der Informationen erfolgt wie folgt:</w:t>
      </w:r>
    </w:p>
    <w:p>
      <w:pPr>
        <w:pStyle w:val="Point0"/>
        <w:rPr>
          <w:noProof/>
        </w:rPr>
      </w:pPr>
      <w:r>
        <w:rPr>
          <w:noProof/>
        </w:rPr>
        <w:t>a)</w:t>
      </w:r>
      <w:r>
        <w:rPr>
          <w:noProof/>
        </w:rPr>
        <w:tab/>
        <w:t>für die in Absatz 1 festgelegten Arten von Einkünften und Vermögen mindestens einmal jährlich, innerhalb von sechs Monaten nach Ablauf des Steuerjahres des Mitgliedstaats, in dem die Information verfügbar wurde;</w:t>
      </w:r>
    </w:p>
    <w:p>
      <w:pPr>
        <w:pStyle w:val="Point0"/>
        <w:rPr>
          <w:noProof/>
        </w:rPr>
      </w:pPr>
      <w:r>
        <w:rPr>
          <w:noProof/>
        </w:rPr>
        <w:t>b)</w:t>
      </w:r>
      <w:r>
        <w:rPr>
          <w:noProof/>
        </w:rPr>
        <w:tab/>
        <w:t>für die in Absatz 4 festgelegten Informationen jährlich innerhalb von neun Monaten nach Ablauf des Kalenderjahrs oder des entsprechenden Meldezeitraums, auf den sich die Information bezieht.</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2011/16/EU (angepasst)</w:t>
      </w:r>
    </w:p>
    <w:p>
      <w:pPr>
        <w:rPr>
          <w:noProof/>
        </w:rPr>
      </w:pPr>
      <w:r>
        <w:rPr>
          <w:noProof/>
        </w:rPr>
        <w:t xml:space="preserve">(6) Die Kommission legt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im Wege von Durchführungsrechtsakten die praktischen Regelungen des automatischen Informationsaustauschs fest. Diese Durchführungsrechtsakte werden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gemäß dem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Artikel 32 Absatz 2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genannten Verfahren erlassen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2014/107/EU Art. 1 Nr. 2 Buchst. e) (angepasst)</w:t>
      </w:r>
    </w:p>
    <w:p>
      <w:pPr>
        <w:rPr>
          <w:noProof/>
        </w:rPr>
      </w:pPr>
      <w:r>
        <w:rPr>
          <w:noProof/>
        </w:rPr>
        <w:t xml:space="preserve">(7) Für die Zwecke von Abschnitt VIII Unterabschnitt B Nummer 1 Buchstabe c und Abschnitt VIII Unterabschnitt C Nummer 17 Buchstabe g des Anhangs 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informiert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jeder Mitgliedstaat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Kommission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über jegliche Änderungen bezüglich der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Liste der Rechtsträger und Konten, die jeweils als NICHT MELDENDE FINANZINSTITUTE und AUSGENOMMENE KONTEN zu behandeln sind,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welche der Kommission gemäß Artikel 8 Absatz 7 Buchstabe a der Richtlinie 2011/16/EU übermittelt wurde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Die Kommission veröffentlicht im </w:t>
      </w:r>
      <w:r>
        <w:rPr>
          <w:i/>
          <w:iCs/>
          <w:noProof/>
        </w:rPr>
        <w:t>Amtsblatt der Europäischen Union</w:t>
      </w:r>
      <w:r>
        <w:rPr>
          <w:noProof/>
        </w:rPr>
        <w:t xml:space="preserve"> ein zusammengestelltes Verzeichnis der bei ihr eingegangenen Informationen und aktualisiert das Verzeichnis soweit erforderlich.</w:t>
      </w:r>
    </w:p>
    <w:p>
      <w:pPr>
        <w:rPr>
          <w:noProof/>
        </w:rPr>
      </w:pPr>
      <w:r>
        <w:rPr>
          <w:noProof/>
        </w:rPr>
        <w:lastRenderedPageBreak/>
        <w:t>Die Mitgliedstaaten gewährleisten, dass diese NICHT MELDENDEN FINANZINSTITUTE und AUSGENOMMENEN KONTEN alle Anforderungen gemäß Abschnitt VIII Unterabschnitt B Nummer 1 Buchstabe c und Abschnitt VIII Unterabschnitt C Nummer 17 Buchstabe g des Anhangs I erfüllen, insbesondere dass der Status eines FINANZINSTITUTS als NICHT MELDENDES FINANZINSTITUT oder der Status eines Kontos als AUSGENOMMENES KONTO nicht den Zweck dieser Richtlinie unterläuft.</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2011/16/EU</w:t>
      </w:r>
    </w:p>
    <w:p>
      <w:pPr>
        <w:rPr>
          <w:noProof/>
        </w:rPr>
      </w:pPr>
      <w:r>
        <w:rPr>
          <w:noProof/>
        </w:rPr>
        <w:t>(8) Vereinbaren Mitgliedstaaten in bi- oder multilateralen Abkommen mit anderen Mitgliedstaaten den automatischen Austausch von Informationen für weitere Arten von Einkünften und Vermögen, so teilen sie der Kommission diese Abkommen mit und diese macht diese Abkommen allen anderen Mitgliedstaaten zugänglich.</w:t>
      </w:r>
    </w:p>
    <w:p>
      <w:pPr>
        <w:pStyle w:val="CRSeparator"/>
        <w:rPr>
          <w:noProof/>
          <w:lang w:val="de-DE"/>
        </w:rPr>
      </w:pPr>
    </w:p>
    <w:p>
      <w:pPr>
        <w:pStyle w:val="CRReference"/>
        <w:rPr>
          <w:noProof/>
          <w:lang w:val="nn-NO"/>
        </w:rPr>
      </w:pPr>
      <w:r>
        <w:rPr>
          <w:noProof/>
        </w:rPr>
        <w:fldChar w:fldCharType="begin"/>
      </w:r>
      <w:r>
        <w:rPr>
          <w:noProof/>
          <w:lang w:val="nn-NO"/>
        </w:rPr>
        <w:instrText xml:space="preserve"> QUOTE "</w:instrText>
      </w:r>
      <w:r>
        <w:rPr>
          <w:rStyle w:val="CRMarker"/>
          <w:noProof/>
          <w:lang w:val="nn-NO"/>
        </w:rPr>
        <w:instrText>ê</w:instrText>
      </w:r>
      <w:r>
        <w:rPr>
          <w:noProof/>
          <w:lang w:val="nn-NO"/>
        </w:rPr>
        <w:instrText xml:space="preserve">" </w:instrText>
      </w:r>
      <w:r>
        <w:rPr>
          <w:noProof/>
        </w:rPr>
        <w:fldChar w:fldCharType="separate"/>
      </w:r>
      <w:r>
        <w:rPr>
          <w:rStyle w:val="CRMarker"/>
          <w:noProof/>
          <w:lang w:val="nn-NO"/>
        </w:rPr>
        <w:t>ê</w:t>
      </w:r>
      <w:r>
        <w:rPr>
          <w:noProof/>
        </w:rPr>
        <w:fldChar w:fldCharType="end"/>
      </w:r>
      <w:r>
        <w:rPr>
          <w:noProof/>
          <w:lang w:val="nn-NO"/>
        </w:rPr>
        <w:t> (EU) 2015/2376 Art. 1 Nr. 3 (angepasst)</w:t>
      </w:r>
    </w:p>
    <w:p>
      <w:pPr>
        <w:pStyle w:val="Titrearticle"/>
        <w:rPr>
          <w:noProof/>
        </w:rPr>
      </w:pPr>
      <w:r>
        <w:rPr>
          <w:noProof/>
        </w:rPr>
        <w:t>Artikel 9</w:t>
      </w:r>
    </w:p>
    <w:p>
      <w:pPr>
        <w:pStyle w:val="NormalCentered"/>
        <w:rPr>
          <w:b/>
          <w:bCs/>
          <w:noProof/>
        </w:rPr>
      </w:pPr>
      <w:r>
        <w:rPr>
          <w:b/>
          <w:bCs/>
          <w:noProof/>
        </w:rPr>
        <w:t>Umfang und Voraussetzungen des verpflichtenden automatischen Informationsaustauschs über grenzüberschreitende Vorbescheide und Vorabverständigungen über die Verrechnungspreisgestaltung</w:t>
      </w:r>
    </w:p>
    <w:p>
      <w:pPr>
        <w:rPr>
          <w:noProof/>
        </w:rPr>
      </w:pPr>
      <w:r>
        <w:rPr>
          <w:noProof/>
        </w:rPr>
        <w:t>(1) Die zuständige Behörde eines Mitgliedstaats, in dem nach dem 31. Dezember 2016 ein grenzüberschreitender Vorbescheid oder eine Vorabverständigung über die Verrechnungspreisgestaltung erteilt bzw. getroffen, geändert oder erneuert wurde, übermittelt im Wege des automatischen Austauschs den zuständigen Behörden aller anderen Mitgliedstaaten sowie der Kommission die Informationen darüber, mit der Einschränkung, die für die Fälle nach Absatz 7 dieses Artikels gemäß den geltenden nach Artikel 25 angenommenen praktischen Regelungen gilt.</w:t>
      </w:r>
    </w:p>
    <w:p>
      <w:pPr>
        <w:rPr>
          <w:noProof/>
        </w:rPr>
      </w:pPr>
      <w:r>
        <w:rPr>
          <w:noProof/>
        </w:rPr>
        <w:t>(2) Bilaterale oder multilaterale Vorabverständigungen über die Verrechnungspreisgestaltung mit Drittländern werden vom Geltungsbereich des automatischen Informationsaustausch gemäß diesem Artikel ausgenommen, sofern das internationale Steuerabkommen, in dessen Rahmen die Vorabverständigung über die Verrechnungspreisgestaltung ausgehandelt wurde, eine Weitergabe an Dritte nicht erlaubt. Solche bilateralen oder multilateralen Vorabverständigungen über die Verrechnungspreisgestaltung werden gemäß Artikel 13 ausgetauscht, sofern das internationale Steuerabkommen, in dessen Rahmen die Vorabverständigung über die Verrechnungspreisgestaltung ausgehandelt wurde, eine Weitergabe erlaubt und die zuständige Behörde des Drittlandes die Weitergabe der Informationen genehmigt.</w:t>
      </w:r>
    </w:p>
    <w:p>
      <w:pPr>
        <w:rPr>
          <w:noProof/>
        </w:rPr>
      </w:pPr>
      <w:r>
        <w:rPr>
          <w:noProof/>
        </w:rPr>
        <w:t>Sollten die bilateralen oder multilateralen Vorabverständigungen über die Verrechnungs</w:t>
      </w:r>
      <w:r>
        <w:rPr>
          <w:noProof/>
        </w:rPr>
        <w:softHyphen/>
        <w:t>preisgestaltung jedoch vom automatischen Informationsaustausch gemäß Unterabsatz 1 Satz 1 dieses Absatzes ausgenommen sein, so werden stattdessen die Informationen nach Absatz 5, die in dem Ersuchen, das zum Treffen einer solchen bilateralen oder multilateralen Vorabverständigung über die Verrechnungspreisgestaltung geführt hat, aufgeführt sind, gemäß Absatz 1 ausgetauscht.</w:t>
      </w:r>
    </w:p>
    <w:p>
      <w:pPr>
        <w:rPr>
          <w:noProof/>
        </w:rPr>
      </w:pPr>
      <w:r>
        <w:rPr>
          <w:noProof/>
        </w:rPr>
        <w:t>(3) Absatz 1 gilt nicht in Fällen, in denen ein grenzüberschreitender Vorbescheid ausschließlich die Steuerangelegenheiten einer oder mehrerer natürlicher Personen betrifft.</w:t>
      </w:r>
    </w:p>
    <w:p>
      <w:pPr>
        <w:rPr>
          <w:noProof/>
        </w:rPr>
      </w:pPr>
      <w:r>
        <w:rPr>
          <w:noProof/>
        </w:rPr>
        <w:lastRenderedPageBreak/>
        <w:t>(4) Der Informationsaustausch erfolgt innerhalb von drei Monaten nach Ablauf des Kalenderhalbjahrs, in dem die grenzüberschreitenden Vorbescheide oder Vorabverständigungen über die Verrechnungspreisgestaltung erteilt bzw. getroffen, geändert oder erneuert wurden.</w:t>
      </w:r>
    </w:p>
    <w:p>
      <w:pPr>
        <w:rPr>
          <w:noProof/>
        </w:rPr>
      </w:pPr>
      <w:r>
        <w:rPr>
          <w:noProof/>
        </w:rPr>
        <w:t>(5) Die von einem Mitgliedstaat gemäß Absatz 1 zu übermittelnden Informationen müssen Folgendes enthalten:</w:t>
      </w:r>
    </w:p>
    <w:p>
      <w:pPr>
        <w:pStyle w:val="Point0"/>
        <w:rPr>
          <w:noProof/>
        </w:rPr>
      </w:pPr>
      <w:r>
        <w:rPr>
          <w:noProof/>
        </w:rPr>
        <w:t>a)</w:t>
      </w:r>
      <w:r>
        <w:rPr>
          <w:noProof/>
        </w:rPr>
        <w:tab/>
        <w:t>Angaben zu der Person — mit Ausnahme von natürlichen Personen — und gegebenenfalls zu der Gruppe von Personen, der sie angehört;</w:t>
      </w:r>
    </w:p>
    <w:p>
      <w:pPr>
        <w:pStyle w:val="Point0"/>
        <w:rPr>
          <w:noProof/>
        </w:rPr>
      </w:pPr>
      <w:r>
        <w:rPr>
          <w:noProof/>
        </w:rPr>
        <w:t>b)</w:t>
      </w:r>
      <w:r>
        <w:rPr>
          <w:noProof/>
        </w:rPr>
        <w:tab/>
        <w:t>eine Zusammenfassung des Inhalts des grenzüberschreitenden Vorbescheids bzw. der Vorabverständigung über die Verrechnungspreisgestaltung, einschließlich einer abstrakt gehaltenen Beschreibung der relevanten Geschäftstätigkeiten oder Transaktionen, die nicht zur Preisgabe eines Handels-, Gewerbe- oder Berufsgeheimnisses oder eines Geschäftsverfahrens oder zur Preisgabe von Informationen führt, die die öffentliche Ordnung verletzen würde;</w:t>
      </w:r>
    </w:p>
    <w:p>
      <w:pPr>
        <w:pStyle w:val="Point0"/>
        <w:rPr>
          <w:noProof/>
        </w:rPr>
      </w:pPr>
      <w:r>
        <w:rPr>
          <w:noProof/>
        </w:rPr>
        <w:t>c)</w:t>
      </w:r>
      <w:r>
        <w:rPr>
          <w:noProof/>
        </w:rPr>
        <w:tab/>
        <w:t>das jeweilige Datum der Erteilung bzw. des Treffens, der Änderung oder der Erneuerung des grenzüberschreitenden Vorbescheids bzw. der Vorabverständigung über die Verrechnungspreisgestaltung;</w:t>
      </w:r>
    </w:p>
    <w:p>
      <w:pPr>
        <w:pStyle w:val="Point0"/>
        <w:rPr>
          <w:noProof/>
        </w:rPr>
      </w:pPr>
      <w:r>
        <w:rPr>
          <w:noProof/>
        </w:rPr>
        <w:t>d)</w:t>
      </w:r>
      <w:r>
        <w:rPr>
          <w:noProof/>
        </w:rPr>
        <w:tab/>
        <w:t>den Tag des Beginns der Geltungsdauer des grenzüberschreitenden Vorbescheids bzw. der Vorabverständigung über die Verrechnungspreisgestaltung, falls angegeben;</w:t>
      </w:r>
    </w:p>
    <w:p>
      <w:pPr>
        <w:pStyle w:val="Point0"/>
        <w:rPr>
          <w:noProof/>
        </w:rPr>
      </w:pPr>
      <w:r>
        <w:rPr>
          <w:noProof/>
        </w:rPr>
        <w:t>e)</w:t>
      </w:r>
      <w:r>
        <w:rPr>
          <w:noProof/>
        </w:rPr>
        <w:tab/>
        <w:t>den Tag des Ablaufs der Geltungsdauer des grenzüberschreitenden Vorbescheids bzw. der Vorabverständigung über die Verrechnungspreisgestaltung, falls angegeben;</w:t>
      </w:r>
    </w:p>
    <w:p>
      <w:pPr>
        <w:pStyle w:val="Point0"/>
        <w:rPr>
          <w:noProof/>
        </w:rPr>
      </w:pPr>
      <w:r>
        <w:rPr>
          <w:noProof/>
        </w:rPr>
        <w:t>f)</w:t>
      </w:r>
      <w:r>
        <w:rPr>
          <w:noProof/>
        </w:rPr>
        <w:tab/>
        <w:t>die Art des grenzüberschreitenden Vorbescheids bzw. der Vorabverständigung über die Verrechnungspreisgestaltung;</w:t>
      </w:r>
    </w:p>
    <w:p>
      <w:pPr>
        <w:pStyle w:val="Point0"/>
        <w:rPr>
          <w:noProof/>
        </w:rPr>
      </w:pPr>
      <w:r>
        <w:rPr>
          <w:noProof/>
        </w:rPr>
        <w:t>g)</w:t>
      </w:r>
      <w:r>
        <w:rPr>
          <w:noProof/>
        </w:rPr>
        <w:tab/>
        <w:t>den Betrag der Transaktion oder Reihe von Transaktionen des grenzüberschreitenden Vorbescheids bzw. der Vorabverständigung über die Verrechnungspreisgestaltung, sofern dieser Betrag im grenzüberschreitenden Vorbescheid bzw. in der Vorabverständigung über die Verrechnungspreisgestaltung angegeben ist;</w:t>
      </w:r>
    </w:p>
    <w:p>
      <w:pPr>
        <w:pStyle w:val="Point0"/>
        <w:rPr>
          <w:noProof/>
        </w:rPr>
      </w:pPr>
      <w:r>
        <w:rPr>
          <w:noProof/>
        </w:rPr>
        <w:t>h)</w:t>
      </w:r>
      <w:r>
        <w:rPr>
          <w:noProof/>
        </w:rPr>
        <w:tab/>
        <w:t>im Falle einer Vorabverständigung über die Verrechnungspreisgestaltung eine Beschreibung der bei der Festlegung der Verrechnungspreise zugrunde gelegten Kriterien oder den Verrechnungspreis;</w:t>
      </w:r>
    </w:p>
    <w:p>
      <w:pPr>
        <w:pStyle w:val="Point0"/>
        <w:rPr>
          <w:noProof/>
        </w:rPr>
      </w:pPr>
      <w:r>
        <w:rPr>
          <w:noProof/>
        </w:rPr>
        <w:t>i)</w:t>
      </w:r>
      <w:r>
        <w:rPr>
          <w:noProof/>
        </w:rPr>
        <w:tab/>
        <w:t>im Falle einer Vorabverständigung über die Verrechnungspreisgestaltung Angaben zu dem der Festlegung der Verrechnungspreise zugrunde gelegten Verfahren oder den Verrechnungspreis;</w:t>
      </w:r>
    </w:p>
    <w:p>
      <w:pPr>
        <w:pStyle w:val="Point0"/>
        <w:rPr>
          <w:noProof/>
        </w:rPr>
      </w:pPr>
      <w:r>
        <w:rPr>
          <w:noProof/>
        </w:rPr>
        <w:t>j)</w:t>
      </w:r>
      <w:r>
        <w:rPr>
          <w:noProof/>
        </w:rPr>
        <w:tab/>
        <w:t>gegebenenfalls Angaben zu den anderen Mitgliedstaaten, die wahrscheinlich von dem grenzüberschreitenden Vorbescheid oder der Vorabverständigung über die Verrechnungspreisgestaltung betroffen sind;</w:t>
      </w:r>
    </w:p>
    <w:p>
      <w:pPr>
        <w:pStyle w:val="Point0"/>
        <w:rPr>
          <w:noProof/>
        </w:rPr>
      </w:pPr>
      <w:r>
        <w:rPr>
          <w:noProof/>
        </w:rPr>
        <w:t>k)</w:t>
      </w:r>
      <w:r>
        <w:rPr>
          <w:noProof/>
        </w:rPr>
        <w:tab/>
        <w:t xml:space="preserve">gegebenenfalls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Angaben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zu allen Personen — mit Ausnahme von natürlichen Personen — in den anderen Mitgliedstaaten, die wahrscheinlich von dem grenzüberschreitenden Vorbescheid oder der Vorabverständigung über die Verrechnungspreisgestaltung betroffen sind (sowie Angaben dazu, zu welchen Mitgliedstaaten die betreffenden Personen in Beziehung stehen); </w:t>
      </w:r>
    </w:p>
    <w:p>
      <w:pPr>
        <w:pStyle w:val="Point0"/>
        <w:rPr>
          <w:noProof/>
        </w:rPr>
      </w:pPr>
      <w:r>
        <w:rPr>
          <w:noProof/>
        </w:rPr>
        <w:lastRenderedPageBreak/>
        <w:t>l)</w:t>
      </w:r>
      <w:r>
        <w:rPr>
          <w:noProof/>
        </w:rPr>
        <w:tab/>
        <w:t>Angaben dazu, ob die übermittelten Informationen auf dem grenzüberschreitenden Vorbescheid bzw. der Vorabverständigung über die Verrechnungspreisgestaltung selbst beruhen oder auf einem Ersuchen gemäß Absatz 2 Unterabsatz 2.</w:t>
      </w:r>
    </w:p>
    <w:p>
      <w:pPr>
        <w:rPr>
          <w:noProof/>
        </w:rPr>
      </w:pPr>
      <w:r>
        <w:rPr>
          <w:noProof/>
        </w:rPr>
        <w:t>(6) Zur Erleichterung des Austauschs der in Absatz 5 genannten Informationen nimmt die Kommission die zur Umsetzung dieses Artikels erforderlichen praktischen Regelungen an; hierzu zählen auch Maßnahmen zur standardisierten Übermittlung der in Absatz 5 dieses Artikels genannten Informationen als Teil des Verfahrens zur Festlegung des gemäß Artikel 24 Absatz 5 vorgesehenen Standardformblatts.</w:t>
      </w:r>
    </w:p>
    <w:p>
      <w:pPr>
        <w:rPr>
          <w:noProof/>
        </w:rPr>
      </w:pPr>
      <w:r>
        <w:rPr>
          <w:noProof/>
        </w:rPr>
        <w:t>(7) Die Informationen nach Absatz 5 Buchstaben a, b, h und k werden der Kommission nicht übermittelt.</w:t>
      </w:r>
    </w:p>
    <w:p>
      <w:pPr>
        <w:rPr>
          <w:noProof/>
        </w:rPr>
      </w:pPr>
      <w:r>
        <w:rPr>
          <w:noProof/>
        </w:rPr>
        <w:t>(8) Die Mitgliedstaaten können gemäß Artikel 5 und unter Berücksichtigung des Artikels 25 Absatz 4 um Übermittlung zusätzlicher Informationen, einschließlich des vollständigen Wortlauts des grenzüberschreitenden Vorbescheids oder der Vorabverständigung über die Verrechnungspreisgestaltung, ersuchen.</w:t>
      </w:r>
    </w:p>
    <w:p>
      <w:pPr>
        <w:pStyle w:val="CRSeparator"/>
        <w:rPr>
          <w:noProof/>
          <w:lang w:val="de-DE"/>
        </w:rPr>
      </w:pPr>
    </w:p>
    <w:p>
      <w:pPr>
        <w:pStyle w:val="CRReference"/>
        <w:rPr>
          <w:noProof/>
          <w:lang w:val="nn-NO"/>
        </w:rPr>
      </w:pPr>
      <w:r>
        <w:rPr>
          <w:noProof/>
        </w:rPr>
        <w:fldChar w:fldCharType="begin"/>
      </w:r>
      <w:r>
        <w:rPr>
          <w:noProof/>
          <w:lang w:val="nn-NO"/>
        </w:rPr>
        <w:instrText xml:space="preserve"> QUOTE "</w:instrText>
      </w:r>
      <w:r>
        <w:rPr>
          <w:rStyle w:val="CRMarker"/>
          <w:noProof/>
          <w:lang w:val="nn-NO"/>
        </w:rPr>
        <w:instrText>ê</w:instrText>
      </w:r>
      <w:r>
        <w:rPr>
          <w:noProof/>
          <w:lang w:val="nn-NO"/>
        </w:rPr>
        <w:instrText xml:space="preserve">" </w:instrText>
      </w:r>
      <w:r>
        <w:rPr>
          <w:noProof/>
        </w:rPr>
        <w:fldChar w:fldCharType="separate"/>
      </w:r>
      <w:r>
        <w:rPr>
          <w:rStyle w:val="CRMarker"/>
          <w:noProof/>
          <w:lang w:val="nn-NO"/>
        </w:rPr>
        <w:t>ê</w:t>
      </w:r>
      <w:r>
        <w:rPr>
          <w:noProof/>
        </w:rPr>
        <w:fldChar w:fldCharType="end"/>
      </w:r>
      <w:r>
        <w:rPr>
          <w:noProof/>
          <w:lang w:val="nn-NO"/>
        </w:rPr>
        <w:t> (EU) 2016/881 Art. 1 Nr. 2 (angepasst)</w:t>
      </w:r>
    </w:p>
    <w:p>
      <w:pPr>
        <w:pStyle w:val="Titrearticle"/>
        <w:rPr>
          <w:noProof/>
        </w:rPr>
      </w:pPr>
      <w:r>
        <w:rPr>
          <w:noProof/>
        </w:rPr>
        <w:t>Artikel 10</w:t>
      </w:r>
    </w:p>
    <w:p>
      <w:pPr>
        <w:pStyle w:val="NormalCentered"/>
        <w:rPr>
          <w:b/>
          <w:bCs/>
          <w:noProof/>
        </w:rPr>
      </w:pPr>
      <w:r>
        <w:rPr>
          <w:b/>
          <w:bCs/>
          <w:noProof/>
        </w:rPr>
        <w:t>Umfang und Voraussetzungen des verpflichtenden automatischen Informationsaustauschs über den länderbezogenen Bericht</w:t>
      </w:r>
    </w:p>
    <w:p>
      <w:pPr>
        <w:rPr>
          <w:noProof/>
        </w:rPr>
      </w:pPr>
      <w:r>
        <w:rPr>
          <w:noProof/>
        </w:rPr>
        <w:t>(1) Jeder Mitgliedstaat ergreift die erforderlichen Maßnahmen, um die in seinem Hoheitsgebiet steuerlich ansässige OBERSTE MUTTERGESELLSCHAFT einer MULTI</w:t>
      </w:r>
      <w:r>
        <w:rPr>
          <w:noProof/>
        </w:rPr>
        <w:softHyphen/>
        <w:t>NATIONALEN UNTERNEHMENSGRUPPE oder einen anderen BERICHTENDEN RECHTSTRÄGER gemäß Anhang III Abschnitt II zu verpflichten, innerhalb von 12 Monaten nach dem letzten Tag des BERICHTSWIRTSCHAFTSJAHRS der MULTINATIONALEN UNTERNEHMENSGRUPPE gemäß Anhang III Abschnitt II einen länderbezogenen Bericht in Bezug auf sein BERICHTSWIRTSCHAFTSJAHR vorzulegen.</w:t>
      </w:r>
    </w:p>
    <w:p>
      <w:pPr>
        <w:rPr>
          <w:noProof/>
        </w:rPr>
      </w:pPr>
      <w:r>
        <w:rPr>
          <w:noProof/>
        </w:rPr>
        <w:t>(2) Die zuständige Behörde des Mitgliedstaats, bei der der länderbezogene Bericht gemäß Absatz 1 eingegangen ist, übermittelt diesen länderbezogenen Bericht mittels automatischem Austausch und innerhalb der in Absatz 4 festgelegten Frist an jeden Mitgliedstaat, in dem gemäß den im Bericht enthaltenen Informationen eine oder mehrere GESCHÄFTS</w:t>
      </w:r>
      <w:r>
        <w:rPr>
          <w:noProof/>
        </w:rPr>
        <w:softHyphen/>
        <w:t>EINHEITEN der MULTINATIONALEN UNTERNEHMENSGRUPPE des BERICH</w:t>
      </w:r>
      <w:r>
        <w:rPr>
          <w:noProof/>
        </w:rPr>
        <w:softHyphen/>
        <w:t>TENDEN RECHTSTRÄGERS entweder steuerlich ansässig oder in Bezug auf die Geschäftstätigkeiten, denen sie über eine Betriebsstätte nachgehen, steuerpflichtig sind.</w:t>
      </w:r>
    </w:p>
    <w:p>
      <w:pPr>
        <w:rPr>
          <w:noProof/>
        </w:rPr>
      </w:pPr>
      <w:r>
        <w:rPr>
          <w:noProof/>
        </w:rPr>
        <w:t>(3) Der länderbezogene Bericht enthält folgende Informationen über die MULTINATIONALE UNTERNEHMENSGRUPPE:</w:t>
      </w:r>
    </w:p>
    <w:p>
      <w:pPr>
        <w:pStyle w:val="Point0"/>
        <w:rPr>
          <w:noProof/>
        </w:rPr>
      </w:pPr>
      <w:r>
        <w:rPr>
          <w:noProof/>
        </w:rPr>
        <w:t>a)</w:t>
      </w:r>
      <w:r>
        <w:rPr>
          <w:noProof/>
        </w:rPr>
        <w:tab/>
        <w:t>aggregierte Angaben zur Höhe der Erträge, der Vorsteuergewinne (-verluste), der bereits gezahlten Ertragsteuern, der noch zu zahlenden Ertragsteuern, des ausgewiesenen Kapitals, der einbehaltenen Gewinne sowie zur Beschäftigtenzahl und den materiellen Vermögenswerten ohne flüssige Mittel für alle Steuerhoheitsgebiete, in denen die MULTINATIONALE UNTERNEHMENSGRUPPE tätig ist;</w:t>
      </w:r>
    </w:p>
    <w:p>
      <w:pPr>
        <w:pStyle w:val="Point0"/>
        <w:rPr>
          <w:noProof/>
        </w:rPr>
      </w:pPr>
      <w:r>
        <w:rPr>
          <w:noProof/>
        </w:rPr>
        <w:t>b)</w:t>
      </w:r>
      <w:r>
        <w:rPr>
          <w:noProof/>
        </w:rPr>
        <w:tab/>
        <w:t xml:space="preserve">Angaben zu allen GESCHÄFTSEINHEITEN der MULTINATIONALEN UNTERNEHMENSGRUPPE, wobei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das Hoheitsgebiet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der steuerlichen Ansässigkeit dieser GESCHÄFTSEINHEIT aufzuführen ist </w:t>
      </w:r>
      <w:r>
        <w:rPr>
          <w:noProof/>
        </w:rPr>
        <w:lastRenderedPageBreak/>
        <w:t xml:space="preserve">und — sofern vom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Hoheitsgebiet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der steuerlichen Ansässigkeit abweichend —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das Hoheitsgebiet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nach dessen Rechtsvorschriften diese GESCHÄFTSEINHEIT organisiert ist, sowie die Art der wichtigsten Geschäftstätigkeit oder Geschäftstätigkeiten dieser GESCHÄFTSEINHEIT.</w:t>
      </w:r>
    </w:p>
    <w:p>
      <w:pPr>
        <w:rPr>
          <w:noProof/>
        </w:rPr>
      </w:pPr>
      <w:r>
        <w:rPr>
          <w:noProof/>
        </w:rPr>
        <w:t xml:space="preserve">(4) Die Übermittlung erfolgt innerhalb von 15 Monaten nach dem letzten Tag des WIRTSCHAFTSJAHRS der MULTINATIONALEN UNTERNEHMENSGRUPPE, auf das sich der länderbezogene Bericht bezieht. </w:t>
      </w:r>
    </w:p>
    <w:p>
      <w:pPr>
        <w:pStyle w:val="CRSeparator"/>
        <w:rPr>
          <w:noProof/>
          <w:lang w:val="de-DE"/>
        </w:rPr>
      </w:pPr>
    </w:p>
    <w:p>
      <w:pPr>
        <w:pStyle w:val="CRReference"/>
        <w:rPr>
          <w:noProof/>
          <w:lang w:val="nn-NO"/>
        </w:rPr>
      </w:pPr>
      <w:r>
        <w:rPr>
          <w:noProof/>
        </w:rPr>
        <w:fldChar w:fldCharType="begin"/>
      </w:r>
      <w:r>
        <w:rPr>
          <w:noProof/>
          <w:lang w:val="nn-NO"/>
        </w:rPr>
        <w:instrText xml:space="preserve"> QUOTE "</w:instrText>
      </w:r>
      <w:r>
        <w:rPr>
          <w:rStyle w:val="CRMarker"/>
          <w:noProof/>
          <w:lang w:val="nn-NO"/>
        </w:rPr>
        <w:instrText>ê</w:instrText>
      </w:r>
      <w:r>
        <w:rPr>
          <w:noProof/>
          <w:lang w:val="nn-NO"/>
        </w:rPr>
        <w:instrText xml:space="preserve">" </w:instrText>
      </w:r>
      <w:r>
        <w:rPr>
          <w:noProof/>
        </w:rPr>
        <w:fldChar w:fldCharType="separate"/>
      </w:r>
      <w:r>
        <w:rPr>
          <w:rStyle w:val="CRMarker"/>
          <w:noProof/>
          <w:lang w:val="nn-NO"/>
        </w:rPr>
        <w:t>ê</w:t>
      </w:r>
      <w:r>
        <w:rPr>
          <w:noProof/>
        </w:rPr>
        <w:fldChar w:fldCharType="end"/>
      </w:r>
      <w:r>
        <w:rPr>
          <w:noProof/>
          <w:lang w:val="nn-NO"/>
        </w:rPr>
        <w:t> (EU) 2018/822 Art. 1 Nr. 2 (angepasst)</w:t>
      </w: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è</w:instrText>
      </w:r>
      <w:r>
        <w:rPr>
          <w:noProof/>
          <w:lang w:val="de-DE"/>
        </w:rPr>
        <w:instrText xml:space="preserve">" </w:instrText>
      </w:r>
      <w:r>
        <w:rPr>
          <w:noProof/>
        </w:rPr>
        <w:fldChar w:fldCharType="separate"/>
      </w:r>
      <w:r>
        <w:rPr>
          <w:rStyle w:val="CRMarker"/>
          <w:noProof/>
          <w:lang w:val="de-DE"/>
        </w:rPr>
        <w:t>è</w:t>
      </w:r>
      <w:r>
        <w:rPr>
          <w:noProof/>
        </w:rPr>
        <w:fldChar w:fldCharType="end"/>
      </w:r>
      <w:r>
        <w:rPr>
          <w:rStyle w:val="CRRefNum"/>
          <w:noProof/>
          <w:lang w:val="de-DE"/>
        </w:rPr>
        <w:t>1</w:t>
      </w:r>
      <w:r>
        <w:rPr>
          <w:noProof/>
          <w:lang w:val="de-DE"/>
        </w:rPr>
        <w:t> Korrigendum, ABl. L 31 vom 1.2.2019, S. 108</w:t>
      </w:r>
    </w:p>
    <w:p>
      <w:pPr>
        <w:pStyle w:val="Titrearticle"/>
        <w:rPr>
          <w:noProof/>
        </w:rPr>
      </w:pPr>
      <w:r>
        <w:rPr>
          <w:noProof/>
        </w:rPr>
        <w:t>Artikel 11</w:t>
      </w:r>
    </w:p>
    <w:p>
      <w:pPr>
        <w:pStyle w:val="NormalCentered"/>
        <w:rPr>
          <w:b/>
          <w:bCs/>
          <w:noProof/>
        </w:rPr>
      </w:pPr>
      <w:r>
        <w:rPr>
          <w:b/>
          <w:bCs/>
          <w:noProof/>
        </w:rPr>
        <w:t>Umfang und Voraussetzungen des verpflichtenden automatischen Informationsaustauschs über meldepflichtige grenzüberschreitende Gestaltungen</w:t>
      </w:r>
    </w:p>
    <w:p>
      <w:pPr>
        <w:rPr>
          <w:noProof/>
        </w:rPr>
      </w:pPr>
      <w:r>
        <w:rPr>
          <w:noProof/>
        </w:rPr>
        <w:t>(1) Jeder Mitgliedstaat ergreift die erforderlichen Maßnahmen, um die Intermediäre zur Vorlage der ihnen bekannten, in ihrem Besitz oder unter ihrer Kontrolle befindlichen Informationen über meldepflichtige grenzüberschreitende Gestaltungen bei den zuständigen Steuerbehörden zu verpflichten, und zwar innerhalb von 30 Tagen beginnend</w:t>
      </w:r>
    </w:p>
    <w:p>
      <w:pPr>
        <w:pStyle w:val="Point0"/>
        <w:rPr>
          <w:noProof/>
        </w:rPr>
      </w:pPr>
      <w:r>
        <w:rPr>
          <w:noProof/>
        </w:rPr>
        <w:t>a)</w:t>
      </w:r>
      <w:r>
        <w:rPr>
          <w:noProof/>
        </w:rPr>
        <w:tab/>
        <w:t xml:space="preserve">an dem Tag, nach dem die meldepflichtige grenzüberschreitende Gestaltung zur Umsetzung bereitgestellt wird; </w:t>
      </w:r>
    </w:p>
    <w:p>
      <w:pPr>
        <w:pStyle w:val="Point0"/>
        <w:rPr>
          <w:noProof/>
        </w:rPr>
      </w:pPr>
      <w:r>
        <w:rPr>
          <w:noProof/>
        </w:rPr>
        <w:t>b)</w:t>
      </w:r>
      <w:r>
        <w:rPr>
          <w:noProof/>
        </w:rPr>
        <w:tab/>
        <w:t xml:space="preserve">an dem Tag, nach dem die meldepflichtige grenzüberschreitende Gestaltung umsetzungsbereit ist; </w:t>
      </w:r>
    </w:p>
    <w:p>
      <w:pPr>
        <w:pStyle w:val="Point0"/>
        <w:rPr>
          <w:noProof/>
        </w:rPr>
      </w:pPr>
      <w:r>
        <w:rPr>
          <w:noProof/>
        </w:rPr>
        <w:t>c)</w:t>
      </w:r>
      <w:r>
        <w:rPr>
          <w:noProof/>
        </w:rP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an dem Tag, an dem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der erste Schritt der Umsetzung der meldepflichtigen grenzüberschreitenden Gestaltung gemacht wurde;</w:t>
      </w:r>
    </w:p>
    <w:p>
      <w:pPr>
        <w:rPr>
          <w:noProof/>
        </w:rPr>
      </w:pPr>
      <w:r>
        <w:rPr>
          <w:noProof/>
        </w:rPr>
        <w:t>je nachdem, was früher eintritt.</w:t>
      </w:r>
    </w:p>
    <w:p>
      <w:pPr>
        <w:rPr>
          <w:noProof/>
        </w:rPr>
      </w:pPr>
      <w:r>
        <w:rPr>
          <w:noProof/>
        </w:rPr>
        <w:t>Ungeachtet des Unterabsatzes 1 sind auch die in Artikel 3 Nummer 21 Absatz 2 genannten Intermediäre zur Vorlage der Informationen innerhalb von 30 Tagen, beginnend an dem Tag, nach dem sie unmittelbar oder über andere Personen Hilfe, Unterstützung oder Beratung geleistet haben, verpflichtet.</w:t>
      </w:r>
    </w:p>
    <w:p>
      <w:pPr>
        <w:rPr>
          <w:noProof/>
        </w:rPr>
      </w:pPr>
      <w:r>
        <w:rPr>
          <w:noProof/>
        </w:rPr>
        <w:t>(2) Im Falle von marktfähigen Gestaltungen ergreifen die Mitgliedstaaten die erforderlichen Maßnahmen, um sicherzustellen, dass der Intermediär alle drei Monate einen regelmäßigen Bericht mit einer Aktualisierung vorlegt, der neue meldepflichtige Informationen gemäß Absatz 14 Buchstaben a, d, g und h enthält, die seit der Vorlage des letzten Berichts verfügbar geworden sind.</w:t>
      </w:r>
    </w:p>
    <w:p>
      <w:pPr>
        <w:rPr>
          <w:noProof/>
        </w:rPr>
      </w:pPr>
      <w:r>
        <w:rPr>
          <w:noProof/>
        </w:rPr>
        <w:t xml:space="preserve">(3) Ist der Intermediär verpflichtet, den zuständigen Behörden von mehr als einem Mitgliedstaat Informationen über meldepflichtige grenzüberschreitende Gestaltungen vorzulegen, so sind die betreffenden Informationen nur in dem Mitgliedstaat vorzulegen, der in der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folgenden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Liste zuerst erscheint:</w:t>
      </w:r>
    </w:p>
    <w:p>
      <w:pPr>
        <w:pStyle w:val="Point0"/>
        <w:rPr>
          <w:noProof/>
        </w:rPr>
      </w:pPr>
      <w:r>
        <w:rPr>
          <w:noProof/>
        </w:rPr>
        <w:t>a)</w:t>
      </w:r>
      <w:r>
        <w:rPr>
          <w:noProof/>
        </w:rPr>
        <w:tab/>
        <w:t>der Mitgliedstaat, in dem der Intermediär steuerlich ansässig ist;</w:t>
      </w:r>
    </w:p>
    <w:p>
      <w:pPr>
        <w:pStyle w:val="Point0"/>
        <w:rPr>
          <w:noProof/>
        </w:rPr>
      </w:pPr>
      <w:r>
        <w:rPr>
          <w:noProof/>
        </w:rPr>
        <w:t>b)</w:t>
      </w:r>
      <w:r>
        <w:rPr>
          <w:noProof/>
        </w:rPr>
        <w:tab/>
        <w:t>der Mitgliedstaat, in dem der Intermediär eine Betriebsstätte hat, durch die die Dienstleistungen im Zusammenhang mit der Gestaltung erbracht werden;</w:t>
      </w:r>
    </w:p>
    <w:p>
      <w:pPr>
        <w:pStyle w:val="Point0"/>
        <w:rPr>
          <w:noProof/>
        </w:rPr>
      </w:pPr>
      <w:r>
        <w:rPr>
          <w:noProof/>
        </w:rPr>
        <w:lastRenderedPageBreak/>
        <w:t>c)</w:t>
      </w:r>
      <w:r>
        <w:rPr>
          <w:noProof/>
        </w:rPr>
        <w:tab/>
        <w:t>der Mitgliedstaat, nach dessen Recht der Intermediär eingetragen ist oder dessen Recht er unterliegt;</w:t>
      </w:r>
    </w:p>
    <w:p>
      <w:pPr>
        <w:pStyle w:val="Point0"/>
        <w:rPr>
          <w:noProof/>
        </w:rPr>
      </w:pPr>
      <w:r>
        <w:rPr>
          <w:noProof/>
        </w:rPr>
        <w:t>d)</w:t>
      </w:r>
      <w:r>
        <w:rPr>
          <w:noProof/>
        </w:rPr>
        <w:tab/>
        <w:t>der Mitgliedstaat, in dem der Intermediär Mitglied einer Organisation für juristische, steuerliche oder beratende Dienstleistungen ist.</w:t>
      </w:r>
    </w:p>
    <w:p>
      <w:pPr>
        <w:rPr>
          <w:noProof/>
        </w:rPr>
      </w:pPr>
      <w:r>
        <w:rPr>
          <w:noProof/>
        </w:rPr>
        <w:t>(4) Besteht gemäß Absatz 3 eine Verpflichtung zur Mehrfachmeldung, ist der Intermediär von der Vorlage der Informationen befreit, wenn er im Einklang mit den nationalen Rechtsvorschriften nachweisen kann, dass dieselben Informationen bereits in einem anderen Mitgliedstaat vorgelegt wurden.</w:t>
      </w:r>
    </w:p>
    <w:p>
      <w:pPr>
        <w:rPr>
          <w:noProof/>
        </w:rPr>
      </w:pPr>
      <w:r>
        <w:rPr>
          <w:noProof/>
        </w:rPr>
        <w:t>(5) Jeder Mitgliedstaat kann die erforderlichen Maßnahmen ergreifen, um den Intermediären das Recht auf Befreiung von der Pflicht zu gewähren, Informationen über eine meldepflichtige grenzüberschreitende Gestaltung vorzulegen, wenn mit der Meldepflicht nach dem nationalen Recht dieses Mitgliedstaats gegen eine gesetzliche Verschwiegenheitspflicht verstoßen würde. In solchen Fällen ergreift jeder Mitgliedstaat die erforderlichen Maßnahmen, um die Intermediäre zu verpflichten, andere Intermediäre oder, falls es keine solchen gibt, den relevanten Steuerpflichtigen unverzüglich über ihre Meldepflichten gemäß Absatz 6 zu unterrichten.</w:t>
      </w:r>
    </w:p>
    <w:p>
      <w:pPr>
        <w:rPr>
          <w:noProof/>
        </w:rPr>
      </w:pPr>
      <w:r>
        <w:rPr>
          <w:noProof/>
        </w:rPr>
        <w:t>Intermediäre können die in Unterabsatz 1 genannte Befreiung nur insoweit in Anspruch nehmen, als sie ihre Tätigkeit im Rahmen der für ihren Beruf relevanten nationalen Rechtsvorschriften ausüben.</w:t>
      </w:r>
    </w:p>
    <w:p>
      <w:pPr>
        <w:rPr>
          <w:noProof/>
        </w:rPr>
      </w:pPr>
      <w:r>
        <w:rPr>
          <w:noProof/>
        </w:rPr>
        <w:t>(6) Für den Fall, dass kein Intermediär existiert oder der Intermediär den relevanten Steuerpflichtigen oder einen anderen Intermediär über die Anwendung einer Befreiung gemäß Absatz 5 unterrichtet, ergreift jeder Mitgliedstaat die erforderlichen Maßnahmen, um sicherzustellen, dass die Pflicht zur Vorlage von Informationen über eine meldepflichtige grenzüberschreitende Gestaltung dem anderen unterrichteten Intermediär oder, falls kein solcher existiert, dem relevanten Steuerpflichtigen obliegt.</w:t>
      </w:r>
    </w:p>
    <w:p>
      <w:pPr>
        <w:rPr>
          <w:noProof/>
        </w:rPr>
      </w:pPr>
      <w:r>
        <w:rPr>
          <w:noProof/>
        </w:rPr>
        <w:t>(7) Der relevante Steuerpflichtige, dem die Meldepflicht obliegt, legt die Informationen innerhalb von 30 Tagen vor, beginnend an dem Tag, nach dem ihm die meldepflichtige grenzüberschreitende Gestaltung zur Umsetzung bereitgestellt wird oder es zur Umsetzung durch den relevanten Steuerpflichtigen bereit ist oder wenn der erste Schritt dessen Umsetzung im Zusammenhang mit dem relevanten Steuerpflichtigen gemacht wurde, je nachdem, was früher eintritt.</w:t>
      </w:r>
    </w:p>
    <w:p>
      <w:pPr>
        <w:rPr>
          <w:noProof/>
        </w:rPr>
      </w:pPr>
      <w:r>
        <w:rPr>
          <w:noProof/>
        </w:rPr>
        <w:t xml:space="preserve">Ist der relevante Steuerpflichtige verpflichtet, den zuständigen Behörden von mehr als einem Mitgliedstaat Informationen über meldepflichtige grenzüberschreitende Gestaltungen vorzulegen, so sind die betreffenden Informationen nur den zuständigen Behörden in dem Mitgliedstaat vorzulegen, der in der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folgenden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Liste zuerst erscheint:</w:t>
      </w:r>
    </w:p>
    <w:p>
      <w:pPr>
        <w:pStyle w:val="Point0"/>
        <w:rPr>
          <w:noProof/>
        </w:rPr>
      </w:pPr>
      <w:r>
        <w:rPr>
          <w:noProof/>
        </w:rPr>
        <w:t>a)</w:t>
      </w:r>
      <w:r>
        <w:rPr>
          <w:noProof/>
        </w:rPr>
        <w:tab/>
        <w:t>der Mitgliedstaat, in dem der relevante Steuerpflichtige steuerlich ansässig ist;</w:t>
      </w:r>
    </w:p>
    <w:p>
      <w:pPr>
        <w:pStyle w:val="Point0"/>
        <w:rPr>
          <w:noProof/>
        </w:rPr>
      </w:pPr>
      <w:r>
        <w:rPr>
          <w:noProof/>
        </w:rPr>
        <w:t>b)</w:t>
      </w:r>
      <w:r>
        <w:rPr>
          <w:noProof/>
        </w:rPr>
        <w:tab/>
        <w:t>der Mitgliedstaat, in dem der relevante Steuerpflichtige eine Betriebsstätte hat, der durch die Gestaltung ein Vorteil entsteht;</w:t>
      </w:r>
    </w:p>
    <w:p>
      <w:pPr>
        <w:pStyle w:val="Point0"/>
        <w:rPr>
          <w:noProof/>
        </w:rPr>
      </w:pPr>
      <w:r>
        <w:rPr>
          <w:noProof/>
        </w:rPr>
        <w:t>c)</w:t>
      </w:r>
      <w:r>
        <w:rPr>
          <w:noProof/>
        </w:rPr>
        <w:tab/>
        <w:t>der Mitgliedstaat, in dem der relevante Steuerpflichtige Einkünfte oder Gewinne erzielt, obwohl er in keinem Mitgliedstaat steuerlich ansässig ist oder eine Betriebsstätte hat;</w:t>
      </w:r>
    </w:p>
    <w:p>
      <w:pPr>
        <w:pStyle w:val="Point0"/>
        <w:rPr>
          <w:noProof/>
        </w:rPr>
      </w:pPr>
      <w:r>
        <w:rPr>
          <w:noProof/>
        </w:rPr>
        <w:t>d)</w:t>
      </w:r>
      <w:r>
        <w:rPr>
          <w:noProof/>
        </w:rPr>
        <w:tab/>
        <w:t>der Mitgliedstaat, in dem der relevante Steuerpflichtige eine Tätigkeit ausübt, obwohl er in keinem Mitgliedstaat steuerlich ansässig ist oder eine Betriebsstätte hat.</w:t>
      </w:r>
    </w:p>
    <w:p>
      <w:pPr>
        <w:rPr>
          <w:noProof/>
        </w:rPr>
      </w:pPr>
      <w:r>
        <w:rPr>
          <w:noProof/>
        </w:rPr>
        <w:lastRenderedPageBreak/>
        <w:t>(8) Besteht gemäß Absatz 7 eine Verpflichtung zur Mehrfachmeldung, ist der relevante Steuerpflichtige von der Vorlage der Informationen befreit, wenn er im Einklang mit den nationalen Rechtsvorschriften nachweisen kann, dass dieselben Informationen bereits in einem anderen Mitgliedstaat vorgelegt wurden.</w:t>
      </w:r>
    </w:p>
    <w:p>
      <w:pPr>
        <w:rPr>
          <w:noProof/>
        </w:rPr>
      </w:pPr>
      <w:r>
        <w:rPr>
          <w:noProof/>
        </w:rPr>
        <w:t>(9) Für den Fall, dass mehr als ein Intermediär existiert, ergreift jeder Mitgliedstaat die erforderlichen Maßnahmen, um sicherzustellen, dass die Verpflichtung zur Vorlage von Informationen über die meldepflichtige grenzüberschreitende Gestaltung allen Intermediären, die an derselben meldepflichtigen grenzüberschreitenden Gestaltung beteiligt sind, obliegt.</w:t>
      </w:r>
    </w:p>
    <w:p>
      <w:pPr>
        <w:rPr>
          <w:noProof/>
        </w:rPr>
      </w:pPr>
      <w:r>
        <w:rPr>
          <w:noProof/>
        </w:rPr>
        <w:t>Ein Intermediär ist nur soweit von der Vorlage der Informationen befreit, als er im Einklang mit den nationalen Rechtsvorschriften nachweisen kann, dass dieselben Informationen gemäß Absatz 14 bereits durch einen anderen Intermediär vorgelegt wurden.</w:t>
      </w:r>
    </w:p>
    <w:p>
      <w:pPr>
        <w:rPr>
          <w:noProof/>
        </w:rPr>
      </w:pPr>
      <w:r>
        <w:rPr>
          <w:noProof/>
        </w:rPr>
        <w:t xml:space="preserve">(10) Für den Fall, dass die Meldepflicht dem relevanten Steuerpflichtigen obliegt und es mehr als einen relevanten Steuerpflichtigen gibt, ergreift jeder Mitgliedstaat die erforderlichen Maßnahmen, um sicherzustellen, dass der relevante Steuerpflichtige, der die Informationen gemäß Absatz 6 vorzulegen hat, derjenige ist, der in der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folgenden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Liste zuerst erscheint:</w:t>
      </w:r>
    </w:p>
    <w:p>
      <w:pPr>
        <w:pStyle w:val="Point0"/>
        <w:rPr>
          <w:noProof/>
        </w:rPr>
      </w:pPr>
      <w:r>
        <w:rPr>
          <w:noProof/>
        </w:rPr>
        <w:t>a)</w:t>
      </w:r>
      <w:r>
        <w:rPr>
          <w:noProof/>
        </w:rPr>
        <w:tab/>
        <w:t>der relevante Steuerpflichtige, der die meldepflichtige grenzüberschreitende Gestaltung mit dem Intermediär vereinbart hat;</w:t>
      </w:r>
    </w:p>
    <w:p>
      <w:pPr>
        <w:pStyle w:val="Point0"/>
        <w:rPr>
          <w:noProof/>
        </w:rPr>
      </w:pPr>
      <w:r>
        <w:rPr>
          <w:noProof/>
        </w:rPr>
        <w:t>b)</w:t>
      </w:r>
      <w:r>
        <w:rPr>
          <w:noProof/>
        </w:rPr>
        <w:tab/>
        <w:t>der relevante Steuerpflichtige, der die Umsetzung der Gestaltung verwaltet.</w:t>
      </w:r>
    </w:p>
    <w:p>
      <w:pPr>
        <w:rPr>
          <w:noProof/>
        </w:rPr>
      </w:pPr>
      <w:r>
        <w:rPr>
          <w:noProof/>
        </w:rPr>
        <w:t>Ein relevanter Steuerpflichtiger ist nur soweit von der Vorlage der Informationen befreit, als er im Einklang mit den nationalen Rechtsvorschriften nachweisen kann, dass dieselben Informationen gemäß Absatz 14 bereits durch einen anderen relevanten Steuerpflichtigen vorgelegt wurden.</w:t>
      </w:r>
    </w:p>
    <w:p>
      <w:pPr>
        <w:rPr>
          <w:noProof/>
        </w:rPr>
      </w:pPr>
      <w:r>
        <w:rPr>
          <w:noProof/>
        </w:rPr>
        <w:t>(11) Jeder Mitgliedstaat kann die erforderlichen Maßnahmen ergreifen, um alle relevanten Steuerpflichtigen zu verpflichten, der Steuerverwaltung die Informationen über ihre Nutzung der Gestaltung in jedem der Jahre, für die sie es nutzen, vorzulegen.</w:t>
      </w:r>
    </w:p>
    <w:p>
      <w:pPr>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xml:space="preserve"> (12) Jeder Mitgliedstaat ergreift die erforderlichen Maßnahmen, um Intermediäre und relevante Steuerpflichtige zur Vorlage von Informationen über meldepflichtige grenzüberschreitende Gestaltungen zu verpflichten, deren erster Schritt zwischen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dem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25. Juni 2018 und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dem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30. Juni 2020 umgesetzt wurde. Die Intermediäre und die relevanten Steuerpflichtigen legen, sofern betroffen, bis zum 31. August 2020 Informationen über diese meldepflichtigen grenzüberschreitenden Gestaltungen vor.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r>
        <w:rPr>
          <w:noProof/>
        </w:rPr>
        <w:t xml:space="preserve"> </w:t>
      </w:r>
    </w:p>
    <w:p>
      <w:pPr>
        <w:rPr>
          <w:noProof/>
        </w:rPr>
      </w:pPr>
      <w:r>
        <w:rPr>
          <w:noProof/>
        </w:rPr>
        <w:t>(13) Die zuständige Behörde eines Mitgliedstaats, in dem die Informationen gemäß den Absätzen 1 bis 12 vorgelegt wurden, übermittelt den zuständigen Behörden aller anderen Mitgliedstaaten die in Absatz 14 aufgeführten Informationen im Wege eines automatischen Austauschs gemäß den praktischen Regelungen nach Artikel 25.</w:t>
      </w:r>
    </w:p>
    <w:p>
      <w:pPr>
        <w:keepNext/>
        <w:keepLines/>
        <w:rPr>
          <w:noProof/>
        </w:rPr>
      </w:pPr>
      <w:r>
        <w:rPr>
          <w:noProof/>
        </w:rPr>
        <w:lastRenderedPageBreak/>
        <w:t>(14) Die von der zuständigen Behörde eines Mitgliedstaats gemäß Absatz 13 zu übermittelnden Informationen umfassen soweit anwendbar Folgendes:</w:t>
      </w:r>
    </w:p>
    <w:p>
      <w:pPr>
        <w:pStyle w:val="Point0"/>
        <w:keepNext/>
        <w:keepLines/>
        <w:rPr>
          <w:noProof/>
        </w:rPr>
      </w:pPr>
      <w:r>
        <w:rPr>
          <w:noProof/>
        </w:rPr>
        <w:t>a)</w:t>
      </w:r>
      <w:r>
        <w:rPr>
          <w:noProof/>
        </w:rPr>
        <w:tab/>
        <w:t>die Angaben zu den Intermediären und relevanten Steuerpflichtigen, einschließlich des Namens, des Geburtsdatums und -orts (bei natürlichen Personen), der Steueransässigkeit und der STEUERIDENTIFIKATIONSNUMMER sowie gegebenenfalls der Personen, die als verbundene Unternehmen des relevanten Steuerpflichtigen gelten;</w:t>
      </w:r>
    </w:p>
    <w:p>
      <w:pPr>
        <w:pStyle w:val="Point0"/>
        <w:rPr>
          <w:noProof/>
        </w:rPr>
      </w:pPr>
      <w:r>
        <w:rPr>
          <w:noProof/>
        </w:rPr>
        <w:t>b)</w:t>
      </w:r>
      <w:r>
        <w:rPr>
          <w:noProof/>
        </w:rPr>
        <w:tab/>
        <w:t>Einzelheiten zu den in Anhang IV aufgeführten Kennzeichen, die bewirken, dass die grenzüberschreitende Gestaltung meldepflichtig ist;</w:t>
      </w:r>
    </w:p>
    <w:p>
      <w:pPr>
        <w:pStyle w:val="Point0"/>
        <w:rPr>
          <w:noProof/>
        </w:rPr>
      </w:pPr>
      <w:r>
        <w:rPr>
          <w:noProof/>
        </w:rPr>
        <w:t>c)</w:t>
      </w:r>
      <w:r>
        <w:rPr>
          <w:noProof/>
        </w:rPr>
        <w:tab/>
        <w:t>eine Zusammenfassung des Inhalts der meldepflichtigen grenzüberschreitenden Gestaltung, soweit vorhanden einschließlich eines Verweises auf die Bezeichnung, unter der es allgemein bekannt ist, und einer abstrakt gehaltenen Beschreibung der relevanten Geschäftstätigkeiten oder Gestaltungen, die nicht zur Preisgabe eines Handels-, Gewerbe- oder Berufsgeheimnisses oder eines Geschäftsverfahrens oder von Informationen führt, deren Preisgabe die öffentliche Ordnung verletzen würde;</w:t>
      </w:r>
    </w:p>
    <w:p>
      <w:pPr>
        <w:pStyle w:val="Point0"/>
        <w:rPr>
          <w:noProof/>
        </w:rPr>
      </w:pPr>
      <w:r>
        <w:rPr>
          <w:noProof/>
        </w:rPr>
        <w:t>d)</w:t>
      </w:r>
      <w:r>
        <w:rPr>
          <w:noProof/>
        </w:rPr>
        <w:tab/>
        <w:t>das Datum, an dem der erste Schritt der Umsetzung der meldepflichtigen grenzüberschreitenden Gestaltung gemacht wurde oder gemacht werden wird;</w:t>
      </w:r>
    </w:p>
    <w:p>
      <w:pPr>
        <w:pStyle w:val="Point0"/>
        <w:rPr>
          <w:noProof/>
        </w:rPr>
      </w:pPr>
      <w:r>
        <w:rPr>
          <w:noProof/>
        </w:rPr>
        <w:t>e)</w:t>
      </w:r>
      <w:r>
        <w:rPr>
          <w:noProof/>
        </w:rPr>
        <w:tab/>
        <w:t>Einzelheiten zu den nationalen Vorschriften, die die Grundlage der meldepflichtigen grenzüberschreitenden Gestaltung bilden;</w:t>
      </w:r>
    </w:p>
    <w:p>
      <w:pPr>
        <w:pStyle w:val="Point0"/>
        <w:rPr>
          <w:noProof/>
        </w:rPr>
      </w:pPr>
      <w:r>
        <w:rPr>
          <w:noProof/>
        </w:rPr>
        <w:t>f)</w:t>
      </w:r>
      <w:r>
        <w:rPr>
          <w:noProof/>
        </w:rPr>
        <w:tab/>
        <w:t>den Wert der meldepflichtigen grenzüberschreitenden Gestaltung;</w:t>
      </w:r>
    </w:p>
    <w:p>
      <w:pPr>
        <w:pStyle w:val="Point0"/>
        <w:rPr>
          <w:noProof/>
        </w:rPr>
      </w:pPr>
      <w:r>
        <w:rPr>
          <w:noProof/>
        </w:rPr>
        <w:t>g)</w:t>
      </w:r>
      <w:r>
        <w:rPr>
          <w:noProof/>
        </w:rPr>
        <w:tab/>
        <w:t>die Angabe des Mitgliedstaats des/der relevanten Steuerpflichtigen und aller anderen Mitgliedstaaten, die wahrscheinlich von der meldepflichtigen grenzüberschreitenden Gestaltung betroffen sind;</w:t>
      </w:r>
    </w:p>
    <w:p>
      <w:pPr>
        <w:pStyle w:val="Point0"/>
        <w:rPr>
          <w:noProof/>
        </w:rPr>
      </w:pPr>
      <w:r>
        <w:rPr>
          <w:noProof/>
        </w:rPr>
        <w:t>h)</w:t>
      </w:r>
      <w:r>
        <w:rPr>
          <w:noProof/>
        </w:rPr>
        <w:tab/>
        <w:t>Angaben zu allen anderen Personen in einem Mitgliedstaat, die wahrscheinlich von der meldepflichtigen grenzüberschreitenden Gestaltung betroffen sind, einschließlich Angaben darüber, zu welchen Mitgliedstaaten sie in Beziehung stehen.</w:t>
      </w:r>
    </w:p>
    <w:p>
      <w:pPr>
        <w:rPr>
          <w:noProof/>
        </w:rPr>
      </w:pPr>
      <w:r>
        <w:rPr>
          <w:noProof/>
        </w:rPr>
        <w:t>(15) Die Tatsache, dass eine Steuerverwaltung nicht auf eine meldepflichtige grenzüberschreitende Gestaltung reagiert, impliziert in keiner Weise die Anerkennung der Gültigkeit oder der steuerlichen Behandlung dieser Gestaltung.</w:t>
      </w:r>
    </w:p>
    <w:p>
      <w:pPr>
        <w:rPr>
          <w:noProof/>
        </w:rPr>
      </w:pPr>
      <w:r>
        <w:rPr>
          <w:noProof/>
        </w:rPr>
        <w:t>(16) Zur Erleichterung des in Absatz 13 genannten Informationsaustauschs nimmt die Kommission die zur Umsetzung dieses Artikels erforderlichen praktischen Regelungen an; hierzu zählen auch Maßnahmen zur standardisierten Übermittlung der in Absatz 14 genannten Informationen als Teil des Verfahrens zur Festlegung des gemäß Artikel 24 Absatz 5 vorgesehenen Standardformblatts.</w:t>
      </w:r>
    </w:p>
    <w:p>
      <w:pPr>
        <w:rPr>
          <w:noProof/>
        </w:rPr>
      </w:pPr>
      <w:r>
        <w:rPr>
          <w:noProof/>
        </w:rPr>
        <w:t>(17) Die Kommission hat keinen Zugang zu Informationen im Sinne des Absatzes 14 Buchstaben a, c und h.</w:t>
      </w:r>
    </w:p>
    <w:p>
      <w:pPr>
        <w:rPr>
          <w:noProof/>
        </w:rPr>
      </w:pPr>
      <w:r>
        <w:rPr>
          <w:noProof/>
        </w:rPr>
        <w:t>(18) Der automatische Informationsaustausch erfolgt innerhalb eines Monats nach Ablauf des Quartals, in dem die Informationen vorgelegt wurden. Die ersten Informationen werden bis zum 31. Oktober 2020 übermittelt.</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(EU) 2015/2376 Art. 1 Ziff. 3 (angepasst)</w:t>
      </w:r>
    </w:p>
    <w:p>
      <w:pPr>
        <w:pStyle w:val="Titrearticle"/>
        <w:keepLines/>
        <w:rPr>
          <w:i w:val="0"/>
          <w:noProof/>
        </w:rPr>
      </w:pPr>
      <w:r>
        <w:rPr>
          <w:noProof/>
        </w:rPr>
        <w:t>Artikel 12</w:t>
      </w:r>
    </w:p>
    <w:p>
      <w:pPr>
        <w:pStyle w:val="NormalCentered"/>
        <w:keepNext/>
        <w:keepLines/>
        <w:rPr>
          <w:b/>
          <w:bCs/>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b/>
          <w:bCs/>
          <w:noProof/>
        </w:rPr>
        <w:t>Ausweitung des</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b/>
          <w:bCs/>
          <w:noProof/>
        </w:rPr>
        <w:t xml:space="preserve"> automatischen Informationsaustauschs</w:t>
      </w:r>
    </w:p>
    <w:p>
      <w:pPr>
        <w:rPr>
          <w:noProof/>
        </w:rPr>
      </w:pPr>
      <w:r>
        <w:rPr>
          <w:noProof/>
        </w:rPr>
        <w:t>Die Kommission unterbreitet dem Rat gegebenenfalls einen Vorschlag zu den in Artikel 8 Absatz 1 festgelegten Arten von Einkünften und Vermögen sowie Voraussetzungen, einschließlich der Voraussetzung, dass Informationen über in anderen Mitgliedstaaten ansässige Personen verfügbar sein müssen, oder zu den in Artikel 8 Absatz 4 genannten Angaben oder zu beidem.</w:t>
      </w:r>
    </w:p>
    <w:p>
      <w:pPr>
        <w:rPr>
          <w:noProof/>
        </w:rPr>
      </w:pPr>
      <w:r>
        <w:rPr>
          <w:noProof/>
        </w:rPr>
        <w:t>Bei der Prüfung eines von der Kommission vorgelegten Vorschlags bewertet der Rat, ob die Effizienz und das Funktionieren des automatischen Austauschs von Informationen weiter zu verbessern und die entsprechenden Anforderungen zu erhöhen sind, um dafür zu sorgen, dass</w:t>
      </w:r>
    </w:p>
    <w:p>
      <w:pPr>
        <w:pStyle w:val="Point0"/>
        <w:rPr>
          <w:noProof/>
        </w:rPr>
      </w:pPr>
      <w:r>
        <w:rPr>
          <w:noProof/>
        </w:rPr>
        <w:t>a)</w:t>
      </w:r>
      <w:r>
        <w:rPr>
          <w:noProof/>
        </w:rPr>
        <w:tab/>
        <w:t xml:space="preserve">die zuständige Behörde jedes Mitgliedstaats im Wege des automatischen Austauschs der zuständigen Behörde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eines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anderen Mitgliedstaats Informationen in Bezug auf Besteuerungszeiträume ab 1. Januar 2019 übermittelt, die in jenem anderen Mitglied</w:t>
      </w:r>
      <w:r>
        <w:rPr>
          <w:noProof/>
        </w:rPr>
        <w:softHyphen/>
        <w:t xml:space="preserve">staat ansässige Personen in Bezug auf alle der in Artikel 8 Absatz 1 aufgeführten Arten von Einkünften und Vermögen, wie sie jeweils im Sinne des nationalen Rechts des die Informationen übermittelnden Mitgliedstaats zu verstehen sind, betreffen; </w:t>
      </w:r>
    </w:p>
    <w:p>
      <w:pPr>
        <w:pStyle w:val="Point0"/>
        <w:rPr>
          <w:noProof/>
        </w:rPr>
      </w:pPr>
      <w:r>
        <w:rPr>
          <w:noProof/>
        </w:rPr>
        <w:t>b)</w:t>
      </w:r>
      <w:r>
        <w:rPr>
          <w:noProof/>
        </w:rPr>
        <w:tab/>
        <w:t>die Liste der Arten von Einkünften und Vermögen sowie der Angaben in Artikel 8 Absätze 1 und 4 um andere Arten von Einkünften und Vermögen sowie Angaben, einschließlich Lizenzgebühren, erweitert wird.</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2011/16/EU (angepasst)</w:t>
      </w:r>
    </w:p>
    <w:p>
      <w:pPr>
        <w:pStyle w:val="SectionTitle"/>
        <w:rPr>
          <w:noProof/>
        </w:rPr>
      </w:pPr>
      <w:r>
        <w:rPr>
          <w:iCs/>
          <w:noProof/>
        </w:rPr>
        <w:t>ABSCHNITT III</w:t>
      </w:r>
    </w:p>
    <w:p>
      <w:pPr>
        <w:pStyle w:val="SectionTitle"/>
        <w:keepLines/>
        <w:rPr>
          <w:noProof/>
        </w:rPr>
      </w:pPr>
      <w:r>
        <w:rPr>
          <w:iCs/>
          <w:noProof/>
        </w:rPr>
        <w:t>Spontaner Informationsaustausch</w:t>
      </w:r>
    </w:p>
    <w:p>
      <w:pPr>
        <w:pStyle w:val="Titrearticle"/>
        <w:keepLines/>
        <w:rPr>
          <w:noProof/>
        </w:rPr>
      </w:pPr>
      <w:r>
        <w:rPr>
          <w:noProof/>
        </w:rPr>
        <w:t>Artikel 13</w:t>
      </w:r>
    </w:p>
    <w:p>
      <w:pPr>
        <w:pStyle w:val="NormalCentered"/>
        <w:keepNext/>
        <w:keepLines/>
        <w:rPr>
          <w:b/>
          <w:bCs/>
          <w:noProof/>
        </w:rPr>
      </w:pPr>
      <w:r>
        <w:rPr>
          <w:b/>
          <w:bCs/>
          <w:noProof/>
        </w:rPr>
        <w:t>Umfang und Voraussetzungen des spontanen Informationsaustauschs</w:t>
      </w:r>
    </w:p>
    <w:p>
      <w:pPr>
        <w:keepNext/>
        <w:keepLines/>
        <w:rPr>
          <w:noProof/>
        </w:rPr>
      </w:pPr>
      <w:r>
        <w:rPr>
          <w:noProof/>
        </w:rPr>
        <w:t>(1) Die zuständige Behörde jedes Mitgliedstaats übermittelt der zuständigen Behörde jedes anderen betroffenen Mitgliedstaats die in Artikel 1 Absatz 1 genannten Informationen in folgenden Fällen:</w:t>
      </w:r>
    </w:p>
    <w:p>
      <w:pPr>
        <w:pStyle w:val="Point0"/>
        <w:rPr>
          <w:noProof/>
        </w:rPr>
      </w:pPr>
      <w:r>
        <w:rPr>
          <w:noProof/>
        </w:rPr>
        <w:t>a)</w:t>
      </w:r>
      <w:r>
        <w:rPr>
          <w:noProof/>
        </w:rPr>
        <w:tab/>
        <w:t>die zuständige Behörde eines Mitgliedstaats hat Gründe für die Vermutung einer Steuerverkürzung in dem anderen Mitgliedstaat;</w:t>
      </w:r>
    </w:p>
    <w:p>
      <w:pPr>
        <w:pStyle w:val="Point0"/>
        <w:rPr>
          <w:noProof/>
        </w:rPr>
      </w:pPr>
      <w:r>
        <w:rPr>
          <w:noProof/>
        </w:rPr>
        <w:t>b)</w:t>
      </w:r>
      <w:r>
        <w:rPr>
          <w:noProof/>
        </w:rPr>
        <w:tab/>
        <w:t>ein Steuerpflichtiger erhält eine Steuerermäßigung oder Steuerbefreiung in einem Mitgliedstaat, die eine Steuererhöhung oder eine Besteuerung in dem anderen Mitgliedstaat zur Folge haben würde;</w:t>
      </w:r>
    </w:p>
    <w:p>
      <w:pPr>
        <w:pStyle w:val="Point0"/>
        <w:rPr>
          <w:noProof/>
        </w:rPr>
      </w:pPr>
      <w:r>
        <w:rPr>
          <w:noProof/>
        </w:rPr>
        <w:lastRenderedPageBreak/>
        <w:t>c)</w:t>
      </w:r>
      <w:r>
        <w:rPr>
          <w:noProof/>
        </w:rPr>
        <w:tab/>
        <w:t>Geschäftsbeziehungen zwischen einem Steuerpflichtigen eines Mitgliedstaats und einem Steuerpflichtigen eines anderen Mitgliedstaats werden über ein oder mehrere weitere Länder in einer Weise geleitet, die in einem der beiden oder in beiden Mitgliedstaaten zur Steuerersparnis führen kann;</w:t>
      </w:r>
    </w:p>
    <w:p>
      <w:pPr>
        <w:pStyle w:val="Point0"/>
        <w:rPr>
          <w:noProof/>
        </w:rPr>
      </w:pPr>
      <w:r>
        <w:rPr>
          <w:noProof/>
        </w:rPr>
        <w:t>d)</w:t>
      </w:r>
      <w:r>
        <w:rPr>
          <w:noProof/>
        </w:rPr>
        <w:tab/>
        <w:t>die zuständige Behörde eines Mitgliedstaats hat Gründe für die Vermutung einer Steuerersparnis durch künstliche Gewinnverlagerungen innerhalb eines Konzerns;</w:t>
      </w:r>
    </w:p>
    <w:p>
      <w:pPr>
        <w:pStyle w:val="Point0"/>
        <w:rPr>
          <w:noProof/>
        </w:rPr>
      </w:pPr>
      <w:r>
        <w:rPr>
          <w:noProof/>
        </w:rPr>
        <w:t>e)</w:t>
      </w:r>
      <w:r>
        <w:rPr>
          <w:noProof/>
        </w:rPr>
        <w:tab/>
        <w:t>in einem Mitgliedstaat ist im Zusammenhang mit Informationen, die ihm von der zuständigen Behörde eines anderen Mitgliedstaats übermittelt worden sind, ein Sachverhalt ermittelt worden, der für die Steuerfestsetzung in dem anderen Mitgliedstaat erheblich sein könnte.</w:t>
      </w:r>
    </w:p>
    <w:p>
      <w:pPr>
        <w:rPr>
          <w:noProof/>
        </w:rPr>
      </w:pPr>
      <w:r>
        <w:rPr>
          <w:noProof/>
        </w:rPr>
        <w:t>(2) Die zuständigen Behörden der Mitgliedstaaten können den zuständigen Behörden der anderen Mitgliedstaaten im Wege des spontanen Informationsaustauschs alle Informationen, von denen sie Kenntnis haben und die für die zuständigen Behörden der anderen Mitgliedstaaten von Nutzen sein können, übermitteln.</w:t>
      </w:r>
    </w:p>
    <w:p>
      <w:pPr>
        <w:pStyle w:val="Titrearticle"/>
        <w:rPr>
          <w:noProof/>
        </w:rPr>
      </w:pPr>
      <w:r>
        <w:rPr>
          <w:noProof/>
        </w:rPr>
        <w:t>Artikel 14</w:t>
      </w:r>
    </w:p>
    <w:p>
      <w:pPr>
        <w:pStyle w:val="NormalCentered"/>
        <w:rPr>
          <w:b/>
          <w:bCs/>
          <w:noProof/>
        </w:rPr>
      </w:pPr>
      <w:r>
        <w:rPr>
          <w:b/>
          <w:bCs/>
          <w:noProof/>
        </w:rPr>
        <w:t>Fristen</w:t>
      </w:r>
    </w:p>
    <w:p>
      <w:pPr>
        <w:rPr>
          <w:noProof/>
        </w:rPr>
      </w:pPr>
      <w:r>
        <w:rPr>
          <w:noProof/>
        </w:rPr>
        <w:t>(1) Die zuständige Behörde, für die die in Artikel 13 Absatz 1 genannten Informationen verfügbar werden, übermittelt diese Informationen so schnell wie möglich an die zuständige Behörde jedes anderen betroffenen Mitgliedstaats, spätestens jedoch einen Monat, nachdem sie verfügbar geworden sind.</w:t>
      </w:r>
    </w:p>
    <w:p>
      <w:pPr>
        <w:rPr>
          <w:noProof/>
        </w:rPr>
      </w:pPr>
      <w:r>
        <w:rPr>
          <w:noProof/>
        </w:rPr>
        <w:t xml:space="preserve">(2) Die zuständige Behörde, der Informationen nach Maßgabe des Artikels 13 übermittelt werden, bestätigt der zuständigen Behörde, die die Informationen übermittelt hat,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umgehend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spätestens jedoch sieben Arbeitstage nach Eingang der Informationen, möglichst auf elektronischem Wege den Erhalt der Informationen.</w:t>
      </w:r>
    </w:p>
    <w:p>
      <w:pPr>
        <w:pStyle w:val="ChapterTitle"/>
        <w:rPr>
          <w:noProof/>
        </w:rPr>
      </w:pPr>
      <w:r>
        <w:rPr>
          <w:noProof/>
        </w:rPr>
        <w:t>KAPITEL III</w:t>
      </w:r>
    </w:p>
    <w:p>
      <w:pPr>
        <w:pStyle w:val="ChapterTitle"/>
        <w:rPr>
          <w:noProof/>
        </w:rPr>
      </w:pPr>
      <w:r>
        <w:rPr>
          <w:iCs/>
          <w:noProof/>
        </w:rPr>
        <w:t>SONSTIGE FORMEN DER VERWALTUNGSZUSAMMENARBEIT</w:t>
      </w:r>
    </w:p>
    <w:p>
      <w:pPr>
        <w:pStyle w:val="SectionTitle"/>
        <w:rPr>
          <w:noProof/>
        </w:rPr>
      </w:pPr>
      <w:r>
        <w:rPr>
          <w:iCs/>
          <w:noProof/>
        </w:rPr>
        <w:t>ABSCHNITT I</w:t>
      </w:r>
    </w:p>
    <w:p>
      <w:pPr>
        <w:pStyle w:val="SectionTitle"/>
        <w:rPr>
          <w:noProof/>
        </w:rPr>
      </w:pPr>
      <w:r>
        <w:rPr>
          <w:iCs/>
          <w:noProof/>
        </w:rPr>
        <w:t>Anwesenheit in den Amtsräumen von Behörden und Teilnahme an behördlichen Ermittlungen</w:t>
      </w:r>
    </w:p>
    <w:p>
      <w:pPr>
        <w:pStyle w:val="Titrearticle"/>
        <w:rPr>
          <w:noProof/>
        </w:rPr>
      </w:pPr>
      <w:r>
        <w:rPr>
          <w:noProof/>
        </w:rPr>
        <w:t>Artikel 15</w:t>
      </w:r>
    </w:p>
    <w:p>
      <w:pPr>
        <w:pStyle w:val="NormalCentered"/>
        <w:rPr>
          <w:b/>
          <w:bCs/>
          <w:noProof/>
        </w:rPr>
      </w:pPr>
      <w:r>
        <w:rPr>
          <w:b/>
          <w:bCs/>
          <w:noProof/>
        </w:rPr>
        <w:t>Umfang und Bedingungen</w:t>
      </w:r>
    </w:p>
    <w:p>
      <w:pPr>
        <w:rPr>
          <w:noProof/>
        </w:rPr>
      </w:pPr>
      <w:r>
        <w:rPr>
          <w:noProof/>
        </w:rPr>
        <w:t xml:space="preserve">(1) Die ersuchende und die ersuchte Behörde können vereinbaren, dass unter den von letzterer festgelegten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Voraussetzungen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ordnungsgemäß befugte Bedienstete der ersuchenden Behörde zum Zweck des Informationsaustauschs gemäß Artikel 1 Absatz 1:</w:t>
      </w:r>
    </w:p>
    <w:p>
      <w:pPr>
        <w:pStyle w:val="Point0"/>
        <w:rPr>
          <w:noProof/>
        </w:rPr>
      </w:pPr>
      <w:r>
        <w:rPr>
          <w:noProof/>
        </w:rPr>
        <w:t>a)</w:t>
      </w:r>
      <w:r>
        <w:rPr>
          <w:noProof/>
        </w:rPr>
        <w:tab/>
        <w:t>in den Amtsräumen zugegen sein dürfen, in denen die Verwaltungsbehörden des ersuchten Mitgliedstaats ihre Tätigkeit ausüben;</w:t>
      </w:r>
    </w:p>
    <w:p>
      <w:pPr>
        <w:pStyle w:val="Point0"/>
        <w:rPr>
          <w:noProof/>
        </w:rPr>
      </w:pPr>
      <w:r>
        <w:rPr>
          <w:noProof/>
        </w:rPr>
        <w:lastRenderedPageBreak/>
        <w:t>b)</w:t>
      </w:r>
      <w:r>
        <w:rPr>
          <w:noProof/>
        </w:rPr>
        <w:tab/>
        <w:t>bei den behördlichen Ermittlungen zugegen sein dürfen, die im Hoheitsgebiet des ersuchten Mitgliedstaats durchgeführt werden.</w:t>
      </w:r>
    </w:p>
    <w:p>
      <w:pPr>
        <w:rPr>
          <w:noProof/>
        </w:rPr>
      </w:pPr>
      <w:r>
        <w:rPr>
          <w:noProof/>
        </w:rPr>
        <w:t>Ist die erbetene Information in Unterlagen enthalten, zu denen die Bediensteten der ersuchten Behörde Zugang haben, so werden den Bediensteten der ersuchenden Behörde Kopien dieser Unterlagen ausgehändigt.</w:t>
      </w:r>
    </w:p>
    <w:p>
      <w:pPr>
        <w:rPr>
          <w:noProof/>
        </w:rPr>
      </w:pPr>
      <w:r>
        <w:rPr>
          <w:noProof/>
        </w:rPr>
        <w:t>(2) Sofern dies nach den Rechtsvorschriften des ersuchten Mitgliedstaats zulässig ist, kann die in Absatz 1 genannte Vereinbarung vorsehen, dass Bedienstete der ersuchenden Behörde, die bei behördlichen Ermittlungen zugegen sind, Einzelpersonen befragen und Aufzeichnungen prüfen dürfen.</w:t>
      </w:r>
    </w:p>
    <w:p>
      <w:pPr>
        <w:rPr>
          <w:noProof/>
        </w:rPr>
      </w:pPr>
      <w:r>
        <w:rPr>
          <w:noProof/>
        </w:rPr>
        <w:t>Jede Weigerung der Person, gegen die ermittelt wird, den Überprüfungsmaßnahmen der Bediensteten der ersuchenden Behörde zu entsprechen, wird von der ersuchten Behörde wie eine Weigerung gegenüber Bediensteten der eigenen Behörde behandelt.</w:t>
      </w:r>
    </w:p>
    <w:p>
      <w:pPr>
        <w:rPr>
          <w:noProof/>
        </w:rPr>
      </w:pPr>
      <w:r>
        <w:rPr>
          <w:noProof/>
        </w:rPr>
        <w:t>(3) Befugte Bedienstete der ersuchenden Behörde, die sich gemäß Absatz 1 in einem anderen Mitgliedstaat aufhalten, müssen jederzeit eine schriftliche Vollmacht vorlegen können, aus der ihre Identität und dienstliche Stellung hervorgehen.</w:t>
      </w:r>
    </w:p>
    <w:p>
      <w:pPr>
        <w:pStyle w:val="SectionTitle"/>
        <w:rPr>
          <w:noProof/>
        </w:rPr>
      </w:pPr>
      <w:r>
        <w:rPr>
          <w:iCs/>
          <w:noProof/>
        </w:rPr>
        <w:t>ABSCHNITT II</w:t>
      </w:r>
    </w:p>
    <w:p>
      <w:pPr>
        <w:pStyle w:val="SectionTitle"/>
        <w:rPr>
          <w:noProof/>
        </w:rPr>
      </w:pPr>
      <w:r>
        <w:rPr>
          <w:iCs/>
          <w:noProof/>
        </w:rPr>
        <w:t>Gleichzeitige Prüfungen</w:t>
      </w:r>
    </w:p>
    <w:p>
      <w:pPr>
        <w:pStyle w:val="Titrearticle"/>
        <w:rPr>
          <w:noProof/>
        </w:rPr>
      </w:pPr>
      <w:r>
        <w:rPr>
          <w:noProof/>
        </w:rPr>
        <w:t>Artikel 16</w:t>
      </w:r>
    </w:p>
    <w:p>
      <w:pPr>
        <w:pStyle w:val="NormalCentered"/>
        <w:rPr>
          <w:b/>
          <w:bCs/>
          <w:noProof/>
        </w:rPr>
      </w:pPr>
      <w:r>
        <w:rPr>
          <w:b/>
          <w:bCs/>
          <w:noProof/>
        </w:rPr>
        <w:t>Gleichzeitige Prüfungen</w:t>
      </w:r>
    </w:p>
    <w:p>
      <w:pPr>
        <w:rPr>
          <w:noProof/>
        </w:rPr>
      </w:pPr>
      <w:r>
        <w:rPr>
          <w:noProof/>
        </w:rPr>
        <w:t>(1) Vereinbaren zwei oder mehr Mitgliedstaaten, jeweils in ihrem Hoheitsgebiet gleichzeitige Prüfungen einer oder mehrerer Personen von gemeinsamem oder ergänzendem Interesse durchzuführen, um die dabei erlangten Informationen auszutauschen, so finden die Absätze 2, 3 und 4 Anwendung.</w:t>
      </w:r>
    </w:p>
    <w:p>
      <w:pPr>
        <w:rPr>
          <w:noProof/>
        </w:rPr>
      </w:pPr>
      <w:r>
        <w:rPr>
          <w:noProof/>
        </w:rPr>
        <w:t>(2) Die zuständige Behörde eines jeden Mitgliedstaats bestimmt selbst, welche Personen sie für eine gleichzeitige Prüfung vorschlagen will. Sie unterrichtet die zuständige Behörde der anderen betroffenen Mitgliedstaaten über die Fälle, für die sie eine gleichzeitige Prüfung vorschlägt, und begründet ihre Wahl.</w:t>
      </w:r>
    </w:p>
    <w:p>
      <w:pPr>
        <w:rPr>
          <w:noProof/>
        </w:rPr>
      </w:pPr>
      <w:r>
        <w:rPr>
          <w:noProof/>
        </w:rPr>
        <w:t>Sie gibt an, in welchem Zeitraum derartige Prüfungen durchgeführt werden sollen.</w:t>
      </w:r>
    </w:p>
    <w:p>
      <w:pPr>
        <w:rPr>
          <w:noProof/>
        </w:rPr>
      </w:pPr>
      <w:r>
        <w:rPr>
          <w:noProof/>
        </w:rPr>
        <w:t>(3) Die zuständige Behörde eines jeden betroffenen Mitgliedstaats entscheidet, ob sie an der gleichzeitigen Prüfung teilnehmen will. Sie bestätigt der Behörde, die eine gleichzeitige Prüfung vorgeschlagen hat, ihr Einverständnis oder teilt ihre begründete Ablehnung mit.</w:t>
      </w:r>
    </w:p>
    <w:p>
      <w:pPr>
        <w:rPr>
          <w:noProof/>
        </w:rPr>
      </w:pPr>
      <w:r>
        <w:rPr>
          <w:noProof/>
        </w:rPr>
        <w:t>(4) Die zuständige Behörde jedes betroffenen Mitgliedstaats benennt einen für die Beaufsichtigung und die Koordinierung der Prüfung verantwortlichen Vertreter.</w:t>
      </w:r>
    </w:p>
    <w:p>
      <w:pPr>
        <w:pStyle w:val="SectionTitle"/>
        <w:keepLines/>
        <w:rPr>
          <w:noProof/>
        </w:rPr>
      </w:pPr>
      <w:r>
        <w:rPr>
          <w:iCs/>
          <w:noProof/>
        </w:rPr>
        <w:lastRenderedPageBreak/>
        <w:t>ABSCHNITT III</w:t>
      </w:r>
    </w:p>
    <w:p>
      <w:pPr>
        <w:pStyle w:val="SectionTitle"/>
        <w:keepLines/>
        <w:rPr>
          <w:noProof/>
        </w:rPr>
      </w:pPr>
      <w:r>
        <w:rPr>
          <w:iCs/>
          <w:noProof/>
        </w:rPr>
        <w:t>Zustellung durch die Verwaltung</w:t>
      </w:r>
    </w:p>
    <w:p>
      <w:pPr>
        <w:pStyle w:val="Titrearticle"/>
        <w:keepLines/>
        <w:rPr>
          <w:noProof/>
        </w:rPr>
      </w:pPr>
      <w:r>
        <w:rPr>
          <w:noProof/>
        </w:rPr>
        <w:t>Artikel 17</w:t>
      </w:r>
    </w:p>
    <w:p>
      <w:pPr>
        <w:pStyle w:val="NormalCentered"/>
        <w:keepNext/>
        <w:keepLines/>
        <w:rPr>
          <w:b/>
          <w:bCs/>
          <w:noProof/>
        </w:rPr>
      </w:pPr>
      <w:r>
        <w:rPr>
          <w:b/>
          <w:bCs/>
          <w:noProof/>
        </w:rPr>
        <w:t>Zustellungsersuchen</w:t>
      </w:r>
    </w:p>
    <w:p>
      <w:pPr>
        <w:keepNext/>
        <w:keepLines/>
        <w:rPr>
          <w:noProof/>
        </w:rPr>
      </w:pPr>
      <w:r>
        <w:rPr>
          <w:noProof/>
        </w:rPr>
        <w:t xml:space="preserve">(1) Auf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Ersuchen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der zuständigen Behörde eines Mitgliedstaats stellt die zuständige Behörde eines anderen Mitgliedstaats nach Maßgabe der Rechtsvorschriften für die Zustellung ent</w:t>
      </w:r>
      <w:r>
        <w:rPr>
          <w:noProof/>
        </w:rPr>
        <w:softHyphen/>
        <w:t>sprechender Akte im ersuchten Mitgliedstaat dem Adressaten alle Akte und Entscheidungen von Verwaltungsbehörden des ersuchenden Mitgliedstaats zu, die mit der Anwendung der Rechtsvorschriften über die unter diese Richtlinie fallenden Steuern in dessen Gebiet zusammenhängen.</w:t>
      </w:r>
    </w:p>
    <w:p>
      <w:pPr>
        <w:rPr>
          <w:noProof/>
        </w:rPr>
      </w:pPr>
      <w:r>
        <w:rPr>
          <w:noProof/>
        </w:rPr>
        <w:t>(2) Das Zustellungsersuchen enthält Angaben über den Gegenstand des zuzustellenden Akts oder der zuzustellenden Entscheidung sowie Namen und Anschrift des Adressaten und alle weiteren Informationen, die die Identifizierung des Adressaten erleichtern können.</w:t>
      </w:r>
    </w:p>
    <w:p>
      <w:pPr>
        <w:rPr>
          <w:noProof/>
        </w:rPr>
      </w:pPr>
      <w:r>
        <w:rPr>
          <w:noProof/>
        </w:rPr>
        <w:t>(3) Die ersuchte Behörde teilt der ersuchenden Behörde unverzüglich mit, was aufgrund des Zustellungsersuchens veranlasst wurde, und insbesondere, an welchem Tag der Akt oder die Entscheidung dem Adressaten zugestellt wurde.</w:t>
      </w:r>
    </w:p>
    <w:p>
      <w:pPr>
        <w:rPr>
          <w:noProof/>
        </w:rPr>
      </w:pPr>
      <w:r>
        <w:rPr>
          <w:noProof/>
        </w:rPr>
        <w:t>(4) Die ersuchende Behörde stellt nur dann ein Zustellungsersuchen nach diesem Artikel, wenn sie nicht in der Lage ist, die Zustellung nach Maßgabe der Rechtsvorschriften für die Zustellung der betreffenden Akte im ersuchenden Mitgliedstaat vorzunehmen, oder wenn die Zustellung unverhältnismäßige Schwierigkeiten aufwerfen würde. Die zuständige Behörde eines Mitgliedstaats kann einer Person im Hoheitsgebiet eines anderen Mitgliedstaats jedes Dokument per Einschreiben oder auf elektronischem Wege direkt zustellen.</w:t>
      </w:r>
    </w:p>
    <w:p>
      <w:pPr>
        <w:pStyle w:val="SectionTitle"/>
        <w:rPr>
          <w:noProof/>
        </w:rPr>
      </w:pPr>
      <w:r>
        <w:rPr>
          <w:iCs/>
          <w:noProof/>
        </w:rPr>
        <w:t>ABSCHNITT IV</w:t>
      </w:r>
    </w:p>
    <w:p>
      <w:pPr>
        <w:pStyle w:val="SectionTitle"/>
        <w:rPr>
          <w:noProof/>
        </w:rPr>
      </w:pPr>
      <w:r>
        <w:rPr>
          <w:iCs/>
          <w:noProof/>
        </w:rPr>
        <w:t>Rückmeldungen</w:t>
      </w:r>
    </w:p>
    <w:p>
      <w:pPr>
        <w:pStyle w:val="Titrearticle"/>
        <w:rPr>
          <w:noProof/>
        </w:rPr>
      </w:pPr>
      <w:r>
        <w:rPr>
          <w:noProof/>
        </w:rPr>
        <w:t>Artikel 18</w:t>
      </w:r>
    </w:p>
    <w:p>
      <w:pPr>
        <w:pStyle w:val="NormalCentered"/>
        <w:rPr>
          <w:b/>
          <w:bCs/>
          <w:noProof/>
        </w:rPr>
      </w:pPr>
      <w:r>
        <w:rPr>
          <w:b/>
          <w:bCs/>
          <w:noProof/>
        </w:rPr>
        <w:t>Bedingungen</w:t>
      </w:r>
    </w:p>
    <w:p>
      <w:pPr>
        <w:rPr>
          <w:noProof/>
        </w:rPr>
      </w:pPr>
      <w:r>
        <w:rPr>
          <w:noProof/>
        </w:rPr>
        <w:t xml:space="preserve">(1) Übermittelt eine zuständige Behörde Informationen gemäß den Artikeln 5 oder 13, so kann sie die zuständige Behörde, die die Informationen erhält, um eine Rückmeldung dazu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ersuchen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Wird um eine Rückmeldung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ersucht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so übermittelt die zuständige Behörde, die die Informationen erhalten hat, unbeschadet der geltenden Vorschriften ihres Mitgliedstaats zum Schutz des Steuergeheimnisses und zum Datenschutz, der zuständigen Behörde, die die Informationen übermittelt hat, die Rückmeldung sobald wie möglich und spätestens drei Monate nach Bekanntwerden des Ergebnisses der Verwendung der erbetenen Informationen. Die Kommission legt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im Wege von Durchführungsrechtsakten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die praktischen Regelungen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fest. Diese Durchführungsrechtsakte werden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gemäß dem in Artikel 32 Absatz 2 genannten Verfahren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erlassen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pPr>
        <w:rPr>
          <w:noProof/>
        </w:rPr>
      </w:pPr>
      <w:r>
        <w:rPr>
          <w:noProof/>
        </w:rPr>
        <w:t>(2) Die zuständigen Behörden der Mitgliedstaaten übermitteln den anderen betroffenen Mitgliedstaaten einmal jährlich nach bilateral vereinbarten praktischen Regelungen eine Rückmeldung zum automatischen Informationsaustausch.</w:t>
      </w:r>
    </w:p>
    <w:p>
      <w:pPr>
        <w:pStyle w:val="SectionTitle"/>
        <w:rPr>
          <w:noProof/>
        </w:rPr>
      </w:pPr>
      <w:r>
        <w:rPr>
          <w:iCs/>
          <w:noProof/>
        </w:rPr>
        <w:lastRenderedPageBreak/>
        <w:t>ABSCHNITT V</w:t>
      </w:r>
    </w:p>
    <w:p>
      <w:pPr>
        <w:pStyle w:val="SectionTitle"/>
        <w:rPr>
          <w:noProof/>
        </w:rPr>
      </w:pPr>
      <w:r>
        <w:rPr>
          <w:iCs/>
          <w:noProof/>
        </w:rPr>
        <w:t>Austausch bewährter Praktiken und Erfahrungsaustausch</w:t>
      </w:r>
    </w:p>
    <w:p>
      <w:pPr>
        <w:pStyle w:val="Titrearticle"/>
        <w:rPr>
          <w:noProof/>
        </w:rPr>
      </w:pPr>
      <w:r>
        <w:rPr>
          <w:noProof/>
        </w:rPr>
        <w:t>Artikel 19</w:t>
      </w:r>
    </w:p>
    <w:p>
      <w:pPr>
        <w:pStyle w:val="NormalCentered"/>
        <w:rPr>
          <w:b/>
          <w:bCs/>
          <w:noProof/>
        </w:rPr>
      </w:pPr>
      <w:r>
        <w:rPr>
          <w:b/>
          <w:bCs/>
          <w:noProof/>
        </w:rPr>
        <w:t>Umfang und Bedingungen</w:t>
      </w:r>
    </w:p>
    <w:p>
      <w:pPr>
        <w:rPr>
          <w:noProof/>
        </w:rPr>
      </w:pPr>
      <w:r>
        <w:rPr>
          <w:noProof/>
        </w:rPr>
        <w:t>(1) Die Mitgliedstaaten und die Kommission prüfen und bewerten gemeinsam die Zusammenarbeit der Verwaltungsbehörden nach dieser Richtlinie und tauschen ihre Erfahrungen aus, um die Zusammenarbeit zu verbessern und gegebenenfalls in den betroffenen Bereichen Regeln aufzustellen.</w:t>
      </w:r>
    </w:p>
    <w:p>
      <w:pPr>
        <w:rPr>
          <w:noProof/>
        </w:rPr>
      </w:pPr>
      <w:r>
        <w:rPr>
          <w:noProof/>
        </w:rPr>
        <w:t>(2) Die Mitgliedstaaten können gemeinsam mit der Kommission Leitlinien zu allen Aspekten, die für den Austausch von bewährten Praktiken und von Erfahrungen für notwendig erachtet werden, erstellen.</w:t>
      </w:r>
    </w:p>
    <w:p>
      <w:pPr>
        <w:pStyle w:val="ChapterTitle"/>
        <w:rPr>
          <w:noProof/>
        </w:rPr>
      </w:pPr>
      <w:r>
        <w:rPr>
          <w:noProof/>
        </w:rPr>
        <w:t>KAPITEL IV</w:t>
      </w:r>
    </w:p>
    <w:p>
      <w:pPr>
        <w:pStyle w:val="ChapterTitle"/>
        <w:rPr>
          <w:noProof/>
        </w:rPr>
      </w:pPr>
      <w:r>
        <w:rPr>
          <w:iCs/>
          <w:noProof/>
        </w:rPr>
        <w:t>BEDINGUNGEN FÜR DIE ZUSAMMENARBEIT DER VERWALTUNGSBEHÖRDEN</w:t>
      </w:r>
    </w:p>
    <w:p>
      <w:pPr>
        <w:pStyle w:val="Titrearticle"/>
        <w:rPr>
          <w:noProof/>
        </w:rPr>
      </w:pPr>
      <w:r>
        <w:rPr>
          <w:noProof/>
        </w:rPr>
        <w:t>Artikel 20</w:t>
      </w:r>
    </w:p>
    <w:p>
      <w:pPr>
        <w:pStyle w:val="NormalCentered"/>
        <w:rPr>
          <w:b/>
          <w:bCs/>
          <w:noProof/>
        </w:rPr>
      </w:pPr>
      <w:r>
        <w:rPr>
          <w:b/>
          <w:bCs/>
          <w:noProof/>
        </w:rPr>
        <w:t xml:space="preserve">Weitergabe von Informationen und </w:t>
      </w:r>
      <w:r>
        <w:rPr>
          <w:b/>
          <w:noProof/>
        </w:rPr>
        <w:t>Schriftstücken</w:t>
      </w:r>
    </w:p>
    <w:p>
      <w:pPr>
        <w:rPr>
          <w:noProof/>
        </w:rPr>
      </w:pPr>
      <w:r>
        <w:rPr>
          <w:noProof/>
        </w:rPr>
        <w:t xml:space="preserve">(1) Die Informationen, die nach Maßgabe dieser Richtlinie in irgendeiner Form zwischen Mitgliedstaaten übermittelt werden, unterliegen der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Pflicht zur Wahrung des Amtsgeheimnisses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und genießen den Schutz, den das nationale Recht des Mitgliedstaats, der sie erhalten hat, für vergleichbare Informationen gewährt. Diese Informationen können zur Anwendung und Durchsetzung des innerstaatlichen Rechts der Mitgliedstaaten über die in Artikel 2 genannten Steuern verwendet werden.</w:t>
      </w:r>
    </w:p>
    <w:p>
      <w:pPr>
        <w:rPr>
          <w:noProof/>
        </w:rPr>
      </w:pPr>
      <w:r>
        <w:rPr>
          <w:noProof/>
        </w:rPr>
        <w:t>Diese Informationen können auch zur Festsetzung und Beitreibung anderer Steuern und Abgaben gemäß Artikel 2 der Richtlinie 2010/24/EU des Rates</w:t>
      </w:r>
      <w:r>
        <w:rPr>
          <w:rStyle w:val="FootnoteReference"/>
          <w:noProof/>
        </w:rPr>
        <w:footnoteReference w:id="14"/>
      </w:r>
      <w:r>
        <w:rPr>
          <w:noProof/>
        </w:rPr>
        <w:t xml:space="preserve"> oder zur Festsetzung und Einziehung von Pflichtbeiträgen zu Sozialversicherungen verwendet werden.</w:t>
      </w:r>
    </w:p>
    <w:p>
      <w:pPr>
        <w:rPr>
          <w:noProof/>
        </w:rPr>
      </w:pPr>
      <w:r>
        <w:rPr>
          <w:noProof/>
        </w:rPr>
        <w:t>Ferner können sie im Zusammenhang mit Gerichts- und Verwaltungsverfahren verwendet werden, die Sanktionen wegen Nichtbeachtung des Steuerrechts zur Folge haben können, und zwar unbeschadet der allgemeinen Regelungen und Vorschriften über die Rechte der Beklagten und Zeugen in solchen Verfahren.</w:t>
      </w:r>
    </w:p>
    <w:p>
      <w:pPr>
        <w:rPr>
          <w:noProof/>
        </w:rPr>
      </w:pPr>
      <w:r>
        <w:rPr>
          <w:noProof/>
        </w:rPr>
        <w:t xml:space="preserve">(2) Mit Zustimmung der zuständigen Behörde des Mitgliedstaats,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der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im Rahmen dieser Richtlinie Informationen übermittelt, und nur insoweit, als dies gemäß den Rechtsvorschriften des Mitgliedstaats der zuständigen Behörde, die die Informationen erhält, zulässig ist, können die im Rahmen dieser Richtlinie erhaltenen Informationen und Schriftstücke für andere als in Absatz 1 genannte Zwecke verwendet werden. Diese Zustimmung wird erteilt, wenn die Informationen in dem Mitgliedstaat der zuständigen Behörde, die die Informationen übermittelt, für ähnliche Zwecke verwendet werden können.</w:t>
      </w:r>
    </w:p>
    <w:p>
      <w:pPr>
        <w:rPr>
          <w:noProof/>
        </w:rPr>
      </w:pPr>
      <w:r>
        <w:rPr>
          <w:noProof/>
        </w:rPr>
        <w:lastRenderedPageBreak/>
        <w:t xml:space="preserve">(3) Ist die zuständige Behörde eines Mitgliedstaats der Ansicht, dass Informationen, die sie von der zuständigen Behörde eines anderen Mitgliedstaats erhalten hat, für die zuständige Behörde eines dritten Mitgliedstaats für die in Absatz 1 genannten Zwecke von Nutzen sein könnten, so kann sie diese Informationen der letztgenannten zuständigen Behörde unter der Voraussetzung weitergeben, dass diese Weitergabe im Einklang mit den in dieser Richtlinie festgelegten Regeln und Verfahren erfolgt. Sie teilt der zuständigen Behörde des Mitgliedstaats, von dem die Informationen stammen, ihre Absicht mit, die Informationen einem dritten Mitgliedstaat weiterzugeben. Der Mitgliedstaat, von dem die Informationen stammen, kann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einer solchen Weitergabe dieser Informationen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innerhalb von zehn Arbeitstagen nach Eingang der Mitteilung über die beabsichtigte Weitergabe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widersprechen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pPr>
        <w:rPr>
          <w:noProof/>
        </w:rPr>
      </w:pPr>
      <w:r>
        <w:rPr>
          <w:noProof/>
        </w:rPr>
        <w:t xml:space="preserve">(4) Die Zustimmung zu der Verwendung von Informationen gemäß Absatz 2, deren Weitergabe gemäß Absatz 3 erfolgt ist,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kann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nur durch die zuständige Behörde des Mitgliedstaats erteilt werden, von dem die Informationen stammen.</w:t>
      </w:r>
    </w:p>
    <w:p>
      <w:pPr>
        <w:rPr>
          <w:noProof/>
        </w:rPr>
      </w:pPr>
      <w:r>
        <w:rPr>
          <w:noProof/>
        </w:rPr>
        <w:t>(5) Informationen, Berichte, Bescheinigungen und andere Schriftstücke oder beglaubigte Kopien oder Auszüge daraus, die die ersuchte Behörde erhalten und der ersuchenden Behörde im Einklang mit dieser Richtlinie übermittelt hat, können von den zuständigen Behörden des ersuchenden Mitgliedstaats in gleicher Weise als Beweismittel verwendet werden wie entsprechende Informationen, Berichte, Bescheinigungen und andere Schriftstücke einer Behörde dieses Mitgliedstaats.</w:t>
      </w:r>
    </w:p>
    <w:p>
      <w:pPr>
        <w:pStyle w:val="CRSeparator"/>
        <w:rPr>
          <w:noProof/>
          <w:lang w:val="de-DE"/>
        </w:rPr>
      </w:pPr>
    </w:p>
    <w:p>
      <w:pPr>
        <w:pStyle w:val="CRReference"/>
        <w:rPr>
          <w:noProof/>
          <w:lang w:val="nn-NO"/>
        </w:rPr>
      </w:pPr>
      <w:r>
        <w:rPr>
          <w:noProof/>
        </w:rPr>
        <w:fldChar w:fldCharType="begin"/>
      </w:r>
      <w:r>
        <w:rPr>
          <w:noProof/>
          <w:lang w:val="nn-NO"/>
        </w:rPr>
        <w:instrText xml:space="preserve"> QUOTE "</w:instrText>
      </w:r>
      <w:r>
        <w:rPr>
          <w:rStyle w:val="CRMarker"/>
          <w:noProof/>
          <w:lang w:val="nn-NO"/>
        </w:rPr>
        <w:instrText>ê</w:instrText>
      </w:r>
      <w:r>
        <w:rPr>
          <w:noProof/>
          <w:lang w:val="nn-NO"/>
        </w:rPr>
        <w:instrText xml:space="preserve">" </w:instrText>
      </w:r>
      <w:r>
        <w:rPr>
          <w:noProof/>
        </w:rPr>
        <w:fldChar w:fldCharType="separate"/>
      </w:r>
      <w:r>
        <w:rPr>
          <w:rStyle w:val="CRMarker"/>
          <w:noProof/>
          <w:lang w:val="nn-NO"/>
        </w:rPr>
        <w:t>ê</w:t>
      </w:r>
      <w:r>
        <w:rPr>
          <w:noProof/>
        </w:rPr>
        <w:fldChar w:fldCharType="end"/>
      </w:r>
      <w:r>
        <w:rPr>
          <w:noProof/>
          <w:lang w:val="nn-NO"/>
        </w:rPr>
        <w:t> (EU) 2016/881 Art. 1 Nr. 3 (angepasst)</w:t>
      </w:r>
    </w:p>
    <w:p>
      <w:pPr>
        <w:rPr>
          <w:noProof/>
        </w:rPr>
      </w:pPr>
      <w:r>
        <w:rPr>
          <w:noProof/>
        </w:rPr>
        <w:t xml:space="preserve">(6) Ungeachtet der Absätze 1 bis 4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des vorliegenden Artikels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werden Informationen, die gemäß Artikel 10 zwischen den Mitgliedstaaten übermittelt werden, für die Zwecke der allgemeinen Beurteilung der Risiken der Verrechnungspreisgestaltung und anderer Risiken im Zusammenhang mit Gewinnverkürzung und Gewinnverlagerung, einschließlich der Beurteilung des Risikos der Nichteinhaltung geltender Verrechnungspreisregelungen durch Mitglieder der MULTI</w:t>
      </w:r>
      <w:r>
        <w:rPr>
          <w:noProof/>
        </w:rPr>
        <w:softHyphen/>
        <w:t>NATIONALEN UNTERNEHMENSGRUPPE, sowie gegebenenfalls für wirtschaftliche und statistische Analysen verwendet. Verrechnungspreisanpassungen durch die Steuerbehörden des Mitgliedstaats, der die Informationen erhält, dürfen nicht auf die gemäß Artikel 10 ausgetauschten Informationen gestützt sein. Ungeachtet dessen ist es nicht untersagt, die gemäß Artikel 10 zwischen den Mitgliedstaaten übermittelten Informationen als Grundlage für weitere Untersuchungen bezüglich der Verrechnungspreisvereinbarungen der MULTINATIONALEN UNTERNEHMENSGRUPPE oder bezüglich anderer Steuersachen im Zuge einer Steuerprüfung zu nutzen, und entsprechende Anpassungen des steuer</w:t>
      </w:r>
      <w:r>
        <w:rPr>
          <w:noProof/>
        </w:rPr>
        <w:softHyphen/>
        <w:t>pflichtigen Einkommens einer GESCHÄFTSEINHEIT können auf dieser Grundlage vorgenommen werden.</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2011/16/EU (angepasst)</w:t>
      </w:r>
    </w:p>
    <w:p>
      <w:pPr>
        <w:pStyle w:val="Titrearticle"/>
        <w:rPr>
          <w:noProof/>
        </w:rPr>
      </w:pPr>
      <w:r>
        <w:rPr>
          <w:noProof/>
        </w:rPr>
        <w:t>Artikel 21</w:t>
      </w:r>
    </w:p>
    <w:p>
      <w:pPr>
        <w:pStyle w:val="NormalCentered"/>
        <w:rPr>
          <w:b/>
          <w:bCs/>
          <w:noProof/>
        </w:rPr>
      </w:pPr>
      <w:r>
        <w:rPr>
          <w:b/>
          <w:bCs/>
          <w:noProof/>
        </w:rPr>
        <w:t>Beschränkungen</w:t>
      </w:r>
    </w:p>
    <w:p>
      <w:pPr>
        <w:rPr>
          <w:noProof/>
        </w:rPr>
      </w:pPr>
      <w:r>
        <w:rPr>
          <w:noProof/>
        </w:rPr>
        <w:lastRenderedPageBreak/>
        <w:t>(1) Eine ersuchte Behörde eines Mitgliedstaats erteilt einer ersuchenden Behörde eines anderen Mitgliedstaats die Informationen gemäß Artikel 5 unter der Voraussetzung, dass die ersuchende Behörde die üblichen Informationsquellen ausgeschöpft hat, die sie unter den gegebenen Umständen zur Erlangung der erbetenen Informationen genutzt haben könnte, ohne die Erreichung ihres Ziels zu gefährden.</w:t>
      </w:r>
    </w:p>
    <w:p>
      <w:pPr>
        <w:rPr>
          <w:noProof/>
        </w:rPr>
      </w:pPr>
      <w:r>
        <w:rPr>
          <w:noProof/>
        </w:rPr>
        <w:t>(2) Die vorliegende Richtlinie verpflichtet einen ersuchten Mitgliedstaat nicht zu Ermittlungen oder zur Übermittlung von Informationen, wenn die Durchführung solcher Ermittlungen bzw. die Beschaffung der betreffenden Informationen durch diesen Mitgliedstaat für seine eigenen Zwecke mit seinen Rechtsvorschriften unvereinbar wäre.</w:t>
      </w:r>
    </w:p>
    <w:p>
      <w:pPr>
        <w:rPr>
          <w:noProof/>
        </w:rPr>
      </w:pPr>
      <w:r>
        <w:rPr>
          <w:noProof/>
        </w:rPr>
        <w:t>(3) Die zuständige Behörde eines ersuchten Mitgliedstaats kann die Übermittlung von Informationen ablehnen, wenn der ersuchende Mitgliedstaat seinerseits aus rechtlichen Gründen nicht zur Übermittlung entsprechender Informationen in der Lage ist.</w:t>
      </w:r>
    </w:p>
    <w:p>
      <w:pPr>
        <w:rPr>
          <w:noProof/>
        </w:rPr>
      </w:pPr>
      <w:r>
        <w:rPr>
          <w:noProof/>
        </w:rPr>
        <w:t>(4) Die Übermittlung von Informationen kann abgelehnt werden, wenn sie zur Preisgabe eines Handels-, Gewerbe- oder Berufsgeheimnisses oder eines Geschäftsverfahrens führen würde oder wenn die Preisgabe der betreffenden Information die öffentliche Ordnung verletzen würde.</w:t>
      </w:r>
    </w:p>
    <w:p>
      <w:pPr>
        <w:rPr>
          <w:noProof/>
        </w:rPr>
      </w:pPr>
      <w:r>
        <w:rPr>
          <w:noProof/>
        </w:rPr>
        <w:t>(5) Die ersuchte Behörde teilt der ersuchenden Behörde die Gründe mit, aus denen ein Auskunftsersuchen abgelehnt wurde.</w:t>
      </w:r>
    </w:p>
    <w:p>
      <w:pPr>
        <w:pStyle w:val="Titrearticle"/>
        <w:rPr>
          <w:noProof/>
        </w:rPr>
      </w:pPr>
      <w:r>
        <w:rPr>
          <w:noProof/>
        </w:rPr>
        <w:t>Artikel 22</w:t>
      </w:r>
    </w:p>
    <w:p>
      <w:pPr>
        <w:pStyle w:val="NormalCentered"/>
        <w:rPr>
          <w:b/>
          <w:bCs/>
          <w:noProof/>
        </w:rPr>
      </w:pPr>
      <w:r>
        <w:rPr>
          <w:b/>
          <w:bCs/>
          <w:noProof/>
        </w:rPr>
        <w:t>Pflichten</w:t>
      </w:r>
    </w:p>
    <w:p>
      <w:pPr>
        <w:rPr>
          <w:noProof/>
        </w:rPr>
      </w:pPr>
      <w:r>
        <w:rPr>
          <w:noProof/>
        </w:rPr>
        <w:t xml:space="preserve">(1) Ersucht ein Mitgliedstaat im Einklang mit dieser Richtlinie um Informationen, so trifft der ersuchte Mitgliedstaat die ihm zur Beschaffung von Informationen zur Verfügung stehenden Maßnahmen, um sich die erbetenen Informationen zu verschaffen, auch wenn dieser Mitgliedstaat solche Informationen möglicherweise nicht für eigene Steuerzwecke benötigt. Diese Verpflichtung gilt unbeschadet des Artikels 21 Absätze 2, 3 und 4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 diese Absätze sind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jedoch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keinesfalls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auszulegen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dass sich ein ersuchter Mitgliedstaat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auf sie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berufen kann, um die Bereitstellung der Informationen allein deshalb abzulehnen, weil er kein eigenes Interesse daran hat.</w:t>
      </w:r>
    </w:p>
    <w:p>
      <w:pPr>
        <w:rPr>
          <w:noProof/>
        </w:rPr>
      </w:pPr>
      <w:r>
        <w:rPr>
          <w:noProof/>
        </w:rPr>
        <w:t>(2) Artikel 21 Absätze 2 und 4 ist in keinem Fall so auszulegen, dass die ersuchte Behörde eines Mitgliedstaats die Erteilung von Informationen nur deshalb ablehnen kann, weil diese Informationen sich bei einer Bank, einem sonstigen Finanzinstitut, einem Bevollmächtigten, Vertreter oder Treuhänder befinden oder sich auf Eigentumsanteile an einer Person beziehen.</w:t>
      </w:r>
    </w:p>
    <w:p>
      <w:pPr>
        <w:rPr>
          <w:noProof/>
        </w:rPr>
      </w:pPr>
      <w:r>
        <w:rPr>
          <w:noProof/>
        </w:rPr>
        <w:t>(3) Ungeachtet des Absatzes 2 kann ein Mitgliedstaat die Übermittlung der erbetenen Informationen verweigern, wenn diese Informationen vor dem 1. Januar 2011 liegende Besteuerungszeiträume betreffen und wenn die Übermittlung dieser Informationen auf der Grundlage des Artikels 8 Absatz 1 der Richtlinie 77/799/EWG hätte verweigert werden können, falls vor dem 11. März 2011 um sie ersucht worden wäre.</w:t>
      </w:r>
    </w:p>
    <w:p>
      <w:pPr>
        <w:pStyle w:val="Titrearticle"/>
        <w:rPr>
          <w:noProof/>
        </w:rPr>
      </w:pPr>
      <w:r>
        <w:rPr>
          <w:noProof/>
        </w:rPr>
        <w:t>Artikel 23</w:t>
      </w:r>
    </w:p>
    <w:p>
      <w:pPr>
        <w:pStyle w:val="NormalCentered"/>
        <w:rPr>
          <w:b/>
          <w:bCs/>
          <w:noProof/>
        </w:rPr>
      </w:pPr>
      <w:r>
        <w:rPr>
          <w:b/>
          <w:bCs/>
          <w:noProof/>
        </w:rPr>
        <w:t>Ausdehnung einer umfassenderen Zusammenarbeit, die mit einem Drittland eingegangen wird</w:t>
      </w:r>
    </w:p>
    <w:p>
      <w:pPr>
        <w:rPr>
          <w:noProof/>
        </w:rPr>
      </w:pPr>
      <w:r>
        <w:rPr>
          <w:noProof/>
        </w:rPr>
        <w:t xml:space="preserve">Geht ein Mitgliedstaat mit einem Drittland eine umfassendere Zusammenarbeit als in dieser Richtlinie vorgesehen ein, so kann dieser Mitgliedstaat es nicht ablehnen, mit anderen </w:t>
      </w:r>
      <w:r>
        <w:rPr>
          <w:noProof/>
        </w:rPr>
        <w:lastRenderedPageBreak/>
        <w:t>Mitgliedstaaten, die dies wünschen, eine solche umfassendere gegenseitige Zusammenarbeit einzugehen.</w:t>
      </w:r>
    </w:p>
    <w:p>
      <w:pPr>
        <w:pStyle w:val="Titrearticle"/>
        <w:rPr>
          <w:noProof/>
        </w:rPr>
      </w:pPr>
      <w:r>
        <w:rPr>
          <w:noProof/>
        </w:rPr>
        <w:t>Artikel 24</w:t>
      </w:r>
    </w:p>
    <w:p>
      <w:pPr>
        <w:pStyle w:val="NormalCentered"/>
        <w:rPr>
          <w:b/>
          <w:bCs/>
          <w:noProof/>
        </w:rPr>
      </w:pPr>
      <w:r>
        <w:rPr>
          <w:b/>
          <w:bCs/>
          <w:noProof/>
        </w:rPr>
        <w:t>Standardformblätter und elektronische Formate</w:t>
      </w:r>
    </w:p>
    <w:p>
      <w:pPr>
        <w:rPr>
          <w:noProof/>
        </w:rPr>
      </w:pPr>
      <w:r>
        <w:rPr>
          <w:noProof/>
        </w:rPr>
        <w:t>(1) Ersuchen um Informationen und behördliche Ermittlungen gemäß Artikel 5 sowie die entsprechenden Antworten, Empfangsbestätigungen, Ersuchen um zusätzliche Hintergrund</w:t>
      </w:r>
      <w:r>
        <w:rPr>
          <w:noProof/>
        </w:rPr>
        <w:softHyphen/>
        <w:t xml:space="preserve">informationen und Mitteilungen über das Unvermögen zur oder die Ablehnung der Erfüllung des Ersuchens gemäß Artikel 7 werden soweit möglich mit Hilfe eines Standardformblatts übermittelt, das die Kommission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im Wege von Durchführungsrechtsakten erstellt. Diese Durchführungsrechtsakte werden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gemäß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dem in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Artikel 32 Absatz 2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genannten Verfahren erlassen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pPr>
        <w:rPr>
          <w:noProof/>
        </w:rPr>
      </w:pPr>
      <w:r>
        <w:rPr>
          <w:noProof/>
        </w:rPr>
        <w:t>Dem Standardformblatt können Berichte, Bescheinigungen und andere Schriftstücke oder beglaubigte Kopien von Schriftstücken oder Auszüge daraus beigefügt werden.</w:t>
      </w:r>
    </w:p>
    <w:p>
      <w:pPr>
        <w:rPr>
          <w:noProof/>
        </w:rPr>
      </w:pPr>
      <w:r>
        <w:rPr>
          <w:noProof/>
        </w:rPr>
        <w:t>(2) Das Standardformblatt nach Absatz 1 beinhaltet zumindest die folgenden Informationen, die von der ersuchenden Behörde zu übermitteln sind:</w:t>
      </w:r>
    </w:p>
    <w:p>
      <w:pPr>
        <w:pStyle w:val="Point0"/>
        <w:rPr>
          <w:noProof/>
        </w:rPr>
      </w:pPr>
      <w:r>
        <w:rPr>
          <w:noProof/>
        </w:rPr>
        <w:t>a)</w:t>
      </w:r>
      <w:r>
        <w:rPr>
          <w:noProof/>
        </w:rPr>
        <w:tab/>
        <w:t xml:space="preserve">die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Identität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der Person, der die Untersuchung oder Ermittlung gilt;</w:t>
      </w:r>
    </w:p>
    <w:p>
      <w:pPr>
        <w:pStyle w:val="Point0"/>
        <w:rPr>
          <w:noProof/>
        </w:rPr>
      </w:pPr>
      <w:r>
        <w:rPr>
          <w:noProof/>
        </w:rPr>
        <w:t>b)</w:t>
      </w:r>
      <w:r>
        <w:rPr>
          <w:noProof/>
        </w:rPr>
        <w:tab/>
        <w:t>der steuerliche Zweck, zu dem die Informationen beantragt werden.</w:t>
      </w:r>
    </w:p>
    <w:p>
      <w:pPr>
        <w:rPr>
          <w:noProof/>
        </w:rPr>
      </w:pPr>
      <w:r>
        <w:rPr>
          <w:noProof/>
        </w:rPr>
        <w:t>Die ersuchende Behörde kann — soweit bekannt und im Einklang mit den Entwicklungen auf internationaler Ebene — Name und Anschrift jeder Person, von der angenommen wird, dass sie über die gewünschten Informationen verfügt, wie auch jede Angabe übermitteln, welche die Beschaffung von Informationen durch die ersuchte Behörde erleichtern könnte.</w:t>
      </w:r>
    </w:p>
    <w:p>
      <w:pPr>
        <w:rPr>
          <w:noProof/>
        </w:rPr>
      </w:pPr>
      <w:r>
        <w:rPr>
          <w:noProof/>
        </w:rPr>
        <w:t xml:space="preserve">(3) Der spontane Informationsaustausch und seine Bestätigung gemäß den Artikeln 13 und 14, Zustellungsersuchen gemäß Artikel 17 und Rückmeldungen gemäß Artikel 18 erfolgen mit Hilfe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eines Standardformblatts erstellt, das die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Kommission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im Wege von Durchführungsrechtsakten erstellt. Diese Durchführungsrechtsakte werden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gemäß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dem in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Artikel 32 Absatz 2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genannten Verfahren erlassen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pPr>
        <w:pStyle w:val="CRSeparator"/>
        <w:rPr>
          <w:noProof/>
          <w:lang w:val="de-DE"/>
        </w:rPr>
      </w:pPr>
    </w:p>
    <w:p>
      <w:pPr>
        <w:pStyle w:val="CRReference"/>
        <w:rPr>
          <w:noProof/>
          <w:lang w:val="nn-NO"/>
        </w:rPr>
      </w:pPr>
      <w:r>
        <w:rPr>
          <w:noProof/>
        </w:rPr>
        <w:fldChar w:fldCharType="begin"/>
      </w:r>
      <w:r>
        <w:rPr>
          <w:noProof/>
          <w:lang w:val="nn-NO"/>
        </w:rPr>
        <w:instrText xml:space="preserve"> QUOTE "</w:instrText>
      </w:r>
      <w:r>
        <w:rPr>
          <w:rStyle w:val="CRMarker"/>
          <w:noProof/>
          <w:lang w:val="nn-NO"/>
        </w:rPr>
        <w:instrText>ê</w:instrText>
      </w:r>
      <w:r>
        <w:rPr>
          <w:noProof/>
          <w:lang w:val="nn-NO"/>
        </w:rPr>
        <w:instrText xml:space="preserve">" </w:instrText>
      </w:r>
      <w:r>
        <w:rPr>
          <w:noProof/>
        </w:rPr>
        <w:fldChar w:fldCharType="separate"/>
      </w:r>
      <w:r>
        <w:rPr>
          <w:rStyle w:val="CRMarker"/>
          <w:noProof/>
          <w:lang w:val="nn-NO"/>
        </w:rPr>
        <w:t>ê</w:t>
      </w:r>
      <w:r>
        <w:rPr>
          <w:noProof/>
        </w:rPr>
        <w:fldChar w:fldCharType="end"/>
      </w:r>
      <w:r>
        <w:rPr>
          <w:noProof/>
          <w:lang w:val="nn-NO"/>
        </w:rPr>
        <w:t> 2014/107/EU Art. 1 Nr. 3 (angepasst)</w:t>
      </w:r>
    </w:p>
    <w:p>
      <w:pPr>
        <w:rPr>
          <w:noProof/>
        </w:rPr>
      </w:pPr>
      <w:r>
        <w:rPr>
          <w:noProof/>
        </w:rPr>
        <w:t xml:space="preserve">(4) Der automatische Informationsaustausch gemäß Artikel 8 erfolgt über ein von der Kommission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im Wege von Durchführungsrechtsakten erstelltes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elektronisches Standardformat, mit dem ein solcher automatischer Austausch erleichtert werden soll und das für alle Arten des automatischen Informationsaustauschs zu verwenden ist.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Diese Durchführungsrechtsakte werden gemäß dem in Artikel 32 Absatz 2 genannten Verfahren erlassen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pPr>
        <w:pStyle w:val="CRSeparator"/>
        <w:rPr>
          <w:noProof/>
          <w:lang w:val="de-DE"/>
        </w:rPr>
      </w:pPr>
    </w:p>
    <w:p>
      <w:pPr>
        <w:pStyle w:val="CRReference"/>
        <w:rPr>
          <w:noProof/>
          <w:lang w:val="nn-NO"/>
        </w:rPr>
      </w:pPr>
      <w:r>
        <w:rPr>
          <w:noProof/>
        </w:rPr>
        <w:fldChar w:fldCharType="begin"/>
      </w:r>
      <w:r>
        <w:rPr>
          <w:noProof/>
          <w:lang w:val="nn-NO"/>
        </w:rPr>
        <w:instrText xml:space="preserve"> QUOTE "</w:instrText>
      </w:r>
      <w:r>
        <w:rPr>
          <w:rStyle w:val="CRMarker"/>
          <w:noProof/>
          <w:lang w:val="nn-NO"/>
        </w:rPr>
        <w:instrText>ê</w:instrText>
      </w:r>
      <w:r>
        <w:rPr>
          <w:noProof/>
          <w:lang w:val="nn-NO"/>
        </w:rPr>
        <w:instrText xml:space="preserve">" </w:instrText>
      </w:r>
      <w:r>
        <w:rPr>
          <w:noProof/>
        </w:rPr>
        <w:fldChar w:fldCharType="separate"/>
      </w:r>
      <w:r>
        <w:rPr>
          <w:rStyle w:val="CRMarker"/>
          <w:noProof/>
          <w:lang w:val="nn-NO"/>
        </w:rPr>
        <w:t>ê</w:t>
      </w:r>
      <w:r>
        <w:rPr>
          <w:noProof/>
        </w:rPr>
        <w:fldChar w:fldCharType="end"/>
      </w:r>
      <w:r>
        <w:rPr>
          <w:noProof/>
          <w:lang w:val="nn-NO"/>
        </w:rPr>
        <w:t> (EU) 2018/822 Art. 1 Nr. 3 (angepasst)</w:t>
      </w:r>
    </w:p>
    <w:p>
      <w:pPr>
        <w:keepNext/>
        <w:keepLines/>
        <w:rPr>
          <w:noProof/>
        </w:rPr>
      </w:pPr>
      <w:r>
        <w:rPr>
          <w:noProof/>
        </w:rPr>
        <w:t xml:space="preserve">(5) Die Kommission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kann die Formblätter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einschließlich der Sprachenregelung,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welche gemäß Artikel 20 Absatz 5 der Richtlinie 2011/16/EU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für den automatischen Informationsaustausch über grenzüberschreitende Vorbescheide und Vorabverständigungen über die Verrechnungspreisgestaltung gemäß Artikel 9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und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über meldepflichtige grenzüberschreitende Gestaltungen gemäß Artikel 11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angenommenen wurden, im Wege von Durchführungsrechtsakten überarbeiten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pPr>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Diese Durchführungsrechtsakte werden gemäß dem in Artikel 32 Absatz 2 genannten Verfahren erlassen.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rPr>
          <w:noProof/>
        </w:rPr>
      </w:pPr>
      <w:r>
        <w:rPr>
          <w:noProof/>
        </w:rPr>
        <w:t xml:space="preserve">Diese Standardformblätter dürfen nicht über die in Artikel 9 Absatz 5 und Artikel 11 Absatz 14 aufgelisteten Elemente des Informationsaustauschs und andere mit diesen Elementen zusammenhängende Felder, die zur Erreichung der in den Artikeln 9 und 11 genannten Ziele erforderlich sind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 hinausgehen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pPr>
        <w:rPr>
          <w:noProof/>
        </w:rPr>
      </w:pPr>
      <w:r>
        <w:rPr>
          <w:noProof/>
        </w:rPr>
        <w:t>Die in Unterabsatz 1 genannte Sprachenregelung hindert die Mitgliedstaaten nicht daran, die Informationen nach den Artikeln 9 und 11 in einer beliebigen Amtssprache der Union zu übermitteln. In dieser Sprachenregelung kann jedoch vorgesehen werden, dass die Schlüsselelemente dieser Informationen auch in einer anderen Amtssprache der Union zu übermitteln sind.</w:t>
      </w:r>
    </w:p>
    <w:p>
      <w:pPr>
        <w:pStyle w:val="CRSeparator"/>
        <w:rPr>
          <w:noProof/>
          <w:lang w:val="de-DE"/>
        </w:rPr>
      </w:pPr>
    </w:p>
    <w:p>
      <w:pPr>
        <w:pStyle w:val="CRReference"/>
        <w:rPr>
          <w:noProof/>
          <w:lang w:val="nn-NO"/>
        </w:rPr>
      </w:pPr>
      <w:r>
        <w:rPr>
          <w:noProof/>
        </w:rPr>
        <w:fldChar w:fldCharType="begin"/>
      </w:r>
      <w:r>
        <w:rPr>
          <w:noProof/>
          <w:lang w:val="nn-NO"/>
        </w:rPr>
        <w:instrText xml:space="preserve"> QUOTE "</w:instrText>
      </w:r>
      <w:r>
        <w:rPr>
          <w:rStyle w:val="CRMarker"/>
          <w:noProof/>
          <w:lang w:val="nn-NO"/>
        </w:rPr>
        <w:instrText>ê</w:instrText>
      </w:r>
      <w:r>
        <w:rPr>
          <w:noProof/>
          <w:lang w:val="nn-NO"/>
        </w:rPr>
        <w:instrText xml:space="preserve">" </w:instrText>
      </w:r>
      <w:r>
        <w:rPr>
          <w:noProof/>
        </w:rPr>
        <w:fldChar w:fldCharType="separate"/>
      </w:r>
      <w:r>
        <w:rPr>
          <w:rStyle w:val="CRMarker"/>
          <w:noProof/>
          <w:lang w:val="nn-NO"/>
        </w:rPr>
        <w:t>ê</w:t>
      </w:r>
      <w:r>
        <w:rPr>
          <w:noProof/>
        </w:rPr>
        <w:fldChar w:fldCharType="end"/>
      </w:r>
      <w:r>
        <w:rPr>
          <w:noProof/>
          <w:lang w:val="nn-NO"/>
        </w:rPr>
        <w:t> (EU) 2016/881 Art. 1 Nr. 4 (angepasst)</w:t>
      </w:r>
    </w:p>
    <w:p>
      <w:pPr>
        <w:rPr>
          <w:noProof/>
        </w:rPr>
      </w:pPr>
      <w:r>
        <w:rPr>
          <w:noProof/>
        </w:rPr>
        <w:t xml:space="preserve">(6) Der automatische Informationsaustausch über den länderbezogenen Bericht gemäß Artikel 10 erfolgt in standardisierter Form unter Verwendung der Tabellen 1, 2 und 3 in Anhang III Abschnitt III. Die Kommission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legt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im Wege von Durchführungsrechtsakten die Sprachenregelung für diesen Austausch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fest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Diese hindert die Mitgliedstaaten nicht daran, die Informationen nach Artikel 10 in einer beliebigen Amts- und Arbeitssprache der Union zu übermitteln. In dieser Sprachenregelung kann jedoch vorgesehen werden, dass die Schlüsselelemente dieser Informationen auch in einer anderen Amtssprache der Union übermittelt werden. Diese Durchführungsrechtsakte werden gemäß dem in Artikel 32 Absatz 2 genannten Verfahren erlassen.</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2011/16/EU (angepasst)</w:t>
      </w:r>
    </w:p>
    <w:p>
      <w:pPr>
        <w:pStyle w:val="Titrearticle"/>
        <w:rPr>
          <w:noProof/>
        </w:rPr>
      </w:pPr>
      <w:r>
        <w:rPr>
          <w:noProof/>
        </w:rPr>
        <w:t>Artikel 25</w:t>
      </w:r>
    </w:p>
    <w:p>
      <w:pPr>
        <w:pStyle w:val="NormalCentered"/>
        <w:rPr>
          <w:b/>
          <w:bCs/>
          <w:noProof/>
        </w:rPr>
      </w:pPr>
      <w:r>
        <w:rPr>
          <w:b/>
          <w:bCs/>
          <w:noProof/>
        </w:rPr>
        <w:t>Praktische Regelungen</w:t>
      </w:r>
    </w:p>
    <w:p>
      <w:pPr>
        <w:rPr>
          <w:noProof/>
        </w:rPr>
      </w:pPr>
      <w:r>
        <w:rPr>
          <w:noProof/>
        </w:rPr>
        <w:t>(1) Die Informationsübermittlung im Rahmen dieser Richtlinie erfolgt soweit möglich auf elektronischem Wege mit Hilfe des CCN-Netzes.</w:t>
      </w:r>
    </w:p>
    <w:p>
      <w:pPr>
        <w:rPr>
          <w:noProof/>
        </w:rPr>
      </w:pPr>
      <w:r>
        <w:rPr>
          <w:noProof/>
        </w:rPr>
        <w:t xml:space="preserve">Nötigenfalls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erlässt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die Kommission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im Wege von Durchführungsrechtsakten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die für die Umsetzung von </w:t>
      </w:r>
      <w:r>
        <w:rPr>
          <w:noProof/>
        </w:rPr>
        <w:lastRenderedPageBreak/>
        <w:t xml:space="preserve">Unterabsatz 1 erforderlichen praktischen Regelungen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 Diese Durchführungsrechtsakte werden gemäß dem in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Artikel 32 Absatz 2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genannten Verfahren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treffen.</w:t>
      </w:r>
    </w:p>
    <w:p>
      <w:pPr>
        <w:pStyle w:val="CRSeparator"/>
        <w:rPr>
          <w:noProof/>
          <w:lang w:val="de-DE"/>
        </w:rPr>
      </w:pPr>
    </w:p>
    <w:p>
      <w:pPr>
        <w:pStyle w:val="CRReference"/>
        <w:rPr>
          <w:noProof/>
          <w:lang w:val="nn-NO"/>
        </w:rPr>
      </w:pPr>
      <w:r>
        <w:rPr>
          <w:noProof/>
        </w:rPr>
        <w:fldChar w:fldCharType="begin"/>
      </w:r>
      <w:r>
        <w:rPr>
          <w:noProof/>
          <w:lang w:val="nn-NO"/>
        </w:rPr>
        <w:instrText xml:space="preserve"> QUOTE "</w:instrText>
      </w:r>
      <w:r>
        <w:rPr>
          <w:rStyle w:val="CRMarker"/>
          <w:noProof/>
          <w:lang w:val="nn-NO"/>
        </w:rPr>
        <w:instrText>ê</w:instrText>
      </w:r>
      <w:r>
        <w:rPr>
          <w:noProof/>
          <w:lang w:val="nn-NO"/>
        </w:rPr>
        <w:instrText xml:space="preserve">" </w:instrText>
      </w:r>
      <w:r>
        <w:rPr>
          <w:noProof/>
        </w:rPr>
        <w:fldChar w:fldCharType="separate"/>
      </w:r>
      <w:r>
        <w:rPr>
          <w:rStyle w:val="CRMarker"/>
          <w:noProof/>
          <w:lang w:val="nn-NO"/>
        </w:rPr>
        <w:t>ê</w:t>
      </w:r>
      <w:r>
        <w:rPr>
          <w:noProof/>
        </w:rPr>
        <w:fldChar w:fldCharType="end"/>
      </w:r>
      <w:r>
        <w:rPr>
          <w:noProof/>
          <w:lang w:val="nn-NO"/>
        </w:rPr>
        <w:t> 2014/107/EU Art. 1 Nr. 4 (angepasst)</w:t>
      </w:r>
    </w:p>
    <w:p>
      <w:pPr>
        <w:rPr>
          <w:noProof/>
        </w:rPr>
      </w:pPr>
      <w:r>
        <w:rPr>
          <w:noProof/>
        </w:rPr>
        <w:t xml:space="preserve">(2) Die Kommission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für jegliche Weiterentwicklung des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CCN-Netzes,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für den Informationsaustausch zwischen den Mitgliedstaaten notwendig ist,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sowie für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Gewährleistung der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Sicherheit des CCN-Netzes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verantwortlich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pPr>
        <w:rPr>
          <w:noProof/>
        </w:rPr>
      </w:pPr>
      <w:r>
        <w:rPr>
          <w:noProof/>
        </w:rPr>
        <w:t xml:space="preserve">Die Mitgliedstaaten sind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für jegliche Weiterentwicklung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ihrer Systeme, die für den Informationsaustausch mit Hilfe des CCN-Netzes notwendig ist,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sowie für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Gewährleistung der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Sicherheit ihrer Systeme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verantwortlich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pPr>
        <w:rPr>
          <w:noProof/>
        </w:rPr>
      </w:pPr>
      <w:r>
        <w:rPr>
          <w:noProof/>
        </w:rPr>
        <w:t>Die Mitgliedstaaten sorgen dafür, dass jede natürliche MELDEPFLICHTIGE PERSON über eine Sicherheitsverletzung in Bezug auf ihre Daten unterrichtet wird, wenn durch diese Verletzung eine Beeinträchtigung des Schutzes ihrer personenbezogenen Daten oder ihrer Privatsphäre zu erwarten ist.</w:t>
      </w:r>
    </w:p>
    <w:p>
      <w:pPr>
        <w:rPr>
          <w:noProof/>
        </w:rPr>
      </w:pPr>
      <w:r>
        <w:rPr>
          <w:noProof/>
        </w:rPr>
        <w:t xml:space="preserve">Die Mitgliedstaaten verzichten auf alle Ansprüche auf Erstattung der sich aus der Anwendung dieser Richtlinie ergebenden Kosten, mit Ausnahme der an Experten gezahlten Vergütungen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 soweit angemessen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(EU) 2015/2376 Art. 1 Nr. 5 Buchst. a)</w:t>
      </w:r>
    </w:p>
    <w:p>
      <w:pPr>
        <w:rPr>
          <w:noProof/>
        </w:rPr>
      </w:pPr>
      <w:r>
        <w:rPr>
          <w:noProof/>
        </w:rPr>
        <w:t>(3) Personen, die von der Akkreditierungsstelle der Kommission für IT-Sicherheit ordnungsgemäß akkreditiert wurden, haben nur in dem Umfang Zugang zu diesen Informationen, wie es für die Pflege, Wartung und Entwicklung des in Absatz 5 genannten Verzeichnisses und des CCN-Netzes erforderlich ist.</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2011/16/EU</w:t>
      </w:r>
    </w:p>
    <w:p>
      <w:pPr>
        <w:rPr>
          <w:noProof/>
        </w:rPr>
      </w:pPr>
      <w:r>
        <w:rPr>
          <w:noProof/>
        </w:rPr>
        <w:t>(4) Ersuchen um Zusammenarbeit, einschließlich Zustellungsersuchen, und beigefügte Schriftstücke können in den Sprachen abgefasst werden, die zwischen der ersuchten und der ersuchenden Behörde vereinbart wurden.</w:t>
      </w:r>
    </w:p>
    <w:p>
      <w:pPr>
        <w:rPr>
          <w:noProof/>
        </w:rPr>
      </w:pPr>
      <w:r>
        <w:rPr>
          <w:noProof/>
        </w:rPr>
        <w:t>Solchen Ersuchen wird eine Übersetzung in die Amtssprache oder in eine der Amtssprachen des Mitgliedstaats der ersuchten Behörde nur in besonderen Fällen beigefügt, wenn die ersuchte Behörde die Anforderung einer solchen Übersetzung begründet.</w:t>
      </w:r>
    </w:p>
    <w:p>
      <w:pPr>
        <w:pStyle w:val="CRSeparator"/>
        <w:rPr>
          <w:noProof/>
          <w:lang w:val="de-DE"/>
        </w:rPr>
      </w:pPr>
    </w:p>
    <w:p>
      <w:pPr>
        <w:pStyle w:val="CRReference"/>
        <w:rPr>
          <w:noProof/>
          <w:lang w:val="nn-NO"/>
        </w:rPr>
      </w:pPr>
      <w:r>
        <w:rPr>
          <w:noProof/>
        </w:rPr>
        <w:fldChar w:fldCharType="begin"/>
      </w:r>
      <w:r>
        <w:rPr>
          <w:noProof/>
          <w:lang w:val="nn-NO"/>
        </w:rPr>
        <w:instrText xml:space="preserve"> QUOTE "</w:instrText>
      </w:r>
      <w:r>
        <w:rPr>
          <w:rStyle w:val="CRMarker"/>
          <w:noProof/>
          <w:lang w:val="nn-NO"/>
        </w:rPr>
        <w:instrText>ê</w:instrText>
      </w:r>
      <w:r>
        <w:rPr>
          <w:noProof/>
          <w:lang w:val="nn-NO"/>
        </w:rPr>
        <w:instrText xml:space="preserve">" </w:instrText>
      </w:r>
      <w:r>
        <w:rPr>
          <w:noProof/>
        </w:rPr>
        <w:fldChar w:fldCharType="separate"/>
      </w:r>
      <w:r>
        <w:rPr>
          <w:rStyle w:val="CRMarker"/>
          <w:noProof/>
          <w:lang w:val="nn-NO"/>
        </w:rPr>
        <w:t>ê</w:t>
      </w:r>
      <w:r>
        <w:rPr>
          <w:noProof/>
        </w:rPr>
        <w:fldChar w:fldCharType="end"/>
      </w:r>
      <w:r>
        <w:rPr>
          <w:noProof/>
          <w:lang w:val="nn-NO"/>
        </w:rPr>
        <w:t> (EU) 2018/822 Art. 1 Nr. 4 (angepasst)</w:t>
      </w:r>
    </w:p>
    <w:p>
      <w:pPr>
        <w:rPr>
          <w:noProof/>
        </w:rPr>
      </w:pPr>
      <w:r>
        <w:rPr>
          <w:noProof/>
        </w:rPr>
        <w:t xml:space="preserve">(5)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Die zuständigen Behörden aller Mitgliedstaaten haben Zugang zu den Informationen, die im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sicheren Zentralverzeichnis der Mitgliedstaaten über die Zusammenarbeit der Verwaltungsbehörden im Bereich der Besteuerung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erfasst sind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welches mit technischer und logistischer </w:t>
      </w:r>
      <w:r>
        <w:rPr>
          <w:noProof/>
        </w:rPr>
        <w:lastRenderedPageBreak/>
        <w:t>Unterstützung der Kommission gemäß Artikel 21 Absatz 5 der Richtlinie 2011/16/EU eingerichtet und bereitgestellt wurde und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in dem die gemäß Artikel 9 Absatz 1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und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Artikel 11 Absätze 13, 14 und 16 zu übermittelnden Informationen erfasst werden, um das Erfordernis des automatischen Austauschs gemäß diesen Absätzen zu erfüllen.</w:t>
      </w:r>
    </w:p>
    <w:p>
      <w:pPr>
        <w:rPr>
          <w:noProof/>
        </w:rPr>
      </w:pPr>
      <w:r>
        <w:rPr>
          <w:noProof/>
        </w:rPr>
        <w:t xml:space="preserve">Auch die Kommission hat Zugang zu den in diesem Verzeichnis erfassten Informationen, allerdings innerhalb der in Artikel 9 Absatz 7 und Artikel 11 Absatz 17 festgelegten Grenzen. Die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Kommission legt die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nötigen praktischen Regelungen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im Wege von Durchführungsrechtsakten fest. Diese Durchführungsrechtsakte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werden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gemäß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dem in Artikel 32 Absatz 2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genannten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Verfahren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erlassen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pPr>
        <w:rPr>
          <w:noProof/>
        </w:rPr>
      </w:pPr>
      <w:r>
        <w:rPr>
          <w:noProof/>
        </w:rPr>
        <w:t xml:space="preserve">Bis dieses Verzeichnis funktionsfähig ist, erfolgt der in Artikel 9 Absatz 1 sowie Artikel 11 Absätze 13, 14 und 16 genannte automatische Informationsaustausch gemäß Absatz 1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des vorliegenden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Artikels und gemäß den einschlägigen praktischen Regelungen.</w:t>
      </w:r>
    </w:p>
    <w:p>
      <w:pPr>
        <w:pStyle w:val="CRSeparator"/>
        <w:rPr>
          <w:noProof/>
          <w:lang w:val="de-DE"/>
        </w:rPr>
      </w:pPr>
    </w:p>
    <w:p>
      <w:pPr>
        <w:pStyle w:val="CRReference"/>
        <w:rPr>
          <w:noProof/>
          <w:lang w:val="nn-NO"/>
        </w:rPr>
      </w:pPr>
      <w:r>
        <w:rPr>
          <w:noProof/>
        </w:rPr>
        <w:fldChar w:fldCharType="begin"/>
      </w:r>
      <w:r>
        <w:rPr>
          <w:noProof/>
          <w:lang w:val="nn-NO"/>
        </w:rPr>
        <w:instrText xml:space="preserve"> QUOTE "</w:instrText>
      </w:r>
      <w:r>
        <w:rPr>
          <w:rStyle w:val="CRMarker"/>
          <w:noProof/>
          <w:lang w:val="nn-NO"/>
        </w:rPr>
        <w:instrText>ê</w:instrText>
      </w:r>
      <w:r>
        <w:rPr>
          <w:noProof/>
          <w:lang w:val="nn-NO"/>
        </w:rPr>
        <w:instrText xml:space="preserve">" </w:instrText>
      </w:r>
      <w:r>
        <w:rPr>
          <w:noProof/>
        </w:rPr>
        <w:fldChar w:fldCharType="separate"/>
      </w:r>
      <w:r>
        <w:rPr>
          <w:rStyle w:val="CRMarker"/>
          <w:noProof/>
          <w:lang w:val="nn-NO"/>
        </w:rPr>
        <w:t>ê</w:t>
      </w:r>
      <w:r>
        <w:rPr>
          <w:noProof/>
        </w:rPr>
        <w:fldChar w:fldCharType="end"/>
      </w:r>
      <w:r>
        <w:rPr>
          <w:noProof/>
          <w:lang w:val="nn-NO"/>
        </w:rPr>
        <w:t> (EU) 2016/881 Art. 1 Nr. 5 (angepasst)</w:t>
      </w:r>
    </w:p>
    <w:p>
      <w:pPr>
        <w:rPr>
          <w:noProof/>
        </w:rPr>
      </w:pPr>
      <w:r>
        <w:rPr>
          <w:noProof/>
        </w:rPr>
        <w:t xml:space="preserve">(6) Die Übermittlung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von Informationen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nach Artikel 10 Absatz 2 erfolgt auf elektronischem Wege mithilfe des CCN-Netzes. Die Kommission erlässt im Wege von Durchführungsrechtsakten die erforderlichen praktischen Regelungen für die Modernisierung des CCN-Netzes. Diese Durchführungsrechtsakte werden gemäß dem in Artikel 32 Absatz 2 genannten Verfahren erlassen.</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2011/16/EU</w:t>
      </w:r>
    </w:p>
    <w:p>
      <w:pPr>
        <w:pStyle w:val="Titrearticle"/>
        <w:rPr>
          <w:noProof/>
        </w:rPr>
      </w:pPr>
      <w:r>
        <w:rPr>
          <w:noProof/>
        </w:rPr>
        <w:t>Artikel 26</w:t>
      </w:r>
    </w:p>
    <w:p>
      <w:pPr>
        <w:pStyle w:val="NormalCentered"/>
        <w:rPr>
          <w:b/>
          <w:bCs/>
          <w:noProof/>
        </w:rPr>
      </w:pPr>
      <w:r>
        <w:rPr>
          <w:b/>
          <w:bCs/>
          <w:noProof/>
        </w:rPr>
        <w:t>Besondere Pflichten</w:t>
      </w:r>
    </w:p>
    <w:p>
      <w:pPr>
        <w:rPr>
          <w:noProof/>
        </w:rPr>
      </w:pPr>
      <w:r>
        <w:rPr>
          <w:noProof/>
        </w:rPr>
        <w:t>(1) Die Mitgliedstaaten treffen alle notwendigen Maßnahmen, um</w:t>
      </w:r>
    </w:p>
    <w:p>
      <w:pPr>
        <w:pStyle w:val="Point0"/>
        <w:rPr>
          <w:noProof/>
        </w:rPr>
      </w:pPr>
      <w:r>
        <w:rPr>
          <w:noProof/>
        </w:rPr>
        <w:t>a)</w:t>
      </w:r>
      <w:r>
        <w:rPr>
          <w:noProof/>
        </w:rPr>
        <w:tab/>
        <w:t>eine wirksame interne Zusammenarbeit im Rahmen der in Artikel 4 genannten Organisation sicherzustellen;</w:t>
      </w:r>
    </w:p>
    <w:p>
      <w:pPr>
        <w:pStyle w:val="Point0"/>
        <w:rPr>
          <w:noProof/>
        </w:rPr>
      </w:pPr>
      <w:r>
        <w:rPr>
          <w:noProof/>
        </w:rPr>
        <w:t>b)</w:t>
      </w:r>
      <w:r>
        <w:rPr>
          <w:noProof/>
        </w:rPr>
        <w:tab/>
        <w:t>eine direkte Zusammenarbeit mit den in Artikel 4 genannten Behörden der anderen Mitgliedstaaten einzurichten;</w:t>
      </w:r>
    </w:p>
    <w:p>
      <w:pPr>
        <w:pStyle w:val="Point0"/>
        <w:rPr>
          <w:noProof/>
        </w:rPr>
      </w:pPr>
      <w:r>
        <w:rPr>
          <w:noProof/>
        </w:rPr>
        <w:t>c)</w:t>
      </w:r>
      <w:r>
        <w:rPr>
          <w:noProof/>
        </w:rPr>
        <w:tab/>
        <w:t>das reibungslose Funktionieren der in dieser Richtlinie festgelegten Regelungen über die Zusammenarbeit der Verwaltungsbehörden sicherzustellen.</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(EU) 2016/2258 Art. 1</w:t>
      </w:r>
    </w:p>
    <w:p>
      <w:pPr>
        <w:rPr>
          <w:noProof/>
        </w:rPr>
      </w:pPr>
      <w:r>
        <w:rPr>
          <w:noProof/>
        </w:rPr>
        <w:t xml:space="preserve">(2) Für die Zwecke der Anwendung und Durchsetzung von Rechtsvorschriften der Mitgliedstaaten zur Umsetzung dieser Richtlinie und zur Gewährleistung des Funktionierens der mit ihr eingerichteten Zusammenarbeit der Verwaltungsbehörden gewähren die Mitgliedstaaten den Steuerbehörden durch Rechtsvorschriften Zugang zu den Mechanismen, </w:t>
      </w:r>
      <w:r>
        <w:rPr>
          <w:noProof/>
        </w:rPr>
        <w:lastRenderedPageBreak/>
        <w:t>Verfahren, Dokumenten und Informationen gemäß den Artikeln 13, 30, 31 und 40 der Richtlinie (EU) 2015/849.</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2011/16/EU</w:t>
      </w:r>
    </w:p>
    <w:p>
      <w:pPr>
        <w:rPr>
          <w:noProof/>
        </w:rPr>
      </w:pPr>
      <w:r>
        <w:rPr>
          <w:noProof/>
        </w:rPr>
        <w:t>(3) Die Kommission unterrichtet jeden Mitgliedstaat über alle allgemeinen Informationen über die Umsetzung und die Anwendung dieser Richtlinie, die sie erhält und die sie bereitstellen kann.</w:t>
      </w:r>
    </w:p>
    <w:p>
      <w:pPr>
        <w:pStyle w:val="ChapterTitle"/>
        <w:rPr>
          <w:noProof/>
        </w:rPr>
      </w:pPr>
      <w:r>
        <w:rPr>
          <w:noProof/>
        </w:rPr>
        <w:t>KAPITEL V</w:t>
      </w:r>
    </w:p>
    <w:p>
      <w:pPr>
        <w:pStyle w:val="ChapterTitle"/>
        <w:rPr>
          <w:noProof/>
        </w:rPr>
      </w:pPr>
      <w:r>
        <w:rPr>
          <w:iCs/>
          <w:noProof/>
        </w:rPr>
        <w:t>BEZIEHUNGEN ZUR KOMMISSION</w:t>
      </w:r>
    </w:p>
    <w:p>
      <w:pPr>
        <w:pStyle w:val="Titrearticle"/>
        <w:rPr>
          <w:noProof/>
        </w:rPr>
      </w:pPr>
      <w:r>
        <w:rPr>
          <w:noProof/>
        </w:rPr>
        <w:t>Artikel 27</w:t>
      </w:r>
    </w:p>
    <w:p>
      <w:pPr>
        <w:pStyle w:val="NormalCentered"/>
        <w:rPr>
          <w:b/>
          <w:bCs/>
          <w:noProof/>
        </w:rPr>
      </w:pPr>
      <w:r>
        <w:rPr>
          <w:b/>
          <w:bCs/>
          <w:noProof/>
        </w:rPr>
        <w:t>Bewertung</w:t>
      </w:r>
    </w:p>
    <w:p>
      <w:pPr>
        <w:rPr>
          <w:noProof/>
        </w:rPr>
      </w:pPr>
      <w:r>
        <w:rPr>
          <w:noProof/>
        </w:rPr>
        <w:t>(1) Die Mitgliedstaaten und die Kommission prüfen und bewerten das Funktionieren der in dieser Richtlinie geregelten Zusammenarbeit der Verwaltungsbehörden.</w:t>
      </w:r>
    </w:p>
    <w:p>
      <w:pPr>
        <w:rPr>
          <w:noProof/>
        </w:rPr>
      </w:pPr>
      <w:r>
        <w:rPr>
          <w:noProof/>
        </w:rPr>
        <w:t>(2) Die Mitgliedstaaten übermitteln der Kommission alle sachdienlichen Informationen, die für die Bewertung der Wirksamkeit der Zusammenarbeit der Verwaltungsbehörden im Einklang mit dieser Richtlinie bei der Bekämpfung von Steuerhinterziehung und -umgehung notwendig sind.</w:t>
      </w:r>
    </w:p>
    <w:p>
      <w:pPr>
        <w:pStyle w:val="CRSeparator"/>
        <w:rPr>
          <w:noProof/>
          <w:lang w:val="de-DE"/>
        </w:rPr>
      </w:pPr>
    </w:p>
    <w:p>
      <w:pPr>
        <w:pStyle w:val="CRReference"/>
        <w:rPr>
          <w:noProof/>
          <w:lang w:val="nn-NO"/>
        </w:rPr>
      </w:pPr>
      <w:r>
        <w:rPr>
          <w:noProof/>
        </w:rPr>
        <w:fldChar w:fldCharType="begin"/>
      </w:r>
      <w:r>
        <w:rPr>
          <w:noProof/>
          <w:lang w:val="nn-NO"/>
        </w:rPr>
        <w:instrText xml:space="preserve"> QUOTE "</w:instrText>
      </w:r>
      <w:r>
        <w:rPr>
          <w:rStyle w:val="CRMarker"/>
          <w:noProof/>
          <w:lang w:val="nn-NO"/>
        </w:rPr>
        <w:instrText>ê</w:instrText>
      </w:r>
      <w:r>
        <w:rPr>
          <w:noProof/>
          <w:lang w:val="nn-NO"/>
        </w:rPr>
        <w:instrText xml:space="preserve">" </w:instrText>
      </w:r>
      <w:r>
        <w:rPr>
          <w:noProof/>
        </w:rPr>
        <w:fldChar w:fldCharType="separate"/>
      </w:r>
      <w:r>
        <w:rPr>
          <w:rStyle w:val="CRMarker"/>
          <w:noProof/>
          <w:lang w:val="nn-NO"/>
        </w:rPr>
        <w:t>ê</w:t>
      </w:r>
      <w:r>
        <w:rPr>
          <w:noProof/>
        </w:rPr>
        <w:fldChar w:fldCharType="end"/>
      </w:r>
      <w:r>
        <w:rPr>
          <w:noProof/>
          <w:lang w:val="nn-NO"/>
        </w:rPr>
        <w:t> (EU) 2018/822 Art. 1 Nr. 5 (angepasst)</w:t>
      </w:r>
    </w:p>
    <w:p>
      <w:pPr>
        <w:rPr>
          <w:noProof/>
        </w:rPr>
      </w:pPr>
      <w:r>
        <w:rPr>
          <w:noProof/>
        </w:rPr>
        <w:t>(3) Die Mitgliedstaaten übermitteln der Kommission eine jährliche Bewertung der Wirksamkeit des automatischen Informationsaustauschs gemäß den Artikeln 8 bis 11 sowie einen Überblick über die erreichten praktischen Ergebnisse. Die Kommission legt im Wege von Durchführungsrechtsakten die Form und die Bedingungen für die Übermittlung dieser jährlichen Bewertung fest. Diese Durchführungsrechtsakte werden gemäß dem in Artikel 32 Absatz 2 genannten Verfahren erlassen.</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2011/16/EU (angepasst)</w:t>
      </w:r>
    </w:p>
    <w:p>
      <w:pPr>
        <w:rPr>
          <w:noProof/>
        </w:rPr>
      </w:pPr>
      <w:r>
        <w:rPr>
          <w:noProof/>
        </w:rPr>
        <w:t xml:space="preserve">(4) Die Kommission legt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im Wege von Durchführungsrechtsakten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eine Liste statistischer Angaben fest, die die Mitgliedstaaten zur Bewertung dieser Richtlinie vorlegen müssen.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Diese Durchführungsrechtsakte werden gemäß dem in Artikel 32 Absatz 2 genannten Verfahren erlassen.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(EU) 2015/2376 Art. 1 Nr. 7</w:t>
      </w:r>
    </w:p>
    <w:p>
      <w:pPr>
        <w:pStyle w:val="Titrearticle"/>
        <w:rPr>
          <w:noProof/>
        </w:rPr>
      </w:pPr>
      <w:r>
        <w:rPr>
          <w:noProof/>
        </w:rPr>
        <w:t>Artikel 28</w:t>
      </w:r>
    </w:p>
    <w:p>
      <w:pPr>
        <w:pStyle w:val="NormalCentered"/>
        <w:rPr>
          <w:b/>
          <w:bCs/>
          <w:noProof/>
        </w:rPr>
      </w:pPr>
      <w:r>
        <w:rPr>
          <w:b/>
          <w:bCs/>
          <w:noProof/>
        </w:rPr>
        <w:t>Vertraulichkeit der Informationen</w:t>
      </w:r>
    </w:p>
    <w:p>
      <w:pPr>
        <w:rPr>
          <w:noProof/>
        </w:rPr>
      </w:pPr>
      <w:r>
        <w:rPr>
          <w:noProof/>
        </w:rPr>
        <w:lastRenderedPageBreak/>
        <w:t>(1) Die der Kommission gemäß dieser Richtlinie übermittelten Informationen sind von der Kommission im Einklang mit den für die Behörden der Union geltenden Bestimmungen vertraulich zu behandeln und dürfen nicht für andere Zwecke verwendet werden als für die Prüfung, ob und inwieweit die Mitgliedstaaten dieser Richtlinie nachkommen.</w:t>
      </w:r>
    </w:p>
    <w:p>
      <w:pPr>
        <w:rPr>
          <w:noProof/>
        </w:rPr>
      </w:pPr>
      <w:r>
        <w:rPr>
          <w:noProof/>
        </w:rPr>
        <w:t>(2) Die der Kommission gemäß Artikel 27 von einem Mitgliedstaat übermittelten Informationen sowie etwaige Berichte oder Dokumente, die die Kommission unter Verwendung solcher Informationen erstellt hat, können an andere Mitgliedstaaten weitergegeben werden. Derartige weitergegebene Informationen unterliegen der Geheimhaltungspflicht und genießen den Schutz, den das nationale Recht des Mitgliedstaats, der sie erhalten hat, ähnlichen Informationen gewährt.</w:t>
      </w:r>
    </w:p>
    <w:p>
      <w:pPr>
        <w:rPr>
          <w:noProof/>
        </w:rPr>
      </w:pPr>
      <w:r>
        <w:rPr>
          <w:noProof/>
        </w:rPr>
        <w:t>Die von der Kommission erstellten, in Unterabsatz 1 genannten Berichte und Dokumente dürfen von den Mitgliedstaaten nur zu analytischen Zwecken genutzt werden, und ohne ausdrückliche Zustimmung der Kommission weder veröffentlicht noch Dritten oder anderen Stellen zugänglich gemacht werden.</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2011/16/EU</w:t>
      </w:r>
    </w:p>
    <w:p>
      <w:pPr>
        <w:pStyle w:val="ChapterTitle"/>
        <w:rPr>
          <w:noProof/>
        </w:rPr>
      </w:pPr>
      <w:r>
        <w:rPr>
          <w:noProof/>
        </w:rPr>
        <w:t>KAPITEL VI</w:t>
      </w:r>
    </w:p>
    <w:p>
      <w:pPr>
        <w:pStyle w:val="ChapterTitle"/>
        <w:rPr>
          <w:noProof/>
        </w:rPr>
      </w:pPr>
      <w:r>
        <w:rPr>
          <w:iCs/>
          <w:noProof/>
        </w:rPr>
        <w:t>BEZIEHUNGEN ZU DRITTLÄNDERN</w:t>
      </w:r>
    </w:p>
    <w:p>
      <w:pPr>
        <w:pStyle w:val="Titrearticle"/>
        <w:keepLines/>
        <w:rPr>
          <w:noProof/>
        </w:rPr>
      </w:pPr>
      <w:r>
        <w:rPr>
          <w:noProof/>
        </w:rPr>
        <w:t>Artikel 29</w:t>
      </w:r>
    </w:p>
    <w:p>
      <w:pPr>
        <w:pStyle w:val="NormalCentered"/>
        <w:keepNext/>
        <w:keepLines/>
        <w:rPr>
          <w:b/>
          <w:bCs/>
          <w:noProof/>
        </w:rPr>
      </w:pPr>
      <w:r>
        <w:rPr>
          <w:b/>
          <w:bCs/>
          <w:noProof/>
        </w:rPr>
        <w:t>Informationsaustausch mit Drittländern</w:t>
      </w:r>
    </w:p>
    <w:p>
      <w:pPr>
        <w:keepNext/>
        <w:keepLines/>
        <w:rPr>
          <w:noProof/>
        </w:rPr>
      </w:pPr>
      <w:r>
        <w:rPr>
          <w:noProof/>
        </w:rPr>
        <w:t>(1) Erhält die zuständige Behörde eines Mitgliedstaats von einem Drittland Informationen, die für die Anwendung und Durchsetzung des innerstaatlichen Rechts dieses Mitgliedstaats über die in Artikel 2 genannten Steuern voraussichtlich erheblich sind, so kann diese Behörde diese Informationen — sofern dies aufgrund einer Vereinbarung mit dem betreffenden Drittland zulässig ist — den zuständigen Behörden der Mitgliedstaaten, für die diese Informationen von Nutzen sein könnten, und allen ersuchenden Behörden zur Verfügung stellen.</w:t>
      </w:r>
    </w:p>
    <w:p>
      <w:pPr>
        <w:rPr>
          <w:noProof/>
        </w:rPr>
      </w:pPr>
      <w:r>
        <w:rPr>
          <w:noProof/>
        </w:rPr>
        <w:t>(2) Die zuständigen Behörden können, im Einklang mit ihren innerstaatlichen Bestimmungen über die Weitergabe personenbezogener Daten an Drittländer, die im Einklang mit dieser Richtlinie erhaltenen Informationen an ein Drittland weitergeben, sofern alle folgenden Bedingungen erfüllt sind:</w:t>
      </w:r>
    </w:p>
    <w:p>
      <w:pPr>
        <w:pStyle w:val="Point0"/>
        <w:rPr>
          <w:noProof/>
        </w:rPr>
      </w:pPr>
      <w:r>
        <w:rPr>
          <w:noProof/>
        </w:rPr>
        <w:t>a)</w:t>
      </w:r>
      <w:r>
        <w:rPr>
          <w:noProof/>
        </w:rPr>
        <w:tab/>
        <w:t>Die zuständige Behörde des Mitgliedstaats, von dem die Informationen stammen, ist mit der Übermittlung einverstanden.</w:t>
      </w:r>
    </w:p>
    <w:p>
      <w:pPr>
        <w:pStyle w:val="Point0"/>
        <w:rPr>
          <w:noProof/>
        </w:rPr>
      </w:pPr>
      <w:r>
        <w:rPr>
          <w:noProof/>
        </w:rPr>
        <w:t>b)</w:t>
      </w:r>
      <w:r>
        <w:rPr>
          <w:noProof/>
        </w:rPr>
        <w:tab/>
        <w:t>Das betroffene Drittland hat sich zu der Zusammenarbeit verpflichtet, die für den Nachweis der Unregelmäßigkeit oder der Rechtswidrigkeit von mutmaßlich gegen die Steuervorschriften verstoßenden oder ihnen zuwiderlaufenden Transaktionen erforderlich ist.</w:t>
      </w:r>
    </w:p>
    <w:p>
      <w:pPr>
        <w:pStyle w:val="ChapterTitle"/>
        <w:rPr>
          <w:noProof/>
        </w:rPr>
      </w:pPr>
      <w:r>
        <w:rPr>
          <w:noProof/>
        </w:rPr>
        <w:lastRenderedPageBreak/>
        <w:t>KAPITEL VII</w:t>
      </w:r>
    </w:p>
    <w:p>
      <w:pPr>
        <w:pStyle w:val="ChapterTitle"/>
        <w:rPr>
          <w:noProof/>
        </w:rPr>
      </w:pPr>
      <w:r>
        <w:rPr>
          <w:iCs/>
          <w:noProof/>
        </w:rPr>
        <w:t>ALLGEMEINE UND SCHLUSSBESTIMMUNGEN</w:t>
      </w:r>
    </w:p>
    <w:p>
      <w:pPr>
        <w:pStyle w:val="Titrearticle"/>
        <w:rPr>
          <w:noProof/>
        </w:rPr>
      </w:pPr>
      <w:r>
        <w:rPr>
          <w:noProof/>
        </w:rPr>
        <w:t>Artikel 30</w:t>
      </w:r>
    </w:p>
    <w:p>
      <w:pPr>
        <w:pStyle w:val="NormalCentered"/>
        <w:rPr>
          <w:b/>
          <w:bCs/>
          <w:noProof/>
        </w:rPr>
      </w:pPr>
      <w:r>
        <w:rPr>
          <w:b/>
          <w:bCs/>
          <w:noProof/>
        </w:rPr>
        <w:t>Datenschutz</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2014/107/EU Art. 1 Nr. 5 Buchst. a) (angepasst)</w:t>
      </w:r>
    </w:p>
    <w:p>
      <w:pPr>
        <w:rPr>
          <w:noProof/>
        </w:rPr>
      </w:pPr>
      <w:r>
        <w:rPr>
          <w:noProof/>
        </w:rPr>
        <w:t xml:space="preserve">(1) Jeder Informationsaustausch gemäß dieser Richtlinie unterliegt der Verordnung (EU) 2016/679. Zur korrekten Anwendung der vorliegenden Richtlinie begrenzen die Mitgliedstaaten jedoch den Anwendungsbereich der in Artikel 13, Artikel 14 Absatz 1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und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Artikel 15 der Verordnung (EU) 2016/679 genannten Pflichten und Rechte, soweit dies notwendig ist, um die in Artikel 23 Absatz 1 Buchstabe e jener Verordnung genannten Interessen zu schützen.</w:t>
      </w:r>
    </w:p>
    <w:p>
      <w:pPr>
        <w:pStyle w:val="CRSeparator"/>
        <w:rPr>
          <w:noProof/>
          <w:lang w:val="de-DE"/>
        </w:rPr>
      </w:pPr>
    </w:p>
    <w:p>
      <w:pPr>
        <w:pStyle w:val="CRReference"/>
        <w:rPr>
          <w:noProof/>
          <w:lang w:val="nn-NO"/>
        </w:rPr>
      </w:pPr>
      <w:r>
        <w:rPr>
          <w:noProof/>
        </w:rPr>
        <w:fldChar w:fldCharType="begin"/>
      </w:r>
      <w:r>
        <w:rPr>
          <w:noProof/>
          <w:lang w:val="nn-NO"/>
        </w:rPr>
        <w:instrText xml:space="preserve"> QUOTE "</w:instrText>
      </w:r>
      <w:r>
        <w:rPr>
          <w:rStyle w:val="CRMarker"/>
          <w:noProof/>
          <w:lang w:val="nn-NO"/>
        </w:rPr>
        <w:instrText>ê</w:instrText>
      </w:r>
      <w:r>
        <w:rPr>
          <w:noProof/>
          <w:lang w:val="nn-NO"/>
        </w:rPr>
        <w:instrText xml:space="preserve">" </w:instrText>
      </w:r>
      <w:r>
        <w:rPr>
          <w:noProof/>
        </w:rPr>
        <w:fldChar w:fldCharType="separate"/>
      </w:r>
      <w:r>
        <w:rPr>
          <w:rStyle w:val="CRMarker"/>
          <w:noProof/>
          <w:lang w:val="nn-NO"/>
        </w:rPr>
        <w:t>ê</w:t>
      </w:r>
      <w:r>
        <w:rPr>
          <w:noProof/>
        </w:rPr>
        <w:fldChar w:fldCharType="end"/>
      </w:r>
      <w:r>
        <w:rPr>
          <w:noProof/>
          <w:lang w:val="nn-NO"/>
        </w:rPr>
        <w:t> (EU) 2015/2376 Art. 1 Nr. 8 (angepasst)</w:t>
      </w:r>
    </w:p>
    <w:p>
      <w:pPr>
        <w:rPr>
          <w:noProof/>
        </w:rPr>
      </w:pPr>
      <w:r>
        <w:rPr>
          <w:noProof/>
        </w:rPr>
        <w:t xml:space="preserve">(2) Jede Verarbeitung personenbezogener Daten durch die Organe und Einrichtungen der Union gemäß dieser Richtlinie unterliegt der Verordnung (EU) 2018/1725. Für die Zwecke der korrekten Anwendung der vorliegenden Richtlinie wird der Anwendungsbereich der in Artikel 15, Artikel 16 Absatz 1 und den Artikeln 17 bis 21 der Verordnung (EU) 2018/1725 genannten Rechte und Pflichten jedoch begrenzt, soweit dies notwendig ist, um die in Artikel 25 Absatz 1 Buchstabe c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jener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Verordnung genannten Interessen zu schützen.</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2014/107/EU Art. 1 Nr. 5 Buchst. b) (angepasst)</w:t>
      </w:r>
    </w:p>
    <w:p>
      <w:pPr>
        <w:rPr>
          <w:noProof/>
        </w:rPr>
      </w:pPr>
      <w:r>
        <w:rPr>
          <w:noProof/>
        </w:rPr>
        <w:t>(3) MELDENDE FINANZINSTITUTE und die zuständigen Behörden jedes Mitgliedstaats gelten als Verantwortliche für die Zwecke der Verordnung (EU) 2016/679.</w:t>
      </w:r>
    </w:p>
    <w:p>
      <w:pPr>
        <w:rPr>
          <w:noProof/>
        </w:rPr>
      </w:pPr>
      <w:r>
        <w:rPr>
          <w:noProof/>
        </w:rPr>
        <w:t>(4) Ungeachtet des Absatzes 1 sorgt jeder Mitgliedstaat dafür, dass jedes MELDENDE FINANZINSTITUT in seinem Hoheitsgebiet jede betroffene natürliche MELDE</w:t>
      </w:r>
      <w:r>
        <w:rPr>
          <w:noProof/>
        </w:rPr>
        <w:softHyphen/>
        <w:t>PFLICHTIGE PERSON darüber unterrichtet, dass die in Artikel 8 Absatz 4 genannten Informationen in Bezug auf sie im Einklang mit dieser Richtlinie erhoben und weitergeleitet werden; ferner sorgt jeder Mitgliedstaat dafür, dass das MELDENDE FINANZINSTITUT dieser Einzelperson alle Informationen, auf die sie gemäß Verordnung (EU) 2016/679 Anspruch hat, so rechtzeitig bereitstellt, dass die Einzelperson ihre Datenschutzrechte ausüben kann, und in jedem Fall bevor das betreffende MELDENDE FINANZINSTITUT die in Artikel 8 Absatz 4 genannten Informationen an die zuständige Behörde ihres Ansässigkeitsmitgliedstaats meldet.</w:t>
      </w:r>
    </w:p>
    <w:p>
      <w:pPr>
        <w:rPr>
          <w:noProof/>
        </w:rPr>
      </w:pPr>
      <w:r>
        <w:rPr>
          <w:noProof/>
        </w:rPr>
        <w:t xml:space="preserve">(5) Die im Einklang mit dieser Richtlinie verarbeiteten Informationen dürfen nur so lange aufbewahrt werden, wie dies für die Zwecke dieser Richtlinie erforderlich ist, und in jedem Fall im Einklang mit den innerstaatlichen Verjährungsvorschriften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jedes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für die Verarbeitung Verantwortlichen.</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(EU) 2018/822 Art. 1 Nr. 6</w:t>
      </w:r>
    </w:p>
    <w:p>
      <w:pPr>
        <w:pStyle w:val="Titrearticle"/>
        <w:rPr>
          <w:noProof/>
        </w:rPr>
      </w:pPr>
      <w:r>
        <w:rPr>
          <w:noProof/>
        </w:rPr>
        <w:t>Artikel 31</w:t>
      </w:r>
    </w:p>
    <w:p>
      <w:pPr>
        <w:pStyle w:val="NormalCentered"/>
        <w:rPr>
          <w:b/>
          <w:bCs/>
          <w:noProof/>
        </w:rPr>
      </w:pPr>
      <w:r>
        <w:rPr>
          <w:b/>
          <w:bCs/>
          <w:noProof/>
        </w:rPr>
        <w:t>Sanktionen</w:t>
      </w:r>
    </w:p>
    <w:p>
      <w:pPr>
        <w:rPr>
          <w:noProof/>
        </w:rPr>
      </w:pPr>
      <w:r>
        <w:rPr>
          <w:noProof/>
        </w:rPr>
        <w:t>Die Mitgliedstaaten erlassen Vorschriften über Sanktionen, die bei Verstößen gegen die gemäß dieser Richtlinie im Hinblick auf die Artikel 10 und 11 erlassenen nationalen Vorschriften zu verhängen sind, und treffen alle für die Anwendung der Sanktionen erforderlichen Maßnahmen. Die Sanktionen müssen wirksam, verhältnismäßig und abschreckend sein.</w:t>
      </w:r>
    </w:p>
    <w:p>
      <w:pPr>
        <w:pStyle w:val="CRSeparator"/>
        <w:keepLines/>
        <w:rPr>
          <w:noProof/>
          <w:lang w:val="de-DE"/>
        </w:rPr>
      </w:pPr>
    </w:p>
    <w:p>
      <w:pPr>
        <w:pStyle w:val="CRReference"/>
        <w:keepLines/>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(EU) 2016/881 Art. 1 Nr. 8</w:t>
      </w:r>
    </w:p>
    <w:p>
      <w:pPr>
        <w:pStyle w:val="Titrearticle"/>
        <w:keepLines/>
        <w:rPr>
          <w:noProof/>
        </w:rPr>
      </w:pPr>
      <w:r>
        <w:rPr>
          <w:noProof/>
        </w:rPr>
        <w:t>Artikel 32</w:t>
      </w:r>
    </w:p>
    <w:p>
      <w:pPr>
        <w:pStyle w:val="NormalCentered"/>
        <w:keepNext/>
        <w:keepLines/>
        <w:rPr>
          <w:b/>
          <w:bCs/>
          <w:noProof/>
        </w:rPr>
      </w:pPr>
      <w:r>
        <w:rPr>
          <w:b/>
          <w:bCs/>
          <w:noProof/>
        </w:rPr>
        <w:t>Ausschussverfahren</w:t>
      </w:r>
    </w:p>
    <w:p>
      <w:pPr>
        <w:keepNext/>
        <w:keepLines/>
        <w:rPr>
          <w:noProof/>
        </w:rPr>
      </w:pPr>
      <w:r>
        <w:rPr>
          <w:noProof/>
        </w:rPr>
        <w:t>(1) Die Kommission wird von dem Ausschuss für die Zusammenarbeit der Verwaltungsbehörden im Steuerbereich unterstützt. Dieser Ausschuss ist ein Ausschuss im Sinne der Verordnung (EU) Nr. 182/2011.</w:t>
      </w:r>
    </w:p>
    <w:p>
      <w:pPr>
        <w:rPr>
          <w:noProof/>
        </w:rPr>
      </w:pPr>
      <w:r>
        <w:rPr>
          <w:noProof/>
        </w:rPr>
        <w:t>(2) Wird auf diesen Absatz Bezug genommen, so gilt Artikel 5 der Verordnung (EU) Nr. 182/2011.</w:t>
      </w:r>
    </w:p>
    <w:p>
      <w:pPr>
        <w:pStyle w:val="CRSeparator"/>
        <w:rPr>
          <w:noProof/>
          <w:lang w:val="de-DE"/>
        </w:rPr>
      </w:pPr>
    </w:p>
    <w:p>
      <w:pPr>
        <w:pStyle w:val="CRReference"/>
        <w:rPr>
          <w:noProof/>
          <w:lang w:val="nn-NO"/>
        </w:rPr>
      </w:pPr>
      <w:r>
        <w:rPr>
          <w:noProof/>
        </w:rPr>
        <w:fldChar w:fldCharType="begin"/>
      </w:r>
      <w:r>
        <w:rPr>
          <w:noProof/>
          <w:lang w:val="nn-NO"/>
        </w:rPr>
        <w:instrText xml:space="preserve"> QUOTE "</w:instrText>
      </w:r>
      <w:r>
        <w:rPr>
          <w:rStyle w:val="CRMarker"/>
          <w:noProof/>
          <w:lang w:val="nn-NO"/>
        </w:rPr>
        <w:instrText>ê</w:instrText>
      </w:r>
      <w:r>
        <w:rPr>
          <w:noProof/>
          <w:lang w:val="nn-NO"/>
        </w:rPr>
        <w:instrText xml:space="preserve">" </w:instrText>
      </w:r>
      <w:r>
        <w:rPr>
          <w:noProof/>
        </w:rPr>
        <w:fldChar w:fldCharType="separate"/>
      </w:r>
      <w:r>
        <w:rPr>
          <w:rStyle w:val="CRMarker"/>
          <w:noProof/>
          <w:lang w:val="nn-NO"/>
        </w:rPr>
        <w:t>ê</w:t>
      </w:r>
      <w:r>
        <w:rPr>
          <w:noProof/>
        </w:rPr>
        <w:fldChar w:fldCharType="end"/>
      </w:r>
      <w:r>
        <w:rPr>
          <w:noProof/>
          <w:lang w:val="nn-NO"/>
        </w:rPr>
        <w:t> (EU) 2018/822 Art. 1 Nr. 7 (angepasst)</w:t>
      </w:r>
    </w:p>
    <w:p>
      <w:pPr>
        <w:pStyle w:val="Titrearticle"/>
        <w:rPr>
          <w:noProof/>
        </w:rPr>
      </w:pPr>
      <w:r>
        <w:rPr>
          <w:noProof/>
        </w:rPr>
        <w:t>Artikel 33</w:t>
      </w:r>
    </w:p>
    <w:p>
      <w:pPr>
        <w:pStyle w:val="NormalCentered"/>
        <w:rPr>
          <w:b/>
          <w:bCs/>
          <w:noProof/>
        </w:rPr>
      </w:pPr>
      <w:r>
        <w:rPr>
          <w:b/>
          <w:bCs/>
          <w:noProof/>
        </w:rPr>
        <w:t>Berichterstattung</w:t>
      </w:r>
    </w:p>
    <w:p>
      <w:pPr>
        <w:rPr>
          <w:noProof/>
        </w:rPr>
      </w:pPr>
      <w:r>
        <w:rPr>
          <w:noProof/>
        </w:rPr>
        <w:t>(1) Alle fünf Jahre nach dem 1. Januar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2018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legt die Kommission dem Europäischen Parlament und dem Rat einen Bericht über die Anwendung dieser Richtlinie vor.</w:t>
      </w:r>
    </w:p>
    <w:p>
      <w:pPr>
        <w:rPr>
          <w:noProof/>
        </w:rPr>
      </w:pPr>
      <w:r>
        <w:rPr>
          <w:noProof/>
        </w:rPr>
        <w:t>(2) Alle zwei Jahre nach dem 1. Juli 2020 bewerten die Mitgliedstaaten und die Kommission die Relevanz des Anhangs IV und legt die Kommission dem Rat einen Bericht vor. Diesem Bericht wird gegebenenfalls ein Gesetzgebungsvorschlag beigefügt.</w:t>
      </w:r>
    </w:p>
    <w:p>
      <w:pPr>
        <w:pStyle w:val="CRSeparator"/>
        <w:rPr>
          <w:noProof/>
          <w:lang w:val="de-DE"/>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2011/16/EU (angepasst)</w:t>
      </w:r>
    </w:p>
    <w:p>
      <w:pPr>
        <w:pStyle w:val="NormalCentered"/>
        <w:rPr>
          <w:i/>
          <w:noProof/>
        </w:rPr>
      </w:pPr>
      <w:r>
        <w:rPr>
          <w:noProof/>
        </w:rPr>
        <w:t>Artikel 34</w:t>
      </w:r>
    </w:p>
    <w:p>
      <w:pPr>
        <w:pStyle w:val="NormalCentered"/>
        <w:rPr>
          <w:b/>
          <w:bCs/>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b/>
          <w:bCs/>
          <w:noProof/>
        </w:rPr>
        <w:t>Mitteilung</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rPr>
          <w:noProof/>
        </w:rPr>
      </w:pPr>
      <w:r>
        <w:rPr>
          <w:noProof/>
        </w:rPr>
        <w:t>Die Mitgliedstaaten teilen der Kommission den Wortlaut der wichtigsten nationalen Rechtsvorschriften mit, die sie auf dem unter diese Richtlinie fallenden Gebiet erlassen.</w:t>
      </w:r>
    </w:p>
    <w:p>
      <w:pPr>
        <w:pStyle w:val="Titrearticle"/>
        <w:rPr>
          <w:noProof/>
        </w:rPr>
      </w:pPr>
      <w:r>
        <w:rPr>
          <w:noProof/>
        </w:rPr>
        <w:lastRenderedPageBreak/>
        <w:t>Artikel 35</w:t>
      </w:r>
    </w:p>
    <w:p>
      <w:pPr>
        <w:pStyle w:val="NormalCentered"/>
        <w:rPr>
          <w:b/>
          <w:bCs/>
          <w:noProof/>
        </w:rPr>
      </w:pPr>
      <w:r>
        <w:rPr>
          <w:b/>
          <w:bCs/>
          <w:noProof/>
        </w:rPr>
        <w:t xml:space="preserve">Aufhebung </w:t>
      </w:r>
    </w:p>
    <w:p>
      <w:pPr>
        <w:rPr>
          <w:noProof/>
        </w:rPr>
      </w:pPr>
      <w:r>
        <w:rPr>
          <w:noProof/>
        </w:rPr>
        <w:t>Die Richtlinie 2011/16/EU in der durch die in Anhang V Teil A der vorliegenden Richtlinie aufgeführten Richtlinien geänderten Fassung wird aufgehoben, unbeschadet der Verpflichtungen der Mitgliedstaaten hinsichtlich der in Anhang V Teil B der vorliegenden Richtlinie genannten Fristen für die Umsetzung der dort genannten Richtlinien in nationales Rechtund hinsichtlich der Daten für die Anwendung dieser Richtlinien.</w:t>
      </w:r>
    </w:p>
    <w:p>
      <w:pPr>
        <w:rPr>
          <w:noProof/>
        </w:rPr>
      </w:pPr>
      <w:r>
        <w:rPr>
          <w:noProof/>
        </w:rPr>
        <w:t xml:space="preserve">Verweisungen auf die aufgehobene Richtlinie gelten als Verweisungen auf die vorliegende Richtlinie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und sind nach Maßgabe der Entsprechungstabelle in Anhang VI der vorliegenden Richtlinie zu lesen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pPr>
        <w:pStyle w:val="Titrearticle"/>
        <w:keepLines/>
        <w:rPr>
          <w:noProof/>
        </w:rPr>
      </w:pPr>
      <w:r>
        <w:rPr>
          <w:noProof/>
        </w:rPr>
        <w:t>Artikel 36</w:t>
      </w:r>
    </w:p>
    <w:p>
      <w:pPr>
        <w:pStyle w:val="NormalCentered"/>
        <w:keepNext/>
        <w:keepLines/>
        <w:rPr>
          <w:b/>
          <w:bCs/>
          <w:noProof/>
        </w:rPr>
      </w:pPr>
      <w:r>
        <w:rPr>
          <w:b/>
          <w:bCs/>
          <w:noProof/>
        </w:rPr>
        <w:t>Inkrafttreten</w:t>
      </w:r>
    </w:p>
    <w:p>
      <w:pPr>
        <w:keepNext/>
        <w:keepLines/>
        <w:rPr>
          <w:noProof/>
        </w:rPr>
      </w:pPr>
      <w:r>
        <w:rPr>
          <w:noProof/>
        </w:rPr>
        <w:t xml:space="preserve">Diese Richtlinie tritt am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2. Juli 2020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in Kraft.</w:t>
      </w:r>
    </w:p>
    <w:p>
      <w:pPr>
        <w:pStyle w:val="Titrearticle"/>
        <w:rPr>
          <w:noProof/>
        </w:rPr>
      </w:pPr>
      <w:r>
        <w:rPr>
          <w:noProof/>
        </w:rPr>
        <w:t>Artikel 37</w:t>
      </w:r>
    </w:p>
    <w:p>
      <w:pPr>
        <w:pStyle w:val="NormalCentered"/>
        <w:rPr>
          <w:b/>
          <w:bCs/>
          <w:noProof/>
        </w:rPr>
      </w:pPr>
      <w:r>
        <w:rPr>
          <w:b/>
          <w:bCs/>
          <w:noProof/>
        </w:rPr>
        <w:t>Adressaten</w:t>
      </w:r>
    </w:p>
    <w:p>
      <w:pPr>
        <w:rPr>
          <w:noProof/>
        </w:rPr>
      </w:pPr>
      <w:r>
        <w:rPr>
          <w:noProof/>
        </w:rPr>
        <w:t>Diese Richtlinie ist an die Mitgliedstaaten gerichtet.</w:t>
      </w:r>
    </w:p>
    <w:p>
      <w:pPr>
        <w:pStyle w:val="Fait"/>
        <w:rPr>
          <w:noProof/>
        </w:rPr>
      </w:pPr>
      <w:r>
        <w:t xml:space="preserve">Geschehen zu Brüssel am </w:t>
      </w:r>
      <w:r>
        <w:rPr>
          <w:rStyle w:val="Marker"/>
        </w:rPr>
        <w:t>[…]</w:t>
      </w:r>
    </w:p>
    <w:p>
      <w:pPr>
        <w:pStyle w:val="Institutionquisigne"/>
        <w:rPr>
          <w:noProof/>
        </w:rPr>
      </w:pPr>
      <w:r>
        <w:rPr>
          <w:noProof/>
        </w:rPr>
        <w:tab/>
        <w:t>Im Namen des Rates</w:t>
      </w:r>
    </w:p>
    <w:p>
      <w:pPr>
        <w:pStyle w:val="Personnequisigne"/>
        <w:rPr>
          <w:noProof/>
        </w:rPr>
      </w:pPr>
      <w:r>
        <w:rPr>
          <w:noProof/>
        </w:rPr>
        <w:tab/>
        <w:t>Der Präsident</w:t>
      </w:r>
    </w:p>
    <w:sectPr>
      <w:pgSz w:w="11906" w:h="16838"/>
      <w:pgMar w:top="1134" w:right="1418" w:bottom="1134" w:left="1418"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57</w:t>
    </w:r>
    <w:r>
      <w:fldChar w:fldCharType="end"/>
    </w:r>
    <w: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KOM(87) 868 PV.</w:t>
      </w:r>
    </w:p>
  </w:footnote>
  <w:footnote w:id="2">
    <w:p>
      <w:pPr>
        <w:pStyle w:val="FootnoteText"/>
      </w:pPr>
      <w:r>
        <w:rPr>
          <w:rStyle w:val="FootnoteReference"/>
        </w:rPr>
        <w:footnoteRef/>
      </w:r>
      <w:r>
        <w:tab/>
        <w:t>Siehe Anhang 3 zu Teil A dieser Schlussfolgerungen.</w:t>
      </w:r>
    </w:p>
  </w:footnote>
  <w:footnote w:id="3">
    <w:p>
      <w:pPr>
        <w:pStyle w:val="FootnoteText"/>
      </w:pPr>
      <w:r>
        <w:rPr>
          <w:rStyle w:val="FootnoteReference"/>
        </w:rPr>
        <w:footnoteRef/>
      </w:r>
      <w:r>
        <w:tab/>
        <w:t>Aufgenommen in das Legislativprogramm für 2019.</w:t>
      </w:r>
    </w:p>
  </w:footnote>
  <w:footnote w:id="4">
    <w:p>
      <w:pPr>
        <w:pStyle w:val="FootnoteText"/>
      </w:pPr>
      <w:r>
        <w:rPr>
          <w:rStyle w:val="FootnoteReference"/>
        </w:rPr>
        <w:footnoteRef/>
      </w:r>
      <w:r>
        <w:tab/>
        <w:t>Siehe Anhang V dieses Vorschlags.</w:t>
      </w:r>
    </w:p>
  </w:footnote>
  <w:footnote w:id="5">
    <w:p>
      <w:pPr>
        <w:pStyle w:val="FootnoteText"/>
      </w:pPr>
      <w:r>
        <w:rPr>
          <w:rStyle w:val="FootnoteReference"/>
        </w:rPr>
        <w:footnoteRef/>
      </w:r>
      <w:r>
        <w:tab/>
        <w:t>ABl. C […] vom […], S. […].</w:t>
      </w:r>
    </w:p>
  </w:footnote>
  <w:footnote w:id="6">
    <w:p>
      <w:pPr>
        <w:pStyle w:val="FootnoteText"/>
      </w:pPr>
      <w:r>
        <w:rPr>
          <w:rStyle w:val="FootnoteReference"/>
        </w:rPr>
        <w:footnoteRef/>
      </w:r>
      <w:r>
        <w:tab/>
      </w:r>
      <w:r>
        <w:rPr>
          <w:color w:val="000000"/>
        </w:rPr>
        <w:t>Richtlinie 2011/16/EU des Rates vom 15. Februar 2011 über die Zusammenarbeit der Verwaltungs</w:t>
      </w:r>
      <w:r>
        <w:rPr>
          <w:color w:val="000000"/>
        </w:rPr>
        <w:softHyphen/>
        <w:t>behörden im Bereich der Besteuerung und zur Aufhebung der Richtlinie 77/799/EWG (ABl. L 64 vom 11.3.2011, S. 1).</w:t>
      </w:r>
    </w:p>
  </w:footnote>
  <w:footnote w:id="7">
    <w:p>
      <w:pPr>
        <w:pStyle w:val="FootnoteText"/>
      </w:pPr>
      <w:r>
        <w:rPr>
          <w:rStyle w:val="FootnoteReference"/>
        </w:rPr>
        <w:footnoteRef/>
      </w:r>
      <w:r>
        <w:tab/>
        <w:t>Siehe Anhang IV.</w:t>
      </w:r>
    </w:p>
  </w:footnote>
  <w:footnote w:id="8">
    <w:p>
      <w:pPr>
        <w:pStyle w:val="FootnoteText"/>
      </w:pPr>
      <w:r>
        <w:rPr>
          <w:rStyle w:val="FootnoteReference"/>
        </w:rPr>
        <w:footnoteRef/>
      </w:r>
      <w:r>
        <w:tab/>
      </w:r>
      <w:r>
        <w:rPr>
          <w:color w:val="000000"/>
        </w:rPr>
        <w:t>Entschließung des Rates und der im Rat vereinigten Vertreter der Regierungen der Mitgliedstaaten vom 27. Juni 2006 zu einem Verhaltenskodex zur Verrechnungspreisdokumentation für verbundene Unter</w:t>
      </w:r>
      <w:r>
        <w:rPr>
          <w:color w:val="000000"/>
        </w:rPr>
        <w:softHyphen/>
        <w:t>nehmen in der Europäischen Union (EU TPD) (</w:t>
      </w:r>
      <w:r>
        <w:t>ABl. C 176 vom 28.7.2006, S. 1</w:t>
      </w:r>
      <w:r>
        <w:rPr>
          <w:color w:val="000000"/>
        </w:rPr>
        <w:t>).</w:t>
      </w:r>
    </w:p>
  </w:footnote>
  <w:footnote w:id="9">
    <w:p>
      <w:pPr>
        <w:pStyle w:val="FootnoteText"/>
      </w:pPr>
      <w:r>
        <w:rPr>
          <w:rStyle w:val="FootnoteReference"/>
        </w:rPr>
        <w:footnoteRef/>
      </w:r>
      <w:r>
        <w:tab/>
      </w:r>
      <w:r>
        <w:rPr>
          <w:color w:val="000000"/>
        </w:rPr>
        <w:t>Richtlinie (EU) 2016/1164 des Rates vom 12. Juli 2016 mit Vorschriften zur Bekämpfung von Steuer</w:t>
      </w:r>
      <w:r>
        <w:rPr>
          <w:color w:val="000000"/>
        </w:rPr>
        <w:softHyphen/>
        <w:t>vermeidungspraktiken mit unmittelbaren Auswirkungen auf das Funktionieren des Binnenmarkts (</w:t>
      </w:r>
      <w:r>
        <w:t>ABl. L 193 vom 19.7.2016, S. 1</w:t>
      </w:r>
      <w:r>
        <w:rPr>
          <w:color w:val="000000"/>
        </w:rPr>
        <w:t>).</w:t>
      </w:r>
    </w:p>
  </w:footnote>
  <w:footnote w:id="10">
    <w:p>
      <w:pPr>
        <w:pStyle w:val="FootnoteText"/>
      </w:pPr>
      <w:r>
        <w:rPr>
          <w:rStyle w:val="FootnoteReference"/>
        </w:rPr>
        <w:footnoteRef/>
      </w:r>
      <w:r>
        <w:tab/>
      </w:r>
      <w:r>
        <w:rPr>
          <w:color w:val="000000"/>
        </w:rPr>
        <w:t>Richtlinie (EU) 2015/849 des Europäischen Parlaments und des Rates vom 20. Mai 2015 zur Verhinderung der Nutzung des Finanzsystems zum Zwecke der Geldwäsche und der Terrorismus</w:t>
      </w:r>
      <w:r>
        <w:rPr>
          <w:color w:val="000000"/>
        </w:rPr>
        <w:softHyphen/>
        <w:t>finanzierung, zur Änderung der Verordnung (EU) Nr. 648/2012 des Europäischen Parlaments und des Rates und zur Aufhebung der Richtlinie 2005/60/EG des Europäischen Parlaments und des Rates und der Richtlinie 2006/70/EG der Kommission (</w:t>
      </w:r>
      <w:r>
        <w:t>ABl. L 141 vom 5.6.2015, S. 73</w:t>
      </w:r>
      <w:r>
        <w:rPr>
          <w:color w:val="000000"/>
        </w:rPr>
        <w:t>).</w:t>
      </w:r>
    </w:p>
  </w:footnote>
  <w:footnote w:id="11">
    <w:p>
      <w:pPr>
        <w:pStyle w:val="FootnoteText"/>
      </w:pPr>
      <w:r>
        <w:rPr>
          <w:rStyle w:val="FootnoteReference"/>
        </w:rPr>
        <w:footnoteRef/>
      </w:r>
      <w:r>
        <w:tab/>
        <w:t>Verordnung (EU) 2016/679 des Europäischen Parlaments und des Rates vom 27. April 2016 zum Schutz natürlicher Personen bei der Verarbeitung personenbezogener Daten zum freien Datenverkehr und zur Aufhebung der Richtlinie 95/46/EG (Datenschutz-Grundverordnung) (ABl. L 119 vom 4.5.2016, S. 1).</w:t>
      </w:r>
    </w:p>
  </w:footnote>
  <w:footnote w:id="12">
    <w:p>
      <w:pPr>
        <w:pStyle w:val="FootnoteText"/>
      </w:pPr>
      <w:r>
        <w:rPr>
          <w:rStyle w:val="FootnoteReference"/>
        </w:rPr>
        <w:footnoteRef/>
      </w:r>
      <w:r>
        <w:tab/>
        <w:t>Verordnung (EU) 2018/1725 des Europäischen Parlaments und des Rates vom 23. Oktober 2018 zum Schutz natürlicher Personen bei der Verarbeitung personenbezogener Daten durch die Organe, Einrichtungen und sonstigen Stellen der Union, zum freien Datenverkehr und zur Aufhebung der Verordnung (EG) Nr. 45/2001 und des Beschlusses Nr. 1247/2002/EG (ABl. L 295 vom 21.11.2018, S. 39).</w:t>
      </w:r>
    </w:p>
  </w:footnote>
  <w:footnote w:id="13">
    <w:p>
      <w:pPr>
        <w:pStyle w:val="FootnoteText"/>
      </w:pPr>
      <w:r>
        <w:rPr>
          <w:rStyle w:val="FootnoteReference"/>
        </w:rPr>
        <w:footnoteRef/>
      </w:r>
      <w:r>
        <w:tab/>
      </w:r>
      <w:r>
        <w:rPr>
          <w:color w:val="000000"/>
        </w:rPr>
        <w:t>Verordnung (EU) Nr. 182/2011 des Europäischen Parlaments und des Rates vom 16. Februar 2011 zur Festlegung der allgemeinen Regeln und Grundsätze, nach denen die Mitgliedstaaten die Wahrnehmung der Durchführungsbefugnisse durch die Kommission kontrollieren (</w:t>
      </w:r>
      <w:r>
        <w:t>ABl. L 55 vom 28.2.2011, S. 13</w:t>
      </w:r>
      <w:r>
        <w:rPr>
          <w:color w:val="000000"/>
        </w:rPr>
        <w:t>).</w:t>
      </w:r>
    </w:p>
  </w:footnote>
  <w:footnote w:id="14">
    <w:p>
      <w:pPr>
        <w:pStyle w:val="FootnoteText"/>
      </w:pPr>
      <w:r>
        <w:rPr>
          <w:rStyle w:val="FootnoteReference"/>
          <w:lang w:val="en-US"/>
        </w:rPr>
        <w:footnoteRef/>
      </w:r>
      <w:r>
        <w:tab/>
        <w:t>Richtlinie 2010/24/EU des Rates vom 16. März 2010 über die Amtshilfe bei der Beitreibung von Forderungen in Bezug auf bestimmte Steuern, Abgaben und sonstige Maßnahmen (ABl. L 84 vom 31.3.2010,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6926254"/>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D096C6B4"/>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6540D646"/>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D666838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A1AEE9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F42635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686D044"/>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C534DCC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0" w:val="2014/107/EU Art. 1 Ziff. 2 Buchst. a)"/>
    <w:docVar w:name="CR_Ref1" w:val="2014/107/EU Art. 1 Ziff. 2 Buchst. b)"/>
    <w:docVar w:name="CR_Ref10" w:val="2015/2376 Art. 1 Ziff. 2"/>
    <w:docVar w:name="CR_Ref11" w:val="2015/2376 Art. 1 Ziff. 3"/>
    <w:docVar w:name="CR_Ref12" w:val="2015/2376 Art. 1 Ziff. 5 Buchst. a)"/>
    <w:docVar w:name="CR_Ref13" w:val="2015/2376 Art. 1 Ziff. 6 Buchst. b)"/>
    <w:docVar w:name="CR_Ref14" w:val="2015/2376 Art. 1 Ziff. 7"/>
    <w:docVar w:name="CR_Ref15" w:val="2015/2376 Art. 1 Ziff. 8"/>
    <w:docVar w:name="CR_Ref16" w:val="2016/881 Art. 1 Ziff. 1"/>
    <w:docVar w:name="CR_Ref17" w:val="2016/881 Art. 1 Ziff. 2"/>
    <w:docVar w:name="CR_Ref18" w:val="2016/881 Art. 1 Ziff. 3"/>
    <w:docVar w:name="CR_Ref19" w:val="2016/881 Art. 1 Ziff. 4"/>
    <w:docVar w:name="CR_Ref2" w:val="2014/107/EU Art. 1 Ziff. 2 Buchst. d)"/>
    <w:docVar w:name="CR_Ref20" w:val="2016/881 Art. 1 Ziff. 5"/>
    <w:docVar w:name="CR_Ref21" w:val="2016/881 Art. 1 Ziff. 8"/>
    <w:docVar w:name="CR_Ref22" w:val="2016/881 Art. 1 Ziff. 9 u. Anh. "/>
    <w:docVar w:name="CR_Ref23" w:val="2016/2258 Art. 1"/>
    <w:docVar w:name="CR_Ref24" w:val="2018/822 Art. 1 Ziff. 1 Buchst. a)"/>
    <w:docVar w:name="CR_Ref25" w:val="2018/822 Art. 1 Ziff. 1 Buchst. b)"/>
    <w:docVar w:name="CR_Ref26" w:val="2018/822 Art. 1 Ziff. 2"/>
    <w:docVar w:name="CR_Ref27" w:val="2018/822 Art. 1 Ziff. 3"/>
    <w:docVar w:name="CR_Ref28" w:val="2018/822 Art. 1 Ziff. 4"/>
    <w:docVar w:name="CR_Ref29" w:val="2018/822 Art. 1 Ziff. 5"/>
    <w:docVar w:name="CR_Ref3" w:val="2014/107/EU Art. 1 Ziff. 2 Buchst. e)"/>
    <w:docVar w:name="CR_Ref30" w:val="2018/822 Art. 1 Ziff. 6"/>
    <w:docVar w:name="CR_Ref31" w:val="2018/822 Art. 1 Ziff. 7"/>
    <w:docVar w:name="CR_Ref32" w:val="2018/822 Art. 1 Ziff. 8 u. Anh. "/>
    <w:docVar w:name="CR_Ref33" w:val="."/>
    <w:docVar w:name="CR_Ref34" w:val="2011/16/EU"/>
    <w:docVar w:name="CR_Ref35" w:val="2014/107/EU"/>
    <w:docVar w:name="CR_Ref36" w:val="(EU) 2015/2376"/>
    <w:docVar w:name="CR_Ref37" w:val="(EU) 2016/881"/>
    <w:docVar w:name="CR_Ref38" w:val="(EU) 2018/822"/>
    <w:docVar w:name="CR_Ref39" w:val="(EU) 2016/2258"/>
    <w:docVar w:name="CR_Ref4" w:val="2014/107/EU Art. 1 Ziff. 3"/>
    <w:docVar w:name="CR_Ref5" w:val="2014/107/EU Art. 1 Ziff. 4"/>
    <w:docVar w:name="CR_Ref6" w:val="2014/107/EU Art. 1 Ziff. 5 Buchst. a)"/>
    <w:docVar w:name="CR_Ref7" w:val="2014/107/EU Art. 1 Ziff. 5 Buchst. b)"/>
    <w:docVar w:name="CR_Ref8" w:val="2014/107/EU Art. 1 Ziff. 6 u. Anh. "/>
    <w:docVar w:name="CR_Ref9" w:val="2015/2376 Art. 1 Ziff. 1 Buchst. b)"/>
    <w:docVar w:name="CR_RefCount" w:val="40"/>
    <w:docVar w:name="CR_RefLast" w:val="8"/>
    <w:docVar w:name="DQCDateTime" w:val="2020-02-05 10:18:5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1"/>
    <w:docVar w:name="LW_CORRIGENDUM" w:val="&lt;UNUSED&gt;"/>
    <w:docVar w:name="LW_COVERPAGE_EXISTS" w:val="True"/>
    <w:docVar w:name="LW_COVERPAGE_GUID" w:val="7080C3F1-A89B-437D-BC8D-1727A0364937"/>
    <w:docVar w:name="LW_COVERPAGE_TYPE" w:val="1"/>
    <w:docVar w:name="LW_CROSSREFERENCE" w:val="&lt;UNUSED&gt;"/>
    <w:docVar w:name="LW_DocType" w:val="COM"/>
    <w:docVar w:name="LW_EMISSION" w:val="12.2.2020"/>
    <w:docVar w:name="LW_EMISSION_ISODATE" w:val="2020-02-12"/>
    <w:docVar w:name="LW_EMISSION_LOCATION" w:val="BRX"/>
    <w:docVar w:name="LW_EMISSION_PREFIX" w:val="Brüssel, den "/>
    <w:docVar w:name="LW_EMISSION_SUFFIX" w:val=" "/>
    <w:docVar w:name="LW_FAITA" w:val="&lt;UNUSED&gt;"/>
    <w:docVar w:name="LW_ID_DOCMODEL" w:val="SJ-017"/>
    <w:docVar w:name="LW_ID_DOCSIGNATURE" w:val="SJ-017"/>
    <w:docVar w:name="LW_ID_DOCSTRUCTURE" w:val="COM/PL/ORG"/>
    <w:docVar w:name="LW_ID_DOCTYPE" w:val="SJ-017"/>
    <w:docVar w:name="LW_ID_STATUT" w:val="SJ-017"/>
    <w:docVar w:name="LW_INST.SIGNE" w:val="&lt;UNUSED&gt;"/>
    <w:docVar w:name="LW_INTERETEEE.CP" w:val="&lt;UNUSED&gt;"/>
    <w:docVar w:name="LW_LANGUE" w:val="DE"/>
    <w:docVar w:name="LW_LEVEL_OF_SENSITIVITY" w:val="Standard treatment"/>
    <w:docVar w:name="LW_NOM.INST" w:val="EUROPÄISCHE KOMMISSION"/>
    <w:docVar w:name="LW_NOM.INST_JOINTDOC" w:val="&lt;EMPTY&gt;"/>
    <w:docVar w:name="LW_PART_NBR" w:val="1"/>
    <w:docVar w:name="LW_PART_NBR_TOTAL" w:val="1"/>
    <w:docVar w:name="LW_PERS.SIGNE" w:val="&lt;UNUSED&gt;"/>
    <w:docVar w:name="LW_REF.II.NEW.CP" w:val="CNS"/>
    <w:docVar w:name="LW_REF.II.NEW.CP_NUMBER" w:val="0022"/>
    <w:docVar w:name="LW_REF.II.NEW.CP_YEAR" w:val="2020"/>
    <w:docVar w:name="LW_REF.INST.NEW" w:val="COM"/>
    <w:docVar w:name="LW_REF.INST.NEW_ADOPTED" w:val="final"/>
    <w:docVar w:name="LW_REF.INST.NEW_TEXT" w:val="(2020) 4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Vorschlag für eine"/>
    <w:docVar w:name="LW_SUPERTITRE" w:val="&lt;UNUSED&gt;"/>
    <w:docVar w:name="LW_TITRE.OBJ.CP" w:val="über die Zusammenarbeit der Verwaltungsbehörden im Bereich der Besteuerung (kodifizierter Text)"/>
    <w:docVar w:name="LW_TYPE.DOC.CP" w:val="RICHTLINIE DES RATES"/>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eastAsia="Times New Roman" w:hAnsi="Arial" w:cs="Arial"/>
      <w:sz w:val="22"/>
      <w:lang w:val="fr-FR" w:eastAsia="en-GB"/>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eastAsia="Times New Roman" w:hAnsi="Arial" w:cs="Arial"/>
      <w:i/>
      <w:iCs/>
      <w:sz w:val="22"/>
      <w:lang w:val="fr-FR" w:eastAsia="en-GB"/>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eastAsia="Times New Roman" w:hAnsi="Arial" w:cs="Arial"/>
      <w:sz w:val="20"/>
      <w:szCs w:val="20"/>
      <w:lang w:val="fr-FR" w:eastAsia="en-GB"/>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eastAsia="Times New Roman" w:hAnsi="Arial" w:cs="Arial"/>
      <w:i/>
      <w:iCs/>
      <w:sz w:val="20"/>
      <w:szCs w:val="20"/>
      <w:lang w:val="fr-FR" w:eastAsia="en-GB"/>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eastAsia="Times New Roman" w:hAnsi="Arial" w:cs="Arial"/>
      <w:i/>
      <w:iCs/>
      <w:sz w:val="18"/>
      <w:szCs w:val="18"/>
      <w:lang w:val="fr-FR"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rPr>
      <w:rFonts w:ascii="Arial" w:eastAsia="Times New Roman" w:hAnsi="Arial" w:cs="Arial"/>
      <w:lang w:val="fr-FR" w:eastAsia="en-GB"/>
    </w:rPr>
  </w:style>
  <w:style w:type="character" w:customStyle="1" w:styleId="Heading6Char">
    <w:name w:val="Heading 6 Char"/>
    <w:link w:val="Heading6"/>
    <w:uiPriority w:val="99"/>
    <w:rPr>
      <w:rFonts w:ascii="Arial" w:eastAsia="Times New Roman" w:hAnsi="Arial" w:cs="Arial"/>
      <w:i/>
      <w:iCs/>
      <w:lang w:val="fr-FR" w:eastAsia="en-GB"/>
    </w:rPr>
  </w:style>
  <w:style w:type="character" w:customStyle="1" w:styleId="Heading7Char">
    <w:name w:val="Heading 7 Char"/>
    <w:link w:val="Heading7"/>
    <w:uiPriority w:val="99"/>
    <w:rPr>
      <w:rFonts w:ascii="Arial" w:eastAsia="Times New Roman" w:hAnsi="Arial" w:cs="Arial"/>
      <w:sz w:val="20"/>
      <w:szCs w:val="20"/>
      <w:lang w:val="fr-FR" w:eastAsia="en-GB"/>
    </w:rPr>
  </w:style>
  <w:style w:type="character" w:customStyle="1" w:styleId="Heading8Char">
    <w:name w:val="Heading 8 Char"/>
    <w:link w:val="Heading8"/>
    <w:uiPriority w:val="99"/>
    <w:rPr>
      <w:rFonts w:ascii="Arial" w:eastAsia="Times New Roman" w:hAnsi="Arial" w:cs="Arial"/>
      <w:i/>
      <w:iCs/>
      <w:sz w:val="20"/>
      <w:szCs w:val="20"/>
      <w:lang w:val="fr-FR" w:eastAsia="en-GB"/>
    </w:rPr>
  </w:style>
  <w:style w:type="character" w:customStyle="1" w:styleId="Heading9Char">
    <w:name w:val="Heading 9 Char"/>
    <w:link w:val="Heading9"/>
    <w:uiPriority w:val="99"/>
    <w:rPr>
      <w:rFonts w:ascii="Arial" w:eastAsia="Times New Roman" w:hAnsi="Arial" w:cs="Arial"/>
      <w:i/>
      <w:iCs/>
      <w:sz w:val="18"/>
      <w:szCs w:val="18"/>
      <w:lang w:val="fr-FR" w:eastAsia="en-GB"/>
    </w:rPr>
  </w:style>
  <w:style w:type="paragraph" w:styleId="Caption">
    <w:name w:val="caption"/>
    <w:basedOn w:val="Normal"/>
    <w:next w:val="Normal"/>
    <w:uiPriority w:val="99"/>
    <w:qFormat/>
    <w:pPr>
      <w:autoSpaceDE w:val="0"/>
      <w:autoSpaceDN w:val="0"/>
    </w:pPr>
    <w:rPr>
      <w:rFonts w:eastAsia="Times New Roman"/>
      <w:b/>
      <w:bCs/>
      <w:szCs w:val="24"/>
      <w:lang w:val="fr-FR" w:eastAsia="en-GB"/>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pPr>
      <w:autoSpaceDE w:val="0"/>
      <w:autoSpaceDN w:val="0"/>
    </w:pPr>
    <w:rPr>
      <w:rFonts w:eastAsia="Times New Roman"/>
      <w:sz w:val="20"/>
      <w:szCs w:val="20"/>
      <w:lang w:val="fr-FR" w:eastAsia="en-GB"/>
    </w:rPr>
  </w:style>
  <w:style w:type="character" w:customStyle="1" w:styleId="CommentTextChar">
    <w:name w:val="Comment Text Char"/>
    <w:link w:val="CommentText"/>
    <w:uiPriority w:val="99"/>
    <w:rPr>
      <w:rFonts w:ascii="Times New Roman" w:eastAsia="Times New Roman" w:hAnsi="Times New Roman" w:cs="Times New Roman"/>
      <w:sz w:val="20"/>
      <w:szCs w:val="20"/>
      <w:lang w:val="fr-FR" w:eastAsia="en-GB"/>
    </w:rPr>
  </w:style>
  <w:style w:type="paragraph" w:customStyle="1" w:styleId="Sous-titreobjet">
    <w:name w:val="Sous-titre objet"/>
    <w:basedOn w:val="Titreobjet"/>
    <w:uiPriority w:val="99"/>
    <w:pPr>
      <w:autoSpaceDE w:val="0"/>
      <w:autoSpaceDN w:val="0"/>
      <w:spacing w:before="0" w:after="0"/>
    </w:pPr>
    <w:rPr>
      <w:rFonts w:eastAsia="Times New Roman"/>
      <w:bCs/>
      <w:szCs w:val="24"/>
      <w:lang w:val="fr-FR" w:eastAsia="en-GB"/>
    </w:rPr>
  </w:style>
  <w:style w:type="paragraph" w:customStyle="1" w:styleId="FichedimpactPMEtitre">
    <w:name w:val="Fiche d'impact PME titre"/>
    <w:basedOn w:val="Normal"/>
    <w:next w:val="Normal"/>
    <w:uiPriority w:val="99"/>
    <w:pPr>
      <w:autoSpaceDE w:val="0"/>
      <w:autoSpaceDN w:val="0"/>
      <w:jc w:val="center"/>
    </w:pPr>
    <w:rPr>
      <w:rFonts w:eastAsia="Times New Roman"/>
      <w:b/>
      <w:bCs/>
      <w:szCs w:val="24"/>
      <w:lang w:val="fr-FR" w:eastAsia="en-GB"/>
    </w:rPr>
  </w:style>
  <w:style w:type="paragraph" w:customStyle="1" w:styleId="Fichefinanciretextetable">
    <w:name w:val="Fiche financière texte (table)"/>
    <w:basedOn w:val="Normal"/>
    <w:uiPriority w:val="99"/>
    <w:pPr>
      <w:autoSpaceDE w:val="0"/>
      <w:autoSpaceDN w:val="0"/>
      <w:spacing w:before="0" w:after="0"/>
      <w:jc w:val="left"/>
    </w:pPr>
    <w:rPr>
      <w:rFonts w:eastAsia="Times New Roman"/>
      <w:sz w:val="20"/>
      <w:szCs w:val="20"/>
      <w:lang w:val="fr-FR" w:eastAsia="en-GB"/>
    </w:rPr>
  </w:style>
  <w:style w:type="paragraph" w:customStyle="1" w:styleId="Fichefinanciretitreactetable">
    <w:name w:val="Fiche financière titre (acte table)"/>
    <w:basedOn w:val="Normal"/>
    <w:next w:val="Normal"/>
    <w:uiPriority w:val="99"/>
    <w:pPr>
      <w:autoSpaceDE w:val="0"/>
      <w:autoSpaceDN w:val="0"/>
      <w:jc w:val="center"/>
    </w:pPr>
    <w:rPr>
      <w:rFonts w:eastAsia="Times New Roman"/>
      <w:b/>
      <w:bCs/>
      <w:sz w:val="40"/>
      <w:szCs w:val="40"/>
      <w:lang w:val="fr-FR" w:eastAsia="en-GB"/>
    </w:rPr>
  </w:style>
  <w:style w:type="paragraph" w:customStyle="1" w:styleId="Fichefinanciretitretable">
    <w:name w:val="Fiche financière titre (table)"/>
    <w:basedOn w:val="Normal"/>
    <w:uiPriority w:val="99"/>
    <w:pPr>
      <w:autoSpaceDE w:val="0"/>
      <w:autoSpaceDN w:val="0"/>
      <w:jc w:val="center"/>
    </w:pPr>
    <w:rPr>
      <w:rFonts w:eastAsia="Times New Roman"/>
      <w:b/>
      <w:bCs/>
      <w:sz w:val="40"/>
      <w:szCs w:val="40"/>
      <w:lang w:val="fr-FR" w:eastAsia="en-GB"/>
    </w:rPr>
  </w:style>
  <w:style w:type="character" w:styleId="PageNumber">
    <w:name w:val="page number"/>
    <w:uiPriority w:val="99"/>
    <w:rPr>
      <w:rFonts w:cs="Times New Roman"/>
    </w:rPr>
  </w:style>
  <w:style w:type="paragraph" w:styleId="TOAHeading">
    <w:name w:val="toa heading"/>
    <w:basedOn w:val="Normal"/>
    <w:next w:val="Normal"/>
    <w:uiPriority w:val="99"/>
    <w:pPr>
      <w:autoSpaceDE w:val="0"/>
      <w:autoSpaceDN w:val="0"/>
    </w:pPr>
    <w:rPr>
      <w:rFonts w:ascii="Arial" w:eastAsia="Times New Roman" w:hAnsi="Arial" w:cs="Arial"/>
      <w:b/>
      <w:bCs/>
      <w:szCs w:val="24"/>
      <w:lang w:val="fr-FR" w:eastAsia="en-GB"/>
    </w:rPr>
  </w:style>
  <w:style w:type="character" w:customStyle="1" w:styleId="CRMarker">
    <w:name w:val="CR Marker"/>
    <w:uiPriority w:val="99"/>
    <w:rPr>
      <w:rFonts w:ascii="Wingdings" w:hAnsi="Wingdings" w:cs="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lang w:val="fr-FR" w:eastAsia="en-GB"/>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lang w:val="fr-FR" w:eastAsia="en-GB"/>
    </w:rPr>
  </w:style>
  <w:style w:type="character" w:customStyle="1" w:styleId="CRRefNum">
    <w:name w:val="CR RefNum"/>
    <w:uiPriority w:val="99"/>
    <w:rPr>
      <w:rFonts w:cs="Times New Roman"/>
      <w:vertAlign w:val="subscript"/>
    </w:rPr>
  </w:style>
  <w:style w:type="paragraph" w:customStyle="1" w:styleId="CRParaDeleted">
    <w:name w:val="CR ParaDeleted"/>
    <w:basedOn w:val="Normal"/>
    <w:next w:val="Normal"/>
    <w:uiPriority w:val="99"/>
    <w:pPr>
      <w:autoSpaceDE w:val="0"/>
      <w:autoSpaceDN w:val="0"/>
    </w:pPr>
    <w:rPr>
      <w:rFonts w:eastAsia="Times New Roman"/>
      <w:szCs w:val="24"/>
      <w:lang w:val="fr-FR" w:eastAsia="en-GB"/>
    </w:rPr>
  </w:style>
  <w:style w:type="character" w:customStyle="1" w:styleId="CRTextDeleted">
    <w:name w:val="CR TextDeleted"/>
    <w:uiPriority w:val="99"/>
    <w:rPr>
      <w:rFonts w:cs="Times New Roman"/>
    </w:rPr>
  </w:style>
  <w:style w:type="paragraph" w:customStyle="1" w:styleId="Titredumodificateur">
    <w:name w:val="Titre du modificateur"/>
    <w:basedOn w:val="Normal"/>
    <w:next w:val="Normal"/>
    <w:uiPriority w:val="99"/>
    <w:pPr>
      <w:autoSpaceDE w:val="0"/>
      <w:autoSpaceDN w:val="0"/>
      <w:spacing w:before="240" w:after="60"/>
      <w:jc w:val="left"/>
    </w:pPr>
    <w:rPr>
      <w:rFonts w:eastAsia="Times New Roman"/>
      <w:b/>
      <w:bCs/>
      <w:szCs w:val="24"/>
      <w:lang w:val="en-US" w:eastAsia="en-GB"/>
    </w:rPr>
  </w:style>
  <w:style w:type="paragraph" w:customStyle="1" w:styleId="Referencedumodificateur">
    <w:name w:val="Reference du modificateur"/>
    <w:basedOn w:val="Normal"/>
    <w:next w:val="Normal"/>
    <w:uiPriority w:val="99"/>
    <w:pPr>
      <w:autoSpaceDE w:val="0"/>
      <w:autoSpaceDN w:val="0"/>
      <w:spacing w:before="0"/>
      <w:jc w:val="left"/>
    </w:pPr>
    <w:rPr>
      <w:rFonts w:eastAsia="Times New Roman"/>
      <w:szCs w:val="24"/>
      <w:lang w:val="en-US" w:eastAsia="en-GB"/>
    </w:r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Normal1">
    <w:name w:val="Normal1"/>
    <w:basedOn w:val="Normal"/>
    <w:pPr>
      <w:spacing w:after="0"/>
    </w:pPr>
    <w:rPr>
      <w:rFonts w:eastAsia="Times New Roman"/>
      <w:szCs w:val="24"/>
      <w:lang w:val="en-GB" w:eastAsia="en-GB"/>
    </w:rPr>
  </w:style>
  <w:style w:type="character" w:customStyle="1" w:styleId="super">
    <w:name w:val="super"/>
    <w:rPr>
      <w:sz w:val="17"/>
      <w:szCs w:val="17"/>
      <w:vertAlign w:val="superscript"/>
    </w:rPr>
  </w:style>
  <w:style w:type="character" w:styleId="Hyperlink">
    <w:name w:val="Hyperlink"/>
    <w:uiPriority w:val="99"/>
    <w:unhideWhenUsed/>
    <w:rPr>
      <w:color w:val="0000FF"/>
      <w:u w:val="single"/>
    </w:rPr>
  </w:style>
  <w:style w:type="character" w:customStyle="1" w:styleId="CRDeleted">
    <w:name w:val="CR Deleted"/>
    <w:rPr>
      <w:strike w:val="0"/>
      <w:dstrike/>
      <w:color w:val="auto"/>
    </w:rPr>
  </w:style>
  <w:style w:type="character" w:customStyle="1" w:styleId="CRMinorChangeDeleted">
    <w:name w:val="CR Minor Change Deleted"/>
    <w:rPr>
      <w:strike w:val="0"/>
      <w:dstrike/>
      <w:color w:val="auto"/>
      <w:u w:val="double"/>
    </w:rPr>
  </w:style>
  <w:style w:type="character" w:customStyle="1" w:styleId="CRMinorChangeAdded">
    <w:name w:val="CR Minor Change Added"/>
    <w:rPr>
      <w:color w:val="auto"/>
      <w:u w:val="doub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lang w:val="de-DE" w:eastAsia="en-US"/>
    </w:rPr>
  </w:style>
  <w:style w:type="paragraph" w:styleId="CommentSubject">
    <w:name w:val="annotation subject"/>
    <w:basedOn w:val="CommentText"/>
    <w:next w:val="CommentText"/>
    <w:link w:val="CommentSubjectChar"/>
    <w:uiPriority w:val="99"/>
    <w:semiHidden/>
    <w:unhideWhenUsed/>
    <w:pPr>
      <w:autoSpaceDE/>
      <w:autoSpaceDN/>
    </w:pPr>
    <w:rPr>
      <w:rFonts w:eastAsia="Calibri"/>
      <w:b/>
      <w:bCs/>
      <w:lang w:val="de-DE"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e-DE" w:eastAsia="en-US"/>
    </w:rPr>
  </w:style>
  <w:style w:type="paragraph" w:styleId="Revision">
    <w:name w:val="Revision"/>
    <w:hidden/>
    <w:uiPriority w:val="99"/>
    <w:semiHidden/>
    <w:rPr>
      <w:rFonts w:ascii="Times New Roman" w:hAnsi="Times New Roman"/>
      <w:sz w:val="24"/>
      <w:lang w:val="de-DE"/>
    </w:rPr>
  </w:style>
  <w:style w:type="paragraph" w:styleId="ListParagraph">
    <w:name w:val="List Paragraph"/>
    <w:basedOn w:val="Normal"/>
    <w:uiPriority w:val="34"/>
    <w:qFormat/>
    <w:pPr>
      <w:ind w:left="720"/>
      <w:contextualSpacing/>
    </w:pPr>
  </w:style>
  <w:style w:type="paragraph" w:styleId="TableofFigures">
    <w:name w:val="table of figures"/>
    <w:basedOn w:val="Normal"/>
    <w:next w:val="Normal"/>
    <w:uiPriority w:val="99"/>
    <w:semiHidden/>
    <w:unhideWhenUsed/>
    <w:pPr>
      <w:spacing w:after="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de-DE"/>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de-DE"/>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de-DE"/>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de-DE"/>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eastAsia="Times New Roman" w:hAnsi="Arial" w:cs="Arial"/>
      <w:sz w:val="22"/>
      <w:lang w:val="fr-FR" w:eastAsia="en-GB"/>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eastAsia="Times New Roman" w:hAnsi="Arial" w:cs="Arial"/>
      <w:i/>
      <w:iCs/>
      <w:sz w:val="22"/>
      <w:lang w:val="fr-FR" w:eastAsia="en-GB"/>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eastAsia="Times New Roman" w:hAnsi="Arial" w:cs="Arial"/>
      <w:sz w:val="20"/>
      <w:szCs w:val="20"/>
      <w:lang w:val="fr-FR" w:eastAsia="en-GB"/>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eastAsia="Times New Roman" w:hAnsi="Arial" w:cs="Arial"/>
      <w:i/>
      <w:iCs/>
      <w:sz w:val="20"/>
      <w:szCs w:val="20"/>
      <w:lang w:val="fr-FR" w:eastAsia="en-GB"/>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eastAsia="Times New Roman" w:hAnsi="Arial" w:cs="Arial"/>
      <w:i/>
      <w:iCs/>
      <w:sz w:val="18"/>
      <w:szCs w:val="18"/>
      <w:lang w:val="fr-FR"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rPr>
      <w:rFonts w:ascii="Arial" w:eastAsia="Times New Roman" w:hAnsi="Arial" w:cs="Arial"/>
      <w:lang w:val="fr-FR" w:eastAsia="en-GB"/>
    </w:rPr>
  </w:style>
  <w:style w:type="character" w:customStyle="1" w:styleId="Heading6Char">
    <w:name w:val="Heading 6 Char"/>
    <w:link w:val="Heading6"/>
    <w:uiPriority w:val="99"/>
    <w:rPr>
      <w:rFonts w:ascii="Arial" w:eastAsia="Times New Roman" w:hAnsi="Arial" w:cs="Arial"/>
      <w:i/>
      <w:iCs/>
      <w:lang w:val="fr-FR" w:eastAsia="en-GB"/>
    </w:rPr>
  </w:style>
  <w:style w:type="character" w:customStyle="1" w:styleId="Heading7Char">
    <w:name w:val="Heading 7 Char"/>
    <w:link w:val="Heading7"/>
    <w:uiPriority w:val="99"/>
    <w:rPr>
      <w:rFonts w:ascii="Arial" w:eastAsia="Times New Roman" w:hAnsi="Arial" w:cs="Arial"/>
      <w:sz w:val="20"/>
      <w:szCs w:val="20"/>
      <w:lang w:val="fr-FR" w:eastAsia="en-GB"/>
    </w:rPr>
  </w:style>
  <w:style w:type="character" w:customStyle="1" w:styleId="Heading8Char">
    <w:name w:val="Heading 8 Char"/>
    <w:link w:val="Heading8"/>
    <w:uiPriority w:val="99"/>
    <w:rPr>
      <w:rFonts w:ascii="Arial" w:eastAsia="Times New Roman" w:hAnsi="Arial" w:cs="Arial"/>
      <w:i/>
      <w:iCs/>
      <w:sz w:val="20"/>
      <w:szCs w:val="20"/>
      <w:lang w:val="fr-FR" w:eastAsia="en-GB"/>
    </w:rPr>
  </w:style>
  <w:style w:type="character" w:customStyle="1" w:styleId="Heading9Char">
    <w:name w:val="Heading 9 Char"/>
    <w:link w:val="Heading9"/>
    <w:uiPriority w:val="99"/>
    <w:rPr>
      <w:rFonts w:ascii="Arial" w:eastAsia="Times New Roman" w:hAnsi="Arial" w:cs="Arial"/>
      <w:i/>
      <w:iCs/>
      <w:sz w:val="18"/>
      <w:szCs w:val="18"/>
      <w:lang w:val="fr-FR" w:eastAsia="en-GB"/>
    </w:rPr>
  </w:style>
  <w:style w:type="paragraph" w:styleId="Caption">
    <w:name w:val="caption"/>
    <w:basedOn w:val="Normal"/>
    <w:next w:val="Normal"/>
    <w:uiPriority w:val="99"/>
    <w:qFormat/>
    <w:pPr>
      <w:autoSpaceDE w:val="0"/>
      <w:autoSpaceDN w:val="0"/>
    </w:pPr>
    <w:rPr>
      <w:rFonts w:eastAsia="Times New Roman"/>
      <w:b/>
      <w:bCs/>
      <w:szCs w:val="24"/>
      <w:lang w:val="fr-FR" w:eastAsia="en-GB"/>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pPr>
      <w:autoSpaceDE w:val="0"/>
      <w:autoSpaceDN w:val="0"/>
    </w:pPr>
    <w:rPr>
      <w:rFonts w:eastAsia="Times New Roman"/>
      <w:sz w:val="20"/>
      <w:szCs w:val="20"/>
      <w:lang w:val="fr-FR" w:eastAsia="en-GB"/>
    </w:rPr>
  </w:style>
  <w:style w:type="character" w:customStyle="1" w:styleId="CommentTextChar">
    <w:name w:val="Comment Text Char"/>
    <w:link w:val="CommentText"/>
    <w:uiPriority w:val="99"/>
    <w:rPr>
      <w:rFonts w:ascii="Times New Roman" w:eastAsia="Times New Roman" w:hAnsi="Times New Roman" w:cs="Times New Roman"/>
      <w:sz w:val="20"/>
      <w:szCs w:val="20"/>
      <w:lang w:val="fr-FR" w:eastAsia="en-GB"/>
    </w:rPr>
  </w:style>
  <w:style w:type="paragraph" w:customStyle="1" w:styleId="Sous-titreobjet">
    <w:name w:val="Sous-titre objet"/>
    <w:basedOn w:val="Titreobjet"/>
    <w:uiPriority w:val="99"/>
    <w:pPr>
      <w:autoSpaceDE w:val="0"/>
      <w:autoSpaceDN w:val="0"/>
      <w:spacing w:before="0" w:after="0"/>
    </w:pPr>
    <w:rPr>
      <w:rFonts w:eastAsia="Times New Roman"/>
      <w:bCs/>
      <w:szCs w:val="24"/>
      <w:lang w:val="fr-FR" w:eastAsia="en-GB"/>
    </w:rPr>
  </w:style>
  <w:style w:type="paragraph" w:customStyle="1" w:styleId="FichedimpactPMEtitre">
    <w:name w:val="Fiche d'impact PME titre"/>
    <w:basedOn w:val="Normal"/>
    <w:next w:val="Normal"/>
    <w:uiPriority w:val="99"/>
    <w:pPr>
      <w:autoSpaceDE w:val="0"/>
      <w:autoSpaceDN w:val="0"/>
      <w:jc w:val="center"/>
    </w:pPr>
    <w:rPr>
      <w:rFonts w:eastAsia="Times New Roman"/>
      <w:b/>
      <w:bCs/>
      <w:szCs w:val="24"/>
      <w:lang w:val="fr-FR" w:eastAsia="en-GB"/>
    </w:rPr>
  </w:style>
  <w:style w:type="paragraph" w:customStyle="1" w:styleId="Fichefinanciretextetable">
    <w:name w:val="Fiche financière texte (table)"/>
    <w:basedOn w:val="Normal"/>
    <w:uiPriority w:val="99"/>
    <w:pPr>
      <w:autoSpaceDE w:val="0"/>
      <w:autoSpaceDN w:val="0"/>
      <w:spacing w:before="0" w:after="0"/>
      <w:jc w:val="left"/>
    </w:pPr>
    <w:rPr>
      <w:rFonts w:eastAsia="Times New Roman"/>
      <w:sz w:val="20"/>
      <w:szCs w:val="20"/>
      <w:lang w:val="fr-FR" w:eastAsia="en-GB"/>
    </w:rPr>
  </w:style>
  <w:style w:type="paragraph" w:customStyle="1" w:styleId="Fichefinanciretitreactetable">
    <w:name w:val="Fiche financière titre (acte table)"/>
    <w:basedOn w:val="Normal"/>
    <w:next w:val="Normal"/>
    <w:uiPriority w:val="99"/>
    <w:pPr>
      <w:autoSpaceDE w:val="0"/>
      <w:autoSpaceDN w:val="0"/>
      <w:jc w:val="center"/>
    </w:pPr>
    <w:rPr>
      <w:rFonts w:eastAsia="Times New Roman"/>
      <w:b/>
      <w:bCs/>
      <w:sz w:val="40"/>
      <w:szCs w:val="40"/>
      <w:lang w:val="fr-FR" w:eastAsia="en-GB"/>
    </w:rPr>
  </w:style>
  <w:style w:type="paragraph" w:customStyle="1" w:styleId="Fichefinanciretitretable">
    <w:name w:val="Fiche financière titre (table)"/>
    <w:basedOn w:val="Normal"/>
    <w:uiPriority w:val="99"/>
    <w:pPr>
      <w:autoSpaceDE w:val="0"/>
      <w:autoSpaceDN w:val="0"/>
      <w:jc w:val="center"/>
    </w:pPr>
    <w:rPr>
      <w:rFonts w:eastAsia="Times New Roman"/>
      <w:b/>
      <w:bCs/>
      <w:sz w:val="40"/>
      <w:szCs w:val="40"/>
      <w:lang w:val="fr-FR" w:eastAsia="en-GB"/>
    </w:rPr>
  </w:style>
  <w:style w:type="character" w:styleId="PageNumber">
    <w:name w:val="page number"/>
    <w:uiPriority w:val="99"/>
    <w:rPr>
      <w:rFonts w:cs="Times New Roman"/>
    </w:rPr>
  </w:style>
  <w:style w:type="paragraph" w:styleId="TOAHeading">
    <w:name w:val="toa heading"/>
    <w:basedOn w:val="Normal"/>
    <w:next w:val="Normal"/>
    <w:uiPriority w:val="99"/>
    <w:pPr>
      <w:autoSpaceDE w:val="0"/>
      <w:autoSpaceDN w:val="0"/>
    </w:pPr>
    <w:rPr>
      <w:rFonts w:ascii="Arial" w:eastAsia="Times New Roman" w:hAnsi="Arial" w:cs="Arial"/>
      <w:b/>
      <w:bCs/>
      <w:szCs w:val="24"/>
      <w:lang w:val="fr-FR" w:eastAsia="en-GB"/>
    </w:rPr>
  </w:style>
  <w:style w:type="character" w:customStyle="1" w:styleId="CRMarker">
    <w:name w:val="CR Marker"/>
    <w:uiPriority w:val="99"/>
    <w:rPr>
      <w:rFonts w:ascii="Wingdings" w:hAnsi="Wingdings" w:cs="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lang w:val="fr-FR" w:eastAsia="en-GB"/>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lang w:val="fr-FR" w:eastAsia="en-GB"/>
    </w:rPr>
  </w:style>
  <w:style w:type="character" w:customStyle="1" w:styleId="CRRefNum">
    <w:name w:val="CR RefNum"/>
    <w:uiPriority w:val="99"/>
    <w:rPr>
      <w:rFonts w:cs="Times New Roman"/>
      <w:vertAlign w:val="subscript"/>
    </w:rPr>
  </w:style>
  <w:style w:type="paragraph" w:customStyle="1" w:styleId="CRParaDeleted">
    <w:name w:val="CR ParaDeleted"/>
    <w:basedOn w:val="Normal"/>
    <w:next w:val="Normal"/>
    <w:uiPriority w:val="99"/>
    <w:pPr>
      <w:autoSpaceDE w:val="0"/>
      <w:autoSpaceDN w:val="0"/>
    </w:pPr>
    <w:rPr>
      <w:rFonts w:eastAsia="Times New Roman"/>
      <w:szCs w:val="24"/>
      <w:lang w:val="fr-FR" w:eastAsia="en-GB"/>
    </w:rPr>
  </w:style>
  <w:style w:type="character" w:customStyle="1" w:styleId="CRTextDeleted">
    <w:name w:val="CR TextDeleted"/>
    <w:uiPriority w:val="99"/>
    <w:rPr>
      <w:rFonts w:cs="Times New Roman"/>
    </w:rPr>
  </w:style>
  <w:style w:type="paragraph" w:customStyle="1" w:styleId="Titredumodificateur">
    <w:name w:val="Titre du modificateur"/>
    <w:basedOn w:val="Normal"/>
    <w:next w:val="Normal"/>
    <w:uiPriority w:val="99"/>
    <w:pPr>
      <w:autoSpaceDE w:val="0"/>
      <w:autoSpaceDN w:val="0"/>
      <w:spacing w:before="240" w:after="60"/>
      <w:jc w:val="left"/>
    </w:pPr>
    <w:rPr>
      <w:rFonts w:eastAsia="Times New Roman"/>
      <w:b/>
      <w:bCs/>
      <w:szCs w:val="24"/>
      <w:lang w:val="en-US" w:eastAsia="en-GB"/>
    </w:rPr>
  </w:style>
  <w:style w:type="paragraph" w:customStyle="1" w:styleId="Referencedumodificateur">
    <w:name w:val="Reference du modificateur"/>
    <w:basedOn w:val="Normal"/>
    <w:next w:val="Normal"/>
    <w:uiPriority w:val="99"/>
    <w:pPr>
      <w:autoSpaceDE w:val="0"/>
      <w:autoSpaceDN w:val="0"/>
      <w:spacing w:before="0"/>
      <w:jc w:val="left"/>
    </w:pPr>
    <w:rPr>
      <w:rFonts w:eastAsia="Times New Roman"/>
      <w:szCs w:val="24"/>
      <w:lang w:val="en-US" w:eastAsia="en-GB"/>
    </w:r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Normal1">
    <w:name w:val="Normal1"/>
    <w:basedOn w:val="Normal"/>
    <w:pPr>
      <w:spacing w:after="0"/>
    </w:pPr>
    <w:rPr>
      <w:rFonts w:eastAsia="Times New Roman"/>
      <w:szCs w:val="24"/>
      <w:lang w:val="en-GB" w:eastAsia="en-GB"/>
    </w:rPr>
  </w:style>
  <w:style w:type="character" w:customStyle="1" w:styleId="super">
    <w:name w:val="super"/>
    <w:rPr>
      <w:sz w:val="17"/>
      <w:szCs w:val="17"/>
      <w:vertAlign w:val="superscript"/>
    </w:rPr>
  </w:style>
  <w:style w:type="character" w:styleId="Hyperlink">
    <w:name w:val="Hyperlink"/>
    <w:uiPriority w:val="99"/>
    <w:unhideWhenUsed/>
    <w:rPr>
      <w:color w:val="0000FF"/>
      <w:u w:val="single"/>
    </w:rPr>
  </w:style>
  <w:style w:type="character" w:customStyle="1" w:styleId="CRDeleted">
    <w:name w:val="CR Deleted"/>
    <w:rPr>
      <w:strike w:val="0"/>
      <w:dstrike/>
      <w:color w:val="auto"/>
    </w:rPr>
  </w:style>
  <w:style w:type="character" w:customStyle="1" w:styleId="CRMinorChangeDeleted">
    <w:name w:val="CR Minor Change Deleted"/>
    <w:rPr>
      <w:strike w:val="0"/>
      <w:dstrike/>
      <w:color w:val="auto"/>
      <w:u w:val="double"/>
    </w:rPr>
  </w:style>
  <w:style w:type="character" w:customStyle="1" w:styleId="CRMinorChangeAdded">
    <w:name w:val="CR Minor Change Added"/>
    <w:rPr>
      <w:color w:val="auto"/>
      <w:u w:val="doub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lang w:val="de-DE" w:eastAsia="en-US"/>
    </w:rPr>
  </w:style>
  <w:style w:type="paragraph" w:styleId="CommentSubject">
    <w:name w:val="annotation subject"/>
    <w:basedOn w:val="CommentText"/>
    <w:next w:val="CommentText"/>
    <w:link w:val="CommentSubjectChar"/>
    <w:uiPriority w:val="99"/>
    <w:semiHidden/>
    <w:unhideWhenUsed/>
    <w:pPr>
      <w:autoSpaceDE/>
      <w:autoSpaceDN/>
    </w:pPr>
    <w:rPr>
      <w:rFonts w:eastAsia="Calibri"/>
      <w:b/>
      <w:bCs/>
      <w:lang w:val="de-DE"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e-DE" w:eastAsia="en-US"/>
    </w:rPr>
  </w:style>
  <w:style w:type="paragraph" w:styleId="Revision">
    <w:name w:val="Revision"/>
    <w:hidden/>
    <w:uiPriority w:val="99"/>
    <w:semiHidden/>
    <w:rPr>
      <w:rFonts w:ascii="Times New Roman" w:hAnsi="Times New Roman"/>
      <w:sz w:val="24"/>
      <w:lang w:val="de-DE"/>
    </w:rPr>
  </w:style>
  <w:style w:type="paragraph" w:styleId="ListParagraph">
    <w:name w:val="List Paragraph"/>
    <w:basedOn w:val="Normal"/>
    <w:uiPriority w:val="34"/>
    <w:qFormat/>
    <w:pPr>
      <w:ind w:left="720"/>
      <w:contextualSpacing/>
    </w:pPr>
  </w:style>
  <w:style w:type="paragraph" w:styleId="TableofFigures">
    <w:name w:val="table of figures"/>
    <w:basedOn w:val="Normal"/>
    <w:next w:val="Normal"/>
    <w:uiPriority w:val="99"/>
    <w:semiHidden/>
    <w:unhideWhenUsed/>
    <w:pPr>
      <w:spacing w:after="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de-DE"/>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de-DE"/>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de-DE"/>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de-DE"/>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55610">
      <w:bodyDiv w:val="1"/>
      <w:marLeft w:val="390"/>
      <w:marRight w:val="390"/>
      <w:marTop w:val="0"/>
      <w:marBottom w:val="0"/>
      <w:divBdr>
        <w:top w:val="none" w:sz="0" w:space="0" w:color="auto"/>
        <w:left w:val="none" w:sz="0" w:space="0" w:color="auto"/>
        <w:bottom w:val="none" w:sz="0" w:space="0" w:color="auto"/>
        <w:right w:val="none" w:sz="0" w:space="0" w:color="auto"/>
      </w:divBdr>
    </w:div>
    <w:div w:id="460340135">
      <w:bodyDiv w:val="1"/>
      <w:marLeft w:val="390"/>
      <w:marRight w:val="390"/>
      <w:marTop w:val="0"/>
      <w:marBottom w:val="0"/>
      <w:divBdr>
        <w:top w:val="none" w:sz="0" w:space="0" w:color="auto"/>
        <w:left w:val="none" w:sz="0" w:space="0" w:color="auto"/>
        <w:bottom w:val="none" w:sz="0" w:space="0" w:color="auto"/>
        <w:right w:val="none" w:sz="0" w:space="0" w:color="auto"/>
      </w:divBdr>
    </w:div>
    <w:div w:id="691882339">
      <w:bodyDiv w:val="1"/>
      <w:marLeft w:val="390"/>
      <w:marRight w:val="390"/>
      <w:marTop w:val="0"/>
      <w:marBottom w:val="0"/>
      <w:divBdr>
        <w:top w:val="none" w:sz="0" w:space="0" w:color="auto"/>
        <w:left w:val="none" w:sz="0" w:space="0" w:color="auto"/>
        <w:bottom w:val="none" w:sz="0" w:space="0" w:color="auto"/>
        <w:right w:val="none" w:sz="0" w:space="0" w:color="auto"/>
      </w:divBdr>
    </w:div>
    <w:div w:id="1374043086">
      <w:bodyDiv w:val="1"/>
      <w:marLeft w:val="390"/>
      <w:marRight w:val="390"/>
      <w:marTop w:val="0"/>
      <w:marBottom w:val="0"/>
      <w:divBdr>
        <w:top w:val="none" w:sz="0" w:space="0" w:color="auto"/>
        <w:left w:val="none" w:sz="0" w:space="0" w:color="auto"/>
        <w:bottom w:val="none" w:sz="0" w:space="0" w:color="auto"/>
        <w:right w:val="none" w:sz="0" w:space="0" w:color="auto"/>
      </w:divBdr>
    </w:div>
    <w:div w:id="1524779937">
      <w:bodyDiv w:val="1"/>
      <w:marLeft w:val="390"/>
      <w:marRight w:val="390"/>
      <w:marTop w:val="0"/>
      <w:marBottom w:val="0"/>
      <w:divBdr>
        <w:top w:val="none" w:sz="0" w:space="0" w:color="auto"/>
        <w:left w:val="none" w:sz="0" w:space="0" w:color="auto"/>
        <w:bottom w:val="none" w:sz="0" w:space="0" w:color="auto"/>
        <w:right w:val="none" w:sz="0" w:space="0" w:color="auto"/>
      </w:divBdr>
    </w:div>
    <w:div w:id="1603029849">
      <w:bodyDiv w:val="1"/>
      <w:marLeft w:val="390"/>
      <w:marRight w:val="390"/>
      <w:marTop w:val="0"/>
      <w:marBottom w:val="0"/>
      <w:divBdr>
        <w:top w:val="none" w:sz="0" w:space="0" w:color="auto"/>
        <w:left w:val="none" w:sz="0" w:space="0" w:color="auto"/>
        <w:bottom w:val="none" w:sz="0" w:space="0" w:color="auto"/>
        <w:right w:val="none" w:sz="0" w:space="0" w:color="auto"/>
      </w:divBdr>
    </w:div>
    <w:div w:id="1698120416">
      <w:bodyDiv w:val="1"/>
      <w:marLeft w:val="390"/>
      <w:marRight w:val="390"/>
      <w:marTop w:val="0"/>
      <w:marBottom w:val="0"/>
      <w:divBdr>
        <w:top w:val="none" w:sz="0" w:space="0" w:color="auto"/>
        <w:left w:val="none" w:sz="0" w:space="0" w:color="auto"/>
        <w:bottom w:val="none" w:sz="0" w:space="0" w:color="auto"/>
        <w:right w:val="none" w:sz="0" w:space="0" w:color="auto"/>
      </w:divBdr>
    </w:div>
    <w:div w:id="1786775161">
      <w:bodyDiv w:val="1"/>
      <w:marLeft w:val="0"/>
      <w:marRight w:val="0"/>
      <w:marTop w:val="0"/>
      <w:marBottom w:val="0"/>
      <w:divBdr>
        <w:top w:val="none" w:sz="0" w:space="0" w:color="auto"/>
        <w:left w:val="none" w:sz="0" w:space="0" w:color="auto"/>
        <w:bottom w:val="none" w:sz="0" w:space="0" w:color="auto"/>
        <w:right w:val="none" w:sz="0" w:space="0" w:color="auto"/>
      </w:divBdr>
      <w:divsChild>
        <w:div w:id="1571040789">
          <w:marLeft w:val="0"/>
          <w:marRight w:val="0"/>
          <w:marTop w:val="0"/>
          <w:marBottom w:val="0"/>
          <w:divBdr>
            <w:top w:val="none" w:sz="0" w:space="0" w:color="auto"/>
            <w:left w:val="none" w:sz="0" w:space="0" w:color="auto"/>
            <w:bottom w:val="none" w:sz="0" w:space="0" w:color="auto"/>
            <w:right w:val="none" w:sz="0" w:space="0" w:color="auto"/>
          </w:divBdr>
          <w:divsChild>
            <w:div w:id="380634805">
              <w:marLeft w:val="0"/>
              <w:marRight w:val="0"/>
              <w:marTop w:val="0"/>
              <w:marBottom w:val="0"/>
              <w:divBdr>
                <w:top w:val="none" w:sz="0" w:space="0" w:color="auto"/>
                <w:left w:val="none" w:sz="0" w:space="0" w:color="auto"/>
                <w:bottom w:val="none" w:sz="0" w:space="0" w:color="auto"/>
                <w:right w:val="none" w:sz="0" w:space="0" w:color="auto"/>
              </w:divBdr>
              <w:divsChild>
                <w:div w:id="278726010">
                  <w:marLeft w:val="0"/>
                  <w:marRight w:val="0"/>
                  <w:marTop w:val="0"/>
                  <w:marBottom w:val="0"/>
                  <w:divBdr>
                    <w:top w:val="none" w:sz="0" w:space="0" w:color="auto"/>
                    <w:left w:val="none" w:sz="0" w:space="0" w:color="auto"/>
                    <w:bottom w:val="none" w:sz="0" w:space="0" w:color="auto"/>
                    <w:right w:val="none" w:sz="0" w:space="0" w:color="auto"/>
                  </w:divBdr>
                  <w:divsChild>
                    <w:div w:id="450828233">
                      <w:marLeft w:val="-150"/>
                      <w:marRight w:val="-150"/>
                      <w:marTop w:val="0"/>
                      <w:marBottom w:val="0"/>
                      <w:divBdr>
                        <w:top w:val="none" w:sz="0" w:space="0" w:color="auto"/>
                        <w:left w:val="none" w:sz="0" w:space="0" w:color="auto"/>
                        <w:bottom w:val="none" w:sz="0" w:space="0" w:color="auto"/>
                        <w:right w:val="none" w:sz="0" w:space="0" w:color="auto"/>
                      </w:divBdr>
                      <w:divsChild>
                        <w:div w:id="348725621">
                          <w:marLeft w:val="0"/>
                          <w:marRight w:val="0"/>
                          <w:marTop w:val="0"/>
                          <w:marBottom w:val="0"/>
                          <w:divBdr>
                            <w:top w:val="none" w:sz="0" w:space="0" w:color="auto"/>
                            <w:left w:val="none" w:sz="0" w:space="0" w:color="auto"/>
                            <w:bottom w:val="none" w:sz="0" w:space="0" w:color="auto"/>
                            <w:right w:val="none" w:sz="0" w:space="0" w:color="auto"/>
                          </w:divBdr>
                          <w:divsChild>
                            <w:div w:id="145168006">
                              <w:marLeft w:val="0"/>
                              <w:marRight w:val="0"/>
                              <w:marTop w:val="0"/>
                              <w:marBottom w:val="0"/>
                              <w:divBdr>
                                <w:top w:val="none" w:sz="0" w:space="0" w:color="auto"/>
                                <w:left w:val="none" w:sz="0" w:space="0" w:color="auto"/>
                                <w:bottom w:val="none" w:sz="0" w:space="0" w:color="auto"/>
                                <w:right w:val="none" w:sz="0" w:space="0" w:color="auto"/>
                              </w:divBdr>
                              <w:divsChild>
                                <w:div w:id="262540065">
                                  <w:marLeft w:val="0"/>
                                  <w:marRight w:val="0"/>
                                  <w:marTop w:val="0"/>
                                  <w:marBottom w:val="300"/>
                                  <w:divBdr>
                                    <w:top w:val="none" w:sz="0" w:space="0" w:color="auto"/>
                                    <w:left w:val="none" w:sz="0" w:space="0" w:color="auto"/>
                                    <w:bottom w:val="none" w:sz="0" w:space="0" w:color="auto"/>
                                    <w:right w:val="none" w:sz="0" w:space="0" w:color="auto"/>
                                  </w:divBdr>
                                  <w:divsChild>
                                    <w:div w:id="503210204">
                                      <w:marLeft w:val="0"/>
                                      <w:marRight w:val="0"/>
                                      <w:marTop w:val="0"/>
                                      <w:marBottom w:val="0"/>
                                      <w:divBdr>
                                        <w:top w:val="none" w:sz="0" w:space="0" w:color="auto"/>
                                        <w:left w:val="none" w:sz="0" w:space="0" w:color="auto"/>
                                        <w:bottom w:val="none" w:sz="0" w:space="0" w:color="auto"/>
                                        <w:right w:val="none" w:sz="0" w:space="0" w:color="auto"/>
                                      </w:divBdr>
                                      <w:divsChild>
                                        <w:div w:id="192887376">
                                          <w:marLeft w:val="0"/>
                                          <w:marRight w:val="0"/>
                                          <w:marTop w:val="0"/>
                                          <w:marBottom w:val="0"/>
                                          <w:divBdr>
                                            <w:top w:val="none" w:sz="0" w:space="0" w:color="auto"/>
                                            <w:left w:val="none" w:sz="0" w:space="0" w:color="auto"/>
                                            <w:bottom w:val="none" w:sz="0" w:space="0" w:color="auto"/>
                                            <w:right w:val="none" w:sz="0" w:space="0" w:color="auto"/>
                                          </w:divBdr>
                                          <w:divsChild>
                                            <w:div w:id="1649744388">
                                              <w:marLeft w:val="0"/>
                                              <w:marRight w:val="0"/>
                                              <w:marTop w:val="0"/>
                                              <w:marBottom w:val="0"/>
                                              <w:divBdr>
                                                <w:top w:val="none" w:sz="0" w:space="0" w:color="auto"/>
                                                <w:left w:val="none" w:sz="0" w:space="0" w:color="auto"/>
                                                <w:bottom w:val="none" w:sz="0" w:space="0" w:color="auto"/>
                                                <w:right w:val="none" w:sz="0" w:space="0" w:color="auto"/>
                                              </w:divBdr>
                                              <w:divsChild>
                                                <w:div w:id="1427768126">
                                                  <w:marLeft w:val="0"/>
                                                  <w:marRight w:val="0"/>
                                                  <w:marTop w:val="0"/>
                                                  <w:marBottom w:val="0"/>
                                                  <w:divBdr>
                                                    <w:top w:val="none" w:sz="0" w:space="0" w:color="auto"/>
                                                    <w:left w:val="none" w:sz="0" w:space="0" w:color="auto"/>
                                                    <w:bottom w:val="none" w:sz="0" w:space="0" w:color="auto"/>
                                                    <w:right w:val="none" w:sz="0" w:space="0" w:color="auto"/>
                                                  </w:divBdr>
                                                  <w:divsChild>
                                                    <w:div w:id="2022581469">
                                                      <w:marLeft w:val="0"/>
                                                      <w:marRight w:val="0"/>
                                                      <w:marTop w:val="0"/>
                                                      <w:marBottom w:val="0"/>
                                                      <w:divBdr>
                                                        <w:top w:val="none" w:sz="0" w:space="0" w:color="auto"/>
                                                        <w:left w:val="none" w:sz="0" w:space="0" w:color="auto"/>
                                                        <w:bottom w:val="none" w:sz="0" w:space="0" w:color="auto"/>
                                                        <w:right w:val="none" w:sz="0" w:space="0" w:color="auto"/>
                                                      </w:divBdr>
                                                      <w:divsChild>
                                                        <w:div w:id="1680618873">
                                                          <w:marLeft w:val="0"/>
                                                          <w:marRight w:val="0"/>
                                                          <w:marTop w:val="0"/>
                                                          <w:marBottom w:val="0"/>
                                                          <w:divBdr>
                                                            <w:top w:val="none" w:sz="0" w:space="0" w:color="auto"/>
                                                            <w:left w:val="none" w:sz="0" w:space="0" w:color="auto"/>
                                                            <w:bottom w:val="none" w:sz="0" w:space="0" w:color="auto"/>
                                                            <w:right w:val="none" w:sz="0" w:space="0" w:color="auto"/>
                                                          </w:divBdr>
                                                          <w:divsChild>
                                                            <w:div w:id="107597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5858170">
      <w:bodyDiv w:val="1"/>
      <w:marLeft w:val="390"/>
      <w:marRight w:val="390"/>
      <w:marTop w:val="0"/>
      <w:marBottom w:val="0"/>
      <w:divBdr>
        <w:top w:val="none" w:sz="0" w:space="0" w:color="auto"/>
        <w:left w:val="none" w:sz="0" w:space="0" w:color="auto"/>
        <w:bottom w:val="none" w:sz="0" w:space="0" w:color="auto"/>
        <w:right w:val="none" w:sz="0" w:space="0" w:color="auto"/>
      </w:divBdr>
    </w:div>
    <w:div w:id="2142767219">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FFCB404-CA9E-4DA2-8ABE-4B81A4BE2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48</Pages>
  <Words>18565</Words>
  <Characters>125507</Characters>
  <Application>Microsoft Office Word</Application>
  <DocSecurity>0</DocSecurity>
  <Lines>2368</Lines>
  <Paragraphs>774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143298</CharactersWithSpaces>
  <SharedDoc>false</SharedDoc>
  <HLinks>
    <vt:vector size="30" baseType="variant">
      <vt:variant>
        <vt:i4>8323194</vt:i4>
      </vt:variant>
      <vt:variant>
        <vt:i4>12</vt:i4>
      </vt:variant>
      <vt:variant>
        <vt:i4>0</vt:i4>
      </vt:variant>
      <vt:variant>
        <vt:i4>5</vt:i4>
      </vt:variant>
      <vt:variant>
        <vt:lpwstr>https://eur-lex.europa.eu/legal-content/DE/AUTO/?uri=OJ:L:2011:055:TOC</vt:lpwstr>
      </vt:variant>
      <vt:variant>
        <vt:lpwstr/>
      </vt:variant>
      <vt:variant>
        <vt:i4>8257659</vt:i4>
      </vt:variant>
      <vt:variant>
        <vt:i4>9</vt:i4>
      </vt:variant>
      <vt:variant>
        <vt:i4>0</vt:i4>
      </vt:variant>
      <vt:variant>
        <vt:i4>5</vt:i4>
      </vt:variant>
      <vt:variant>
        <vt:lpwstr>https://eur-lex.europa.eu/legal-content/DE/AUTO/?uri=OJ:L:2015:141:TOC</vt:lpwstr>
      </vt:variant>
      <vt:variant>
        <vt:lpwstr/>
      </vt:variant>
      <vt:variant>
        <vt:i4>8323190</vt:i4>
      </vt:variant>
      <vt:variant>
        <vt:i4>6</vt:i4>
      </vt:variant>
      <vt:variant>
        <vt:i4>0</vt:i4>
      </vt:variant>
      <vt:variant>
        <vt:i4>5</vt:i4>
      </vt:variant>
      <vt:variant>
        <vt:lpwstr>https://eur-lex.europa.eu/legal-content/DE/AUTO/?uri=OJ:L:2016:193:TOC</vt:lpwstr>
      </vt:variant>
      <vt:variant>
        <vt:lpwstr/>
      </vt:variant>
      <vt:variant>
        <vt:i4>7995510</vt:i4>
      </vt:variant>
      <vt:variant>
        <vt:i4>3</vt:i4>
      </vt:variant>
      <vt:variant>
        <vt:i4>0</vt:i4>
      </vt:variant>
      <vt:variant>
        <vt:i4>5</vt:i4>
      </vt:variant>
      <vt:variant>
        <vt:lpwstr>https://eur-lex.europa.eu/legal-content/DE/AUTO/?uri=OJ:C:2006:176:TOC</vt:lpwstr>
      </vt:variant>
      <vt:variant>
        <vt:lpwstr/>
      </vt:variant>
      <vt:variant>
        <vt:i4>8257657</vt:i4>
      </vt:variant>
      <vt:variant>
        <vt:i4>0</vt:i4>
      </vt:variant>
      <vt:variant>
        <vt:i4>0</vt:i4>
      </vt:variant>
      <vt:variant>
        <vt:i4>5</vt:i4>
      </vt:variant>
      <vt:variant>
        <vt:lpwstr>https://eur-lex.europa.eu/legal-content/DE/AUTO/?uri=OJ:L:2011:064:TOC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2019-07-01T14:38:00Z</cp:lastPrinted>
  <dcterms:created xsi:type="dcterms:W3CDTF">2019-08-29T13:17:00Z</dcterms:created>
  <dcterms:modified xsi:type="dcterms:W3CDTF">2020-02-05T09:18:00Z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LWCR Document">
    <vt:lpwstr>True</vt:lpwstr>
  </property>
  <property fmtid="{D5CDD505-2E9C-101B-9397-08002B2CF9AE}" pid="7" name="LWCR Version">
    <vt:lpwstr>1.3.3</vt:lpwstr>
  </property>
  <property fmtid="{D5CDD505-2E9C-101B-9397-08002B2CF9AE}" pid="8" name="Level of sensitivity">
    <vt:lpwstr>Standard treatment</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SJ-017</vt:lpwstr>
  </property>
  <property fmtid="{D5CDD505-2E9C-101B-9397-08002B2CF9AE}" pid="12" name="LWCR IsRefonte">
    <vt:lpwstr>False</vt:lpwstr>
  </property>
  <property fmtid="{D5CDD505-2E9C-101B-9397-08002B2CF9AE}" pid="13" name="DQCStatus">
    <vt:lpwstr>Green (DQC version 03)</vt:lpwstr>
  </property>
</Properties>
</file>