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78FEE3D-658C-43A5-94E4-9D998CA61836" style="width:450.75pt;height:379.55pt">
            <v:imagedata r:id="rId11" o:title=""/>
          </v:shape>
        </w:pict>
      </w:r>
    </w:p>
    <w:p>
      <w:pPr>
        <w:rPr>
          <w:noProof/>
        </w:rPr>
        <w:sectPr>
          <w:footerReference w:type="default" r:id="rId12"/>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Dette forslag vedrører afgørelsen om fastlæggelse af den holdning, der skal indtages på Unionens vegne i det blandede toldsamarbejdsudvalg EU-New Zealand i forbindelse med den påtænkte afgørelse om vedtagelse af udvalgets forretningsorden</w:t>
      </w:r>
    </w:p>
    <w:p>
      <w:pPr>
        <w:pStyle w:val="ManualHeading1"/>
        <w:rPr>
          <w:noProof/>
        </w:rPr>
      </w:pPr>
      <w:r>
        <w:t>2.</w:t>
      </w:r>
      <w:r>
        <w:tab/>
      </w:r>
      <w:r>
        <w:rPr>
          <w:noProof/>
        </w:rPr>
        <w:t>Baggrund for forslaget</w:t>
      </w:r>
    </w:p>
    <w:p>
      <w:pPr>
        <w:pStyle w:val="ManualHeading2"/>
        <w:rPr>
          <w:noProof/>
        </w:rPr>
      </w:pPr>
      <w:r>
        <w:t>2.1.</w:t>
      </w:r>
      <w:r>
        <w:tab/>
      </w:r>
      <w:r>
        <w:rPr>
          <w:noProof/>
        </w:rPr>
        <w:t>Aftalen mellem Den Europæiske Union og New Zealand om samarbejde og gensidig administrativ bistand i toldanliggender</w:t>
      </w:r>
    </w:p>
    <w:p>
      <w:pPr>
        <w:rPr>
          <w:rFonts w:eastAsia="Arial Unicode MS"/>
          <w:noProof/>
        </w:rPr>
      </w:pPr>
      <w:r>
        <w:rPr>
          <w:noProof/>
        </w:rPr>
        <w:t>Aftalen mellem Den Europæiske Union og New Zealand om samarbejde og gensidig administrativ bistand i toldanliggender ("aftalen") har til formål at gavne den lovlige samhandel mellem de to parter ved at skabe et mere sikkert og handelsvenligt miljø, idet de respektive toldmyndigheder vil udveksle flere oplysninger med henblik på at sikre korrekt anvendelse af toldlovgivningen under aftalen. Aftalen trådte i kraft den 1. maj 2018.</w:t>
      </w:r>
    </w:p>
    <w:p>
      <w:pPr>
        <w:pStyle w:val="ManualHeading2"/>
        <w:rPr>
          <w:noProof/>
        </w:rPr>
      </w:pPr>
      <w:r>
        <w:t>2.2.</w:t>
      </w:r>
      <w:r>
        <w:tab/>
      </w:r>
      <w:r>
        <w:rPr>
          <w:noProof/>
        </w:rPr>
        <w:t>Det blandede toldsamarbejdsudvalg</w:t>
      </w:r>
    </w:p>
    <w:p>
      <w:pPr>
        <w:rPr>
          <w:rFonts w:eastAsia="Arial Unicode MS"/>
          <w:noProof/>
        </w:rPr>
      </w:pPr>
      <w:r>
        <w:rPr>
          <w:noProof/>
        </w:rPr>
        <w:t>Det blandede toldsamarbejdsudvalg, der er nedsat ved artikel 20, stk. 1, i aftalen, skal sørge for, at aftalen fungerer og gennemføres korrekt. Toldsamarbejdsudvalget kan i den forbindelse træffe foranstaltninger og vedtage afgørelser på de områder, der er oplistet i aftalens artikel 20. Toldsamarbejdsudvalget tillægges ved aftalens artikel 20, stk. 2, litra e), beføjelser til selv at vedtage sin forretningsorden.</w:t>
      </w:r>
    </w:p>
    <w:p>
      <w:pPr>
        <w:pStyle w:val="ManualHeading2"/>
        <w:rPr>
          <w:noProof/>
        </w:rPr>
      </w:pPr>
      <w:r>
        <w:t>2.3.</w:t>
      </w:r>
      <w:r>
        <w:tab/>
      </w:r>
      <w:r>
        <w:rPr>
          <w:noProof/>
        </w:rPr>
        <w:t>Den retsakt, der skal vedtages af det blandede toldsamarbejdsudvalg</w:t>
      </w:r>
    </w:p>
    <w:p>
      <w:pPr>
        <w:rPr>
          <w:rFonts w:eastAsia="Arial Unicode MS"/>
          <w:noProof/>
        </w:rPr>
      </w:pPr>
      <w:r>
        <w:rPr>
          <w:noProof/>
        </w:rPr>
        <w:t>Ved toldsamarbejdsudvalgets andet møde, der efter planen skal afholdes den første uge af marts 2020 skal udvalget med forbehold af EU's beslutningsproces vedtage en afgørelse vedrørende sin forretningsorden ("den påtænkte retsakt").</w:t>
      </w:r>
    </w:p>
    <w:p>
      <w:pPr>
        <w:rPr>
          <w:rFonts w:eastAsia="Arial Unicode MS"/>
          <w:noProof/>
        </w:rPr>
      </w:pPr>
      <w:r>
        <w:rPr>
          <w:noProof/>
        </w:rPr>
        <w:t>Formålet med den påtænkte retsakt er at fastsætte toldsamarbejdsudvalgets arbejdsordninger for så vidt angår dets funktion i forbindelse med gennemførelsen af aftalen, jf. aftalens artikel 20. Hovedindholdet af det blandede toldsamarbejdsudvalgs forretningsorden, der er knyttet som bilag til nærværende afgørelse, er meget lig den tekst, som det blandede udvalg har udarbejdet under andre toldsamarbejds- og handelsaftaler. Vedtagelsen af dette dokument er afgørende for, at aftalen gennemføres og fungerer gnidningsfrit.</w:t>
      </w:r>
    </w:p>
    <w:p>
      <w:pPr>
        <w:rPr>
          <w:noProof/>
        </w:rPr>
      </w:pPr>
      <w:r>
        <w:rPr>
          <w:noProof/>
        </w:rPr>
        <w:t>Kommissionen har i perioden mellem den 17. december 2019 og den 8. januar 2020 foretaget en uformel høring af afdelingen for internationale toldanliggender under Toldekspertgruppen om den påtænkte retsakt. Kommissionen har taget de modtagne kommentarer i betragtning.</w:t>
      </w:r>
    </w:p>
    <w:p>
      <w:pPr>
        <w:pStyle w:val="ManualHeading1"/>
        <w:rPr>
          <w:rFonts w:eastAsia="Arial Unicode MS"/>
          <w:noProof/>
        </w:rPr>
      </w:pPr>
      <w:r>
        <w:t>3.</w:t>
      </w:r>
      <w:r>
        <w:tab/>
      </w:r>
      <w:r>
        <w:rPr>
          <w:noProof/>
        </w:rPr>
        <w:t>Den holdning, der skal indtages på Unionens vegne</w:t>
      </w:r>
    </w:p>
    <w:p>
      <w:pPr>
        <w:rPr>
          <w:rFonts w:eastAsia="Arial Unicode MS"/>
          <w:noProof/>
        </w:rPr>
      </w:pPr>
      <w:r>
        <w:rPr>
          <w:noProof/>
        </w:rPr>
        <w:t>Dette forslag til Rådets afgørelse fastsætter den holdning, der skal indtages på Unionens vegne i det blandede toldsamarbejdsudvalg, der er nedsat ved aftalen, for så vidt angår vedtagelsen af udvalgets forretningsorden.</w:t>
      </w:r>
    </w:p>
    <w:p>
      <w:pPr>
        <w:rPr>
          <w:rFonts w:eastAsia="Arial Unicode MS"/>
          <w:noProof/>
        </w:rPr>
      </w:pPr>
      <w:r>
        <w:rPr>
          <w:noProof/>
        </w:rPr>
        <w:t>Aftalens parter er nået til enighed om at vedtage udkastet til dokumentet i bilaget til nærværende afgørelse.</w:t>
      </w:r>
    </w:p>
    <w:p>
      <w:pPr>
        <w:pStyle w:val="ManualHeading1"/>
        <w:rPr>
          <w:noProof/>
        </w:rPr>
      </w:pPr>
      <w:r>
        <w:lastRenderedPageBreak/>
        <w:t>4.</w:t>
      </w:r>
      <w:r>
        <w:tab/>
      </w:r>
      <w:r>
        <w:rPr>
          <w:noProof/>
        </w:rPr>
        <w:t>Retsgrundlag</w:t>
      </w:r>
    </w:p>
    <w:p>
      <w:pPr>
        <w:pStyle w:val="ManualHeading2"/>
        <w:rPr>
          <w:noProof/>
        </w:rPr>
      </w:pPr>
      <w:r>
        <w:t>4.1.</w:t>
      </w:r>
      <w:r>
        <w:tab/>
      </w:r>
      <w:r>
        <w:rPr>
          <w:noProof/>
        </w:rPr>
        <w:t>Proceduremæssigt retsgrundlag</w:t>
      </w:r>
    </w:p>
    <w:p>
      <w:pPr>
        <w:pStyle w:val="ManualHeading3"/>
        <w:rPr>
          <w:noProof/>
        </w:rPr>
      </w:pPr>
      <w:r>
        <w:t>4.1.1.</w:t>
      </w:r>
      <w:r>
        <w:tab/>
      </w:r>
      <w:r>
        <w:rPr>
          <w:noProof/>
        </w:rPr>
        <w:t>Principper</w:t>
      </w:r>
    </w:p>
    <w:p>
      <w:pPr>
        <w:rPr>
          <w:noProof/>
        </w:rPr>
      </w:pPr>
      <w:r>
        <w:rPr>
          <w:noProof/>
        </w:rPr>
        <w:t>I henhold til artikel 218, stk. 9, i traktaten om Den Europæiske Unions funktionsmåde (TEUF) vedtager Rådet afgørelser om "</w:t>
      </w:r>
      <w:r>
        <w:rPr>
          <w:i/>
          <w:noProof/>
        </w:rPr>
        <w:t>fastlæggelse af, 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noProof/>
        </w:rPr>
        <w:t>retsakter, der har retsvirkninger</w:t>
      </w:r>
      <w:r>
        <w:rPr>
          <w:noProof/>
        </w:rPr>
        <w:t>" omfatter retsakter, der har retsvirkninger i medfør af de folkeretlige regler, der gælder for det pågældende organ. Det omfatter også instrumenter,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1"/>
      </w:r>
      <w:r>
        <w:rPr>
          <w:noProof/>
        </w:rPr>
        <w:t>.</w:t>
      </w:r>
    </w:p>
    <w:p>
      <w:pPr>
        <w:pStyle w:val="ManualHeading3"/>
        <w:rPr>
          <w:noProof/>
        </w:rPr>
      </w:pPr>
      <w:r>
        <w:t>4.1.2.</w:t>
      </w:r>
      <w:r>
        <w:tab/>
      </w:r>
      <w:r>
        <w:rPr>
          <w:noProof/>
        </w:rPr>
        <w:t>Anvendelse på det foreliggende tilfælde</w:t>
      </w:r>
    </w:p>
    <w:p>
      <w:pPr>
        <w:rPr>
          <w:noProof/>
        </w:rPr>
      </w:pPr>
      <w:r>
        <w:rPr>
          <w:noProof/>
        </w:rPr>
        <w:t>Toldsamarbejdsudvalget er et organ, der er nedsat ved en aftale, nemlig aftalen mellem Den Europæiske Union og New Zealand om samarbejde og gensidig administrativ bistand i toldanliggender.</w:t>
      </w:r>
    </w:p>
    <w:p>
      <w:pPr>
        <w:rPr>
          <w:noProof/>
        </w:rPr>
      </w:pPr>
      <w:r>
        <w:rPr>
          <w:noProof/>
        </w:rPr>
        <w:t>Den retsakt, som det blandede toldsamarbejdsudvalg skal vedtage, er en retsakt, der har retsvirkninger. Den påtænkte retsakt vil være bindende efter folkeretten, jf. aftalens artikel 20, stk. 2, litra e), eftersom forretningsordenen vil påvirke måden, hvorpå toldsamarbejdsudvalget træffer afgørelser.</w:t>
      </w:r>
    </w:p>
    <w:p>
      <w:pPr>
        <w:rPr>
          <w:noProof/>
        </w:rPr>
      </w:pPr>
      <w:r>
        <w:rPr>
          <w:noProof/>
        </w:rPr>
        <w:t>Den påtænkte retsakt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pStyle w:val="ManualHeading3"/>
        <w:rPr>
          <w:noProof/>
        </w:rPr>
      </w:pPr>
      <w:r>
        <w:t>4.2.1.</w:t>
      </w:r>
      <w:r>
        <w:tab/>
      </w:r>
      <w:r>
        <w:rPr>
          <w:noProof/>
        </w:rPr>
        <w:t>Principper</w:t>
      </w:r>
    </w:p>
    <w:p>
      <w:pPr>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et dobbelt formål eller består af to led, og det ene af disse formål eller disse led kan bestemmes som det primære, mens det andet kun er sekundært, skal den afgørelse, der vedtages i henhold til artikel 218, stk. 9, i TEUF, have ét materielt retsgrundlag, nemlig det, som det primære eller fremherskende formål eller led tilsiger.</w:t>
      </w:r>
    </w:p>
    <w:p>
      <w:pPr>
        <w:pStyle w:val="ManualHeading3"/>
        <w:rPr>
          <w:noProof/>
        </w:rPr>
      </w:pPr>
      <w:r>
        <w:t>4.2.2.</w:t>
      </w:r>
      <w:r>
        <w:tab/>
      </w:r>
      <w:r>
        <w:rPr>
          <w:noProof/>
        </w:rPr>
        <w:t>Anvendelse på det foreliggende tilfælde</w:t>
      </w:r>
    </w:p>
    <w:p>
      <w:pPr>
        <w:rPr>
          <w:noProof/>
        </w:rPr>
      </w:pPr>
      <w:r>
        <w:rPr>
          <w:noProof/>
        </w:rPr>
        <w:t>Det primære formål med og indhold af den påtænkte retsakt vedrører den fælles handelspolitik.</w:t>
      </w:r>
    </w:p>
    <w:p>
      <w:pPr>
        <w:rPr>
          <w:i/>
          <w:noProof/>
        </w:rPr>
      </w:pPr>
      <w:r>
        <w:rPr>
          <w:noProof/>
        </w:rPr>
        <w:t>Det materielle retsgrundlag for den foreslåede afgørelse er derfor artikel 207 i TEUF.</w:t>
      </w:r>
    </w:p>
    <w:p>
      <w:pPr>
        <w:pStyle w:val="ManualHeading2"/>
        <w:rPr>
          <w:noProof/>
        </w:rPr>
      </w:pPr>
      <w:r>
        <w:t>4.3.</w:t>
      </w:r>
      <w:r>
        <w:tab/>
      </w:r>
      <w:r>
        <w:rPr>
          <w:noProof/>
        </w:rPr>
        <w:t>Konklusion</w:t>
      </w:r>
    </w:p>
    <w:p>
      <w:pPr>
        <w:rPr>
          <w:noProof/>
        </w:rPr>
      </w:pPr>
      <w:r>
        <w:rPr>
          <w:noProof/>
        </w:rPr>
        <w:t>Retsgrundlaget for den foreslåede afgørelse bør være artikel 207 i TEUF sammenholdt med artikel 218, stk. 9, i TEUF.</w:t>
      </w:r>
    </w:p>
    <w:p>
      <w:pPr>
        <w:rPr>
          <w:noProof/>
        </w:rPr>
        <w:sectPr>
          <w:footerReference w:type="default" r:id="rId13"/>
          <w:footerReference w:type="first" r:id="rId14"/>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2020/0025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i det blandede toldsamarbejdsudvalg, der er nedsat ved aftalen mellem Det Europæiske Union og New Zealand om samarbejde og gensidig administrativ bistand i toldanliggender, for så vidt angår vedtagelsen af det blandede toldsamarbejdsudvalgs forretningsorden</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207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Aftalen mellem Den Europæiske Union og New Zealand om samarbejde og gensidig administrativ bistand i toldanliggender ("aftalen") blev indgået af Unionen ved Rådets afgørelse</w:t>
      </w:r>
      <w:r>
        <w:rPr>
          <w:rStyle w:val="FootnoteReference"/>
          <w:noProof/>
        </w:rPr>
        <w:footnoteReference w:id="2"/>
      </w:r>
      <w:r>
        <w:rPr>
          <w:noProof/>
        </w:rPr>
        <w:t xml:space="preserve"> og trådte i kraft i den 1. maj 2018. </w:t>
      </w:r>
    </w:p>
    <w:p>
      <w:pPr>
        <w:pStyle w:val="ManualConsidrant"/>
        <w:rPr>
          <w:noProof/>
        </w:rPr>
      </w:pPr>
      <w:r>
        <w:t>(2)</w:t>
      </w:r>
      <w:r>
        <w:tab/>
      </w:r>
      <w:r>
        <w:rPr>
          <w:noProof/>
        </w:rPr>
        <w:t>I henhold til aftalens artikel 20, stk. 2, litra e), vedtager det blandede toldsamarbejdsudvalg, der er nedsat ved aftalens artikel 20, stk. 1, selv sin forretningsorden.</w:t>
      </w:r>
    </w:p>
    <w:p>
      <w:pPr>
        <w:pStyle w:val="ManualConsidrant"/>
        <w:rPr>
          <w:noProof/>
        </w:rPr>
      </w:pPr>
      <w:r>
        <w:t>(3)</w:t>
      </w:r>
      <w:r>
        <w:tab/>
      </w:r>
      <w:r>
        <w:rPr>
          <w:noProof/>
        </w:rPr>
        <w:t>Det er hensigtsmæssigt at fastlægge den holdning, der skal indtages på Unionens vegne i det blandede toldsamarbejdsudvalg, da afgørelsen får bindende virkning for Unionen —</w:t>
      </w:r>
    </w:p>
    <w:p>
      <w:pPr>
        <w:pStyle w:val="Formuledadoption"/>
        <w:rPr>
          <w:noProof/>
        </w:rPr>
      </w:pPr>
      <w:r>
        <w:rPr>
          <w:noProof/>
        </w:rPr>
        <w:t>VEDTAGET DENNE AFGØRELSE:</w:t>
      </w:r>
    </w:p>
    <w:p>
      <w:pPr>
        <w:pStyle w:val="Titrearticle"/>
        <w:rPr>
          <w:noProof/>
        </w:rPr>
      </w:pPr>
      <w:r>
        <w:rPr>
          <w:noProof/>
        </w:rPr>
        <w:t>Artikel 1</w:t>
      </w:r>
    </w:p>
    <w:p>
      <w:pPr>
        <w:rPr>
          <w:noProof/>
        </w:rPr>
      </w:pPr>
      <w:r>
        <w:rPr>
          <w:noProof/>
        </w:rPr>
        <w:t>Den holdning, der skal indtages på Den Europæiske Unions vegne i det blandede toldsamarbejdsudvalg, der er nedsat ved aftalen mellem Det Europæiske Union og New Zealand om samarbejde og gensidig administrativ bistand i toldanliggender, for så vidt angår vedtagelsen af det blandede toldsamarbejdsudvalgs forretningsorden, baseres på det udkast til det blandede toldsamarbejdsudvalgs afgørelse, der er knyttet til nærværende afgørelse.</w:t>
      </w:r>
    </w:p>
    <w:p>
      <w:pPr>
        <w:pStyle w:val="Titrearticle"/>
        <w:rPr>
          <w:noProof/>
        </w:rPr>
      </w:pPr>
      <w:r>
        <w:rPr>
          <w:noProof/>
        </w:rPr>
        <w:t>Artikel 2</w:t>
      </w:r>
    </w:p>
    <w:p>
      <w:pPr>
        <w:rPr>
          <w:noProof/>
        </w:rPr>
      </w:pPr>
      <w:r>
        <w:rPr>
          <w:noProof/>
        </w:rPr>
        <w:t>Denne afgørelse er rettet til Kommissionen.</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Domstolens dom af 7. oktober 2014 i sag C-399/12, Tyskland mod Rådet, ECLI:EU:C:2014:2258, præmis 61 til 64. </w:t>
      </w:r>
    </w:p>
  </w:footnote>
  <w:footnote w:id="2">
    <w:p>
      <w:pPr>
        <w:pStyle w:val="FootnoteText"/>
      </w:pPr>
      <w:r>
        <w:rPr>
          <w:rStyle w:val="FootnoteReference"/>
        </w:rPr>
        <w:footnoteRef/>
      </w:r>
      <w:r>
        <w:tab/>
        <w:t>EUT L 101 af 20.4.2018, s.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052BF5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A0063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1569F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C610FB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D44BB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4FCC9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11272D8"/>
    <w:lvl w:ilvl="0">
      <w:start w:val="1"/>
      <w:numFmt w:val="decimal"/>
      <w:pStyle w:val="ListNumber"/>
      <w:lvlText w:val="%1."/>
      <w:lvlJc w:val="left"/>
      <w:pPr>
        <w:tabs>
          <w:tab w:val="num" w:pos="360"/>
        </w:tabs>
        <w:ind w:left="360" w:hanging="360"/>
      </w:pPr>
    </w:lvl>
  </w:abstractNum>
  <w:abstractNum w:abstractNumId="7">
    <w:nsid w:val="FFFFFF89"/>
    <w:multiLevelType w:val="singleLevel"/>
    <w:tmpl w:val="A1281E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2-13 09:35:3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578FEE3D-658C-43A5-94E4-9D998CA61836"/>
    <w:docVar w:name="LW_COVERPAGE_TYPE" w:val="1"/>
    <w:docVar w:name="LW_CROSSREFERENCE" w:val="&lt;UNUSED&gt;"/>
    <w:docVar w:name="LW_DocType" w:val="COM"/>
    <w:docVar w:name="LW_EMISSION" w:val="14.2.2020"/>
    <w:docVar w:name="LW_EMISSION_ISODATE" w:val="2020-02-14"/>
    <w:docVar w:name="LW_EMISSION_LOCATION" w:val="BRX"/>
    <w:docVar w:name="LW_EMISSION_PREFIX" w:val="Bruxelles,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025"/>
    <w:docVar w:name="LW_REF.II.NEW.CP_YEAR" w:val="2020"/>
    <w:docVar w:name="LW_REF.INST.NEW" w:val="COM"/>
    <w:docVar w:name="LW_REF.INST.NEW_ADOPTED" w:val="final"/>
    <w:docVar w:name="LW_REF.INST.NEW_TEXT" w:val="(2020) 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i det blandede toldsamarbejdsudvalg, der er nedsat ved aftalen mellem Det Europæiske Union og New Zealand om samarbejde og gensidig administrativ bistand i toldanliggender, for så vidt angår vedtagelsen af det blandede toldsamarbejdsudvalgs forretningsorden"/>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5206B88E52D4B80A3A75AEE04D35B" ma:contentTypeVersion="1" ma:contentTypeDescription="Create a new document." ma:contentTypeScope="" ma:versionID="3d4672d1dfe1f4e36bb37a23df3e44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58BA0-7AB5-484B-B2EB-C1637A48D490}">
  <ds:schemaRef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sharepoint/v3"/>
  </ds:schemaRefs>
</ds:datastoreItem>
</file>

<file path=customXml/itemProps2.xml><?xml version="1.0" encoding="utf-8"?>
<ds:datastoreItem xmlns:ds="http://schemas.openxmlformats.org/officeDocument/2006/customXml" ds:itemID="{FEF11B71-CA4F-4656-BA90-AA10E1A38D3E}">
  <ds:schemaRefs>
    <ds:schemaRef ds:uri="http://schemas.microsoft.com/sharepoint/v3/contenttype/forms"/>
  </ds:schemaRefs>
</ds:datastoreItem>
</file>

<file path=customXml/itemProps3.xml><?xml version="1.0" encoding="utf-8"?>
<ds:datastoreItem xmlns:ds="http://schemas.openxmlformats.org/officeDocument/2006/customXml" ds:itemID="{D76CA865-D784-4B35-9347-E04E39F8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Pages>
  <Words>1015</Words>
  <Characters>6080</Characters>
  <Application>Microsoft Office Word</Application>
  <DocSecurity>0</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2019-12-13T14:38:00Z</cp:lastPrinted>
  <dcterms:created xsi:type="dcterms:W3CDTF">2020-02-10T15:31:00Z</dcterms:created>
  <dcterms:modified xsi:type="dcterms:W3CDTF">2020-02-13T08:35:00Z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ContentTypeId">
    <vt:lpwstr>0x010100EFB5206B88E52D4B80A3A75AEE04D35B</vt:lpwstr>
  </property>
  <property fmtid="{D5CDD505-2E9C-101B-9397-08002B2CF9AE}" pid="11" name="DQCStatus">
    <vt:lpwstr>Green (DQC version 03)</vt:lpwstr>
  </property>
</Properties>
</file>