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41BC39A-0B04-45E1-8C77-53C7C06DBF9D" style="width:450.75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UTKAST TILL</w:t>
      </w:r>
    </w:p>
    <w:p>
      <w:pPr>
        <w:jc w:val="center"/>
        <w:rPr>
          <w:b/>
          <w:noProof/>
        </w:rPr>
      </w:pPr>
      <w:r>
        <w:rPr>
          <w:b/>
          <w:noProof/>
        </w:rPr>
        <w:t>Beslut nr [.../2019] AV GEMENSAMMA TULLSAMARBETSKOMMITTÉN EU–NYA ZEELAND</w:t>
      </w:r>
    </w:p>
    <w:p>
      <w:pPr>
        <w:jc w:val="center"/>
        <w:rPr>
          <w:b/>
          <w:noProof/>
        </w:rPr>
      </w:pPr>
      <w:r>
        <w:rPr>
          <w:b/>
          <w:noProof/>
        </w:rPr>
        <w:t>av den...</w:t>
      </w:r>
    </w:p>
    <w:p>
      <w:pPr>
        <w:jc w:val="center"/>
        <w:rPr>
          <w:noProof/>
        </w:rPr>
      </w:pPr>
      <w:r>
        <w:rPr>
          <w:b/>
          <w:noProof/>
        </w:rPr>
        <w:t>om antagande av dess arbetsordning</w:t>
      </w:r>
    </w:p>
    <w:p>
      <w:pPr>
        <w:rPr>
          <w:noProof/>
        </w:rPr>
      </w:pPr>
    </w:p>
    <w:p>
      <w:pPr>
        <w:rPr>
          <w:noProof/>
        </w:rPr>
      </w:pPr>
      <w:r>
        <w:rPr>
          <w:noProof/>
        </w:rPr>
        <w:t>GEMENSAMMA TULLSAMARBETSKOMMITTÉN HAR BESLUTAT FÖLJANDE</w:t>
      </w:r>
    </w:p>
    <w:p>
      <w:pPr>
        <w:rPr>
          <w:noProof/>
        </w:rPr>
      </w:pPr>
      <w:r>
        <w:rPr>
          <w:noProof/>
        </w:rPr>
        <w:t>med beaktande av avtalet mellan Europeiska unionen och Nya Zeeland om samarbete och ömsesidigt administrativt bistånd i tullfrågor, som ingicks i Bryssel den 3 juli 2017, särskilt artikel 20.2 d, och av följande skäl:</w:t>
      </w:r>
    </w:p>
    <w:p>
      <w:pPr>
        <w:rPr>
          <w:noProof/>
        </w:rPr>
      </w:pPr>
      <w:r>
        <w:rPr>
          <w:noProof/>
        </w:rPr>
        <w:t>Enligt artikel 20.2 e i avtalet ska gemensamma tullsamarbetskommittén anta sin arbetsordning.</w:t>
      </w:r>
    </w:p>
    <w:p>
      <w:pPr>
        <w:rPr>
          <w:noProof/>
        </w:rPr>
      </w:pPr>
      <w:r>
        <w:rPr>
          <w:noProof/>
        </w:rPr>
        <w:t>HÄRIGENOM FÖRESKRIVS FÖLJANDE.</w:t>
      </w:r>
    </w:p>
    <w:p>
      <w:pPr>
        <w:jc w:val="center"/>
        <w:rPr>
          <w:noProof/>
        </w:rPr>
      </w:pPr>
      <w:r>
        <w:rPr>
          <w:noProof/>
        </w:rPr>
        <w:t>Artikel 1</w:t>
      </w:r>
    </w:p>
    <w:p>
      <w:pPr>
        <w:rPr>
          <w:noProof/>
        </w:rPr>
      </w:pPr>
      <w:r>
        <w:rPr>
          <w:noProof/>
        </w:rPr>
        <w:t>Härmed antas arbetsordningen för gemensamma tullsamarbetskommittén EU–Nya Zeeland, som återfinns i bilagan till detta beslut.</w:t>
      </w:r>
    </w:p>
    <w:p>
      <w:pPr>
        <w:jc w:val="center"/>
        <w:rPr>
          <w:noProof/>
        </w:rPr>
      </w:pPr>
      <w:r>
        <w:rPr>
          <w:noProof/>
        </w:rPr>
        <w:t>Artikel 2</w:t>
      </w:r>
    </w:p>
    <w:p>
      <w:pPr>
        <w:rPr>
          <w:noProof/>
        </w:rPr>
      </w:pPr>
      <w:r>
        <w:rPr>
          <w:noProof/>
        </w:rPr>
        <w:t>Detta beslut ska tillämpas från och med dagen för dess antagande.</w:t>
      </w:r>
    </w:p>
    <w:p>
      <w:pPr>
        <w:jc w:val="center"/>
        <w:rPr>
          <w:noProof/>
        </w:rPr>
      </w:pPr>
      <w:r>
        <w:rPr>
          <w:noProof/>
        </w:rPr>
        <w:t>Artikel 3</w:t>
      </w:r>
    </w:p>
    <w:p>
      <w:pPr>
        <w:rPr>
          <w:noProof/>
        </w:rPr>
      </w:pPr>
      <w:r>
        <w:rPr>
          <w:noProof/>
        </w:rPr>
        <w:t>Detta beslut är upprättat i två exemplar på engelska, vilka alla texter är lika giltiga. Vardera parten får tillhandahålla översättningar till sina övriga officiella språk.</w:t>
      </w:r>
    </w:p>
    <w:p>
      <w:pPr>
        <w:rPr>
          <w:noProof/>
        </w:rPr>
      </w:pPr>
      <w:r>
        <w:rPr>
          <w:noProof/>
        </w:rPr>
        <w:t>Utfärdat i … den …</w:t>
      </w:r>
    </w:p>
    <w:p>
      <w:pPr>
        <w:rPr>
          <w:noProof/>
        </w:rPr>
      </w:pPr>
      <w:r>
        <w:rPr>
          <w:noProof/>
        </w:rPr>
        <w:t>För gemensamma tullsamarbetskommittén EU–Nya Zeeland</w:t>
      </w:r>
    </w:p>
    <w:p>
      <w:pPr>
        <w:rPr>
          <w:noProof/>
        </w:rPr>
      </w:pPr>
      <w:r>
        <w:rPr>
          <w:noProof/>
        </w:rPr>
        <w:t>Medordförandena</w:t>
      </w:r>
    </w:p>
    <w:p>
      <w:pPr>
        <w:rPr>
          <w:noProof/>
        </w:rPr>
      </w:pPr>
    </w:p>
    <w:p>
      <w:pPr>
        <w:rPr>
          <w:noProof/>
        </w:rPr>
      </w:pP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jc w:val="center"/>
        <w:rPr>
          <w:rStyle w:val="Marker"/>
          <w:b/>
          <w:noProof/>
          <w:u w:val="single"/>
        </w:rPr>
      </w:pPr>
      <w:r>
        <w:rPr>
          <w:b/>
          <w:noProof/>
          <w:u w:val="single"/>
        </w:rPr>
        <w:t>BILAGA</w:t>
      </w:r>
    </w:p>
    <w:p>
      <w:pPr>
        <w:jc w:val="center"/>
        <w:rPr>
          <w:b/>
          <w:noProof/>
        </w:rPr>
      </w:pPr>
      <w:r>
        <w:rPr>
          <w:b/>
          <w:noProof/>
        </w:rPr>
        <w:t>ARBETSORDNING FÖR GEMENSAMMA TULLSAMARBETSKOMMITTÉN EU–NYA ZEELAND</w:t>
      </w:r>
    </w:p>
    <w:p>
      <w:pPr>
        <w:jc w:val="center"/>
        <w:rPr>
          <w:noProof/>
        </w:rPr>
      </w:pPr>
      <w:r>
        <w:rPr>
          <w:noProof/>
        </w:rPr>
        <w:t>Artikel 1</w:t>
      </w:r>
    </w:p>
    <w:p>
      <w:pPr>
        <w:jc w:val="center"/>
        <w:rPr>
          <w:b/>
          <w:noProof/>
        </w:rPr>
      </w:pPr>
      <w:r>
        <w:rPr>
          <w:b/>
          <w:noProof/>
        </w:rPr>
        <w:t>Ordförandeskap</w:t>
      </w:r>
    </w:p>
    <w:p>
      <w:pPr>
        <w:rPr>
          <w:noProof/>
        </w:rPr>
      </w:pPr>
      <w:r>
        <w:rPr>
          <w:noProof/>
        </w:rPr>
        <w:t xml:space="preserve">Gemensamma tullsamarbetskommittén EU–Nya Zeeland (nedan kallad </w:t>
      </w:r>
      <w:r>
        <w:rPr>
          <w:i/>
          <w:iCs/>
          <w:noProof/>
        </w:rPr>
        <w:t>gemensamma kommittén</w:t>
      </w:r>
      <w:r>
        <w:rPr>
          <w:noProof/>
        </w:rPr>
        <w:t xml:space="preserve">), som inrättats i enlighet med artikel 20.1 i avtalet mellan Europeiska unionen och Nya Zeeland om samarbete och ömsesidigt administrativt bistånd i tullfrågor, vilket ingicks i Bryssel den 3 juli 2017 (nedan kallat </w:t>
      </w:r>
      <w:r>
        <w:rPr>
          <w:i/>
          <w:iCs/>
          <w:noProof/>
        </w:rPr>
        <w:t>avtalet</w:t>
      </w:r>
      <w:r>
        <w:rPr>
          <w:noProof/>
        </w:rPr>
        <w:t>), ska ledas gemensamt av en företrädare för Europeiska unionen och en företrädare för Nya Zeeland och utöva sina uppgifter i enlighet med artikel 20 i avtalet.</w:t>
      </w:r>
    </w:p>
    <w:p>
      <w:pPr>
        <w:rPr>
          <w:noProof/>
        </w:rPr>
      </w:pPr>
    </w:p>
    <w:p>
      <w:pPr>
        <w:jc w:val="center"/>
        <w:rPr>
          <w:noProof/>
        </w:rPr>
      </w:pPr>
      <w:r>
        <w:rPr>
          <w:noProof/>
        </w:rPr>
        <w:t>Artikel 2</w:t>
      </w:r>
    </w:p>
    <w:p>
      <w:pPr>
        <w:jc w:val="center"/>
        <w:rPr>
          <w:b/>
          <w:noProof/>
        </w:rPr>
      </w:pPr>
      <w:r>
        <w:rPr>
          <w:b/>
          <w:noProof/>
        </w:rPr>
        <w:t>Företrädare</w:t>
      </w:r>
    </w:p>
    <w:p>
      <w:pPr>
        <w:rPr>
          <w:noProof/>
        </w:rPr>
      </w:pPr>
      <w:r>
        <w:rPr>
          <w:noProof/>
        </w:rPr>
        <w:t>1.</w:t>
      </w:r>
      <w:r>
        <w:rPr>
          <w:noProof/>
        </w:rPr>
        <w:tab/>
        <w:t xml:space="preserve">Varje part i avtalet ska underrätta den andra parten i avtalet om förteckningen över sina medlemmar i gemensamma kommittén. Förteckningen ska förvaltas och uppdateras av gemensamma kommitténs sekretariat.  </w:t>
      </w:r>
    </w:p>
    <w:p>
      <w:pPr>
        <w:rPr>
          <w:noProof/>
        </w:rPr>
      </w:pPr>
      <w:r>
        <w:rPr>
          <w:noProof/>
        </w:rPr>
        <w:t>2.</w:t>
      </w:r>
      <w:r>
        <w:rPr>
          <w:noProof/>
        </w:rPr>
        <w:tab/>
        <w:t xml:space="preserve">En medordförande i gemensamma kommittén får företrädas av en utsedd företrädare om han eller hon är förhindrad att närvara vid ett sammanträde. Medordföranden, eller dennes utsedda företrädare, ska skriftligen underrätta den andra medordföranden och gemensamma kommitténs sekretariat om utseendet så långt i förväg som möjligt.  </w:t>
      </w:r>
    </w:p>
    <w:p>
      <w:pPr>
        <w:rPr>
          <w:noProof/>
        </w:rPr>
      </w:pPr>
      <w:r>
        <w:rPr>
          <w:noProof/>
        </w:rPr>
        <w:t xml:space="preserve">3. Den utsedda företrädaren för medordföranden i gemensamma kommittén ska utöva den medordförandens rättigheter i den utsträckning som utseendet medger. I denna arbetsordning ska alla hänvisningar till ledamöter och medordförande i gemensamma kommittén förstås som att de även omfattar den utsedda företrädaren. </w:t>
      </w:r>
    </w:p>
    <w:p>
      <w:pPr>
        <w:rPr>
          <w:noProof/>
          <w:u w:val="single"/>
        </w:rPr>
      </w:pPr>
    </w:p>
    <w:p>
      <w:pPr>
        <w:jc w:val="center"/>
        <w:rPr>
          <w:noProof/>
        </w:rPr>
      </w:pPr>
      <w:r>
        <w:rPr>
          <w:noProof/>
        </w:rPr>
        <w:t>Artikel 3</w:t>
      </w:r>
    </w:p>
    <w:p>
      <w:pPr>
        <w:jc w:val="center"/>
        <w:rPr>
          <w:b/>
          <w:noProof/>
        </w:rPr>
      </w:pPr>
      <w:r>
        <w:rPr>
          <w:b/>
          <w:noProof/>
        </w:rPr>
        <w:t>Gemensamma kommitténs sekretariat</w:t>
      </w:r>
    </w:p>
    <w:p>
      <w:pPr>
        <w:rPr>
          <w:noProof/>
        </w:rPr>
      </w:pPr>
      <w:r>
        <w:rPr>
          <w:noProof/>
        </w:rPr>
        <w:t>En tjänsteman från Europeiska unionen och en tjänsteman från Nya Zeeland ska gemensamt utgöra gemensamma kommitténs sekretariat.</w:t>
      </w:r>
    </w:p>
    <w:p>
      <w:pPr>
        <w:rPr>
          <w:noProof/>
        </w:rPr>
      </w:pPr>
      <w:r>
        <w:rPr>
          <w:noProof/>
        </w:rPr>
        <w:t xml:space="preserve"> </w:t>
      </w:r>
    </w:p>
    <w:p>
      <w:pPr>
        <w:jc w:val="center"/>
        <w:rPr>
          <w:noProof/>
        </w:rPr>
      </w:pPr>
      <w:r>
        <w:rPr>
          <w:noProof/>
        </w:rPr>
        <w:t>Artikel 4</w:t>
      </w:r>
    </w:p>
    <w:p>
      <w:pPr>
        <w:jc w:val="center"/>
        <w:rPr>
          <w:b/>
          <w:noProof/>
        </w:rPr>
      </w:pPr>
      <w:r>
        <w:rPr>
          <w:b/>
          <w:noProof/>
        </w:rPr>
        <w:t>Sammanträden</w:t>
      </w:r>
    </w:p>
    <w:p>
      <w:pPr>
        <w:rPr>
          <w:noProof/>
        </w:rPr>
      </w:pPr>
      <w:r>
        <w:rPr>
          <w:noProof/>
        </w:rPr>
        <w:t>1.</w:t>
      </w:r>
      <w:r>
        <w:rPr>
          <w:noProof/>
        </w:rPr>
        <w:tab/>
        <w:t xml:space="preserve">Gemensamma kommittén ska sammanträda på begäran av endera av de avtalsslutande parterna. Sammanträdena ska hållas växelvis i Bryssel och Wellington, såvida inte medordförandena kommer överens om något annat.  </w:t>
      </w:r>
    </w:p>
    <w:p>
      <w:pPr>
        <w:rPr>
          <w:noProof/>
        </w:rPr>
      </w:pPr>
      <w:r>
        <w:rPr>
          <w:noProof/>
        </w:rPr>
        <w:t>2.</w:t>
      </w:r>
      <w:r>
        <w:rPr>
          <w:noProof/>
        </w:rPr>
        <w:tab/>
        <w:t xml:space="preserve">Gemensamma kommitténs sammanträden får hållas som videokonferens eller telefonkonferens. </w:t>
      </w:r>
    </w:p>
    <w:p>
      <w:pPr>
        <w:rPr>
          <w:noProof/>
        </w:rPr>
      </w:pPr>
      <w:r>
        <w:rPr>
          <w:noProof/>
        </w:rPr>
        <w:t>3.</w:t>
      </w:r>
      <w:r>
        <w:rPr>
          <w:noProof/>
        </w:rPr>
        <w:tab/>
        <w:t xml:space="preserve">Alla sammanträden i gemensamma kommittén ska sammankallas av kommitténs sekretariat och hållas på en dag och plats som medordförandena fastställt. </w:t>
      </w:r>
    </w:p>
    <w:p>
      <w:pPr>
        <w:rPr>
          <w:noProof/>
        </w:rPr>
      </w:pPr>
    </w:p>
    <w:p>
      <w:pPr>
        <w:jc w:val="center"/>
        <w:rPr>
          <w:noProof/>
        </w:rPr>
      </w:pPr>
      <w:r>
        <w:rPr>
          <w:noProof/>
        </w:rPr>
        <w:t>Artikel 5</w:t>
      </w:r>
    </w:p>
    <w:p>
      <w:pPr>
        <w:jc w:val="center"/>
        <w:rPr>
          <w:b/>
          <w:noProof/>
        </w:rPr>
      </w:pPr>
      <w:r>
        <w:rPr>
          <w:b/>
          <w:noProof/>
        </w:rPr>
        <w:t>Delegering</w:t>
      </w:r>
    </w:p>
    <w:p>
      <w:pPr>
        <w:rPr>
          <w:noProof/>
        </w:rPr>
      </w:pPr>
      <w:r>
        <w:rPr>
          <w:noProof/>
        </w:rPr>
        <w:t xml:space="preserve">Gemensamma kommitténs ledamöter får åtföljas av tjänstemän från respektive avtalsslutande part. Före varje sammanträde ska varje medordförande i gemensamma kommittén underrätta den andra medordföranden om den planerade sammansättningen av varje avtalsslutande parts delegation. </w:t>
      </w:r>
    </w:p>
    <w:p>
      <w:pPr>
        <w:rPr>
          <w:noProof/>
        </w:rPr>
      </w:pPr>
    </w:p>
    <w:p>
      <w:pPr>
        <w:jc w:val="center"/>
        <w:rPr>
          <w:noProof/>
        </w:rPr>
      </w:pPr>
      <w:r>
        <w:rPr>
          <w:noProof/>
        </w:rPr>
        <w:t>Artikel 6</w:t>
      </w:r>
    </w:p>
    <w:p>
      <w:pPr>
        <w:jc w:val="center"/>
        <w:rPr>
          <w:b/>
          <w:noProof/>
        </w:rPr>
      </w:pPr>
      <w:r>
        <w:rPr>
          <w:b/>
          <w:noProof/>
        </w:rPr>
        <w:t>Handlingar</w:t>
      </w:r>
    </w:p>
    <w:p>
      <w:pPr>
        <w:rPr>
          <w:noProof/>
        </w:rPr>
      </w:pPr>
      <w:r>
        <w:rPr>
          <w:noProof/>
        </w:rPr>
        <w:t xml:space="preserve">När gemensamma kommitténs överläggningar grundar sig på skriftliga underlag, ska dess sekretariat numrera och skicka ut dessa handlingar som handlingar från gemensamma kommittén. </w:t>
      </w:r>
    </w:p>
    <w:p>
      <w:pPr>
        <w:rPr>
          <w:noProof/>
        </w:rPr>
      </w:pPr>
    </w:p>
    <w:p>
      <w:pPr>
        <w:jc w:val="center"/>
        <w:rPr>
          <w:noProof/>
        </w:rPr>
      </w:pPr>
      <w:r>
        <w:rPr>
          <w:noProof/>
        </w:rPr>
        <w:t>Artikel 7</w:t>
      </w:r>
    </w:p>
    <w:p>
      <w:pPr>
        <w:jc w:val="center"/>
        <w:rPr>
          <w:b/>
          <w:noProof/>
        </w:rPr>
      </w:pPr>
      <w:r>
        <w:rPr>
          <w:b/>
          <w:noProof/>
        </w:rPr>
        <w:t>Korrespondens</w:t>
      </w:r>
    </w:p>
    <w:p>
      <w:pPr>
        <w:rPr>
          <w:noProof/>
        </w:rPr>
      </w:pPr>
      <w:r>
        <w:rPr>
          <w:noProof/>
        </w:rPr>
        <w:t>1.</w:t>
      </w:r>
      <w:r>
        <w:rPr>
          <w:noProof/>
        </w:rPr>
        <w:tab/>
        <w:t>Korrespondens som är ställd till gemensamma kommitténs medordförande ska sändas till gemensamma kommitténs sekretariat för vidarebefordran, när så är lämpligt, till ledamöterna i gemensamma kommittén.</w:t>
      </w:r>
    </w:p>
    <w:p>
      <w:pPr>
        <w:rPr>
          <w:noProof/>
        </w:rPr>
      </w:pPr>
    </w:p>
    <w:p>
      <w:pPr>
        <w:rPr>
          <w:noProof/>
        </w:rPr>
      </w:pPr>
      <w:r>
        <w:rPr>
          <w:noProof/>
        </w:rPr>
        <w:t>2.</w:t>
      </w:r>
      <w:r>
        <w:rPr>
          <w:noProof/>
        </w:rPr>
        <w:tab/>
        <w:t xml:space="preserve">Korrespondens från gemensamma kommitténs medordförande ska av gemensamma kommitténs sekretariat sändas till mottagarna och ska, när så är lämpligt, numreras och sändas till de övriga ledamöterna i gemensamma kommittén. </w:t>
      </w:r>
    </w:p>
    <w:p>
      <w:pPr>
        <w:rPr>
          <w:noProof/>
        </w:rPr>
      </w:pPr>
    </w:p>
    <w:p>
      <w:pPr>
        <w:jc w:val="center"/>
        <w:rPr>
          <w:noProof/>
        </w:rPr>
      </w:pPr>
      <w:r>
        <w:rPr>
          <w:noProof/>
        </w:rPr>
        <w:t>Artikel 8</w:t>
      </w:r>
    </w:p>
    <w:p>
      <w:pPr>
        <w:jc w:val="center"/>
        <w:rPr>
          <w:b/>
          <w:noProof/>
        </w:rPr>
      </w:pPr>
      <w:r>
        <w:rPr>
          <w:b/>
          <w:noProof/>
        </w:rPr>
        <w:t>Dagordning för sammanträdena</w:t>
      </w:r>
    </w:p>
    <w:p>
      <w:pPr>
        <w:rPr>
          <w:noProof/>
        </w:rPr>
      </w:pPr>
      <w:r>
        <w:rPr>
          <w:noProof/>
        </w:rPr>
        <w:t>1.</w:t>
      </w:r>
      <w:r>
        <w:rPr>
          <w:noProof/>
        </w:rPr>
        <w:tab/>
        <w:t xml:space="preserve">Gemensamma kommitténs sekretariat ska upprätta en preliminär dagordning för varje sammanträde. Denna ska tillsammans med relevanta handlingar sändas till gemensamma kommitténs ledamöter, inbegripet medordförandena, senast 15 kalenderdagar före sammanträdets början.  </w:t>
      </w:r>
    </w:p>
    <w:p>
      <w:pPr>
        <w:rPr>
          <w:noProof/>
        </w:rPr>
      </w:pPr>
      <w:r>
        <w:rPr>
          <w:noProof/>
        </w:rPr>
        <w:t>2.</w:t>
      </w:r>
      <w:r>
        <w:rPr>
          <w:noProof/>
        </w:rPr>
        <w:tab/>
        <w:t xml:space="preserve">Den preliminära dagordningen ska innehålla de punkter som någon av de avtalsslutande parterna, senast 21 kalenderdagar före sammanträdets början, begärt att gemensamma kommitténs sekretariat ska föra upp på dagordningen, tillsammans med relevanta handlingar. </w:t>
      </w:r>
    </w:p>
    <w:p>
      <w:pPr>
        <w:rPr>
          <w:noProof/>
        </w:rPr>
      </w:pPr>
      <w:r>
        <w:rPr>
          <w:noProof/>
        </w:rPr>
        <w:t>3.</w:t>
      </w:r>
      <w:r>
        <w:rPr>
          <w:noProof/>
        </w:rPr>
        <w:tab/>
        <w:t>Gemensamma kommitténs medordförande ska offentliggöra en gemensamt godkänd version av kommitténs preliminära dagordning.</w:t>
      </w:r>
    </w:p>
    <w:p>
      <w:pPr>
        <w:rPr>
          <w:noProof/>
        </w:rPr>
      </w:pPr>
      <w:r>
        <w:rPr>
          <w:noProof/>
        </w:rPr>
        <w:t>4.</w:t>
      </w:r>
      <w:r>
        <w:rPr>
          <w:noProof/>
        </w:rPr>
        <w:tab/>
        <w:t xml:space="preserve">Dagordningen ska antas av gemensamma kommittén i början av varje sammanträde. Andra punkter än de som är uppsatta på den preliminära dagordningen får, om medordförandena är överens om det, föras upp på dagordningen. </w:t>
      </w:r>
    </w:p>
    <w:p>
      <w:pPr>
        <w:rPr>
          <w:noProof/>
        </w:rPr>
      </w:pPr>
      <w:r>
        <w:rPr>
          <w:noProof/>
        </w:rPr>
        <w:t>5.</w:t>
      </w:r>
      <w:r>
        <w:rPr>
          <w:noProof/>
        </w:rPr>
        <w:tab/>
        <w:t xml:space="preserve">Gemensamma kommitténs medordförande får genom ömsesidig överenskommelse bjuda in observatörer, bland annat företrädare för andra organ inom de avtalsslutande parterna eller oberoende experter, att delta i sammanträdena för att informera i särskilda frågor. </w:t>
      </w:r>
    </w:p>
    <w:p>
      <w:pPr>
        <w:rPr>
          <w:noProof/>
        </w:rPr>
      </w:pPr>
      <w:r>
        <w:rPr>
          <w:noProof/>
        </w:rPr>
        <w:t>6.</w:t>
      </w:r>
      <w:r>
        <w:rPr>
          <w:noProof/>
        </w:rPr>
        <w:tab/>
        <w:t xml:space="preserve">Gemensamma kommitténs medordförande får, genom ömsesidig överenskommelse, förkorta eller förlänga de tidsfrister som anges i punkterna 1 och 2 för att ta hänsyn till vad som krävs i enskilda fall. </w:t>
      </w:r>
    </w:p>
    <w:p>
      <w:pPr>
        <w:rPr>
          <w:noProof/>
        </w:rPr>
      </w:pPr>
    </w:p>
    <w:p>
      <w:pPr>
        <w:jc w:val="center"/>
        <w:rPr>
          <w:noProof/>
        </w:rPr>
      </w:pPr>
      <w:r>
        <w:rPr>
          <w:noProof/>
        </w:rPr>
        <w:t>Artikel 9</w:t>
      </w:r>
    </w:p>
    <w:p>
      <w:pPr>
        <w:jc w:val="center"/>
        <w:rPr>
          <w:b/>
          <w:noProof/>
        </w:rPr>
      </w:pPr>
      <w:r>
        <w:rPr>
          <w:b/>
          <w:noProof/>
        </w:rPr>
        <w:t>Protokoll</w:t>
      </w:r>
    </w:p>
    <w:p>
      <w:pPr>
        <w:rPr>
          <w:noProof/>
        </w:rPr>
      </w:pPr>
      <w:r>
        <w:rPr>
          <w:noProof/>
        </w:rPr>
        <w:t>1.</w:t>
      </w:r>
      <w:r>
        <w:rPr>
          <w:noProof/>
        </w:rPr>
        <w:tab/>
        <w:t>Ett utkast till protokoll ska för varje sammanträde upprättas av gemensamma kommitténs sekretariat, senast 21 dagar efter sammanträdets slut, om inte annat beslutas genom ömsesidig överenskommelse mellan medordförandena.</w:t>
      </w:r>
    </w:p>
    <w:p>
      <w:pPr>
        <w:rPr>
          <w:noProof/>
        </w:rPr>
      </w:pPr>
      <w:r>
        <w:rPr>
          <w:noProof/>
        </w:rPr>
        <w:t>2.</w:t>
      </w:r>
      <w:r>
        <w:rPr>
          <w:noProof/>
        </w:rPr>
        <w:tab/>
        <w:t>Protokollet ska som regel sammanfatta alla punkter på dagordningen och i förekommande fall ange a) vilka handlingar som lagts fram för gemensamma kommittén, b) alla uttalanden som en ledamot av gemensamma kommittén har begärt ska tas till protokollet, c) beslut som antagits, och d) eventuella åtgärder, rekommendationer, gemensamma uttalanden och operativa slutsatser som överenskommits avseende specifika punkter.</w:t>
      </w:r>
    </w:p>
    <w:p>
      <w:pPr>
        <w:rPr>
          <w:noProof/>
        </w:rPr>
      </w:pPr>
      <w:r>
        <w:rPr>
          <w:noProof/>
        </w:rPr>
        <w:t>3.</w:t>
      </w:r>
      <w:r>
        <w:rPr>
          <w:noProof/>
        </w:rPr>
        <w:tab/>
        <w:t>Protokollet ska innehålla den slutgiltiga dagordningen och en förteckning över namn, titlar och tillhörighet avseende alla personer som deltagit i sammanträdet i någon funktion.</w:t>
      </w:r>
    </w:p>
    <w:p>
      <w:pPr>
        <w:rPr>
          <w:noProof/>
        </w:rPr>
      </w:pPr>
      <w:r>
        <w:rPr>
          <w:noProof/>
        </w:rPr>
        <w:t>4.</w:t>
      </w:r>
      <w:r>
        <w:rPr>
          <w:noProof/>
        </w:rPr>
        <w:tab/>
        <w:t>Protokollet ska godkännas skriftligen av medordförandena senast 60 dagar efter sammanträdet eller inom en annan tidsfrist som beslutas genom ömsesidig överenskommelse.</w:t>
      </w:r>
    </w:p>
    <w:p>
      <w:pPr>
        <w:rPr>
          <w:noProof/>
        </w:rPr>
      </w:pPr>
      <w:r>
        <w:rPr>
          <w:noProof/>
        </w:rPr>
        <w:t>5.</w:t>
      </w:r>
      <w:r>
        <w:rPr>
          <w:noProof/>
        </w:rPr>
        <w:tab/>
        <w:t>Gemensamma kommitténs sekretariat ska också utarbeta ett utkast till sammanfattning av protokollet. När gemensamma kommitténs medordförande har godkänt texten till sammanfattning, ska de offentliggöra den sammanfattningen.</w:t>
      </w:r>
    </w:p>
    <w:p>
      <w:pPr>
        <w:rPr>
          <w:noProof/>
        </w:rPr>
      </w:pPr>
    </w:p>
    <w:p>
      <w:pPr>
        <w:jc w:val="center"/>
        <w:rPr>
          <w:noProof/>
        </w:rPr>
      </w:pPr>
      <w:r>
        <w:rPr>
          <w:noProof/>
        </w:rPr>
        <w:t>Artikel 10</w:t>
      </w:r>
    </w:p>
    <w:p>
      <w:pPr>
        <w:jc w:val="center"/>
        <w:rPr>
          <w:b/>
          <w:noProof/>
        </w:rPr>
      </w:pPr>
      <w:r>
        <w:rPr>
          <w:b/>
          <w:noProof/>
        </w:rPr>
        <w:t>Beslut</w:t>
      </w:r>
    </w:p>
    <w:p>
      <w:pPr>
        <w:rPr>
          <w:noProof/>
        </w:rPr>
      </w:pPr>
      <w:r>
        <w:rPr>
          <w:noProof/>
        </w:rPr>
        <w:t>1.</w:t>
      </w:r>
      <w:r>
        <w:rPr>
          <w:noProof/>
        </w:rPr>
        <w:tab/>
        <w:t>Gemensamma kommittén ska genom ömsesidig överenskommelse anta beslut i enlighet med artikel 20.2 i avtalet. Beslut får, även under perioder mellan gemensamma kommitténs sammanträden, fattas genom ett skriftligt förfarande med utbyte av noter mellan kommitténs medordförande.</w:t>
      </w:r>
    </w:p>
    <w:p>
      <w:pPr>
        <w:rPr>
          <w:noProof/>
        </w:rPr>
      </w:pPr>
      <w:r>
        <w:rPr>
          <w:noProof/>
        </w:rPr>
        <w:t>2.</w:t>
      </w:r>
      <w:r>
        <w:rPr>
          <w:noProof/>
        </w:rPr>
        <w:tab/>
        <w:t>Varje beslut av gemensamma kommittén ska ha ett löpnummer, datum för antagande och en titel som hänvisar till dess innehåll. I varje beslut ska det fastställas ett datum då det träder i kraft, och beslutet får göras avhängigt av att varje avtalsslutande parts nödvändiga krav och förfaranden fullgörs.</w:t>
      </w:r>
    </w:p>
    <w:p>
      <w:pPr>
        <w:rPr>
          <w:noProof/>
        </w:rPr>
      </w:pPr>
      <w:r>
        <w:rPr>
          <w:noProof/>
        </w:rPr>
        <w:t>3.</w:t>
      </w:r>
      <w:r>
        <w:rPr>
          <w:noProof/>
        </w:rPr>
        <w:tab/>
        <w:t>Varje beslut ska upprättas i två exemplar och undertecknas för bestyrkande av gemensamma kommitténs medordförande.</w:t>
      </w:r>
    </w:p>
    <w:p>
      <w:pPr>
        <w:rPr>
          <w:noProof/>
        </w:rPr>
      </w:pPr>
      <w:r>
        <w:rPr>
          <w:noProof/>
        </w:rPr>
        <w:t>4.</w:t>
      </w:r>
      <w:r>
        <w:rPr>
          <w:noProof/>
        </w:rPr>
        <w:tab/>
        <w:t>De avtalsslutande parterna ska säkerställa att de beslut som antas av gemensamma kommittén offentliggörs.</w:t>
      </w:r>
    </w:p>
    <w:p>
      <w:pPr>
        <w:rPr>
          <w:noProof/>
        </w:rPr>
      </w:pPr>
    </w:p>
    <w:p>
      <w:pPr>
        <w:jc w:val="center"/>
        <w:rPr>
          <w:noProof/>
        </w:rPr>
      </w:pPr>
      <w:r>
        <w:rPr>
          <w:noProof/>
        </w:rPr>
        <w:t>Artikel 11</w:t>
      </w:r>
    </w:p>
    <w:p>
      <w:pPr>
        <w:jc w:val="center"/>
        <w:rPr>
          <w:b/>
          <w:noProof/>
        </w:rPr>
      </w:pPr>
      <w:r>
        <w:rPr>
          <w:b/>
          <w:noProof/>
        </w:rPr>
        <w:t>Offentliggörande och sekretess</w:t>
      </w:r>
    </w:p>
    <w:p>
      <w:pPr>
        <w:rPr>
          <w:noProof/>
        </w:rPr>
      </w:pPr>
      <w:r>
        <w:rPr>
          <w:noProof/>
        </w:rPr>
        <w:t>1.</w:t>
      </w:r>
      <w:r>
        <w:rPr>
          <w:noProof/>
        </w:rPr>
        <w:tab/>
        <w:t>Gemensamma kommitténs arbete ska behandlas konfidentiellt. Om inget annat beslutas av de avtalsslutande parterna ska gemensamma kommitténs sammanträden inte vara offentliga.</w:t>
      </w:r>
    </w:p>
    <w:p>
      <w:pPr>
        <w:rPr>
          <w:noProof/>
        </w:rPr>
      </w:pPr>
      <w:r>
        <w:rPr>
          <w:noProof/>
        </w:rPr>
        <w:t>2.</w:t>
      </w:r>
      <w:r>
        <w:rPr>
          <w:noProof/>
        </w:rPr>
        <w:tab/>
        <w:t>När en avtalsslutande part till gemensamma kommittén överlämnar information som anses vara konfidentiell eller skyddad från utlämnande enligt partens lagar och andra författningar, ska den andra avtalsslutande parten behandla informationen som konfidentiell i enlighet med artikel 17 i avtalet.</w:t>
      </w:r>
    </w:p>
    <w:p>
      <w:pPr>
        <w:jc w:val="center"/>
        <w:rPr>
          <w:noProof/>
        </w:rPr>
      </w:pPr>
    </w:p>
    <w:p>
      <w:pPr>
        <w:jc w:val="center"/>
        <w:rPr>
          <w:noProof/>
        </w:rPr>
      </w:pPr>
      <w:r>
        <w:rPr>
          <w:noProof/>
        </w:rPr>
        <w:t>Artikel 12</w:t>
      </w:r>
    </w:p>
    <w:p>
      <w:pPr>
        <w:jc w:val="center"/>
        <w:rPr>
          <w:b/>
          <w:noProof/>
        </w:rPr>
      </w:pPr>
      <w:r>
        <w:rPr>
          <w:b/>
          <w:noProof/>
        </w:rPr>
        <w:t>Arbetsspråk</w:t>
      </w:r>
    </w:p>
    <w:p>
      <w:pPr>
        <w:rPr>
          <w:noProof/>
        </w:rPr>
      </w:pPr>
      <w:r>
        <w:rPr>
          <w:noProof/>
        </w:rPr>
        <w:t>Såvida de avtalsslutande parterna inte kommer överens om något annat ska all korrespondens och kommunikation mellan de avtalsslutande parterna som rör gemensamma kommitténs arbete, liksom utarbetandet av och överläggningarna om beslut och rekommendationer, ske på engelska.</w:t>
      </w:r>
    </w:p>
    <w:p>
      <w:pPr>
        <w:rPr>
          <w:noProof/>
        </w:rPr>
      </w:pPr>
    </w:p>
    <w:p>
      <w:pPr>
        <w:jc w:val="center"/>
        <w:rPr>
          <w:noProof/>
        </w:rPr>
      </w:pPr>
      <w:r>
        <w:rPr>
          <w:noProof/>
        </w:rPr>
        <w:t>Artikel 13</w:t>
      </w:r>
    </w:p>
    <w:p>
      <w:pPr>
        <w:jc w:val="center"/>
        <w:rPr>
          <w:b/>
          <w:noProof/>
        </w:rPr>
      </w:pPr>
      <w:r>
        <w:rPr>
          <w:b/>
          <w:noProof/>
        </w:rPr>
        <w:t>Kostnader</w:t>
      </w:r>
    </w:p>
    <w:p>
      <w:pPr>
        <w:rPr>
          <w:noProof/>
        </w:rPr>
      </w:pPr>
      <w:r>
        <w:rPr>
          <w:noProof/>
        </w:rPr>
        <w:t>1.</w:t>
      </w:r>
      <w:r>
        <w:rPr>
          <w:noProof/>
        </w:rPr>
        <w:tab/>
        <w:t>Varje part i avtalet ska stå för de kostnader som parten ådrar sig för sitt deltagande i gemensamma kommitténs sammanträden.</w:t>
      </w:r>
    </w:p>
    <w:p>
      <w:pPr>
        <w:rPr>
          <w:noProof/>
        </w:rPr>
      </w:pPr>
      <w:r>
        <w:rPr>
          <w:noProof/>
        </w:rPr>
        <w:t>2.</w:t>
      </w:r>
      <w:r>
        <w:rPr>
          <w:noProof/>
        </w:rPr>
        <w:tab/>
        <w:t>Den avtalsslutande part som är värd för ett sammanträde ska stå för kostnaderna för att anordna sammanträdet och för mångfaldigandet av handlingar.</w:t>
      </w:r>
    </w:p>
    <w:p>
      <w:pPr>
        <w:rPr>
          <w:noProof/>
        </w:rPr>
      </w:pPr>
    </w:p>
    <w:p>
      <w:pPr>
        <w:jc w:val="center"/>
        <w:rPr>
          <w:noProof/>
        </w:rPr>
      </w:pPr>
      <w:r>
        <w:rPr>
          <w:noProof/>
        </w:rPr>
        <w:t>Artikel 14</w:t>
      </w:r>
    </w:p>
    <w:p>
      <w:pPr>
        <w:jc w:val="center"/>
        <w:rPr>
          <w:b/>
          <w:noProof/>
        </w:rPr>
      </w:pPr>
      <w:r>
        <w:rPr>
          <w:b/>
          <w:noProof/>
        </w:rPr>
        <w:t>Arbetsgrupper och andra organ</w:t>
      </w:r>
    </w:p>
    <w:p>
      <w:pPr>
        <w:rPr>
          <w:noProof/>
        </w:rPr>
      </w:pPr>
      <w:r>
        <w:rPr>
          <w:noProof/>
        </w:rPr>
        <w:t>1.</w:t>
      </w:r>
      <w:r>
        <w:rPr>
          <w:noProof/>
        </w:rPr>
        <w:tab/>
        <w:t>I enlighet med artikel 20.3 i avtalet ska gemensamma kommittén inrätta de mekanismer, inbegripet arbetsgrupper, som krävs för dess arbete med genomförandet av avtalet.</w:t>
      </w:r>
    </w:p>
    <w:p>
      <w:pPr>
        <w:rPr>
          <w:noProof/>
        </w:rPr>
      </w:pPr>
    </w:p>
    <w:p>
      <w:pPr>
        <w:rPr>
          <w:noProof/>
        </w:rPr>
      </w:pPr>
      <w:r>
        <w:rPr>
          <w:noProof/>
        </w:rPr>
        <w:t>2.</w:t>
      </w:r>
      <w:r>
        <w:rPr>
          <w:noProof/>
        </w:rPr>
        <w:tab/>
        <w:t xml:space="preserve">Gemensamma kommittén ska övervaka arbetet i alla arbetsgrupper och andra organ som inrättas i enlighet med avtalet. </w:t>
      </w:r>
    </w:p>
    <w:p>
      <w:pPr>
        <w:rPr>
          <w:noProof/>
        </w:rPr>
      </w:pPr>
    </w:p>
    <w:p>
      <w:pPr>
        <w:rPr>
          <w:noProof/>
        </w:rPr>
      </w:pPr>
      <w:r>
        <w:rPr>
          <w:noProof/>
        </w:rPr>
        <w:t>3.</w:t>
      </w:r>
      <w:r>
        <w:rPr>
          <w:noProof/>
        </w:rPr>
        <w:tab/>
        <w:t>De arbetsgrupper och andra organ som inrättas i enlighet med avtalet ska rapportera till gemensamma kommittén om resultaten och slutsatserna från vart och ett av sammanträdena.</w:t>
      </w:r>
    </w:p>
    <w:p>
      <w:pPr>
        <w:rPr>
          <w:noProof/>
        </w:rPr>
      </w:pPr>
    </w:p>
    <w:p>
      <w:pPr>
        <w:rPr>
          <w:noProof/>
        </w:rPr>
      </w:pPr>
      <w:r>
        <w:rPr>
          <w:noProof/>
        </w:rPr>
        <w:t>4.</w:t>
      </w:r>
      <w:r>
        <w:rPr>
          <w:noProof/>
        </w:rPr>
        <w:tab/>
        <w:t>Om inget annat beslutas ska denna arbetsordning gälla i tillämpliga delar för de arbetsgrupper och andra organ som inrättas i enlighet med avtalet.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E8280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D437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94BE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88A5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DC4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1EEA0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C2CED8"/>
    <w:lvl w:ilvl="0">
      <w:start w:val="1"/>
      <w:numFmt w:val="decimal"/>
      <w:pStyle w:val="ListNumber"/>
      <w:lvlText w:val="%1."/>
      <w:lvlJc w:val="left"/>
      <w:pPr>
        <w:tabs>
          <w:tab w:val="num" w:pos="360"/>
        </w:tabs>
        <w:ind w:left="360" w:hanging="360"/>
      </w:pPr>
    </w:lvl>
  </w:abstractNum>
  <w:abstractNum w:abstractNumId="7">
    <w:nsid w:val="FFFFFF89"/>
    <w:multiLevelType w:val="singleLevel"/>
    <w:tmpl w:val="0E0663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2-13 09:35:1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1"/>
    <w:docVar w:name="LW_CORRIGENDUM" w:val="&lt;UNUSED&gt;"/>
    <w:docVar w:name="LW_COVERPAGE_EXISTS" w:val="True"/>
    <w:docVar w:name="LW_COVERPAGE_GUID" w:val="B41BC39A-0B04-45E1-8C77-53C7C06DBF9D"/>
    <w:docVar w:name="LW_COVERPAGE_TYPE" w:val="1"/>
    <w:docVar w:name="LW_CROSSREFERENCE" w:val="&lt;UNUSED&gt;"/>
    <w:docVar w:name="LW_DocType" w:val="ANNEX"/>
    <w:docVar w:name="LW_EMISSION" w:val="14.2.2020"/>
    <w:docVar w:name="LW_EMISSION_ISODATE" w:val="2020-02-14"/>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den ståndpunkt som ska intas på Europeiska unionens vägnar i den gemensamma tullsamarbetskommitté som inrättats genom avtalet mellan Europeiska unionen och Nya Zeeland om samarbete och ömsesidigt administrativt bistånd i tullfrågor vad gäller antagandet av gemensamma tullsamarbetskommitténs arbetsordning"/>
    <w:docVar w:name="LW_OBJETACTEPRINCIPAL.CP" w:val="om den ståndpunkt som ska intas på Europeiska unionens vägnar i den gemensamma tullsamarbetskommitté som inrättats genom avtalet mellan Europeiska unionen och Nya Zeeland om samarbete och ömsesidigt administrativt bistånd i tullfrågor vad gäller antagandet av gemensamma tullsamarbetskommitténs arbetsordning"/>
    <w:docVar w:name="LW_PART_NBR" w:val="1"/>
    <w:docVar w:name="LW_PART_NBR_TOTAL" w:val="1"/>
    <w:docVar w:name="LW_REF.INST.NEW" w:val="COM"/>
    <w:docVar w:name="LW_REF.INST.NEW_ADOPTED" w:val="final"/>
    <w:docVar w:name="LW_REF.INST.NEW_TEXT" w:val="(2020)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A"/>
    <w:docVar w:name="LW_TYPE.DOC.CP" w:val="BILAGA"/>
    <w:docVar w:name="LW_TYPEACTEPRINCIPAL" w:val="förslag till rådets beslut"/>
    <w:docVar w:name="LW_TYPEACTEPRINCIPAL.CP" w:val="förslag till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6</Pages>
  <Words>1274</Words>
  <Characters>8039</Characters>
  <Application>Microsoft Office Word</Application>
  <DocSecurity>0</DocSecurity>
  <Lines>191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JULIN Andreas (TAXUD)</dc:creator>
  <cp:keywords/>
  <dc:description/>
  <cp:lastModifiedBy>WES PDFC Administrator</cp:lastModifiedBy>
  <cp:revision>9</cp:revision>
  <dcterms:created xsi:type="dcterms:W3CDTF">2020-02-07T13:42:00Z</dcterms:created>
  <dcterms:modified xsi:type="dcterms:W3CDTF">2020-02-13T08:35:00Z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