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00" w:rsidRDefault="00CE775C">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7D420AA-A567-4E53-864B-3695F7A61D05" style="width:450.75pt;height:321pt">
            <v:imagedata r:id="rId8" o:title=""/>
          </v:shape>
        </w:pict>
      </w:r>
    </w:p>
    <w:bookmarkEnd w:id="0"/>
    <w:p w:rsidR="004F3A00" w:rsidRDefault="004F3A00">
      <w:pPr>
        <w:rPr>
          <w:noProof/>
        </w:rPr>
        <w:sectPr w:rsidR="004F3A00">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4F3A00" w:rsidRDefault="00CE775C">
      <w:pPr>
        <w:spacing w:after="120" w:line="240" w:lineRule="auto"/>
        <w:jc w:val="center"/>
        <w:rPr>
          <w:rFonts w:ascii="Times New Roman" w:hAnsi="Times New Roman" w:cs="Times New Roman"/>
          <w:b/>
          <w:noProof/>
          <w:sz w:val="24"/>
          <w:szCs w:val="24"/>
        </w:rPr>
      </w:pPr>
      <w:r>
        <w:rPr>
          <w:rFonts w:ascii="Times New Roman" w:hAnsi="Times New Roman"/>
          <w:b/>
          <w:noProof/>
        </w:rPr>
        <w:lastRenderedPageBreak/>
        <w:t xml:space="preserve">Stojimo proceso stiprinimas. Įtikima ES perspektyva Vakarų Balkanų šalimis  </w:t>
      </w:r>
    </w:p>
    <w:p w:rsidR="004F3A00" w:rsidRDefault="004F3A00">
      <w:pPr>
        <w:spacing w:after="120" w:line="240" w:lineRule="auto"/>
        <w:rPr>
          <w:rFonts w:ascii="Times New Roman" w:hAnsi="Times New Roman" w:cs="Times New Roman"/>
          <w:b/>
          <w:noProof/>
          <w:sz w:val="24"/>
          <w:szCs w:val="24"/>
          <w:u w:val="single"/>
        </w:rPr>
      </w:pPr>
    </w:p>
    <w:p w:rsidR="004F3A00" w:rsidRDefault="00CE775C">
      <w:pPr>
        <w:pStyle w:val="ListParagraph"/>
        <w:numPr>
          <w:ilvl w:val="0"/>
          <w:numId w:val="6"/>
        </w:numPr>
        <w:spacing w:after="120" w:line="240" w:lineRule="auto"/>
        <w:contextualSpacing w:val="0"/>
        <w:rPr>
          <w:rFonts w:ascii="Times New Roman" w:hAnsi="Times New Roman" w:cs="Times New Roman"/>
          <w:b/>
          <w:noProof/>
          <w:sz w:val="24"/>
          <w:szCs w:val="24"/>
        </w:rPr>
      </w:pPr>
      <w:r>
        <w:rPr>
          <w:rFonts w:ascii="Times New Roman" w:hAnsi="Times New Roman"/>
          <w:b/>
          <w:noProof/>
        </w:rPr>
        <w:t>Įvadas</w:t>
      </w:r>
    </w:p>
    <w:p w:rsidR="004F3A00" w:rsidRDefault="004F3A00">
      <w:pPr>
        <w:spacing w:after="120" w:line="240" w:lineRule="auto"/>
        <w:jc w:val="both"/>
        <w:rPr>
          <w:rFonts w:ascii="Times New Roman" w:hAnsi="Times New Roman" w:cs="Times New Roman"/>
          <w:noProof/>
          <w:sz w:val="24"/>
          <w:szCs w:val="24"/>
        </w:rPr>
      </w:pPr>
    </w:p>
    <w:p w:rsidR="004F3A00" w:rsidRDefault="00CE775C">
      <w:pPr>
        <w:spacing w:after="120" w:line="240" w:lineRule="auto"/>
        <w:jc w:val="both"/>
        <w:rPr>
          <w:rFonts w:ascii="Times New Roman" w:eastAsia="Calibri" w:hAnsi="Times New Roman" w:cs="Times New Roman"/>
          <w:iCs/>
          <w:noProof/>
          <w:sz w:val="24"/>
          <w:szCs w:val="24"/>
        </w:rPr>
      </w:pPr>
      <w:r>
        <w:rPr>
          <w:rFonts w:ascii="Times New Roman" w:hAnsi="Times New Roman"/>
          <w:noProof/>
        </w:rPr>
        <w:t xml:space="preserve">Nuo pat 2000 m. Feiroje ir 2003 m. Tesalonikuose vykusių aukščiausiojo lygio susitikimų Europos Sąjunga ir jos valstybės narės nuosekliai reiškė </w:t>
      </w:r>
      <w:r>
        <w:rPr>
          <w:rFonts w:ascii="Times New Roman" w:hAnsi="Times New Roman"/>
          <w:b/>
          <w:bCs/>
          <w:noProof/>
        </w:rPr>
        <w:t>tvirtą paramą Vakarų Balkanų europinei perspektyvai</w:t>
      </w:r>
      <w:r>
        <w:rPr>
          <w:rFonts w:ascii="Times New Roman" w:hAnsi="Times New Roman"/>
          <w:noProof/>
        </w:rPr>
        <w:t xml:space="preserve">. 2019 m. birželio mėn. Bendrųjų reikalų taryboje priimtose </w:t>
      </w:r>
      <w:r>
        <w:rPr>
          <w:rFonts w:ascii="Times New Roman" w:hAnsi="Times New Roman"/>
          <w:noProof/>
        </w:rPr>
        <w:t>Tarybos išvadose tai buvo patvirtinta dar kartą: „</w:t>
      </w:r>
      <w:r>
        <w:rPr>
          <w:rFonts w:ascii="Times New Roman" w:hAnsi="Times New Roman"/>
          <w:i/>
          <w:iCs/>
          <w:noProof/>
        </w:rPr>
        <w:t xml:space="preserve">Vadovaudamasi 2006 m. gruodžio 14–15 d. Europos Vadovų Tarybos patvirtintu atnaujintu konsensusu dėl plėtros ir vėlesnėmis Tarybos išvadomis, Taryba dar kartą patvirtina savo </w:t>
      </w:r>
      <w:r>
        <w:rPr>
          <w:rFonts w:ascii="Times New Roman" w:hAnsi="Times New Roman"/>
          <w:b/>
          <w:bCs/>
          <w:i/>
          <w:iCs/>
          <w:noProof/>
        </w:rPr>
        <w:t>įsipareigojimą dėl plėtros</w:t>
      </w:r>
      <w:r>
        <w:rPr>
          <w:rFonts w:ascii="Times New Roman" w:hAnsi="Times New Roman"/>
          <w:i/>
          <w:iCs/>
          <w:noProof/>
        </w:rPr>
        <w:t xml:space="preserve"> – ta</w:t>
      </w:r>
      <w:r>
        <w:rPr>
          <w:rFonts w:ascii="Times New Roman" w:hAnsi="Times New Roman"/>
          <w:i/>
          <w:iCs/>
          <w:noProof/>
        </w:rPr>
        <w:t>i tebėra itin svarbi Europos Sąjungos politikos kryptis.</w:t>
      </w:r>
      <w:r>
        <w:rPr>
          <w:rFonts w:ascii="Times New Roman" w:hAnsi="Times New Roman"/>
          <w:noProof/>
        </w:rPr>
        <w:t>“</w:t>
      </w:r>
      <w:r>
        <w:rPr>
          <w:rFonts w:ascii="Times New Roman" w:hAnsi="Times New Roman"/>
          <w:iCs/>
          <w:noProof/>
        </w:rPr>
        <w:t xml:space="preserve"> 2019 m. lapkričio mėn. Tarybos susitikime buvo bendrai pritarta tam, kad būtų naudinga išnagrinėti derybų dėl stojimo proceso veiksmingumą.</w:t>
      </w:r>
    </w:p>
    <w:p w:rsidR="004F3A00" w:rsidRDefault="00CE775C">
      <w:pPr>
        <w:spacing w:after="120" w:line="240" w:lineRule="auto"/>
        <w:jc w:val="both"/>
        <w:rPr>
          <w:rFonts w:ascii="Times New Roman" w:eastAsia="Calibri" w:hAnsi="Times New Roman" w:cs="Times New Roman"/>
          <w:noProof/>
          <w:sz w:val="24"/>
          <w:szCs w:val="24"/>
        </w:rPr>
      </w:pPr>
      <w:r>
        <w:rPr>
          <w:rFonts w:ascii="Times New Roman" w:hAnsi="Times New Roman"/>
          <w:b/>
          <w:noProof/>
        </w:rPr>
        <w:t xml:space="preserve">Tvirta, pasiekimais grindžiama visateisės narystės ES </w:t>
      </w:r>
      <w:r>
        <w:rPr>
          <w:rFonts w:ascii="Times New Roman" w:hAnsi="Times New Roman"/>
          <w:b/>
          <w:noProof/>
        </w:rPr>
        <w:t>perspektyva</w:t>
      </w:r>
      <w:r>
        <w:rPr>
          <w:rFonts w:ascii="Times New Roman" w:hAnsi="Times New Roman"/>
          <w:noProof/>
        </w:rPr>
        <w:t xml:space="preserve"> Vakarų Balkanų šalims atitinka pačios Sąjungos politinius, saugumo ir ekonominius interesus. Pasauliui susiduriant su vis didesniais iššūkiais ir dažnėjant nesutarimams, ypač svarbu </w:t>
      </w:r>
      <w:r>
        <w:rPr>
          <w:rFonts w:ascii="Times New Roman" w:hAnsi="Times New Roman"/>
          <w:b/>
          <w:noProof/>
        </w:rPr>
        <w:t>geostrategiškai investuoti</w:t>
      </w:r>
      <w:r>
        <w:rPr>
          <w:rFonts w:ascii="Times New Roman" w:hAnsi="Times New Roman"/>
          <w:noProof/>
        </w:rPr>
        <w:t xml:space="preserve"> į stabilią, stiprią ir vieningą Eur</w:t>
      </w:r>
      <w:r>
        <w:rPr>
          <w:rFonts w:ascii="Times New Roman" w:hAnsi="Times New Roman"/>
          <w:noProof/>
        </w:rPr>
        <w:t>opą. Įtikima ES narystės perspektyva yra pagrindinė regiono transformacijos paskata ir varomoji jėga ir taip ji stiprina mūsų bendrą saugumą ir gerovę. Tai viena pagrindinių priemonių demokratijai, teisinei valstybei ir pagarbai pagrindinėms teisėms skatin</w:t>
      </w:r>
      <w:r>
        <w:rPr>
          <w:rFonts w:ascii="Times New Roman" w:hAnsi="Times New Roman"/>
          <w:noProof/>
        </w:rPr>
        <w:t xml:space="preserve">ti; šie aspektai taip pat yra pagrindiniai ekonominės integracijos varomosios jėgos ir svarbus pagrindas, leidžiantis sudaryti palankias sąlygas susitaikymui ir stabilumui regione. Norint išsaugoti </w:t>
      </w:r>
      <w:r>
        <w:rPr>
          <w:rFonts w:ascii="Times New Roman" w:hAnsi="Times New Roman"/>
          <w:b/>
          <w:noProof/>
        </w:rPr>
        <w:t>ES patikimumą, įtvirtinti jos laimėjimus ir įtaką šiame re</w:t>
      </w:r>
      <w:r>
        <w:rPr>
          <w:rFonts w:ascii="Times New Roman" w:hAnsi="Times New Roman"/>
          <w:b/>
          <w:noProof/>
        </w:rPr>
        <w:t>gione ir už jo ribų</w:t>
      </w:r>
      <w:r>
        <w:rPr>
          <w:rFonts w:ascii="Times New Roman" w:hAnsi="Times New Roman"/>
          <w:noProof/>
        </w:rPr>
        <w:t xml:space="preserve">, svarbu laikytis šios politikos ir ją stiprinti, ypač tada, kai didėja geopolitinė konkurencija. </w:t>
      </w:r>
    </w:p>
    <w:p w:rsidR="004F3A00" w:rsidRDefault="00CE775C">
      <w:p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Tačiau taip pat aišku, kad būtina </w:t>
      </w:r>
      <w:r>
        <w:rPr>
          <w:rFonts w:ascii="Times New Roman" w:hAnsi="Times New Roman"/>
          <w:b/>
          <w:noProof/>
        </w:rPr>
        <w:t>toliau didinti bendro stojimo proceso ir jo įgyvendinimo veiksmingumą</w:t>
      </w:r>
      <w:r>
        <w:rPr>
          <w:rFonts w:ascii="Times New Roman" w:hAnsi="Times New Roman"/>
          <w:noProof/>
        </w:rPr>
        <w:t xml:space="preserve">. Nors strateginė šios politikos kryptis aktuali kaip niekada anksčiau, ją reikėtų dar labiau praktiškai sutvirtinti vietoje. </w:t>
      </w:r>
    </w:p>
    <w:p w:rsidR="004F3A00" w:rsidRDefault="00CE775C">
      <w:pPr>
        <w:spacing w:after="120" w:line="240" w:lineRule="auto"/>
        <w:jc w:val="both"/>
        <w:rPr>
          <w:rFonts w:ascii="Times New Roman" w:eastAsia="Calibri" w:hAnsi="Times New Roman" w:cs="Times New Roman"/>
          <w:noProof/>
          <w:sz w:val="24"/>
          <w:szCs w:val="24"/>
        </w:rPr>
      </w:pPr>
      <w:r>
        <w:rPr>
          <w:rFonts w:ascii="Times New Roman" w:hAnsi="Times New Roman"/>
          <w:noProof/>
        </w:rPr>
        <w:t>Nors viena po kitos buvo įgyvendintos reformos, pvz., dėl naujo požiūrio į teisinę valstybę, nors susitelkta į pagrindinius princ</w:t>
      </w:r>
      <w:r>
        <w:rPr>
          <w:rFonts w:ascii="Times New Roman" w:hAnsi="Times New Roman"/>
          <w:noProof/>
        </w:rPr>
        <w:t>ipus ir padaryta pažanga vadovaujantis Komisijos 2018 m. strategija dėl Vakarų Balkanų šalių</w:t>
      </w:r>
      <w:r>
        <w:rPr>
          <w:rStyle w:val="FootnoteReference"/>
          <w:noProof/>
        </w:rPr>
        <w:footnoteReference w:id="2"/>
      </w:r>
      <w:r>
        <w:rPr>
          <w:rFonts w:ascii="Times New Roman" w:hAnsi="Times New Roman"/>
          <w:noProof/>
        </w:rPr>
        <w:t xml:space="preserve">, procesui reikalingos geresnės priemonės šiose šalyse kovoti su </w:t>
      </w:r>
      <w:r>
        <w:rPr>
          <w:rFonts w:ascii="Times New Roman" w:hAnsi="Times New Roman"/>
          <w:b/>
          <w:noProof/>
        </w:rPr>
        <w:t>struktūriniais trūkumais</w:t>
      </w:r>
      <w:r>
        <w:rPr>
          <w:rFonts w:ascii="Times New Roman" w:hAnsi="Times New Roman"/>
          <w:noProof/>
        </w:rPr>
        <w:t xml:space="preserve">, visų pirma susijusiais su pagrindiniais principais. </w:t>
      </w:r>
    </w:p>
    <w:p w:rsidR="004F3A00" w:rsidRDefault="00CE775C">
      <w:pPr>
        <w:spacing w:after="120" w:line="240" w:lineRule="auto"/>
        <w:jc w:val="both"/>
        <w:rPr>
          <w:rFonts w:ascii="Times New Roman" w:eastAsia="Calibri" w:hAnsi="Times New Roman" w:cs="Times New Roman"/>
          <w:noProof/>
          <w:sz w:val="24"/>
          <w:szCs w:val="24"/>
        </w:rPr>
      </w:pPr>
      <w:r>
        <w:rPr>
          <w:rFonts w:ascii="Times New Roman" w:hAnsi="Times New Roman"/>
          <w:noProof/>
        </w:rPr>
        <w:t xml:space="preserve">Ypač svarbu </w:t>
      </w:r>
      <w:r>
        <w:rPr>
          <w:rFonts w:ascii="Times New Roman" w:hAnsi="Times New Roman"/>
          <w:b/>
          <w:noProof/>
        </w:rPr>
        <w:t>didinti</w:t>
      </w:r>
      <w:r>
        <w:rPr>
          <w:rFonts w:ascii="Times New Roman" w:hAnsi="Times New Roman"/>
          <w:b/>
          <w:noProof/>
        </w:rPr>
        <w:t xml:space="preserve"> visų suinteresuotųjų subjektų tarpusavio pasitikėjimą</w:t>
      </w:r>
      <w:r>
        <w:rPr>
          <w:rFonts w:ascii="Times New Roman" w:hAnsi="Times New Roman"/>
          <w:noProof/>
        </w:rPr>
        <w:t xml:space="preserve">, sutvirtinti </w:t>
      </w:r>
      <w:r>
        <w:rPr>
          <w:rFonts w:ascii="Times New Roman" w:hAnsi="Times New Roman"/>
          <w:b/>
          <w:noProof/>
        </w:rPr>
        <w:t>stojimo procesą ir padaryti jį veiksmingesnį</w:t>
      </w:r>
      <w:r>
        <w:rPr>
          <w:rFonts w:ascii="Times New Roman" w:hAnsi="Times New Roman"/>
          <w:noProof/>
        </w:rPr>
        <w:t>.</w:t>
      </w:r>
      <w:r>
        <w:rPr>
          <w:rFonts w:ascii="Times New Roman" w:hAnsi="Times New Roman"/>
          <w:b/>
          <w:noProof/>
        </w:rPr>
        <w:t xml:space="preserve"> </w:t>
      </w:r>
      <w:r>
        <w:rPr>
          <w:rFonts w:ascii="Times New Roman" w:hAnsi="Times New Roman"/>
          <w:noProof/>
        </w:rPr>
        <w:t xml:space="preserve">Vadovaujantis objektyviais kriterijais, nustatant griežtas teigiamas ir neigiamas bei atšaukiamumo sąlygas, šis procesas turi tapti </w:t>
      </w:r>
      <w:r>
        <w:rPr>
          <w:rFonts w:ascii="Times New Roman" w:hAnsi="Times New Roman"/>
          <w:b/>
          <w:noProof/>
        </w:rPr>
        <w:t>labiau nus</w:t>
      </w:r>
      <w:r>
        <w:rPr>
          <w:rFonts w:ascii="Times New Roman" w:hAnsi="Times New Roman"/>
          <w:b/>
          <w:noProof/>
        </w:rPr>
        <w:t>pėjamas ir įtikimas, dinamiškesnis ir su tvirta politine kryptimi.</w:t>
      </w:r>
    </w:p>
    <w:p w:rsidR="004F3A00" w:rsidRDefault="00CE775C">
      <w:pPr>
        <w:spacing w:after="120" w:line="240" w:lineRule="auto"/>
        <w:jc w:val="both"/>
        <w:rPr>
          <w:rFonts w:ascii="Times New Roman" w:eastAsia="Calibri" w:hAnsi="Times New Roman" w:cs="Times New Roman"/>
          <w:b/>
          <w:bCs/>
          <w:noProof/>
          <w:sz w:val="24"/>
          <w:szCs w:val="24"/>
        </w:rPr>
      </w:pPr>
      <w:r>
        <w:rPr>
          <w:rFonts w:ascii="Times New Roman" w:hAnsi="Times New Roman"/>
          <w:b/>
          <w:bCs/>
          <w:noProof/>
        </w:rPr>
        <w:t>Šiame komunikate išdėstomi</w:t>
      </w:r>
      <w:r>
        <w:rPr>
          <w:rFonts w:ascii="Times New Roman" w:hAnsi="Times New Roman"/>
          <w:noProof/>
        </w:rPr>
        <w:t xml:space="preserve"> </w:t>
      </w:r>
      <w:r>
        <w:rPr>
          <w:rFonts w:ascii="Times New Roman" w:hAnsi="Times New Roman"/>
          <w:b/>
          <w:bCs/>
          <w:noProof/>
        </w:rPr>
        <w:t xml:space="preserve">konkretūs Komisijos </w:t>
      </w:r>
      <w:r>
        <w:rPr>
          <w:rFonts w:ascii="Times New Roman" w:hAnsi="Times New Roman"/>
          <w:b/>
          <w:noProof/>
        </w:rPr>
        <w:t>pasiūlymai,</w:t>
      </w:r>
      <w:r>
        <w:rPr>
          <w:rFonts w:ascii="Times New Roman" w:hAnsi="Times New Roman"/>
          <w:noProof/>
        </w:rPr>
        <w:t xml:space="preserve"> kaip sutvirtinti visą stojimo procesą. Šiais pasiūlymais apskritai siekiama didinti patikimumą ir abipusį pasitikėjimą ir užtikrin</w:t>
      </w:r>
      <w:r>
        <w:rPr>
          <w:rFonts w:ascii="Times New Roman" w:hAnsi="Times New Roman"/>
          <w:noProof/>
        </w:rPr>
        <w:t>ti geresnius praktinius rezultatus vietoje. Siūlomus pakeitimus galima įtraukti į esamas derybų programas ir taip regione užtikrinti vienodas sąlygas. Tai reiškia, kad Serbijos ir Juodkalnijos derybų programos nebus iš dalies keičiamos, bet gavus šių dviej</w:t>
      </w:r>
      <w:r>
        <w:rPr>
          <w:rFonts w:ascii="Times New Roman" w:hAnsi="Times New Roman"/>
          <w:noProof/>
        </w:rPr>
        <w:t>ų šalių sutikimą, siūlomi pakeitimai gali būti įtraukti į jau egzistuojančias programas.</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Pagrindinis Europos Sąjungos įsipareigojimo Vakarų Balkanų šalims tikslas yra parengti šio regiono šalis taip, kad jos patenkintų visus narystės reikalavimus. Tai apim</w:t>
      </w:r>
      <w:r>
        <w:rPr>
          <w:rFonts w:ascii="Times New Roman" w:hAnsi="Times New Roman"/>
          <w:noProof/>
        </w:rPr>
        <w:t xml:space="preserve">a paramą </w:t>
      </w:r>
      <w:r>
        <w:rPr>
          <w:rFonts w:ascii="Times New Roman" w:hAnsi="Times New Roman"/>
          <w:b/>
          <w:noProof/>
        </w:rPr>
        <w:t>pagrindiniams demokratijos ir teisinės valstybės principams bei ekonomikos reformoms</w:t>
      </w:r>
      <w:r>
        <w:rPr>
          <w:rFonts w:ascii="Times New Roman" w:hAnsi="Times New Roman"/>
          <w:noProof/>
        </w:rPr>
        <w:t xml:space="preserve"> ir pritarimą esminėms Europos vertybėms. Savo ruožtu tai paskatins tvirtą ir spartesnį </w:t>
      </w:r>
      <w:r>
        <w:rPr>
          <w:rFonts w:ascii="Times New Roman" w:hAnsi="Times New Roman"/>
          <w:b/>
          <w:noProof/>
        </w:rPr>
        <w:t xml:space="preserve"> ekonomikos augimą ir socialinę konvergenciją</w:t>
      </w:r>
      <w:r>
        <w:rPr>
          <w:rFonts w:ascii="Times New Roman" w:hAnsi="Times New Roman"/>
          <w:noProof/>
        </w:rPr>
        <w:t xml:space="preserve">. </w:t>
      </w:r>
    </w:p>
    <w:p w:rsidR="004F3A00" w:rsidRDefault="00CE775C">
      <w:pPr>
        <w:pStyle w:val="Briefingtext"/>
        <w:spacing w:after="120"/>
        <w:rPr>
          <w:rFonts w:ascii="Times New Roman" w:eastAsia="Calibri" w:hAnsi="Times New Roman" w:cs="Times New Roman"/>
          <w:noProof/>
          <w:sz w:val="24"/>
        </w:rPr>
      </w:pPr>
      <w:r>
        <w:rPr>
          <w:rFonts w:ascii="Times New Roman" w:hAnsi="Times New Roman"/>
          <w:noProof/>
        </w:rPr>
        <w:t>Be to, tam, kad stojimo pro</w:t>
      </w:r>
      <w:r>
        <w:rPr>
          <w:rFonts w:ascii="Times New Roman" w:hAnsi="Times New Roman"/>
          <w:noProof/>
        </w:rPr>
        <w:t xml:space="preserve">cesas būtų veiksmingesnis, ypač svarbi bus </w:t>
      </w:r>
      <w:r>
        <w:rPr>
          <w:rFonts w:ascii="Times New Roman" w:hAnsi="Times New Roman"/>
          <w:b/>
          <w:noProof/>
        </w:rPr>
        <w:t>strateginė komunikacija</w:t>
      </w:r>
      <w:r>
        <w:rPr>
          <w:rFonts w:ascii="Times New Roman" w:hAnsi="Times New Roman"/>
          <w:noProof/>
        </w:rPr>
        <w:t xml:space="preserve">. Labai svarbu regione didinti informuotumą apie glaudesnės integracijos ir reformų teikiamas </w:t>
      </w:r>
      <w:r>
        <w:rPr>
          <w:rFonts w:ascii="Times New Roman" w:hAnsi="Times New Roman"/>
          <w:noProof/>
        </w:rPr>
        <w:lastRenderedPageBreak/>
        <w:t>galimybes ir kovoti su žalinga trečiųjų šalių įtaka. Tam taip pat reikia įtikinamų pačių šalių p</w:t>
      </w:r>
      <w:r>
        <w:rPr>
          <w:rFonts w:ascii="Times New Roman" w:hAnsi="Times New Roman"/>
          <w:noProof/>
        </w:rPr>
        <w:t xml:space="preserve">astangų. Šių šalių valdžios institucijų viešas politinis įsipareigojimas siekti strateginio ES narystės tikslo turi būti aiškiau įvertintas metinėse ataskaitose. </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 xml:space="preserve">Šis politinis požiūris bus </w:t>
      </w:r>
      <w:r>
        <w:rPr>
          <w:rFonts w:ascii="Times New Roman" w:hAnsi="Times New Roman"/>
          <w:b/>
          <w:noProof/>
        </w:rPr>
        <w:t>į ateitį orientuotos darbotvarkės</w:t>
      </w:r>
      <w:r>
        <w:rPr>
          <w:rFonts w:ascii="Times New Roman" w:hAnsi="Times New Roman"/>
          <w:noProof/>
        </w:rPr>
        <w:t xml:space="preserve"> kertinis akmuo. Ši darbotvarkė p</w:t>
      </w:r>
      <w:r>
        <w:rPr>
          <w:rFonts w:ascii="Times New Roman" w:hAnsi="Times New Roman"/>
          <w:noProof/>
        </w:rPr>
        <w:t xml:space="preserve">arems Vakarų Balkanų šalių tapsmą veikiančiomis rinkos ekonomikomis, galinčiomis visapusiškai integruotis į ES bendrąją rinką, kurti darbo vietas ir verslo galimybes, gerinti verslo ir investicijų aplinką, skatinti teisinės valstybės kultūrą ir sustabdyti </w:t>
      </w:r>
      <w:r>
        <w:rPr>
          <w:rFonts w:ascii="Times New Roman" w:hAnsi="Times New Roman"/>
          <w:noProof/>
        </w:rPr>
        <w:t>protų nutekėjimą iš regiono. Šios reformos yra būtinos, norint pagerinti Balkanų šalių ekonomikų būklę ir susieti jas su ES rinkomis, paspartinant būtiną konvergenciją su ES. Komisija visų pirma svarstys, kokiais būdais paskatinti investicijas, socialinę i</w:t>
      </w:r>
      <w:r>
        <w:rPr>
          <w:rFonts w:ascii="Times New Roman" w:hAnsi="Times New Roman"/>
          <w:noProof/>
        </w:rPr>
        <w:t>r ekonominę integraciją ir teisinės valstybės kultūrą, padidinti galimybes patekti į ES bendrąją rinką, sustiprinti sujungiamumą ir pasinaudoti žaliosios ekonomikos teikiamomis galimybėmis. 2020 m. gegužės mėn. vyksiančiame aukščiausiojo lygio susitikime K</w:t>
      </w:r>
      <w:r>
        <w:rPr>
          <w:rFonts w:ascii="Times New Roman" w:hAnsi="Times New Roman"/>
          <w:noProof/>
        </w:rPr>
        <w:t xml:space="preserve">omisija pristatys komunikatą šiais klausimais. </w:t>
      </w:r>
    </w:p>
    <w:p w:rsidR="004F3A00" w:rsidRDefault="004F3A00">
      <w:pPr>
        <w:spacing w:after="120" w:line="240" w:lineRule="auto"/>
        <w:jc w:val="both"/>
        <w:rPr>
          <w:rFonts w:ascii="Times New Roman" w:hAnsi="Times New Roman" w:cs="Times New Roman"/>
          <w:noProof/>
          <w:sz w:val="24"/>
          <w:szCs w:val="24"/>
        </w:rPr>
      </w:pPr>
    </w:p>
    <w:p w:rsidR="004F3A00" w:rsidRDefault="00CE775C">
      <w:pPr>
        <w:pStyle w:val="ListParagraph"/>
        <w:numPr>
          <w:ilvl w:val="0"/>
          <w:numId w:val="6"/>
        </w:numPr>
        <w:spacing w:after="120" w:line="240" w:lineRule="auto"/>
        <w:contextualSpacing w:val="0"/>
        <w:rPr>
          <w:rFonts w:ascii="Times New Roman" w:hAnsi="Times New Roman" w:cs="Times New Roman"/>
          <w:b/>
          <w:noProof/>
          <w:sz w:val="24"/>
          <w:szCs w:val="24"/>
        </w:rPr>
      </w:pPr>
      <w:r>
        <w:rPr>
          <w:rFonts w:ascii="Times New Roman" w:hAnsi="Times New Roman"/>
          <w:b/>
          <w:noProof/>
        </w:rPr>
        <w:t>Stojimo proceso atgaivinimas</w:t>
      </w:r>
    </w:p>
    <w:p w:rsidR="004F3A00" w:rsidRDefault="004F3A00">
      <w:pPr>
        <w:pStyle w:val="ListParagraph"/>
        <w:spacing w:after="120" w:line="240" w:lineRule="auto"/>
        <w:ind w:left="1080"/>
        <w:contextualSpacing w:val="0"/>
        <w:rPr>
          <w:rFonts w:ascii="Times New Roman" w:hAnsi="Times New Roman" w:cs="Times New Roman"/>
          <w:b/>
          <w:noProof/>
          <w:sz w:val="24"/>
          <w:szCs w:val="24"/>
          <w:u w:val="single"/>
        </w:rPr>
      </w:pPr>
    </w:p>
    <w:p w:rsidR="004F3A00" w:rsidRDefault="00CE775C">
      <w:pPr>
        <w:pStyle w:val="ListParagraph"/>
        <w:numPr>
          <w:ilvl w:val="0"/>
          <w:numId w:val="32"/>
        </w:numPr>
        <w:spacing w:after="120" w:line="240" w:lineRule="auto"/>
        <w:jc w:val="both"/>
        <w:rPr>
          <w:rFonts w:ascii="Times New Roman" w:hAnsi="Times New Roman" w:cs="Times New Roman"/>
          <w:b/>
          <w:noProof/>
          <w:sz w:val="24"/>
          <w:szCs w:val="24"/>
        </w:rPr>
      </w:pPr>
      <w:r>
        <w:rPr>
          <w:rFonts w:ascii="Times New Roman" w:hAnsi="Times New Roman"/>
          <w:b/>
          <w:noProof/>
        </w:rPr>
        <w:t>Didesnis įtikimumas</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 xml:space="preserve">Tam, kad abi pusės atgautų pasitikėjimą stojimo procesu ir visapusiškai išnaudotų jo teikiamą potencialą, procesas turi remtis tvirtu </w:t>
      </w:r>
      <w:r>
        <w:rPr>
          <w:rFonts w:ascii="Times New Roman" w:hAnsi="Times New Roman"/>
          <w:b/>
          <w:noProof/>
        </w:rPr>
        <w:t>tarpusavio pasitikėjimu</w:t>
      </w:r>
      <w:r>
        <w:rPr>
          <w:rFonts w:ascii="Times New Roman" w:hAnsi="Times New Roman"/>
          <w:b/>
          <w:noProof/>
        </w:rPr>
        <w:t xml:space="preserve"> ir aiškiais abipusiais įsipareigojimais</w:t>
      </w:r>
      <w:r>
        <w:rPr>
          <w:rFonts w:ascii="Times New Roman" w:hAnsi="Times New Roman"/>
          <w:noProof/>
        </w:rPr>
        <w:t xml:space="preserve">. </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 xml:space="preserve">Tai </w:t>
      </w:r>
      <w:r>
        <w:rPr>
          <w:rFonts w:ascii="Times New Roman" w:hAnsi="Times New Roman"/>
          <w:b/>
          <w:noProof/>
        </w:rPr>
        <w:t xml:space="preserve">reiškia, kad Vakarų Balkanų šalių vadovai privalo įtikimiau parodyti savo įsipareigojimą </w:t>
      </w:r>
      <w:r>
        <w:rPr>
          <w:rFonts w:ascii="Times New Roman" w:hAnsi="Times New Roman"/>
          <w:noProof/>
        </w:rPr>
        <w:t xml:space="preserve">įgyvendinti būtinas pagrindines reformas dėl teisinės valstybės, kovos su korupcija, ekonomikos ar tinkamo demokratinių </w:t>
      </w:r>
      <w:r>
        <w:rPr>
          <w:rFonts w:ascii="Times New Roman" w:hAnsi="Times New Roman"/>
          <w:noProof/>
        </w:rPr>
        <w:t xml:space="preserve">institucijų ir viešojo administravimo veikimo bei vieningos užsienio politikos. ES valstybėms narėms ir piliečiams kyla teisėtų klausimų; jie turi įsitikinti tvirta šių šalių politine valia, kurią įrodytų apčiuopiamos struktūrinės reformos. Vakarų Balkanų </w:t>
      </w:r>
      <w:r>
        <w:rPr>
          <w:rFonts w:ascii="Times New Roman" w:hAnsi="Times New Roman"/>
          <w:noProof/>
        </w:rPr>
        <w:t>šalių vadovai taip pat turi dėti tolesnes pastangas, kad sustiprintų regioninį bendradarbiavimą ir palaikytų gerus santykius su kaimyninėmis šalimis, kad savo piliečiams atneštų stabilumą ir gerovę, kartu pasitikėdami ES ir spręsdami savo istorines problem</w:t>
      </w:r>
      <w:r>
        <w:rPr>
          <w:rFonts w:ascii="Times New Roman" w:hAnsi="Times New Roman"/>
          <w:noProof/>
        </w:rPr>
        <w:t>as.</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 xml:space="preserve">Tai taip pat reiškia, kad </w:t>
      </w:r>
      <w:r>
        <w:rPr>
          <w:rFonts w:ascii="Times New Roman" w:hAnsi="Times New Roman"/>
          <w:b/>
          <w:noProof/>
        </w:rPr>
        <w:t>Europos Sąjunga tvirtai laikosi savo įsipareigojimo vykdyti nuopelnais grindžiamą procesą.</w:t>
      </w:r>
      <w:r>
        <w:rPr>
          <w:rFonts w:ascii="Times New Roman" w:hAnsi="Times New Roman"/>
          <w:noProof/>
        </w:rPr>
        <w:t xml:space="preserve"> Kai šalys partnerės patenkins objektyvius kriterijus ir nustatytas objektyvias sąlygas, valstybės narės priims bendrą sprendimą pradėti</w:t>
      </w:r>
      <w:r>
        <w:rPr>
          <w:rFonts w:ascii="Times New Roman" w:hAnsi="Times New Roman"/>
          <w:noProof/>
        </w:rPr>
        <w:t xml:space="preserve"> tolesnį proceso etapą. Nė viena šalis neturėtų piktnaudžiauti neišspręstais klausimais stojimo į ES procese. Taip pat valstybės narės ir institucijos regiono klausimais turi būti vieningos ir siųsti aiškų palaikymo ir padrąsinimo signalą, iš karto aiškiai</w:t>
      </w:r>
      <w:r>
        <w:rPr>
          <w:rFonts w:ascii="Times New Roman" w:hAnsi="Times New Roman"/>
          <w:noProof/>
        </w:rPr>
        <w:t xml:space="preserve"> ir sąžiningai kalbėti apie atsiradusius trūkumus.  </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 xml:space="preserve">Patikimumą galėtų sustiprinti </w:t>
      </w:r>
      <w:r>
        <w:rPr>
          <w:rFonts w:ascii="Times New Roman" w:hAnsi="Times New Roman"/>
          <w:b/>
          <w:noProof/>
        </w:rPr>
        <w:t xml:space="preserve"> dar didesnis dėmesys pagrindinėms reformoms,</w:t>
      </w:r>
      <w:r>
        <w:rPr>
          <w:rFonts w:ascii="Times New Roman" w:hAnsi="Times New Roman"/>
          <w:noProof/>
        </w:rPr>
        <w:t xml:space="preserve"> kurios ypač svarbios siekiant sėkmės ES kelyje. Šie pagrindiniai principai taps vis svarbesni derybose dėl stojimo. </w:t>
      </w:r>
      <w:r>
        <w:rPr>
          <w:rFonts w:ascii="Times New Roman" w:hAnsi="Times New Roman"/>
          <w:b/>
          <w:noProof/>
        </w:rPr>
        <w:t>Derybos dėl</w:t>
      </w:r>
      <w:r>
        <w:rPr>
          <w:rFonts w:ascii="Times New Roman" w:hAnsi="Times New Roman"/>
          <w:b/>
          <w:noProof/>
        </w:rPr>
        <w:t xml:space="preserve"> pagrindinių principų bus pradėtos pirmiausia ir baigtos paskiausia</w:t>
      </w:r>
      <w:r>
        <w:rPr>
          <w:rFonts w:ascii="Times New Roman" w:hAnsi="Times New Roman"/>
          <w:noProof/>
        </w:rPr>
        <w:t>, pažanga dėl jų lems bendrą derybų eigą. Derybose dėl pagrindinių principų bus vadovaujamasi šiomis nuostatomis:</w:t>
      </w:r>
    </w:p>
    <w:p w:rsidR="004F3A00" w:rsidRDefault="00CE775C">
      <w:pPr>
        <w:widowControl w:val="0"/>
        <w:numPr>
          <w:ilvl w:val="0"/>
          <w:numId w:val="24"/>
        </w:numPr>
        <w:spacing w:after="120" w:line="240" w:lineRule="auto"/>
        <w:jc w:val="both"/>
        <w:rPr>
          <w:rFonts w:ascii="Times New Roman" w:hAnsi="Times New Roman" w:cs="Times New Roman"/>
          <w:noProof/>
          <w:sz w:val="24"/>
          <w:szCs w:val="24"/>
        </w:rPr>
      </w:pPr>
      <w:r>
        <w:rPr>
          <w:rFonts w:ascii="Times New Roman" w:hAnsi="Times New Roman"/>
          <w:b/>
          <w:noProof/>
        </w:rPr>
        <w:t>veiksmų gairės dėl teisinės valstybės</w:t>
      </w:r>
      <w:r>
        <w:rPr>
          <w:rFonts w:ascii="Times New Roman" w:hAnsi="Times New Roman"/>
          <w:noProof/>
        </w:rPr>
        <w:t xml:space="preserve"> skyrių, atitinkančios ankstesnius vei</w:t>
      </w:r>
      <w:r>
        <w:rPr>
          <w:rFonts w:ascii="Times New Roman" w:hAnsi="Times New Roman"/>
          <w:noProof/>
        </w:rPr>
        <w:t>ksmų planus, bus derybinio skyriaus atidarymo kriterijus. Toliau bus nustatomi tarpiniai kriterijai. Neįvykdžius šių kriterijų, joks kitas skyrius nebus laikinai uždarytas;</w:t>
      </w:r>
    </w:p>
    <w:p w:rsidR="004F3A00" w:rsidRDefault="00CE775C">
      <w:pPr>
        <w:widowControl w:val="0"/>
        <w:numPr>
          <w:ilvl w:val="0"/>
          <w:numId w:val="24"/>
        </w:numPr>
        <w:spacing w:after="120" w:line="240" w:lineRule="auto"/>
        <w:jc w:val="both"/>
        <w:rPr>
          <w:rFonts w:ascii="Times New Roman" w:hAnsi="Times New Roman" w:cs="Times New Roman"/>
          <w:noProof/>
          <w:sz w:val="24"/>
          <w:szCs w:val="24"/>
        </w:rPr>
      </w:pPr>
      <w:r>
        <w:rPr>
          <w:rFonts w:ascii="Times New Roman" w:hAnsi="Times New Roman"/>
          <w:b/>
          <w:noProof/>
        </w:rPr>
        <w:t>veiksmų gairės dėl demokratinių institucijų veikimo</w:t>
      </w:r>
      <w:r>
        <w:rPr>
          <w:rFonts w:ascii="Times New Roman" w:hAnsi="Times New Roman"/>
          <w:noProof/>
        </w:rPr>
        <w:t xml:space="preserve"> ir viešojo administravimo refor</w:t>
      </w:r>
      <w:r>
        <w:rPr>
          <w:rFonts w:ascii="Times New Roman" w:hAnsi="Times New Roman"/>
          <w:noProof/>
        </w:rPr>
        <w:t xml:space="preserve">mos;  </w:t>
      </w:r>
    </w:p>
    <w:p w:rsidR="004F3A00" w:rsidRDefault="00CE775C">
      <w:pPr>
        <w:widowControl w:val="0"/>
        <w:numPr>
          <w:ilvl w:val="0"/>
          <w:numId w:val="24"/>
        </w:numPr>
        <w:spacing w:after="120" w:line="240" w:lineRule="auto"/>
        <w:jc w:val="both"/>
        <w:rPr>
          <w:rFonts w:ascii="Times New Roman" w:hAnsi="Times New Roman" w:cs="Times New Roman"/>
          <w:noProof/>
          <w:sz w:val="24"/>
          <w:szCs w:val="24"/>
        </w:rPr>
      </w:pPr>
      <w:r>
        <w:rPr>
          <w:rFonts w:ascii="Times New Roman" w:hAnsi="Times New Roman"/>
          <w:b/>
          <w:noProof/>
        </w:rPr>
        <w:t>glaudesnis ryšys su ekonominių reformų programos</w:t>
      </w:r>
      <w:r>
        <w:rPr>
          <w:rFonts w:ascii="Times New Roman" w:hAnsi="Times New Roman"/>
          <w:noProof/>
        </w:rPr>
        <w:t xml:space="preserve"> procesu, siekiant padėti šalims patenkinti ekonominius kriterijus. </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Komisija taip pat toliau stiprins priemones, susijusias su teisine valstybe ir institucijų stiprinimu. Šių reformų rezultatai bus la</w:t>
      </w:r>
      <w:r>
        <w:rPr>
          <w:rFonts w:ascii="Times New Roman" w:hAnsi="Times New Roman"/>
          <w:noProof/>
        </w:rPr>
        <w:t>ikomi reikalavimu siekiant glaudesnio sektorių bendradarbiavimo ir bendros pažangos. Be to, bus integruojama antikorupcinė veikla jai skiriant daug dėmesio atitinkamuose skyriuose. Neišvengiamai bus toliau remiamas regioninis bendradarbiavimas. Reikia dėti</w:t>
      </w:r>
      <w:r>
        <w:rPr>
          <w:rFonts w:ascii="Times New Roman" w:hAnsi="Times New Roman"/>
          <w:noProof/>
        </w:rPr>
        <w:t xml:space="preserve"> visas </w:t>
      </w:r>
      <w:r>
        <w:rPr>
          <w:rFonts w:ascii="Times New Roman" w:hAnsi="Times New Roman"/>
          <w:noProof/>
        </w:rPr>
        <w:lastRenderedPageBreak/>
        <w:t xml:space="preserve">pastangas, kad būtų išspręsti dvišaliai ginčai, ypač pabrėžiant ES remiamą Belgrado ir Pristinos dialogą, kurio rezultatas turėtų būti išsamus ir teisiškai privalomas santykių normalizavimo susitarimas. </w:t>
      </w:r>
    </w:p>
    <w:p w:rsidR="004F3A00" w:rsidRDefault="004F3A00">
      <w:pPr>
        <w:spacing w:after="120" w:line="240" w:lineRule="auto"/>
        <w:jc w:val="both"/>
        <w:rPr>
          <w:rFonts w:ascii="Times New Roman" w:hAnsi="Times New Roman" w:cs="Times New Roman"/>
          <w:noProof/>
          <w:sz w:val="24"/>
          <w:szCs w:val="24"/>
        </w:rPr>
      </w:pPr>
    </w:p>
    <w:p w:rsidR="004F3A00" w:rsidRDefault="00CE775C">
      <w:pPr>
        <w:pStyle w:val="ListParagraph"/>
        <w:numPr>
          <w:ilvl w:val="0"/>
          <w:numId w:val="32"/>
        </w:numPr>
        <w:spacing w:after="120" w:line="240" w:lineRule="auto"/>
        <w:jc w:val="both"/>
        <w:rPr>
          <w:rFonts w:ascii="Times New Roman" w:hAnsi="Times New Roman" w:cs="Times New Roman"/>
          <w:b/>
          <w:noProof/>
          <w:sz w:val="24"/>
          <w:szCs w:val="24"/>
        </w:rPr>
      </w:pPr>
      <w:r>
        <w:rPr>
          <w:rFonts w:ascii="Times New Roman" w:hAnsi="Times New Roman"/>
          <w:b/>
          <w:noProof/>
        </w:rPr>
        <w:t>Tvirta politinė kryptis</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Stojimas į Europos S</w:t>
      </w:r>
      <w:r>
        <w:rPr>
          <w:rFonts w:ascii="Times New Roman" w:hAnsi="Times New Roman"/>
          <w:noProof/>
        </w:rPr>
        <w:t>ąjungą yra procesas, kuriam reikalingos esminės reformos ir politiniai bei ekonominiai pokyčiai norinčiose stoti į ES šalyse, ir palaikymas jiems; šalys turi įrodyti savo kaip ES valstybės narės gebėjimą prisiimti bendrą atsakomybę. Tai neturi būti automat</w:t>
      </w:r>
      <w:r>
        <w:rPr>
          <w:rFonts w:ascii="Times New Roman" w:hAnsi="Times New Roman"/>
          <w:noProof/>
        </w:rPr>
        <w:t xml:space="preserve">inis veiksmas; jis turi išreikšti jų </w:t>
      </w:r>
      <w:r>
        <w:rPr>
          <w:rFonts w:ascii="Times New Roman" w:hAnsi="Times New Roman"/>
          <w:b/>
          <w:noProof/>
        </w:rPr>
        <w:t>aktyvų visuomenės pasirinkimą</w:t>
      </w:r>
      <w:r>
        <w:rPr>
          <w:rFonts w:ascii="Times New Roman" w:hAnsi="Times New Roman"/>
          <w:noProof/>
        </w:rPr>
        <w:t xml:space="preserve"> siekti aukščiausių Europos standartų ir vertybių ir jų laikytis. Taip pat ir valstybių narių įsipareigojimas dalytis bendra ateitimi su Vakarų Balkanų šalimis kaip visateisėmis Sąjungos nar</w:t>
      </w:r>
      <w:r>
        <w:rPr>
          <w:rFonts w:ascii="Times New Roman" w:hAnsi="Times New Roman"/>
          <w:noProof/>
        </w:rPr>
        <w:t xml:space="preserve">ėmis yra reikšmingas politinis, o ne tiesiog techninis įsipareigojimas. </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 xml:space="preserve">Tai reiškia, kad abi pusės turi </w:t>
      </w:r>
      <w:r>
        <w:rPr>
          <w:rFonts w:ascii="Times New Roman" w:hAnsi="Times New Roman"/>
          <w:b/>
          <w:noProof/>
        </w:rPr>
        <w:t>aktyviau imtis vadovaujamo vaidmens</w:t>
      </w:r>
      <w:r>
        <w:rPr>
          <w:rFonts w:ascii="Times New Roman" w:hAnsi="Times New Roman"/>
          <w:noProof/>
        </w:rPr>
        <w:t xml:space="preserve"> ir viešai vykdyti atitinkamus įsipareigojimus, kartu tiesiogiai spręsdamos susirūpinimą keliančius klausimus. Atsižvelgiant į šių dalykų svarbą, metas </w:t>
      </w:r>
      <w:r>
        <w:rPr>
          <w:rFonts w:ascii="Times New Roman" w:hAnsi="Times New Roman"/>
          <w:b/>
          <w:noProof/>
        </w:rPr>
        <w:t>išryškinti lemiamą šio proceso politinį pobūdį</w:t>
      </w:r>
      <w:r>
        <w:rPr>
          <w:rFonts w:ascii="Times New Roman" w:hAnsi="Times New Roman"/>
          <w:noProof/>
        </w:rPr>
        <w:t xml:space="preserve"> ir užtikrinti aiškesnę valstybių narių kryptį ir aukšto l</w:t>
      </w:r>
      <w:r>
        <w:rPr>
          <w:rFonts w:ascii="Times New Roman" w:hAnsi="Times New Roman"/>
          <w:noProof/>
        </w:rPr>
        <w:t xml:space="preserve">ygio įsipareigojimą. </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Tai turėtų apimti naujų galimybių su šalimis vykdyti</w:t>
      </w:r>
      <w:r>
        <w:rPr>
          <w:rFonts w:ascii="Times New Roman" w:hAnsi="Times New Roman"/>
          <w:b/>
          <w:noProof/>
        </w:rPr>
        <w:t xml:space="preserve"> aukšto lygio politinį dialogą ir dialogą politikos klausimais </w:t>
      </w:r>
      <w:r>
        <w:rPr>
          <w:rFonts w:ascii="Times New Roman" w:hAnsi="Times New Roman"/>
          <w:noProof/>
        </w:rPr>
        <w:t>kūrimą,</w:t>
      </w:r>
      <w:r>
        <w:rPr>
          <w:rFonts w:ascii="Times New Roman" w:hAnsi="Times New Roman"/>
          <w:b/>
          <w:noProof/>
        </w:rPr>
        <w:t xml:space="preserve"> reguliariai rengiant ES ir Vakarų Balkanų šalių aukščiausiojo lygio susitikimus ir palaikant dažnesnius ministr</w:t>
      </w:r>
      <w:r>
        <w:rPr>
          <w:rFonts w:ascii="Times New Roman" w:hAnsi="Times New Roman"/>
          <w:b/>
          <w:noProof/>
        </w:rPr>
        <w:t>ų lygio kontaktus</w:t>
      </w:r>
      <w:r>
        <w:rPr>
          <w:rFonts w:ascii="Times New Roman" w:hAnsi="Times New Roman"/>
          <w:noProof/>
        </w:rPr>
        <w:t xml:space="preserve">, ypač tose srityse, kuriose tinkamai vyksta pažanga dėl suderinimo ir kuriuose patenkinti pagrindiniai kriterijai. Taip didesnius įsipareigojimus prisiėmusios šalys ilgainiui galėtų </w:t>
      </w:r>
      <w:r>
        <w:rPr>
          <w:rFonts w:ascii="Times New Roman" w:hAnsi="Times New Roman"/>
          <w:b/>
          <w:noProof/>
        </w:rPr>
        <w:t>stebėtojų teisėmis</w:t>
      </w:r>
      <w:r>
        <w:rPr>
          <w:rFonts w:ascii="Times New Roman" w:hAnsi="Times New Roman"/>
          <w:noProof/>
        </w:rPr>
        <w:t xml:space="preserve"> dalyvauti svarbiuose Europos Sąjungos</w:t>
      </w:r>
      <w:r>
        <w:rPr>
          <w:rFonts w:ascii="Times New Roman" w:hAnsi="Times New Roman"/>
          <w:noProof/>
        </w:rPr>
        <w:t xml:space="preserve"> susitikimuose, kuriuose aptariami joms ypač aktualūs klausimai. </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 xml:space="preserve">Bus svarbu užtikrinti, kad </w:t>
      </w:r>
      <w:r>
        <w:rPr>
          <w:rFonts w:ascii="Times New Roman" w:hAnsi="Times New Roman"/>
          <w:b/>
          <w:noProof/>
        </w:rPr>
        <w:t>visi organai, kuriems taikomas susitarimas dėl stabilizavimo ir asociacijos, daug daugiau dėmesio skirtų pagrindiniams politiniams klausimams</w:t>
      </w:r>
      <w:r>
        <w:rPr>
          <w:rFonts w:ascii="Times New Roman" w:hAnsi="Times New Roman"/>
          <w:noProof/>
        </w:rPr>
        <w:t xml:space="preserve"> </w:t>
      </w:r>
      <w:r>
        <w:rPr>
          <w:rFonts w:ascii="Times New Roman" w:hAnsi="Times New Roman"/>
          <w:b/>
          <w:noProof/>
        </w:rPr>
        <w:t>ir reformoms</w:t>
      </w:r>
      <w:r>
        <w:rPr>
          <w:rFonts w:ascii="Times New Roman" w:hAnsi="Times New Roman"/>
          <w:noProof/>
        </w:rPr>
        <w:t xml:space="preserve"> ir taip </w:t>
      </w:r>
      <w:r>
        <w:rPr>
          <w:rFonts w:ascii="Times New Roman" w:hAnsi="Times New Roman"/>
          <w:noProof/>
        </w:rPr>
        <w:t xml:space="preserve">sudarytų sąlygas realiam politiniam dialogui. Tarpvyriausybinės konferencijos stojimo derybų procesui turėtų suteikti aiškesnę politinę kryptį. </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b/>
          <w:noProof/>
          <w:u w:val="single"/>
        </w:rPr>
        <w:t>Valstybės narės</w:t>
      </w:r>
      <w:r>
        <w:rPr>
          <w:rFonts w:ascii="Times New Roman" w:hAnsi="Times New Roman"/>
          <w:b/>
          <w:noProof/>
        </w:rPr>
        <w:t xml:space="preserve"> bus kviečiamos sistemingiau prisidėti prie stojimo proceso</w:t>
      </w:r>
      <w:r>
        <w:rPr>
          <w:rFonts w:ascii="Times New Roman" w:hAnsi="Times New Roman"/>
          <w:noProof/>
        </w:rPr>
        <w:t>, be kita ko, per savo ekspertus vykd</w:t>
      </w:r>
      <w:r>
        <w:rPr>
          <w:rFonts w:ascii="Times New Roman" w:hAnsi="Times New Roman"/>
          <w:noProof/>
        </w:rPr>
        <w:t xml:space="preserve">ydamos stebėseną vietoje, tiesiogiai prisidėdamos prie metinių ataskaitų ir sektorių ekspertinėmis žiniomis. Valstybės narės taip pat turės galimybę reguliariau peržiūrėti ir stebėti bendrą pažangą.   </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b/>
          <w:noProof/>
          <w:u w:val="single"/>
        </w:rPr>
        <w:t>Komisija</w:t>
      </w:r>
      <w:r>
        <w:rPr>
          <w:rFonts w:ascii="Times New Roman" w:hAnsi="Times New Roman"/>
          <w:noProof/>
        </w:rPr>
        <w:t xml:space="preserve"> toliau vertins bendrą derybų pažangą. Ji </w:t>
      </w:r>
      <w:r>
        <w:rPr>
          <w:rFonts w:ascii="Times New Roman" w:hAnsi="Times New Roman"/>
          <w:b/>
          <w:noProof/>
        </w:rPr>
        <w:t>valstybėms narėms patvirtinti teiks būsimų metų metinį plėtros dokumentų rinkinį</w:t>
      </w:r>
      <w:r>
        <w:rPr>
          <w:rFonts w:ascii="Times New Roman" w:hAnsi="Times New Roman"/>
          <w:noProof/>
        </w:rPr>
        <w:t xml:space="preserve">, kuriame bus išsamiau aprašytos reformos ir į kurį bus </w:t>
      </w:r>
      <w:r>
        <w:rPr>
          <w:rFonts w:ascii="Times New Roman" w:hAnsi="Times New Roman"/>
          <w:b/>
          <w:noProof/>
        </w:rPr>
        <w:t>įtraukti pasiūlymai dėl taisomųjų veiksmų</w:t>
      </w:r>
      <w:r>
        <w:rPr>
          <w:rFonts w:ascii="Times New Roman" w:hAnsi="Times New Roman"/>
          <w:noProof/>
        </w:rPr>
        <w:t xml:space="preserve">. </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b/>
          <w:noProof/>
          <w:u w:val="single"/>
        </w:rPr>
        <w:t>Tarpvyriausybinės konferencijos dėl konkrečių šalių</w:t>
      </w:r>
      <w:r>
        <w:rPr>
          <w:rFonts w:ascii="Times New Roman" w:hAnsi="Times New Roman"/>
          <w:b/>
          <w:noProof/>
        </w:rPr>
        <w:t xml:space="preserve"> turėtų būti rengiamos Ko</w:t>
      </w:r>
      <w:r>
        <w:rPr>
          <w:rFonts w:ascii="Times New Roman" w:hAnsi="Times New Roman"/>
          <w:b/>
          <w:noProof/>
        </w:rPr>
        <w:t xml:space="preserve">misijai paskelbus metinius </w:t>
      </w:r>
      <w:r>
        <w:rPr>
          <w:rFonts w:ascii="Times New Roman" w:hAnsi="Times New Roman"/>
          <w:noProof/>
        </w:rPr>
        <w:t xml:space="preserve">ataskaitų apie kiekvieną šalį rinkinius; </w:t>
      </w:r>
      <w:r>
        <w:rPr>
          <w:rFonts w:ascii="Times New Roman" w:hAnsi="Times New Roman"/>
          <w:b/>
          <w:noProof/>
        </w:rPr>
        <w:t xml:space="preserve">jos turėtų būti politinio dialogo forumais </w:t>
      </w:r>
      <w:r>
        <w:rPr>
          <w:rFonts w:ascii="Times New Roman" w:hAnsi="Times New Roman"/>
          <w:noProof/>
        </w:rPr>
        <w:t>reformų klausimais, jose turėtų būti įvertinamas bendras stojimo procesas ir nustatyti būsimų metų planai, įskaitant skyrių (skyrių grupių) atida</w:t>
      </w:r>
      <w:r>
        <w:rPr>
          <w:rFonts w:ascii="Times New Roman" w:hAnsi="Times New Roman"/>
          <w:noProof/>
        </w:rPr>
        <w:t xml:space="preserve">rymą ir uždarymą ir galimus taisomuosius veiksmus. Visos šalys turės užtikrinti atstovavimą tarpvyriausybinėse konferencijose </w:t>
      </w:r>
      <w:r>
        <w:rPr>
          <w:rFonts w:ascii="Times New Roman" w:hAnsi="Times New Roman"/>
          <w:b/>
          <w:noProof/>
        </w:rPr>
        <w:t>atitinkamu lygiu, kad galėtų vykti vaisingas politinis dialogas</w:t>
      </w:r>
      <w:r>
        <w:rPr>
          <w:rFonts w:ascii="Times New Roman" w:hAnsi="Times New Roman"/>
          <w:noProof/>
        </w:rPr>
        <w:t>.</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b/>
          <w:noProof/>
          <w:u w:val="single"/>
        </w:rPr>
        <w:t>Stabilizavimo ir asociacijos tarybos</w:t>
      </w:r>
      <w:r>
        <w:rPr>
          <w:rFonts w:ascii="Times New Roman" w:hAnsi="Times New Roman"/>
          <w:noProof/>
        </w:rPr>
        <w:t xml:space="preserve"> taip pat bus svarbus papildo</w:t>
      </w:r>
      <w:r>
        <w:rPr>
          <w:rFonts w:ascii="Times New Roman" w:hAnsi="Times New Roman"/>
          <w:noProof/>
        </w:rPr>
        <w:t xml:space="preserve">mas forumas, kuriame bus palaikomas politinis dialogas  reformų klausimais. Be to, drauge su stabilizavimo ir asociacijos komitetais ir pakomitečiais, jos galės sudaryti sąlygas </w:t>
      </w:r>
      <w:r>
        <w:rPr>
          <w:rFonts w:ascii="Times New Roman" w:hAnsi="Times New Roman"/>
          <w:b/>
          <w:noProof/>
        </w:rPr>
        <w:t>geresnei pažangos stebėsenai ir užtikrinti spartesnę integraciją</w:t>
      </w:r>
      <w:r>
        <w:rPr>
          <w:rFonts w:ascii="Times New Roman" w:hAnsi="Times New Roman"/>
          <w:noProof/>
        </w:rPr>
        <w:t xml:space="preserve"> atitinkamų gr</w:t>
      </w:r>
      <w:r>
        <w:rPr>
          <w:rFonts w:ascii="Times New Roman" w:hAnsi="Times New Roman"/>
          <w:noProof/>
        </w:rPr>
        <w:t xml:space="preserve">upių srityse (žr. toliau). </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Išsamesnis politinis vertinimas galėtų būtų vykdomas esminiais kiekvienos partnerės stojimo proceso etapais, pavyzdžiui, įvykdžius tarpinius kriterijus dėl pagrindinių reformų, kaskart Tarybai priimant sprendimą dėl to, ar paten</w:t>
      </w:r>
      <w:r>
        <w:rPr>
          <w:rFonts w:ascii="Times New Roman" w:hAnsi="Times New Roman"/>
          <w:noProof/>
        </w:rPr>
        <w:t>kintos sąlygos naujai skyrių grupei atidaryti, ir tada, kai techniškai pasiruošta baigti visas derybas.</w:t>
      </w:r>
    </w:p>
    <w:p w:rsidR="00CE775C" w:rsidRDefault="00CE775C">
      <w:pPr>
        <w:rPr>
          <w:rFonts w:ascii="Times New Roman" w:hAnsi="Times New Roman" w:cs="Times New Roman"/>
          <w:noProof/>
          <w:sz w:val="24"/>
          <w:szCs w:val="24"/>
        </w:rPr>
      </w:pPr>
      <w:r>
        <w:rPr>
          <w:rFonts w:ascii="Times New Roman" w:hAnsi="Times New Roman" w:cs="Times New Roman"/>
          <w:noProof/>
          <w:sz w:val="24"/>
          <w:szCs w:val="24"/>
        </w:rPr>
        <w:br w:type="page"/>
      </w:r>
    </w:p>
    <w:p w:rsidR="004F3A00" w:rsidRDefault="00CE775C">
      <w:pPr>
        <w:pStyle w:val="ListParagraph"/>
        <w:numPr>
          <w:ilvl w:val="0"/>
          <w:numId w:val="32"/>
        </w:numPr>
        <w:spacing w:after="120" w:line="240" w:lineRule="auto"/>
        <w:jc w:val="both"/>
        <w:rPr>
          <w:rFonts w:ascii="Times New Roman" w:hAnsi="Times New Roman" w:cs="Times New Roman"/>
          <w:b/>
          <w:noProof/>
          <w:sz w:val="24"/>
          <w:szCs w:val="24"/>
        </w:rPr>
      </w:pPr>
      <w:r>
        <w:rPr>
          <w:rFonts w:ascii="Times New Roman" w:hAnsi="Times New Roman"/>
          <w:b/>
          <w:noProof/>
        </w:rPr>
        <w:t xml:space="preserve">Dinamiškesnis procesas </w:t>
      </w:r>
    </w:p>
    <w:p w:rsidR="004F3A00" w:rsidRDefault="00CE775C">
      <w:pPr>
        <w:widowControl w:val="0"/>
        <w:spacing w:after="120" w:line="240" w:lineRule="auto"/>
        <w:jc w:val="both"/>
        <w:rPr>
          <w:rFonts w:ascii="Times New Roman" w:hAnsi="Times New Roman" w:cs="Times New Roman"/>
          <w:noProof/>
          <w:sz w:val="24"/>
          <w:szCs w:val="24"/>
        </w:rPr>
      </w:pPr>
      <w:r>
        <w:rPr>
          <w:rFonts w:ascii="Times New Roman" w:hAnsi="Times New Roman"/>
          <w:noProof/>
        </w:rPr>
        <w:t xml:space="preserve">Tam, kad derybų procesas taptų dinamiškesnis ir būtų skatinama dėti pastangas, neapsiribojančias atskirais skyriais, </w:t>
      </w:r>
      <w:r>
        <w:rPr>
          <w:rFonts w:ascii="Times New Roman" w:hAnsi="Times New Roman"/>
          <w:b/>
          <w:noProof/>
        </w:rPr>
        <w:t>derybų sky</w:t>
      </w:r>
      <w:r>
        <w:rPr>
          <w:rFonts w:ascii="Times New Roman" w:hAnsi="Times New Roman"/>
          <w:b/>
          <w:noProof/>
        </w:rPr>
        <w:t>riai bus suskirstyti į temines grupes</w:t>
      </w:r>
      <w:r>
        <w:rPr>
          <w:rFonts w:ascii="Times New Roman" w:hAnsi="Times New Roman"/>
          <w:noProof/>
        </w:rPr>
        <w:t xml:space="preserve">. Šios grupės apims plačias temas, tokias kaip geras valdymas, vidaus rinka, ekonominis konkurencingumas ir sujungiamumas. </w:t>
      </w:r>
    </w:p>
    <w:p w:rsidR="004F3A00" w:rsidRDefault="00CE775C">
      <w:pPr>
        <w:widowControl w:val="0"/>
        <w:spacing w:after="120" w:line="240" w:lineRule="auto"/>
        <w:jc w:val="both"/>
        <w:rPr>
          <w:rFonts w:ascii="Times New Roman" w:hAnsi="Times New Roman" w:cs="Times New Roman"/>
          <w:noProof/>
          <w:sz w:val="24"/>
          <w:szCs w:val="24"/>
        </w:rPr>
      </w:pPr>
      <w:r>
        <w:rPr>
          <w:rFonts w:ascii="Times New Roman" w:hAnsi="Times New Roman"/>
          <w:noProof/>
        </w:rPr>
        <w:t xml:space="preserve">Suskirsčius skyrius į grupes bus galima </w:t>
      </w:r>
      <w:r>
        <w:rPr>
          <w:rFonts w:ascii="Times New Roman" w:hAnsi="Times New Roman"/>
          <w:b/>
          <w:noProof/>
        </w:rPr>
        <w:t>labiau</w:t>
      </w:r>
      <w:r>
        <w:rPr>
          <w:rFonts w:ascii="Times New Roman" w:hAnsi="Times New Roman"/>
          <w:noProof/>
        </w:rPr>
        <w:t xml:space="preserve"> </w:t>
      </w:r>
      <w:r>
        <w:rPr>
          <w:rFonts w:ascii="Times New Roman" w:hAnsi="Times New Roman"/>
          <w:b/>
          <w:noProof/>
        </w:rPr>
        <w:t>susitelkti į esminius politinio dialogo sektoriu</w:t>
      </w:r>
      <w:r>
        <w:rPr>
          <w:rFonts w:ascii="Times New Roman" w:hAnsi="Times New Roman"/>
          <w:b/>
          <w:noProof/>
        </w:rPr>
        <w:t>s</w:t>
      </w:r>
      <w:r>
        <w:rPr>
          <w:rFonts w:ascii="Times New Roman" w:hAnsi="Times New Roman"/>
          <w:noProof/>
        </w:rPr>
        <w:t xml:space="preserve"> ir padėti tvirtesnius pagrindus aukštesnio lygio politiniam įsipareigojimui. Tai leis </w:t>
      </w:r>
      <w:r>
        <w:rPr>
          <w:rFonts w:ascii="Times New Roman" w:hAnsi="Times New Roman"/>
          <w:b/>
          <w:noProof/>
        </w:rPr>
        <w:t>nustatyti svarbiausias ir skubiausiai vykdytinas atskirų sektorių reformas.</w:t>
      </w:r>
      <w:r>
        <w:rPr>
          <w:rFonts w:ascii="Times New Roman" w:hAnsi="Times New Roman"/>
          <w:noProof/>
        </w:rPr>
        <w:t xml:space="preserve">  Taip bendri reformų procesai bus labiau įtvirtinti  vietoje, nes bus veiksmingiau skatinamo</w:t>
      </w:r>
      <w:r>
        <w:rPr>
          <w:rFonts w:ascii="Times New Roman" w:hAnsi="Times New Roman"/>
          <w:noProof/>
        </w:rPr>
        <w:t>s sektorių reformos, atsižvelgiant į piliečių ir verslo atstovų interesus.</w:t>
      </w:r>
    </w:p>
    <w:p w:rsidR="004F3A00" w:rsidRDefault="00CE775C">
      <w:pPr>
        <w:widowControl w:val="0"/>
        <w:spacing w:after="120" w:line="240" w:lineRule="auto"/>
        <w:jc w:val="both"/>
        <w:rPr>
          <w:rFonts w:ascii="Times New Roman" w:hAnsi="Times New Roman" w:cs="Times New Roman"/>
          <w:noProof/>
          <w:sz w:val="24"/>
          <w:szCs w:val="24"/>
        </w:rPr>
      </w:pPr>
      <w:r>
        <w:rPr>
          <w:rFonts w:ascii="Times New Roman" w:hAnsi="Times New Roman"/>
          <w:noProof/>
        </w:rPr>
        <w:t xml:space="preserve">Derybos bus atidaromos ne dėl kiekvieno skyriaus atskirai, o </w:t>
      </w:r>
      <w:r>
        <w:rPr>
          <w:rFonts w:ascii="Times New Roman" w:hAnsi="Times New Roman"/>
          <w:b/>
          <w:noProof/>
        </w:rPr>
        <w:t>dėl kiekvienos skyrių grupės vienu metu,</w:t>
      </w:r>
      <w:r>
        <w:rPr>
          <w:rFonts w:ascii="Times New Roman" w:hAnsi="Times New Roman"/>
          <w:noProof/>
        </w:rPr>
        <w:t xml:space="preserve"> </w:t>
      </w:r>
      <w:r>
        <w:rPr>
          <w:rFonts w:ascii="Times New Roman" w:hAnsi="Times New Roman"/>
          <w:b/>
          <w:noProof/>
        </w:rPr>
        <w:t>patenkinus atidarymo kriterijus</w:t>
      </w:r>
      <w:r>
        <w:rPr>
          <w:rFonts w:ascii="Times New Roman" w:hAnsi="Times New Roman"/>
          <w:noProof/>
        </w:rPr>
        <w:t xml:space="preserve">. Atlikus </w:t>
      </w:r>
      <w:r>
        <w:rPr>
          <w:rFonts w:ascii="Times New Roman" w:hAnsi="Times New Roman"/>
          <w:i/>
          <w:iCs/>
          <w:noProof/>
        </w:rPr>
        <w:t>acquis</w:t>
      </w:r>
      <w:r>
        <w:rPr>
          <w:rFonts w:ascii="Times New Roman" w:hAnsi="Times New Roman"/>
          <w:noProof/>
        </w:rPr>
        <w:t xml:space="preserve"> peržiūrą dėl skyrių grupės, ES </w:t>
      </w:r>
      <w:r>
        <w:rPr>
          <w:rFonts w:ascii="Times New Roman" w:hAnsi="Times New Roman"/>
          <w:noProof/>
        </w:rPr>
        <w:t>ir šalis kandidatė susitars dėl spartesnės integracijos prioritetų ir pagrindinių reformų. Pakankamai įgyvendinus šiuos prioritetus, skyrių grupė (apimanti visus susijusius skyrius) atidaroma be tolesnių sąlygų ir nustatomi kiekvieno skyriaus uždarymo krit</w:t>
      </w:r>
      <w:r>
        <w:rPr>
          <w:rFonts w:ascii="Times New Roman" w:hAnsi="Times New Roman"/>
          <w:noProof/>
        </w:rPr>
        <w:t>erijai. Jei svarbios reformos buvo įgyvendintos dar prieš atidarymą, reikėtų nustatyti trumpesnį laikotarpį tarp skyrių grupės atidarymo ir atskirų skyrių uždarymo; pageidautina, kad jis neviršytų vienų metų, atsižvelgiant į reformų pažangą ir skiriant dėm</w:t>
      </w:r>
      <w:r>
        <w:rPr>
          <w:rFonts w:ascii="Times New Roman" w:hAnsi="Times New Roman"/>
          <w:noProof/>
        </w:rPr>
        <w:t xml:space="preserve">esį likusioms priemonėms, kurių reikia visiškam suderinamumui užtikrinti. </w:t>
      </w:r>
    </w:p>
    <w:p w:rsidR="004F3A00" w:rsidRDefault="00CE775C">
      <w:pPr>
        <w:widowControl w:val="0"/>
        <w:spacing w:after="120" w:line="240" w:lineRule="auto"/>
        <w:jc w:val="both"/>
        <w:rPr>
          <w:rFonts w:ascii="Times New Roman" w:hAnsi="Times New Roman" w:cs="Times New Roman"/>
          <w:noProof/>
          <w:sz w:val="24"/>
          <w:szCs w:val="24"/>
        </w:rPr>
      </w:pPr>
      <w:r>
        <w:rPr>
          <w:rFonts w:ascii="Times New Roman" w:hAnsi="Times New Roman"/>
          <w:b/>
          <w:noProof/>
        </w:rPr>
        <w:t>Skyrių grupės turėtų būti suderintos su stabilizavimo ir asociacijos pakomitečiais,</w:t>
      </w:r>
      <w:r>
        <w:rPr>
          <w:rFonts w:ascii="Times New Roman" w:hAnsi="Times New Roman"/>
          <w:noProof/>
        </w:rPr>
        <w:t xml:space="preserve"> kad stabilizavimo ir asociacijos struktūros galėtų stebėti su atitinkama grupe susijusią pažangą </w:t>
      </w:r>
      <w:r>
        <w:rPr>
          <w:rFonts w:ascii="Times New Roman" w:hAnsi="Times New Roman"/>
          <w:noProof/>
        </w:rPr>
        <w:t xml:space="preserve">ir imtis konkrečių priemonių dėl spartesnio suderinimo. Tai leistų kryptingiau vystyti dialogą ir nustatyti </w:t>
      </w:r>
      <w:r>
        <w:rPr>
          <w:rFonts w:ascii="Times New Roman" w:hAnsi="Times New Roman"/>
          <w:b/>
          <w:noProof/>
        </w:rPr>
        <w:t>spartesnio suderinimo</w:t>
      </w:r>
      <w:r>
        <w:rPr>
          <w:rFonts w:ascii="Times New Roman" w:hAnsi="Times New Roman"/>
          <w:noProof/>
        </w:rPr>
        <w:t xml:space="preserve"> bei integracijos į visas ES politikos sritis galimybes, o tai teiktų akivaizdžią naudą Europos Sąjungai ir šalims kandidatėms.</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 xml:space="preserve">Tam, kad </w:t>
      </w:r>
      <w:r>
        <w:rPr>
          <w:rFonts w:ascii="Times New Roman" w:hAnsi="Times New Roman"/>
          <w:b/>
          <w:noProof/>
        </w:rPr>
        <w:t>derybos su Serbija ir Juodkalnija</w:t>
      </w:r>
      <w:r>
        <w:rPr>
          <w:rFonts w:ascii="Times New Roman" w:hAnsi="Times New Roman"/>
          <w:noProof/>
        </w:rPr>
        <w:t xml:space="preserve"> taptų dinamiškesnės, darbus su skyriais taip pat galima vykdyti organizuojant juos pagal grupes, kartu laikantis esamos derybų programos ir susitarus su šiomis šalimis. Taip bus galima skirti daugiau politinio dė</w:t>
      </w:r>
      <w:r>
        <w:rPr>
          <w:rFonts w:ascii="Times New Roman" w:hAnsi="Times New Roman"/>
          <w:noProof/>
        </w:rPr>
        <w:t>mesio pagrindiniams sektoriams ir šioms šalims suteikti politinį postūmį dėl pagrindinių su suderinimu susijusių klausimų. Bus suteikta galimybė dalyvauti nustatant sritis, kuriose galimas spartesnis sektorių suderinimas ir integracija, o dalyvaujant stabi</w:t>
      </w:r>
      <w:r>
        <w:rPr>
          <w:rFonts w:ascii="Times New Roman" w:hAnsi="Times New Roman"/>
          <w:noProof/>
        </w:rPr>
        <w:t>lizavimo ir asociacijos struktūrose bus susitarta dėl bendrų veiksmų gairių ir atitinkamų tolesnių veiksmų.</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 xml:space="preserve"> </w:t>
      </w:r>
    </w:p>
    <w:p w:rsidR="004F3A00" w:rsidRDefault="00CE775C">
      <w:pPr>
        <w:pStyle w:val="ListParagraph"/>
        <w:numPr>
          <w:ilvl w:val="0"/>
          <w:numId w:val="32"/>
        </w:numPr>
        <w:spacing w:after="120" w:line="240" w:lineRule="auto"/>
        <w:jc w:val="both"/>
        <w:rPr>
          <w:rFonts w:ascii="Times New Roman" w:hAnsi="Times New Roman" w:cs="Times New Roman"/>
          <w:b/>
          <w:noProof/>
          <w:sz w:val="24"/>
          <w:szCs w:val="24"/>
          <w:u w:val="single"/>
        </w:rPr>
      </w:pPr>
      <w:r>
        <w:rPr>
          <w:rFonts w:ascii="Times New Roman" w:hAnsi="Times New Roman"/>
          <w:b/>
          <w:noProof/>
        </w:rPr>
        <w:t xml:space="preserve">Nuspėjamumas, teigiamos ir neigiamos sąlygos </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Valstybės narės bei Vakarų Balkanų šalys garsiai reiškia pageidavimą, kad procesas būtų labiau nuspė</w:t>
      </w:r>
      <w:r>
        <w:rPr>
          <w:rFonts w:ascii="Times New Roman" w:hAnsi="Times New Roman"/>
          <w:noProof/>
        </w:rPr>
        <w:t xml:space="preserve">jamas ir būtų </w:t>
      </w:r>
      <w:r>
        <w:rPr>
          <w:rFonts w:ascii="Times New Roman" w:hAnsi="Times New Roman"/>
          <w:b/>
          <w:noProof/>
        </w:rPr>
        <w:t xml:space="preserve">aiškiau, ko Sąjunga tikisi </w:t>
      </w:r>
      <w:r>
        <w:rPr>
          <w:rFonts w:ascii="Times New Roman" w:hAnsi="Times New Roman"/>
          <w:noProof/>
        </w:rPr>
        <w:t xml:space="preserve">iš plėtros šalių skirtingais proceso etapais, ir kokios yra </w:t>
      </w:r>
      <w:r>
        <w:rPr>
          <w:rFonts w:ascii="Times New Roman" w:hAnsi="Times New Roman"/>
          <w:b/>
          <w:noProof/>
        </w:rPr>
        <w:t xml:space="preserve"> teigiamos ir neigiamos pažangos ar jos nebuvimo pasekmės</w:t>
      </w:r>
      <w:r>
        <w:rPr>
          <w:rFonts w:ascii="Times New Roman" w:hAnsi="Times New Roman"/>
          <w:noProof/>
        </w:rPr>
        <w:t xml:space="preserve">. </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 xml:space="preserve">Komisija pasinaudos </w:t>
      </w:r>
      <w:r>
        <w:rPr>
          <w:rFonts w:ascii="Times New Roman" w:hAnsi="Times New Roman"/>
          <w:b/>
          <w:noProof/>
        </w:rPr>
        <w:t>plėtros dokumentų rinkiniu, kad patikrintų, ar kandidatės laikosi</w:t>
      </w:r>
      <w:r>
        <w:rPr>
          <w:rFonts w:ascii="Times New Roman" w:hAnsi="Times New Roman"/>
          <w:noProof/>
        </w:rPr>
        <w:t xml:space="preserve"> </w:t>
      </w:r>
      <w:r>
        <w:rPr>
          <w:rFonts w:ascii="Times New Roman" w:hAnsi="Times New Roman"/>
          <w:i/>
          <w:iCs/>
          <w:noProof/>
        </w:rPr>
        <w:t>acquis</w:t>
      </w:r>
      <w:r>
        <w:rPr>
          <w:rFonts w:ascii="Times New Roman" w:hAnsi="Times New Roman"/>
          <w:noProof/>
        </w:rPr>
        <w:t xml:space="preserve"> ir </w:t>
      </w:r>
      <w:r>
        <w:rPr>
          <w:rFonts w:ascii="Times New Roman" w:hAnsi="Times New Roman"/>
          <w:b/>
          <w:noProof/>
        </w:rPr>
        <w:t>pateiks</w:t>
      </w:r>
      <w:r>
        <w:rPr>
          <w:rFonts w:ascii="Times New Roman" w:hAnsi="Times New Roman"/>
          <w:noProof/>
        </w:rPr>
        <w:t xml:space="preserve"> </w:t>
      </w:r>
      <w:r>
        <w:rPr>
          <w:rFonts w:ascii="Times New Roman" w:hAnsi="Times New Roman"/>
          <w:b/>
          <w:noProof/>
        </w:rPr>
        <w:t xml:space="preserve">aiškesnes gaires </w:t>
      </w:r>
      <w:r>
        <w:rPr>
          <w:rFonts w:ascii="Times New Roman" w:hAnsi="Times New Roman"/>
          <w:noProof/>
        </w:rPr>
        <w:t xml:space="preserve">dėl konkrečių reformų prioritetų, suderinimo kriterijų ir lūkesčių dėl tolesnių proceso etapų. Aiškesnė politinė kryptis ir pertvarkytos tarptautinės konferencijos leis padidinti nuspėjamumą ir nustatyti aiškesnius būsimų metų </w:t>
      </w:r>
      <w:r>
        <w:rPr>
          <w:rFonts w:ascii="Times New Roman" w:hAnsi="Times New Roman"/>
          <w:noProof/>
        </w:rPr>
        <w:t>planus. Taip šalių politikos dalyviai aiškiau matys, ką reikia padaryti, norint eiti pirmyn. Bus pateikiamos nuorodos, kurias skyrių grupes (skyrius) būtų galima atidaryti ar uždaryti, o prireikus – kurias sąlygas vis dar reikia patenkinti, kad tai būtų ga</w:t>
      </w:r>
      <w:r>
        <w:rPr>
          <w:rFonts w:ascii="Times New Roman" w:hAnsi="Times New Roman"/>
          <w:noProof/>
        </w:rPr>
        <w:t xml:space="preserve">lima padaryti. </w:t>
      </w:r>
    </w:p>
    <w:p w:rsidR="004F3A00" w:rsidRDefault="00CE775C">
      <w:pPr>
        <w:widowControl w:val="0"/>
        <w:spacing w:after="120" w:line="240" w:lineRule="auto"/>
        <w:jc w:val="both"/>
        <w:rPr>
          <w:rFonts w:ascii="Times New Roman" w:hAnsi="Times New Roman" w:cs="Times New Roman"/>
          <w:noProof/>
          <w:sz w:val="24"/>
          <w:szCs w:val="24"/>
        </w:rPr>
      </w:pPr>
      <w:r>
        <w:rPr>
          <w:rFonts w:ascii="Times New Roman" w:hAnsi="Times New Roman"/>
          <w:b/>
          <w:noProof/>
        </w:rPr>
        <w:t xml:space="preserve">Pagrindinis nuopelnais grindžiamo stojimo proceso elementas yra jo sąlygiškumas. </w:t>
      </w:r>
      <w:r>
        <w:rPr>
          <w:rFonts w:ascii="Times New Roman" w:hAnsi="Times New Roman"/>
          <w:noProof/>
        </w:rPr>
        <w:t xml:space="preserve">Vis dėlto norint tai pasiekti, </w:t>
      </w:r>
      <w:r>
        <w:rPr>
          <w:rFonts w:ascii="Times New Roman" w:hAnsi="Times New Roman"/>
          <w:b/>
          <w:noProof/>
        </w:rPr>
        <w:t>sąlygos turi būti aiškiai išdėstytos</w:t>
      </w:r>
      <w:r>
        <w:rPr>
          <w:rFonts w:ascii="Times New Roman" w:hAnsi="Times New Roman"/>
          <w:noProof/>
        </w:rPr>
        <w:t xml:space="preserve"> jau pačioje pradžioje. Svarbu, kad šalys kandidatės žinotų, pagal kokius kriterijus bus ver</w:t>
      </w:r>
      <w:r>
        <w:rPr>
          <w:rFonts w:ascii="Times New Roman" w:hAnsi="Times New Roman"/>
          <w:noProof/>
        </w:rPr>
        <w:t xml:space="preserve">tinama jų veikla, ir tai, kad valstybės narės aiškiai suprastų, ko konkrečiai reikalaujama iš kandidačių. </w:t>
      </w:r>
      <w:r>
        <w:rPr>
          <w:rFonts w:ascii="Times New Roman" w:hAnsi="Times New Roman"/>
          <w:b/>
          <w:noProof/>
        </w:rPr>
        <w:t>Komisija aiškiau nustatys kandidačių pažangai keliamas sąlygas</w:t>
      </w:r>
      <w:r>
        <w:rPr>
          <w:rFonts w:ascii="Times New Roman" w:hAnsi="Times New Roman"/>
          <w:noProof/>
        </w:rPr>
        <w:t>, visų pirma savo metinėse ataskaitose. Šios sąlygos turi būti objektyvios, tikslios, iš</w:t>
      </w:r>
      <w:r>
        <w:rPr>
          <w:rFonts w:ascii="Times New Roman" w:hAnsi="Times New Roman"/>
          <w:noProof/>
        </w:rPr>
        <w:t xml:space="preserve">samios, griežtos ir patikrinamos. Atitinkamais atvejais Komisija taip pat naudosis trečiųjų šalių rodikliais, kad valstybėms narėms pateiktų kuo daugiau medžiagos, kuria remdamosi jos galėtų priimti sprendimus. </w:t>
      </w:r>
    </w:p>
    <w:p w:rsidR="004F3A00" w:rsidRDefault="00CE775C">
      <w:pPr>
        <w:spacing w:after="120" w:line="240" w:lineRule="auto"/>
        <w:jc w:val="both"/>
        <w:rPr>
          <w:rFonts w:ascii="Times New Roman" w:hAnsi="Times New Roman" w:cs="Times New Roman"/>
          <w:b/>
          <w:noProof/>
          <w:sz w:val="24"/>
          <w:szCs w:val="24"/>
          <w:u w:val="single"/>
        </w:rPr>
      </w:pPr>
      <w:r>
        <w:rPr>
          <w:rFonts w:ascii="Times New Roman" w:hAnsi="Times New Roman"/>
          <w:noProof/>
        </w:rPr>
        <w:t xml:space="preserve">Teikdama </w:t>
      </w:r>
      <w:r>
        <w:rPr>
          <w:rFonts w:ascii="Times New Roman" w:hAnsi="Times New Roman"/>
          <w:b/>
          <w:noProof/>
        </w:rPr>
        <w:t>aiškias ir apčiuopiamas paskatas, k</w:t>
      </w:r>
      <w:r>
        <w:rPr>
          <w:rFonts w:ascii="Times New Roman" w:hAnsi="Times New Roman"/>
          <w:b/>
          <w:noProof/>
        </w:rPr>
        <w:t>urios tiesiogiai aktualios piliečiams, ES gali pažadinti realią politinę valią</w:t>
      </w:r>
      <w:r>
        <w:rPr>
          <w:rFonts w:ascii="Times New Roman" w:hAnsi="Times New Roman"/>
          <w:noProof/>
        </w:rPr>
        <w:t xml:space="preserve"> ir atlyginti už rezultatus, pasiektus vykdant daug pastangų reikalaujančias reformas ir politinių, ekonominių ir visuomeninių pokyčių procesus. </w:t>
      </w:r>
      <w:r>
        <w:rPr>
          <w:rFonts w:ascii="Times New Roman" w:hAnsi="Times New Roman"/>
          <w:b/>
          <w:noProof/>
        </w:rPr>
        <w:t>Jei šalys pakankamai įgyvendina r</w:t>
      </w:r>
      <w:r>
        <w:rPr>
          <w:rFonts w:ascii="Times New Roman" w:hAnsi="Times New Roman"/>
          <w:b/>
          <w:noProof/>
        </w:rPr>
        <w:t xml:space="preserve">eformų prioritetus, dėl kurių susitarta derybose, rezultatai turėtų būti: </w:t>
      </w:r>
    </w:p>
    <w:p w:rsidR="004F3A00" w:rsidRDefault="00CE775C">
      <w:pPr>
        <w:numPr>
          <w:ilvl w:val="0"/>
          <w:numId w:val="24"/>
        </w:numPr>
        <w:spacing w:after="120" w:line="240" w:lineRule="auto"/>
        <w:jc w:val="both"/>
        <w:rPr>
          <w:rFonts w:ascii="Times New Roman" w:hAnsi="Times New Roman" w:cs="Times New Roman"/>
          <w:noProof/>
          <w:sz w:val="24"/>
          <w:szCs w:val="24"/>
        </w:rPr>
      </w:pPr>
      <w:r>
        <w:rPr>
          <w:rFonts w:ascii="Times New Roman" w:hAnsi="Times New Roman"/>
          <w:noProof/>
          <w:u w:val="single"/>
        </w:rPr>
        <w:t>glaudesnė šalies integracija</w:t>
      </w:r>
      <w:r>
        <w:rPr>
          <w:rFonts w:ascii="Times New Roman" w:hAnsi="Times New Roman"/>
          <w:noProof/>
        </w:rPr>
        <w:t xml:space="preserve"> į Europos Sąjungą, </w:t>
      </w:r>
      <w:r>
        <w:rPr>
          <w:rFonts w:ascii="Times New Roman" w:hAnsi="Times New Roman"/>
          <w:noProof/>
          <w:u w:val="single"/>
        </w:rPr>
        <w:t>veiksmai, lemiantys spartesnę integraciją ir laipsnišką paskirų ES politikos priemonių taikymą</w:t>
      </w:r>
      <w:r>
        <w:rPr>
          <w:rFonts w:ascii="Times New Roman" w:hAnsi="Times New Roman"/>
          <w:noProof/>
        </w:rPr>
        <w:t>, įsitraukimas į ES rinką ir ES program</w:t>
      </w:r>
      <w:r>
        <w:rPr>
          <w:rFonts w:ascii="Times New Roman" w:hAnsi="Times New Roman"/>
          <w:noProof/>
        </w:rPr>
        <w:t xml:space="preserve">as, kartu užtikrinant vienodas sąlygas; </w:t>
      </w:r>
    </w:p>
    <w:p w:rsidR="004F3A00" w:rsidRDefault="00CE775C">
      <w:pPr>
        <w:numPr>
          <w:ilvl w:val="0"/>
          <w:numId w:val="24"/>
        </w:numPr>
        <w:spacing w:after="120" w:line="240" w:lineRule="auto"/>
        <w:jc w:val="both"/>
        <w:rPr>
          <w:rFonts w:ascii="Times New Roman" w:hAnsi="Times New Roman" w:cs="Times New Roman"/>
          <w:noProof/>
          <w:sz w:val="24"/>
          <w:szCs w:val="24"/>
        </w:rPr>
      </w:pPr>
      <w:r>
        <w:rPr>
          <w:rFonts w:ascii="Times New Roman" w:hAnsi="Times New Roman"/>
          <w:noProof/>
          <w:u w:val="single"/>
        </w:rPr>
        <w:t>didesnis finansavimas ir investicijos,</w:t>
      </w:r>
      <w:r>
        <w:rPr>
          <w:rFonts w:ascii="Times New Roman" w:hAnsi="Times New Roman"/>
          <w:noProof/>
        </w:rPr>
        <w:t xml:space="preserve"> be kita ko, per rezultatais grindžiamą ir į reformas orientuotą pasirengimo narystei paramos priemonę ir glaudžiau bendradarbiaujant su TFĮ paramai pritraukti.</w:t>
      </w:r>
    </w:p>
    <w:p w:rsidR="004F3A00" w:rsidRDefault="00CE775C">
      <w:pPr>
        <w:spacing w:after="120" w:line="240" w:lineRule="auto"/>
        <w:jc w:val="both"/>
        <w:rPr>
          <w:rFonts w:ascii="Times New Roman" w:hAnsi="Times New Roman" w:cs="Times New Roman"/>
          <w:noProof/>
          <w:sz w:val="24"/>
          <w:szCs w:val="24"/>
        </w:rPr>
      </w:pPr>
      <w:r>
        <w:rPr>
          <w:rFonts w:ascii="Times New Roman" w:hAnsi="Times New Roman"/>
          <w:noProof/>
        </w:rPr>
        <w:t>Naudojantis ES f</w:t>
      </w:r>
      <w:r>
        <w:rPr>
          <w:rFonts w:ascii="Times New Roman" w:hAnsi="Times New Roman"/>
          <w:noProof/>
        </w:rPr>
        <w:t xml:space="preserve">ondais, šios priemonės turėtų padėti sukurti tvirtą PPO taisykles atitinkančią tendenciją pirmenybę teikti Europos produktams, kartu plėtojant stiprią vietos ekonomiką. </w:t>
      </w:r>
    </w:p>
    <w:p w:rsidR="004F3A00" w:rsidRDefault="00CE775C">
      <w:pPr>
        <w:widowControl w:val="0"/>
        <w:spacing w:after="120" w:line="240" w:lineRule="auto"/>
        <w:jc w:val="both"/>
        <w:rPr>
          <w:rFonts w:ascii="Times New Roman" w:hAnsi="Times New Roman" w:cs="Times New Roman"/>
          <w:noProof/>
          <w:sz w:val="24"/>
          <w:szCs w:val="24"/>
        </w:rPr>
      </w:pPr>
      <w:r>
        <w:rPr>
          <w:rFonts w:ascii="Times New Roman" w:hAnsi="Times New Roman"/>
          <w:noProof/>
        </w:rPr>
        <w:t xml:space="preserve">Nors pažangą reformų srityje reikėtų skatinti ir už ją atlyginti apčiuopiamiau, taip pat reikia </w:t>
      </w:r>
      <w:r>
        <w:rPr>
          <w:rFonts w:ascii="Times New Roman" w:hAnsi="Times New Roman"/>
          <w:b/>
          <w:noProof/>
        </w:rPr>
        <w:t>griežtesnių priemonių proporcingai bausti už rimtą ar užsitęsusį pažangos nebuvimą ar net padėties blogėjimą</w:t>
      </w:r>
      <w:r>
        <w:rPr>
          <w:rFonts w:ascii="Times New Roman" w:hAnsi="Times New Roman"/>
          <w:noProof/>
        </w:rPr>
        <w:t>, susijusį su reformų įgyvendinimu ir stojimo proces</w:t>
      </w:r>
      <w:r>
        <w:rPr>
          <w:rFonts w:ascii="Times New Roman" w:hAnsi="Times New Roman"/>
          <w:noProof/>
        </w:rPr>
        <w:t>o reikalavimų laikymusi.</w:t>
      </w:r>
    </w:p>
    <w:p w:rsidR="004F3A00" w:rsidRDefault="00CE775C">
      <w:pPr>
        <w:widowControl w:val="0"/>
        <w:spacing w:after="120" w:line="240" w:lineRule="auto"/>
        <w:jc w:val="both"/>
        <w:rPr>
          <w:rFonts w:ascii="Times New Roman" w:hAnsi="Times New Roman" w:cs="Times New Roman"/>
          <w:noProof/>
          <w:sz w:val="24"/>
          <w:szCs w:val="24"/>
        </w:rPr>
      </w:pPr>
      <w:r>
        <w:rPr>
          <w:rFonts w:ascii="Times New Roman" w:hAnsi="Times New Roman"/>
          <w:noProof/>
        </w:rPr>
        <w:t xml:space="preserve">Tokie sprendimai sustabdyti ar net atšaukti procesą turėtų būti pagrįsti </w:t>
      </w:r>
      <w:r>
        <w:rPr>
          <w:rFonts w:ascii="Times New Roman" w:hAnsi="Times New Roman"/>
          <w:b/>
          <w:noProof/>
        </w:rPr>
        <w:t xml:space="preserve"> metiniu Komisijos vertinimu</w:t>
      </w:r>
      <w:r>
        <w:rPr>
          <w:rFonts w:ascii="Times New Roman" w:hAnsi="Times New Roman"/>
          <w:noProof/>
        </w:rPr>
        <w:t xml:space="preserve"> jos plėtros dokumentų rinkinyje dėl bendros stojimo derybų padėties ir pagrindinių reformų, ypač susijusių su teisine valstybe, į</w:t>
      </w:r>
      <w:r>
        <w:rPr>
          <w:rFonts w:ascii="Times New Roman" w:hAnsi="Times New Roman"/>
          <w:noProof/>
        </w:rPr>
        <w:t xml:space="preserve">gyvendinimo mastu; valstybės narės prie šio proceso toliau galės prisidėti Komisijai pranešdamos apie nevykdomą reformų procesą ar rimtą padėties pablogėjimą. </w:t>
      </w:r>
    </w:p>
    <w:p w:rsidR="004F3A00" w:rsidRDefault="00CE775C">
      <w:pPr>
        <w:widowControl w:val="0"/>
        <w:spacing w:after="120" w:line="240" w:lineRule="auto"/>
        <w:jc w:val="both"/>
        <w:rPr>
          <w:rFonts w:ascii="Times New Roman" w:hAnsi="Times New Roman" w:cs="Times New Roman"/>
          <w:noProof/>
          <w:sz w:val="24"/>
          <w:szCs w:val="24"/>
        </w:rPr>
      </w:pPr>
      <w:r>
        <w:rPr>
          <w:rFonts w:ascii="Times New Roman" w:hAnsi="Times New Roman"/>
          <w:noProof/>
        </w:rPr>
        <w:t>Rimtais atvejais Komisija gali bet kuriuo metu savarankiškai ar gavusi tinkamai pagrįstą valstyb</w:t>
      </w:r>
      <w:r>
        <w:rPr>
          <w:rFonts w:ascii="Times New Roman" w:hAnsi="Times New Roman"/>
          <w:noProof/>
        </w:rPr>
        <w:t xml:space="preserve">ės narės prašymą teikti pasiūlymus, kad būtų skubiai reaguojama į padėtį, prireikus taikant supaprastintas procedūras, įskaitant atvirkštinės kvalifikuotos daugumos balsavimo tvarką.   </w:t>
      </w:r>
    </w:p>
    <w:p w:rsidR="004F3A00" w:rsidRDefault="00CE775C">
      <w:pPr>
        <w:widowControl w:val="0"/>
        <w:spacing w:after="120" w:line="240" w:lineRule="auto"/>
        <w:jc w:val="both"/>
        <w:rPr>
          <w:rFonts w:ascii="Times New Roman" w:hAnsi="Times New Roman" w:cs="Times New Roman"/>
          <w:noProof/>
          <w:sz w:val="24"/>
          <w:szCs w:val="24"/>
        </w:rPr>
      </w:pPr>
      <w:bookmarkStart w:id="1" w:name="_GoBack"/>
      <w:bookmarkEnd w:id="1"/>
      <w:r>
        <w:rPr>
          <w:rFonts w:ascii="Times New Roman" w:hAnsi="Times New Roman"/>
          <w:b/>
          <w:noProof/>
        </w:rPr>
        <w:t xml:space="preserve">Problemas, kurios gali kilti, ES gali spręsti keliais būdais: </w:t>
      </w:r>
    </w:p>
    <w:p w:rsidR="004F3A00" w:rsidRDefault="00CE775C">
      <w:pPr>
        <w:widowControl w:val="0"/>
        <w:numPr>
          <w:ilvl w:val="0"/>
          <w:numId w:val="24"/>
        </w:numPr>
        <w:spacing w:after="120" w:line="240" w:lineRule="auto"/>
        <w:jc w:val="both"/>
        <w:rPr>
          <w:rFonts w:ascii="Times New Roman" w:hAnsi="Times New Roman" w:cs="Times New Roman"/>
          <w:noProof/>
          <w:sz w:val="24"/>
          <w:szCs w:val="24"/>
        </w:rPr>
      </w:pPr>
      <w:r>
        <w:rPr>
          <w:rFonts w:ascii="Times New Roman" w:hAnsi="Times New Roman"/>
          <w:noProof/>
        </w:rPr>
        <w:t>valst</w:t>
      </w:r>
      <w:r>
        <w:rPr>
          <w:rFonts w:ascii="Times New Roman" w:hAnsi="Times New Roman"/>
          <w:noProof/>
        </w:rPr>
        <w:t xml:space="preserve">ybės narės gali nuspręsti, kad </w:t>
      </w:r>
      <w:r>
        <w:rPr>
          <w:rFonts w:ascii="Times New Roman" w:hAnsi="Times New Roman"/>
          <w:noProof/>
          <w:u w:val="single"/>
        </w:rPr>
        <w:t>derybos</w:t>
      </w:r>
      <w:r>
        <w:rPr>
          <w:rFonts w:ascii="Times New Roman" w:hAnsi="Times New Roman"/>
          <w:noProof/>
        </w:rPr>
        <w:t xml:space="preserve"> tam tikrose srityse gali būti </w:t>
      </w:r>
      <w:r>
        <w:rPr>
          <w:rFonts w:ascii="Times New Roman" w:hAnsi="Times New Roman"/>
          <w:noProof/>
          <w:u w:val="single"/>
        </w:rPr>
        <w:t>atidėtos</w:t>
      </w:r>
      <w:r>
        <w:rPr>
          <w:rFonts w:ascii="Times New Roman" w:hAnsi="Times New Roman"/>
          <w:noProof/>
        </w:rPr>
        <w:t xml:space="preserve"> arba, ypač rimtais atvejais, visai </w:t>
      </w:r>
      <w:r>
        <w:rPr>
          <w:rFonts w:ascii="Times New Roman" w:hAnsi="Times New Roman"/>
          <w:noProof/>
          <w:u w:val="single"/>
        </w:rPr>
        <w:t>sustabdytos</w:t>
      </w:r>
      <w:r>
        <w:rPr>
          <w:rFonts w:ascii="Times New Roman" w:hAnsi="Times New Roman"/>
          <w:noProof/>
        </w:rPr>
        <w:t xml:space="preserve">. Jei klausimus reikia įvertinti iš naujo, </w:t>
      </w:r>
      <w:r>
        <w:rPr>
          <w:rFonts w:ascii="Times New Roman" w:hAnsi="Times New Roman"/>
          <w:noProof/>
          <w:u w:val="single"/>
        </w:rPr>
        <w:t xml:space="preserve">jau uždarytus skyrius galima atidaryti ar </w:t>
      </w:r>
      <w:r>
        <w:rPr>
          <w:rFonts w:ascii="Times New Roman" w:hAnsi="Times New Roman"/>
          <w:noProof/>
        </w:rPr>
        <w:t>vėl iš naujo pradėti derybas dėl jų;</w:t>
      </w:r>
    </w:p>
    <w:p w:rsidR="004F3A00" w:rsidRDefault="00CE775C">
      <w:pPr>
        <w:widowControl w:val="0"/>
        <w:numPr>
          <w:ilvl w:val="0"/>
          <w:numId w:val="24"/>
        </w:numPr>
        <w:spacing w:after="120" w:line="240" w:lineRule="auto"/>
        <w:jc w:val="both"/>
        <w:rPr>
          <w:rFonts w:ascii="Times New Roman" w:hAnsi="Times New Roman" w:cs="Times New Roman"/>
          <w:noProof/>
          <w:sz w:val="24"/>
          <w:szCs w:val="24"/>
        </w:rPr>
      </w:pPr>
      <w:r>
        <w:rPr>
          <w:rFonts w:ascii="Times New Roman" w:hAnsi="Times New Roman"/>
          <w:noProof/>
          <w:u w:val="single"/>
        </w:rPr>
        <w:t>ES finansa</w:t>
      </w:r>
      <w:r>
        <w:rPr>
          <w:rFonts w:ascii="Times New Roman" w:hAnsi="Times New Roman"/>
          <w:noProof/>
          <w:u w:val="single"/>
        </w:rPr>
        <w:t>vimo aprėptis ir mastas  gali būti sumažintas, išskyrus paramos pilietinei visuomenei atveju</w:t>
      </w:r>
      <w:r>
        <w:rPr>
          <w:rFonts w:ascii="Times New Roman" w:hAnsi="Times New Roman"/>
          <w:noProof/>
        </w:rPr>
        <w:t xml:space="preserve">; </w:t>
      </w:r>
    </w:p>
    <w:p w:rsidR="004F3A00" w:rsidRDefault="00CE775C">
      <w:pPr>
        <w:widowControl w:val="0"/>
        <w:numPr>
          <w:ilvl w:val="0"/>
          <w:numId w:val="24"/>
        </w:numPr>
        <w:spacing w:after="120" w:line="240" w:lineRule="auto"/>
        <w:jc w:val="both"/>
        <w:rPr>
          <w:rFonts w:ascii="Times New Roman" w:hAnsi="Times New Roman" w:cs="Times New Roman"/>
          <w:noProof/>
          <w:sz w:val="24"/>
          <w:szCs w:val="24"/>
        </w:rPr>
      </w:pPr>
      <w:r>
        <w:rPr>
          <w:rFonts w:ascii="Times New Roman" w:hAnsi="Times New Roman"/>
          <w:noProof/>
          <w:u w:val="single"/>
        </w:rPr>
        <w:t>galimybė naudotis glaudesnės integracijos teikiamais privalumais</w:t>
      </w:r>
      <w:r>
        <w:rPr>
          <w:rFonts w:ascii="Times New Roman" w:hAnsi="Times New Roman"/>
          <w:noProof/>
        </w:rPr>
        <w:t xml:space="preserve">, pvz., galimybe dalyvauti ES programose, vienašalėmis nuolaidomis dėl patekimo į rinką, </w:t>
      </w:r>
      <w:r>
        <w:rPr>
          <w:rFonts w:ascii="Times New Roman" w:hAnsi="Times New Roman"/>
          <w:noProof/>
          <w:u w:val="single"/>
        </w:rPr>
        <w:t>gali būt</w:t>
      </w:r>
      <w:r>
        <w:rPr>
          <w:rFonts w:ascii="Times New Roman" w:hAnsi="Times New Roman"/>
          <w:noProof/>
          <w:u w:val="single"/>
        </w:rPr>
        <w:t>i sustabdyta arba panaikinta</w:t>
      </w:r>
      <w:r>
        <w:rPr>
          <w:rFonts w:ascii="Times New Roman" w:hAnsi="Times New Roman"/>
          <w:noProof/>
        </w:rPr>
        <w:t>.</w:t>
      </w:r>
    </w:p>
    <w:p w:rsidR="004F3A00" w:rsidRDefault="00CE775C">
      <w:pPr>
        <w:widowControl w:val="0"/>
        <w:spacing w:after="120" w:line="240" w:lineRule="auto"/>
        <w:jc w:val="both"/>
        <w:rPr>
          <w:rFonts w:ascii="Times New Roman" w:hAnsi="Times New Roman" w:cs="Times New Roman"/>
          <w:noProof/>
          <w:sz w:val="24"/>
          <w:szCs w:val="24"/>
          <w:u w:val="single"/>
        </w:rPr>
      </w:pPr>
      <w:r>
        <w:rPr>
          <w:rFonts w:ascii="Times New Roman" w:hAnsi="Times New Roman"/>
          <w:noProof/>
        </w:rPr>
        <w:t xml:space="preserve">Nuspėjamumas ir sąlygiškumas taip pat gali būti sustiprintas užtikrinant </w:t>
      </w:r>
      <w:r>
        <w:rPr>
          <w:rFonts w:ascii="Times New Roman" w:hAnsi="Times New Roman"/>
          <w:b/>
          <w:noProof/>
        </w:rPr>
        <w:t>didesnį skaidrumą</w:t>
      </w:r>
      <w:r>
        <w:rPr>
          <w:rFonts w:ascii="Times New Roman" w:hAnsi="Times New Roman"/>
          <w:noProof/>
        </w:rPr>
        <w:t>. Norint užtikrinti reformų tvarumą ir paprastesnę įgyvendinimo stebėseną, visos pagrindinės reformos šalyse turi būti vykdomos visiškai</w:t>
      </w:r>
      <w:r>
        <w:rPr>
          <w:rFonts w:ascii="Times New Roman" w:hAnsi="Times New Roman"/>
          <w:noProof/>
        </w:rPr>
        <w:t xml:space="preserve"> skaidriai ir įtraukiai, dalyvaujant pagrindiniams suinteresuotiesiems subjektams. Europos Sąjunga savo ruožtu turėtų stengtis šį procesą padaryti skaidresnį ir plačiau skelbti savo pagrindinius dokumentus.</w:t>
      </w:r>
      <w:r>
        <w:rPr>
          <w:rFonts w:ascii="Times New Roman" w:hAnsi="Times New Roman"/>
          <w:noProof/>
          <w:u w:val="single"/>
        </w:rPr>
        <w:t xml:space="preserve"> </w:t>
      </w:r>
    </w:p>
    <w:p w:rsidR="004F3A00" w:rsidRDefault="00CE775C">
      <w:pPr>
        <w:pStyle w:val="Briefingtext"/>
        <w:spacing w:after="120"/>
        <w:rPr>
          <w:rFonts w:ascii="Times New Roman" w:eastAsia="Calibri" w:hAnsi="Times New Roman" w:cs="Times New Roman"/>
          <w:noProof/>
          <w:sz w:val="24"/>
        </w:rPr>
      </w:pPr>
      <w:r>
        <w:rPr>
          <w:rFonts w:ascii="Times New Roman" w:hAnsi="Times New Roman"/>
          <w:noProof/>
        </w:rPr>
        <w:t>Komisija taip pat toliau bendraus ir informuos a</w:t>
      </w:r>
      <w:r>
        <w:rPr>
          <w:rFonts w:ascii="Times New Roman" w:hAnsi="Times New Roman"/>
          <w:noProof/>
        </w:rPr>
        <w:t xml:space="preserve">pie savo veiklą (taip pat ir ES valstybėse narėse); valstybėms narėms tenka pagrindinė atsakomybė informuoti savo piliečius ir pateikti jiems faktus apie šio proceso teikiamas strategines galimybes ir jo keliamus iššūkius. </w:t>
      </w:r>
    </w:p>
    <w:p w:rsidR="004F3A00" w:rsidRDefault="00CE775C">
      <w:pPr>
        <w:pStyle w:val="Briefingtext"/>
        <w:spacing w:after="120"/>
        <w:rPr>
          <w:rFonts w:ascii="Times New Roman" w:hAnsi="Times New Roman" w:cs="Times New Roman"/>
          <w:noProof/>
          <w:sz w:val="24"/>
        </w:rPr>
      </w:pPr>
      <w:r>
        <w:rPr>
          <w:rFonts w:ascii="Times New Roman" w:hAnsi="Times New Roman"/>
          <w:noProof/>
        </w:rPr>
        <w:t>Priede pateikiama lentelė, kurio</w:t>
      </w:r>
      <w:r>
        <w:rPr>
          <w:rFonts w:ascii="Times New Roman" w:hAnsi="Times New Roman"/>
          <w:noProof/>
        </w:rPr>
        <w:t>je išdėstomas skyrių paskirstymas į grupes. 34 skyrius „</w:t>
      </w:r>
      <w:r>
        <w:rPr>
          <w:rFonts w:ascii="Times New Roman" w:hAnsi="Times New Roman"/>
          <w:i/>
          <w:noProof/>
        </w:rPr>
        <w:t>Institucijos</w:t>
      </w:r>
      <w:r>
        <w:rPr>
          <w:rFonts w:ascii="Times New Roman" w:hAnsi="Times New Roman"/>
          <w:noProof/>
        </w:rPr>
        <w:t>“ ir 35 skyrius „</w:t>
      </w:r>
      <w:r>
        <w:rPr>
          <w:rFonts w:ascii="Times New Roman" w:hAnsi="Times New Roman"/>
          <w:i/>
          <w:noProof/>
        </w:rPr>
        <w:t>Kiti klausimai</w:t>
      </w:r>
      <w:r>
        <w:rPr>
          <w:rFonts w:ascii="Times New Roman" w:hAnsi="Times New Roman"/>
          <w:noProof/>
        </w:rPr>
        <w:t xml:space="preserve">“ bus nagrinėjami atskirai. </w:t>
      </w:r>
      <w:r>
        <w:rPr>
          <w:rFonts w:ascii="Times New Roman" w:hAnsi="Times New Roman"/>
          <w:noProof/>
        </w:rPr>
        <w:br w:type="page"/>
      </w:r>
    </w:p>
    <w:p w:rsidR="004F3A00" w:rsidRDefault="00CE775C">
      <w:pPr>
        <w:pageBreakBefore/>
        <w:spacing w:after="120" w:line="240" w:lineRule="auto"/>
        <w:jc w:val="both"/>
        <w:rPr>
          <w:rFonts w:ascii="Times New Roman" w:hAnsi="Times New Roman"/>
          <w:b/>
          <w:noProof/>
          <w:sz w:val="24"/>
          <w:u w:val="single"/>
        </w:rPr>
      </w:pPr>
      <w:r>
        <w:rPr>
          <w:rFonts w:ascii="Times New Roman" w:hAnsi="Times New Roman"/>
          <w:b/>
          <w:noProof/>
          <w:u w:val="single"/>
        </w:rPr>
        <w:t>Techninis priedas. Derybų skyrių grupės</w:t>
      </w:r>
    </w:p>
    <w:p w:rsidR="004F3A00" w:rsidRDefault="004F3A00">
      <w:pPr>
        <w:spacing w:after="120" w:line="240" w:lineRule="auto"/>
        <w:jc w:val="both"/>
        <w:rPr>
          <w:rFonts w:ascii="Times New Roman" w:hAnsi="Times New Roman" w:cs="Times New Roman"/>
          <w:b/>
          <w:noProof/>
          <w:sz w:val="24"/>
          <w:szCs w:val="24"/>
          <w:u w:val="single"/>
        </w:rPr>
      </w:pPr>
    </w:p>
    <w:tbl>
      <w:tblPr>
        <w:tblStyle w:val="TableGrid1"/>
        <w:tblW w:w="0" w:type="auto"/>
        <w:tblLook w:val="04A0" w:firstRow="1" w:lastRow="0" w:firstColumn="1" w:lastColumn="0" w:noHBand="0" w:noVBand="1"/>
      </w:tblPr>
      <w:tblGrid>
        <w:gridCol w:w="4656"/>
        <w:gridCol w:w="4630"/>
      </w:tblGrid>
      <w:tr w:rsidR="004F3A00">
        <w:tc>
          <w:tcPr>
            <w:tcW w:w="4656" w:type="dxa"/>
          </w:tcPr>
          <w:p w:rsidR="004F3A00" w:rsidRDefault="00CE775C">
            <w:pPr>
              <w:numPr>
                <w:ilvl w:val="0"/>
                <w:numId w:val="20"/>
              </w:numPr>
              <w:spacing w:after="120"/>
              <w:ind w:left="284" w:hanging="284"/>
              <w:rPr>
                <w:rFonts w:ascii="Times New Roman" w:hAnsi="Times New Roman" w:cs="Times New Roman"/>
                <w:b/>
                <w:noProof/>
                <w:color w:val="000000" w:themeColor="text1"/>
                <w:sz w:val="24"/>
                <w:szCs w:val="24"/>
              </w:rPr>
            </w:pPr>
            <w:r>
              <w:rPr>
                <w:rFonts w:ascii="Times New Roman" w:hAnsi="Times New Roman"/>
                <w:b/>
                <w:noProof/>
              </w:rPr>
              <w:t xml:space="preserve">Pagrindiniai principai </w:t>
            </w:r>
          </w:p>
        </w:tc>
        <w:tc>
          <w:tcPr>
            <w:tcW w:w="4630" w:type="dxa"/>
          </w:tcPr>
          <w:p w:rsidR="004F3A00" w:rsidRDefault="00CE775C">
            <w:pPr>
              <w:rPr>
                <w:rFonts w:ascii="Times New Roman" w:hAnsi="Times New Roman" w:cs="Times New Roman"/>
                <w:noProof/>
                <w:sz w:val="24"/>
                <w:szCs w:val="24"/>
              </w:rPr>
            </w:pPr>
            <w:r>
              <w:rPr>
                <w:rFonts w:ascii="Times New Roman" w:hAnsi="Times New Roman"/>
                <w:noProof/>
              </w:rPr>
              <w:t xml:space="preserve">23. Teisminės institucijos ir pagrindinės teisės </w:t>
            </w:r>
          </w:p>
          <w:p w:rsidR="004F3A00" w:rsidRDefault="00CE775C">
            <w:pPr>
              <w:rPr>
                <w:rFonts w:ascii="Times New Roman" w:hAnsi="Times New Roman" w:cs="Times New Roman"/>
                <w:noProof/>
                <w:sz w:val="24"/>
                <w:szCs w:val="24"/>
              </w:rPr>
            </w:pPr>
            <w:r>
              <w:rPr>
                <w:rFonts w:ascii="Times New Roman" w:hAnsi="Times New Roman"/>
                <w:noProof/>
              </w:rPr>
              <w:t>24. Teisingu</w:t>
            </w:r>
            <w:r>
              <w:rPr>
                <w:rFonts w:ascii="Times New Roman" w:hAnsi="Times New Roman"/>
                <w:noProof/>
              </w:rPr>
              <w:t>mas, laisvė ir saugumas</w:t>
            </w:r>
          </w:p>
          <w:p w:rsidR="004F3A00" w:rsidRDefault="00CE775C">
            <w:pPr>
              <w:rPr>
                <w:rFonts w:ascii="Times New Roman" w:hAnsi="Times New Roman" w:cs="Times New Roman"/>
                <w:noProof/>
                <w:sz w:val="24"/>
                <w:szCs w:val="24"/>
              </w:rPr>
            </w:pPr>
            <w:r>
              <w:rPr>
                <w:rFonts w:ascii="Times New Roman" w:hAnsi="Times New Roman"/>
                <w:noProof/>
              </w:rPr>
              <w:t>Ekonominiai kriterijai</w:t>
            </w:r>
          </w:p>
          <w:p w:rsidR="004F3A00" w:rsidRDefault="00CE775C">
            <w:pPr>
              <w:rPr>
                <w:rFonts w:ascii="Times New Roman" w:hAnsi="Times New Roman" w:cs="Times New Roman"/>
                <w:noProof/>
                <w:sz w:val="24"/>
                <w:szCs w:val="24"/>
              </w:rPr>
            </w:pPr>
            <w:r>
              <w:rPr>
                <w:rFonts w:ascii="Times New Roman" w:hAnsi="Times New Roman"/>
                <w:noProof/>
              </w:rPr>
              <w:t xml:space="preserve">Demokratinių institucijų veikimas </w:t>
            </w:r>
          </w:p>
          <w:p w:rsidR="004F3A00" w:rsidRDefault="00CE775C">
            <w:pPr>
              <w:rPr>
                <w:rFonts w:ascii="Times New Roman" w:hAnsi="Times New Roman" w:cs="Times New Roman"/>
                <w:noProof/>
                <w:sz w:val="24"/>
                <w:szCs w:val="24"/>
              </w:rPr>
            </w:pPr>
            <w:r>
              <w:rPr>
                <w:rFonts w:ascii="Times New Roman" w:hAnsi="Times New Roman"/>
                <w:noProof/>
              </w:rPr>
              <w:t xml:space="preserve">Viešojo administravimo reforma </w:t>
            </w:r>
          </w:p>
          <w:p w:rsidR="004F3A00" w:rsidRDefault="00CE775C">
            <w:pPr>
              <w:rPr>
                <w:rFonts w:ascii="Times New Roman" w:hAnsi="Times New Roman" w:cs="Times New Roman"/>
                <w:noProof/>
                <w:sz w:val="24"/>
                <w:szCs w:val="24"/>
              </w:rPr>
            </w:pPr>
            <w:r>
              <w:rPr>
                <w:rFonts w:ascii="Times New Roman" w:hAnsi="Times New Roman"/>
                <w:noProof/>
              </w:rPr>
              <w:t xml:space="preserve">5. Viešieji pirkimai </w:t>
            </w:r>
          </w:p>
          <w:p w:rsidR="004F3A00" w:rsidRDefault="00CE775C">
            <w:pPr>
              <w:rPr>
                <w:rFonts w:ascii="Times New Roman" w:hAnsi="Times New Roman" w:cs="Times New Roman"/>
                <w:noProof/>
                <w:sz w:val="24"/>
                <w:szCs w:val="24"/>
              </w:rPr>
            </w:pPr>
            <w:r>
              <w:rPr>
                <w:rFonts w:ascii="Times New Roman" w:hAnsi="Times New Roman"/>
                <w:noProof/>
              </w:rPr>
              <w:t>18. Statistika</w:t>
            </w:r>
          </w:p>
          <w:p w:rsidR="004F3A00" w:rsidRDefault="00CE775C">
            <w:pPr>
              <w:rPr>
                <w:rFonts w:ascii="Times New Roman" w:hAnsi="Times New Roman" w:cs="Times New Roman"/>
                <w:noProof/>
                <w:sz w:val="24"/>
                <w:szCs w:val="24"/>
              </w:rPr>
            </w:pPr>
            <w:r>
              <w:rPr>
                <w:rFonts w:ascii="Times New Roman" w:hAnsi="Times New Roman"/>
                <w:noProof/>
              </w:rPr>
              <w:t>32. Finansų kontrolė</w:t>
            </w:r>
          </w:p>
        </w:tc>
      </w:tr>
      <w:tr w:rsidR="004F3A00">
        <w:tc>
          <w:tcPr>
            <w:tcW w:w="4656" w:type="dxa"/>
          </w:tcPr>
          <w:p w:rsidR="004F3A00" w:rsidRDefault="00CE775C">
            <w:pPr>
              <w:numPr>
                <w:ilvl w:val="0"/>
                <w:numId w:val="20"/>
              </w:numPr>
              <w:spacing w:after="120"/>
              <w:ind w:left="284" w:hanging="284"/>
              <w:rPr>
                <w:rFonts w:ascii="Times New Roman" w:hAnsi="Times New Roman" w:cs="Times New Roman"/>
                <w:b/>
                <w:noProof/>
                <w:color w:val="C00000"/>
                <w:sz w:val="24"/>
                <w:szCs w:val="24"/>
              </w:rPr>
            </w:pPr>
            <w:r>
              <w:rPr>
                <w:rFonts w:ascii="Times New Roman" w:hAnsi="Times New Roman"/>
                <w:b/>
                <w:noProof/>
              </w:rPr>
              <w:t>Vidaus rinka</w:t>
            </w:r>
          </w:p>
        </w:tc>
        <w:tc>
          <w:tcPr>
            <w:tcW w:w="4630" w:type="dxa"/>
          </w:tcPr>
          <w:p w:rsidR="004F3A00" w:rsidRDefault="00CE775C">
            <w:pPr>
              <w:rPr>
                <w:rFonts w:ascii="Times New Roman" w:hAnsi="Times New Roman" w:cs="Times New Roman"/>
                <w:noProof/>
                <w:sz w:val="24"/>
                <w:szCs w:val="24"/>
              </w:rPr>
            </w:pPr>
            <w:r>
              <w:rPr>
                <w:rFonts w:ascii="Times New Roman" w:hAnsi="Times New Roman"/>
                <w:noProof/>
              </w:rPr>
              <w:t xml:space="preserve">1. Laisvas prekių judėjimas </w:t>
            </w:r>
          </w:p>
          <w:p w:rsidR="004F3A00" w:rsidRDefault="00CE775C">
            <w:pPr>
              <w:rPr>
                <w:rFonts w:ascii="Times New Roman" w:hAnsi="Times New Roman" w:cs="Times New Roman"/>
                <w:noProof/>
                <w:sz w:val="24"/>
                <w:szCs w:val="24"/>
              </w:rPr>
            </w:pPr>
            <w:r>
              <w:rPr>
                <w:rFonts w:ascii="Times New Roman" w:hAnsi="Times New Roman"/>
                <w:noProof/>
              </w:rPr>
              <w:t xml:space="preserve">2. Laisvas darbuotojų judėjimas </w:t>
            </w:r>
          </w:p>
          <w:p w:rsidR="004F3A00" w:rsidRDefault="00CE775C">
            <w:pPr>
              <w:rPr>
                <w:rFonts w:ascii="Times New Roman" w:hAnsi="Times New Roman" w:cs="Times New Roman"/>
                <w:noProof/>
                <w:sz w:val="24"/>
                <w:szCs w:val="24"/>
              </w:rPr>
            </w:pPr>
            <w:r>
              <w:rPr>
                <w:rFonts w:ascii="Times New Roman" w:hAnsi="Times New Roman"/>
                <w:noProof/>
              </w:rPr>
              <w:t xml:space="preserve">3. Įsisteigimo teisė ir laisvė teikti paslaugas </w:t>
            </w:r>
          </w:p>
          <w:p w:rsidR="004F3A00" w:rsidRDefault="00CE775C">
            <w:pPr>
              <w:rPr>
                <w:rFonts w:ascii="Times New Roman" w:hAnsi="Times New Roman" w:cs="Times New Roman"/>
                <w:noProof/>
                <w:sz w:val="24"/>
                <w:szCs w:val="24"/>
              </w:rPr>
            </w:pPr>
            <w:r>
              <w:rPr>
                <w:rFonts w:ascii="Times New Roman" w:hAnsi="Times New Roman"/>
                <w:noProof/>
              </w:rPr>
              <w:t>4. Laisvas kapitalo judėjimas</w:t>
            </w:r>
          </w:p>
          <w:p w:rsidR="004F3A00" w:rsidRDefault="00CE775C">
            <w:pPr>
              <w:rPr>
                <w:rFonts w:ascii="Times New Roman" w:hAnsi="Times New Roman" w:cs="Times New Roman"/>
                <w:noProof/>
                <w:sz w:val="24"/>
                <w:szCs w:val="24"/>
              </w:rPr>
            </w:pPr>
            <w:r>
              <w:rPr>
                <w:rFonts w:ascii="Times New Roman" w:hAnsi="Times New Roman"/>
                <w:noProof/>
              </w:rPr>
              <w:t>6. Bendrovių teisė</w:t>
            </w:r>
          </w:p>
          <w:p w:rsidR="004F3A00" w:rsidRDefault="00CE775C">
            <w:pPr>
              <w:rPr>
                <w:rFonts w:ascii="Times New Roman" w:hAnsi="Times New Roman" w:cs="Times New Roman"/>
                <w:noProof/>
                <w:sz w:val="24"/>
                <w:szCs w:val="24"/>
              </w:rPr>
            </w:pPr>
            <w:r>
              <w:rPr>
                <w:rFonts w:ascii="Times New Roman" w:hAnsi="Times New Roman"/>
                <w:noProof/>
              </w:rPr>
              <w:t>7. Intelektinės nuosavybės teisė</w:t>
            </w:r>
          </w:p>
          <w:p w:rsidR="004F3A00" w:rsidRDefault="00CE775C">
            <w:pPr>
              <w:rPr>
                <w:rFonts w:ascii="Times New Roman" w:hAnsi="Times New Roman" w:cs="Times New Roman"/>
                <w:noProof/>
                <w:sz w:val="24"/>
                <w:szCs w:val="24"/>
              </w:rPr>
            </w:pPr>
            <w:r>
              <w:rPr>
                <w:rFonts w:ascii="Times New Roman" w:hAnsi="Times New Roman"/>
                <w:noProof/>
              </w:rPr>
              <w:t>8. Konkurencijos politika</w:t>
            </w:r>
          </w:p>
          <w:p w:rsidR="004F3A00" w:rsidRDefault="00CE775C">
            <w:pPr>
              <w:rPr>
                <w:rFonts w:ascii="Times New Roman" w:hAnsi="Times New Roman" w:cs="Times New Roman"/>
                <w:noProof/>
                <w:sz w:val="24"/>
                <w:szCs w:val="24"/>
              </w:rPr>
            </w:pPr>
            <w:r>
              <w:rPr>
                <w:rFonts w:ascii="Times New Roman" w:hAnsi="Times New Roman"/>
                <w:noProof/>
              </w:rPr>
              <w:t xml:space="preserve">9. Finansinės paslaugos </w:t>
            </w:r>
          </w:p>
          <w:p w:rsidR="004F3A00" w:rsidRDefault="00CE775C">
            <w:pPr>
              <w:rPr>
                <w:rFonts w:ascii="Times New Roman" w:hAnsi="Times New Roman" w:cs="Times New Roman"/>
                <w:noProof/>
                <w:sz w:val="24"/>
                <w:szCs w:val="24"/>
              </w:rPr>
            </w:pPr>
            <w:r>
              <w:rPr>
                <w:rFonts w:ascii="Times New Roman" w:hAnsi="Times New Roman"/>
                <w:noProof/>
              </w:rPr>
              <w:t>28. Vartotojų ir sveikatos apsauga</w:t>
            </w:r>
          </w:p>
        </w:tc>
      </w:tr>
      <w:tr w:rsidR="004F3A00">
        <w:tc>
          <w:tcPr>
            <w:tcW w:w="4656" w:type="dxa"/>
          </w:tcPr>
          <w:p w:rsidR="004F3A00" w:rsidRDefault="00CE775C">
            <w:pPr>
              <w:numPr>
                <w:ilvl w:val="0"/>
                <w:numId w:val="20"/>
              </w:numPr>
              <w:spacing w:after="120"/>
              <w:ind w:left="284" w:hanging="284"/>
              <w:rPr>
                <w:rFonts w:ascii="Times New Roman" w:hAnsi="Times New Roman" w:cs="Times New Roman"/>
                <w:b/>
                <w:noProof/>
                <w:color w:val="C00000"/>
                <w:sz w:val="24"/>
                <w:szCs w:val="24"/>
              </w:rPr>
            </w:pPr>
            <w:r>
              <w:rPr>
                <w:rFonts w:ascii="Times New Roman" w:hAnsi="Times New Roman"/>
                <w:b/>
                <w:noProof/>
              </w:rPr>
              <w:t>Konkurencingumas ir ekonomikos augimas</w:t>
            </w:r>
          </w:p>
        </w:tc>
        <w:tc>
          <w:tcPr>
            <w:tcW w:w="4630" w:type="dxa"/>
          </w:tcPr>
          <w:p w:rsidR="004F3A00" w:rsidRDefault="00CE775C">
            <w:pPr>
              <w:rPr>
                <w:rFonts w:ascii="Times New Roman" w:hAnsi="Times New Roman" w:cs="Times New Roman"/>
                <w:noProof/>
                <w:sz w:val="24"/>
                <w:szCs w:val="24"/>
              </w:rPr>
            </w:pPr>
            <w:r>
              <w:rPr>
                <w:rFonts w:ascii="Times New Roman" w:hAnsi="Times New Roman"/>
                <w:noProof/>
              </w:rPr>
              <w:t xml:space="preserve">10. Informacinė visuomenė ir žiniasklaida </w:t>
            </w:r>
          </w:p>
          <w:p w:rsidR="004F3A00" w:rsidRDefault="00CE775C">
            <w:pPr>
              <w:rPr>
                <w:rFonts w:ascii="Times New Roman" w:hAnsi="Times New Roman" w:cs="Times New Roman"/>
                <w:noProof/>
                <w:sz w:val="24"/>
                <w:szCs w:val="24"/>
              </w:rPr>
            </w:pPr>
            <w:r>
              <w:rPr>
                <w:rFonts w:ascii="Times New Roman" w:hAnsi="Times New Roman"/>
                <w:noProof/>
              </w:rPr>
              <w:t xml:space="preserve">16. Apmokestinimas </w:t>
            </w:r>
          </w:p>
          <w:p w:rsidR="004F3A00" w:rsidRDefault="00CE775C">
            <w:pPr>
              <w:rPr>
                <w:rFonts w:ascii="Times New Roman" w:hAnsi="Times New Roman" w:cs="Times New Roman"/>
                <w:noProof/>
                <w:sz w:val="24"/>
                <w:szCs w:val="24"/>
              </w:rPr>
            </w:pPr>
            <w:r>
              <w:rPr>
                <w:rFonts w:ascii="Times New Roman" w:hAnsi="Times New Roman"/>
                <w:noProof/>
              </w:rPr>
              <w:t xml:space="preserve">17. Ekonominė ir pinigų politika </w:t>
            </w:r>
          </w:p>
          <w:p w:rsidR="004F3A00" w:rsidRDefault="00CE775C">
            <w:pPr>
              <w:rPr>
                <w:rFonts w:ascii="Times New Roman" w:hAnsi="Times New Roman" w:cs="Times New Roman"/>
                <w:noProof/>
                <w:sz w:val="24"/>
                <w:szCs w:val="24"/>
              </w:rPr>
            </w:pPr>
            <w:r>
              <w:rPr>
                <w:rFonts w:ascii="Times New Roman" w:hAnsi="Times New Roman"/>
                <w:noProof/>
              </w:rPr>
              <w:t xml:space="preserve">19. Socialinė politika ir užimtumas </w:t>
            </w:r>
          </w:p>
          <w:p w:rsidR="004F3A00" w:rsidRDefault="00CE775C">
            <w:pPr>
              <w:rPr>
                <w:rFonts w:ascii="Times New Roman" w:hAnsi="Times New Roman" w:cs="Times New Roman"/>
                <w:noProof/>
                <w:sz w:val="24"/>
                <w:szCs w:val="24"/>
              </w:rPr>
            </w:pPr>
            <w:r>
              <w:rPr>
                <w:rFonts w:ascii="Times New Roman" w:hAnsi="Times New Roman"/>
                <w:noProof/>
              </w:rPr>
              <w:t>20. Įmonių ir pramonės politika</w:t>
            </w:r>
          </w:p>
          <w:p w:rsidR="004F3A00" w:rsidRDefault="00CE775C">
            <w:pPr>
              <w:rPr>
                <w:rFonts w:ascii="Times New Roman" w:hAnsi="Times New Roman" w:cs="Times New Roman"/>
                <w:noProof/>
                <w:sz w:val="24"/>
                <w:szCs w:val="24"/>
              </w:rPr>
            </w:pPr>
            <w:r>
              <w:rPr>
                <w:rFonts w:ascii="Times New Roman" w:hAnsi="Times New Roman"/>
                <w:noProof/>
              </w:rPr>
              <w:t xml:space="preserve">25. Mokslas ir moksliniai tyrimai </w:t>
            </w:r>
          </w:p>
          <w:p w:rsidR="004F3A00" w:rsidRDefault="00CE775C">
            <w:pPr>
              <w:rPr>
                <w:rFonts w:ascii="Times New Roman" w:hAnsi="Times New Roman" w:cs="Times New Roman"/>
                <w:noProof/>
                <w:sz w:val="24"/>
                <w:szCs w:val="24"/>
              </w:rPr>
            </w:pPr>
            <w:r>
              <w:rPr>
                <w:rFonts w:ascii="Times New Roman" w:hAnsi="Times New Roman"/>
                <w:noProof/>
              </w:rPr>
              <w:t>26. Švietimas ir kultūra</w:t>
            </w:r>
          </w:p>
          <w:p w:rsidR="004F3A00" w:rsidRDefault="00CE775C">
            <w:pPr>
              <w:rPr>
                <w:rFonts w:ascii="Times New Roman" w:hAnsi="Times New Roman" w:cs="Times New Roman"/>
                <w:b/>
                <w:noProof/>
                <w:color w:val="C00000"/>
                <w:sz w:val="24"/>
                <w:szCs w:val="24"/>
              </w:rPr>
            </w:pPr>
            <w:r>
              <w:rPr>
                <w:rFonts w:ascii="Times New Roman" w:hAnsi="Times New Roman"/>
                <w:noProof/>
              </w:rPr>
              <w:t>29. Muitų sąjunga</w:t>
            </w:r>
          </w:p>
        </w:tc>
      </w:tr>
      <w:tr w:rsidR="004F3A00">
        <w:tc>
          <w:tcPr>
            <w:tcW w:w="4656" w:type="dxa"/>
          </w:tcPr>
          <w:p w:rsidR="004F3A00" w:rsidRDefault="00CE775C">
            <w:pPr>
              <w:numPr>
                <w:ilvl w:val="0"/>
                <w:numId w:val="20"/>
              </w:numPr>
              <w:spacing w:after="120"/>
              <w:ind w:left="284" w:hanging="284"/>
              <w:rPr>
                <w:rFonts w:ascii="Times New Roman" w:hAnsi="Times New Roman" w:cs="Times New Roman"/>
                <w:b/>
                <w:noProof/>
                <w:color w:val="C00000"/>
                <w:sz w:val="24"/>
                <w:szCs w:val="24"/>
              </w:rPr>
            </w:pPr>
            <w:r>
              <w:rPr>
                <w:rFonts w:ascii="Times New Roman" w:hAnsi="Times New Roman"/>
                <w:b/>
                <w:noProof/>
              </w:rPr>
              <w:t xml:space="preserve">Žalioji </w:t>
            </w:r>
            <w:r>
              <w:rPr>
                <w:rFonts w:ascii="Times New Roman" w:hAnsi="Times New Roman"/>
                <w:b/>
                <w:noProof/>
              </w:rPr>
              <w:t>darbotvarkė ir tvarus sujungiamumas</w:t>
            </w:r>
          </w:p>
        </w:tc>
        <w:tc>
          <w:tcPr>
            <w:tcW w:w="4630" w:type="dxa"/>
          </w:tcPr>
          <w:p w:rsidR="004F3A00" w:rsidRDefault="00CE775C">
            <w:pPr>
              <w:rPr>
                <w:rFonts w:ascii="Times New Roman" w:hAnsi="Times New Roman" w:cs="Times New Roman"/>
                <w:noProof/>
                <w:sz w:val="24"/>
                <w:szCs w:val="24"/>
              </w:rPr>
            </w:pPr>
            <w:r>
              <w:rPr>
                <w:rFonts w:ascii="Times New Roman" w:hAnsi="Times New Roman"/>
                <w:noProof/>
              </w:rPr>
              <w:t xml:space="preserve">14. Transporto politika </w:t>
            </w:r>
          </w:p>
          <w:p w:rsidR="004F3A00" w:rsidRDefault="00CE775C">
            <w:pPr>
              <w:rPr>
                <w:rFonts w:ascii="Times New Roman" w:hAnsi="Times New Roman" w:cs="Times New Roman"/>
                <w:noProof/>
                <w:sz w:val="24"/>
                <w:szCs w:val="24"/>
              </w:rPr>
            </w:pPr>
            <w:r>
              <w:rPr>
                <w:rFonts w:ascii="Times New Roman" w:hAnsi="Times New Roman"/>
                <w:noProof/>
              </w:rPr>
              <w:t xml:space="preserve">15. Energetika </w:t>
            </w:r>
          </w:p>
          <w:p w:rsidR="004F3A00" w:rsidRDefault="00CE775C">
            <w:pPr>
              <w:rPr>
                <w:rFonts w:ascii="Times New Roman" w:hAnsi="Times New Roman" w:cs="Times New Roman"/>
                <w:noProof/>
                <w:sz w:val="24"/>
                <w:szCs w:val="24"/>
              </w:rPr>
            </w:pPr>
            <w:r>
              <w:rPr>
                <w:rFonts w:ascii="Times New Roman" w:hAnsi="Times New Roman"/>
                <w:noProof/>
              </w:rPr>
              <w:t xml:space="preserve">21. Transeuropiniai tinklai </w:t>
            </w:r>
          </w:p>
          <w:p w:rsidR="004F3A00" w:rsidRDefault="00CE775C">
            <w:pPr>
              <w:rPr>
                <w:rFonts w:ascii="Times New Roman" w:hAnsi="Times New Roman" w:cs="Times New Roman"/>
                <w:b/>
                <w:noProof/>
                <w:color w:val="C00000"/>
                <w:sz w:val="24"/>
                <w:szCs w:val="24"/>
              </w:rPr>
            </w:pPr>
            <w:r>
              <w:rPr>
                <w:rFonts w:ascii="Times New Roman" w:hAnsi="Times New Roman"/>
                <w:noProof/>
              </w:rPr>
              <w:t>27. Aplinkosauga ir klimato kaita</w:t>
            </w:r>
          </w:p>
        </w:tc>
      </w:tr>
      <w:tr w:rsidR="004F3A00">
        <w:tc>
          <w:tcPr>
            <w:tcW w:w="4656" w:type="dxa"/>
          </w:tcPr>
          <w:p w:rsidR="004F3A00" w:rsidRDefault="00CE775C">
            <w:pPr>
              <w:numPr>
                <w:ilvl w:val="0"/>
                <w:numId w:val="20"/>
              </w:numPr>
              <w:spacing w:after="120"/>
              <w:ind w:left="284" w:hanging="284"/>
              <w:rPr>
                <w:rFonts w:ascii="Times New Roman" w:hAnsi="Times New Roman" w:cs="Times New Roman"/>
                <w:b/>
                <w:noProof/>
                <w:color w:val="C00000"/>
                <w:sz w:val="24"/>
                <w:szCs w:val="24"/>
              </w:rPr>
            </w:pPr>
            <w:r>
              <w:rPr>
                <w:rFonts w:ascii="Times New Roman" w:hAnsi="Times New Roman"/>
                <w:b/>
                <w:noProof/>
              </w:rPr>
              <w:t>Ištekliai, žemės ūkis ir sanglauda</w:t>
            </w:r>
          </w:p>
        </w:tc>
        <w:tc>
          <w:tcPr>
            <w:tcW w:w="4630" w:type="dxa"/>
          </w:tcPr>
          <w:p w:rsidR="004F3A00" w:rsidRDefault="00CE775C">
            <w:pPr>
              <w:rPr>
                <w:rFonts w:ascii="Times New Roman" w:hAnsi="Times New Roman" w:cs="Times New Roman"/>
                <w:noProof/>
                <w:sz w:val="24"/>
                <w:szCs w:val="24"/>
              </w:rPr>
            </w:pPr>
            <w:r>
              <w:rPr>
                <w:rFonts w:ascii="Times New Roman" w:hAnsi="Times New Roman"/>
                <w:noProof/>
              </w:rPr>
              <w:t>11. Žemės ūkis ir kaimo plėtra</w:t>
            </w:r>
          </w:p>
          <w:p w:rsidR="004F3A00" w:rsidRDefault="00CE775C">
            <w:pPr>
              <w:rPr>
                <w:rFonts w:ascii="Times New Roman" w:hAnsi="Times New Roman" w:cs="Times New Roman"/>
                <w:noProof/>
                <w:sz w:val="24"/>
                <w:szCs w:val="24"/>
              </w:rPr>
            </w:pPr>
            <w:r>
              <w:rPr>
                <w:rFonts w:ascii="Times New Roman" w:hAnsi="Times New Roman"/>
                <w:noProof/>
              </w:rPr>
              <w:t>12. Maisto saugos, veterinarijos ir fitosanitarij</w:t>
            </w:r>
            <w:r>
              <w:rPr>
                <w:rFonts w:ascii="Times New Roman" w:hAnsi="Times New Roman"/>
                <w:noProof/>
              </w:rPr>
              <w:t xml:space="preserve">os politika </w:t>
            </w:r>
          </w:p>
          <w:p w:rsidR="004F3A00" w:rsidRDefault="00CE775C">
            <w:pPr>
              <w:rPr>
                <w:rFonts w:ascii="Times New Roman" w:hAnsi="Times New Roman" w:cs="Times New Roman"/>
                <w:noProof/>
                <w:sz w:val="24"/>
                <w:szCs w:val="24"/>
              </w:rPr>
            </w:pPr>
            <w:r>
              <w:rPr>
                <w:rFonts w:ascii="Times New Roman" w:hAnsi="Times New Roman"/>
                <w:noProof/>
              </w:rPr>
              <w:t xml:space="preserve">13. Žuvininkystė </w:t>
            </w:r>
          </w:p>
          <w:p w:rsidR="004F3A00" w:rsidRDefault="00CE775C">
            <w:pPr>
              <w:rPr>
                <w:rFonts w:ascii="Times New Roman" w:hAnsi="Times New Roman" w:cs="Times New Roman"/>
                <w:noProof/>
                <w:sz w:val="24"/>
                <w:szCs w:val="24"/>
              </w:rPr>
            </w:pPr>
            <w:r>
              <w:rPr>
                <w:rFonts w:ascii="Times New Roman" w:hAnsi="Times New Roman"/>
                <w:noProof/>
              </w:rPr>
              <w:t xml:space="preserve">22. Regioninė politika ir struktūrinių priemonių koordinavimas </w:t>
            </w:r>
          </w:p>
          <w:p w:rsidR="004F3A00" w:rsidRDefault="00CE775C">
            <w:pPr>
              <w:rPr>
                <w:rFonts w:ascii="Times New Roman" w:hAnsi="Times New Roman" w:cs="Times New Roman"/>
                <w:b/>
                <w:noProof/>
                <w:color w:val="C00000"/>
                <w:sz w:val="24"/>
                <w:szCs w:val="24"/>
              </w:rPr>
            </w:pPr>
            <w:r>
              <w:rPr>
                <w:rFonts w:ascii="Times New Roman" w:hAnsi="Times New Roman"/>
                <w:noProof/>
              </w:rPr>
              <w:t>33. Finansų ir biudžeto nuostatos</w:t>
            </w:r>
          </w:p>
        </w:tc>
      </w:tr>
      <w:tr w:rsidR="004F3A00">
        <w:tc>
          <w:tcPr>
            <w:tcW w:w="4656" w:type="dxa"/>
          </w:tcPr>
          <w:p w:rsidR="004F3A00" w:rsidRDefault="00CE775C">
            <w:pPr>
              <w:numPr>
                <w:ilvl w:val="0"/>
                <w:numId w:val="20"/>
              </w:numPr>
              <w:spacing w:after="120"/>
              <w:ind w:left="284" w:hanging="284"/>
              <w:rPr>
                <w:rFonts w:ascii="Times New Roman" w:hAnsi="Times New Roman" w:cs="Times New Roman"/>
                <w:b/>
                <w:noProof/>
                <w:color w:val="C00000"/>
                <w:sz w:val="24"/>
                <w:szCs w:val="24"/>
              </w:rPr>
            </w:pPr>
            <w:r>
              <w:rPr>
                <w:rFonts w:ascii="Times New Roman" w:hAnsi="Times New Roman"/>
                <w:b/>
                <w:noProof/>
              </w:rPr>
              <w:t>Išorės santykiai</w:t>
            </w:r>
          </w:p>
        </w:tc>
        <w:tc>
          <w:tcPr>
            <w:tcW w:w="4630" w:type="dxa"/>
          </w:tcPr>
          <w:p w:rsidR="004F3A00" w:rsidRDefault="00CE775C">
            <w:pPr>
              <w:rPr>
                <w:rFonts w:ascii="Times New Roman" w:hAnsi="Times New Roman" w:cs="Times New Roman"/>
                <w:noProof/>
                <w:sz w:val="24"/>
                <w:szCs w:val="24"/>
              </w:rPr>
            </w:pPr>
            <w:r>
              <w:rPr>
                <w:rFonts w:ascii="Times New Roman" w:hAnsi="Times New Roman"/>
                <w:noProof/>
              </w:rPr>
              <w:t xml:space="preserve">30. Išorės santykiai </w:t>
            </w:r>
          </w:p>
          <w:p w:rsidR="004F3A00" w:rsidRDefault="00CE775C">
            <w:pPr>
              <w:rPr>
                <w:rFonts w:ascii="Times New Roman" w:hAnsi="Times New Roman" w:cs="Times New Roman"/>
                <w:b/>
                <w:noProof/>
                <w:color w:val="C00000"/>
                <w:sz w:val="24"/>
                <w:szCs w:val="24"/>
              </w:rPr>
            </w:pPr>
            <w:r>
              <w:rPr>
                <w:rFonts w:ascii="Times New Roman" w:hAnsi="Times New Roman"/>
                <w:noProof/>
              </w:rPr>
              <w:t>31. Užsienio, saugumo ir gynybos politika</w:t>
            </w:r>
          </w:p>
        </w:tc>
      </w:tr>
    </w:tbl>
    <w:p w:rsidR="004F3A00" w:rsidRDefault="004F3A00">
      <w:pPr>
        <w:spacing w:after="120" w:line="240" w:lineRule="auto"/>
        <w:rPr>
          <w:noProof/>
        </w:rPr>
      </w:pPr>
    </w:p>
    <w:p w:rsidR="004F3A00" w:rsidRDefault="00CE775C">
      <w:pPr>
        <w:spacing w:before="100" w:beforeAutospacing="1" w:after="100" w:afterAutospacing="1"/>
        <w:rPr>
          <w:noProof/>
          <w:color w:val="1F497D"/>
        </w:rPr>
      </w:pPr>
      <w:r>
        <w:rPr>
          <w:noProof/>
          <w:color w:val="1F497D"/>
        </w:rPr>
        <w:t xml:space="preserve"> </w:t>
      </w:r>
    </w:p>
    <w:p w:rsidR="004F3A00" w:rsidRDefault="004F3A00">
      <w:pPr>
        <w:rPr>
          <w:noProof/>
        </w:rPr>
      </w:pPr>
    </w:p>
    <w:sectPr w:rsidR="004F3A00">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00" w:rsidRDefault="00CE775C">
      <w:pPr>
        <w:spacing w:after="0" w:line="240" w:lineRule="auto"/>
      </w:pPr>
      <w:r>
        <w:separator/>
      </w:r>
    </w:p>
  </w:endnote>
  <w:endnote w:type="continuationSeparator" w:id="0">
    <w:p w:rsidR="004F3A00" w:rsidRDefault="00CE775C">
      <w:pPr>
        <w:spacing w:after="0" w:line="240" w:lineRule="auto"/>
      </w:pPr>
      <w:r>
        <w:continuationSeparator/>
      </w:r>
    </w:p>
  </w:endnote>
  <w:endnote w:type="continuationNotice" w:id="1">
    <w:p w:rsidR="004F3A00" w:rsidRDefault="004F3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00" w:rsidRDefault="004F3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00" w:rsidRDefault="00CE775C">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00" w:rsidRDefault="004F3A00">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00" w:rsidRDefault="004F3A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924416"/>
      <w:docPartObj>
        <w:docPartGallery w:val="Page Numbers (Bottom of Page)"/>
        <w:docPartUnique/>
      </w:docPartObj>
    </w:sdtPr>
    <w:sdtEndPr>
      <w:rPr>
        <w:rFonts w:ascii="Times New Roman" w:hAnsi="Times New Roman"/>
      </w:rPr>
    </w:sdtEndPr>
    <w:sdtContent>
      <w:p w:rsidR="004F3A00" w:rsidRDefault="00CE775C">
        <w:pPr>
          <w:pStyle w:val="Footer"/>
          <w:jc w:val="center"/>
          <w:rPr>
            <w:rFonts w:ascii="Times New Roman" w:hAnsi="Times New Roman"/>
          </w:rPr>
        </w:pPr>
        <w:r>
          <w:rPr>
            <w:rFonts w:ascii="Times New Roman" w:hAnsi="Times New Roman"/>
          </w:rPr>
          <w:fldChar w:fldCharType="begin"/>
        </w:r>
        <w:r>
          <w:rPr>
            <w:rFonts w:ascii="Times New Roman" w:hAnsi="Times New Roman" w:cs="Times New Roman"/>
          </w:rPr>
          <w:instrText xml:space="preserve"> PAGE   \* MERGEFORMAT </w:instrText>
        </w:r>
        <w:r>
          <w:rPr>
            <w:rFonts w:ascii="Times New Roman" w:hAnsi="Times New Roman"/>
          </w:rPr>
          <w:fldChar w:fldCharType="separate"/>
        </w:r>
        <w:r>
          <w:rPr>
            <w:rFonts w:ascii="Times New Roman" w:hAnsi="Times New Roman" w:cs="Times New Roman"/>
            <w:noProof/>
          </w:rPr>
          <w:t>4</w:t>
        </w:r>
        <w:r>
          <w:rPr>
            <w:rFonts w:ascii="Times New Roman" w:hAnsi="Times New Roman"/>
          </w:rPr>
          <w:fldChar w:fldCharType="end"/>
        </w:r>
      </w:p>
    </w:sdtContent>
  </w:sdt>
  <w:p w:rsidR="004F3A00" w:rsidRDefault="004F3A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00" w:rsidRDefault="004F3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00" w:rsidRDefault="00CE775C">
      <w:pPr>
        <w:spacing w:after="0" w:line="240" w:lineRule="auto"/>
      </w:pPr>
      <w:r>
        <w:separator/>
      </w:r>
    </w:p>
  </w:footnote>
  <w:footnote w:type="continuationSeparator" w:id="0">
    <w:p w:rsidR="004F3A00" w:rsidRDefault="00CE775C">
      <w:pPr>
        <w:spacing w:after="0" w:line="240" w:lineRule="auto"/>
      </w:pPr>
      <w:r>
        <w:continuationSeparator/>
      </w:r>
    </w:p>
  </w:footnote>
  <w:footnote w:type="continuationNotice" w:id="1">
    <w:p w:rsidR="004F3A00" w:rsidRDefault="004F3A00">
      <w:pPr>
        <w:spacing w:after="0" w:line="240" w:lineRule="auto"/>
      </w:pPr>
    </w:p>
  </w:footnote>
  <w:footnote w:id="2">
    <w:p w:rsidR="004F3A00" w:rsidRDefault="00CE775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„Įtikinama plėtros perspektyva ir didesnis ES įsipareigojimas Vakarų Balkanų šalims“, COM(2018) 65 </w:t>
      </w:r>
      <w:r>
        <w:rPr>
          <w:rFonts w:ascii="Times New Roman" w:hAnsi="Times New Roman"/>
          <w:i/>
          <w:iCs/>
        </w:rPr>
        <w:t>final</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00" w:rsidRDefault="004F3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00" w:rsidRDefault="004F3A00">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00" w:rsidRDefault="004F3A00">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00" w:rsidRDefault="004F3A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00" w:rsidRDefault="004F3A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00" w:rsidRDefault="004F3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16E"/>
    <w:multiLevelType w:val="hybridMultilevel"/>
    <w:tmpl w:val="A1EA29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C7712D"/>
    <w:multiLevelType w:val="hybridMultilevel"/>
    <w:tmpl w:val="87149E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52AB7"/>
    <w:multiLevelType w:val="hybridMultilevel"/>
    <w:tmpl w:val="DD4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D110A"/>
    <w:multiLevelType w:val="hybridMultilevel"/>
    <w:tmpl w:val="BD9224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93B20"/>
    <w:multiLevelType w:val="hybridMultilevel"/>
    <w:tmpl w:val="64243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20FF1"/>
    <w:multiLevelType w:val="hybridMultilevel"/>
    <w:tmpl w:val="45261496"/>
    <w:lvl w:ilvl="0" w:tplc="1D1648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17F54"/>
    <w:multiLevelType w:val="hybridMultilevel"/>
    <w:tmpl w:val="117AE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1763A"/>
    <w:multiLevelType w:val="hybridMultilevel"/>
    <w:tmpl w:val="945C378E"/>
    <w:lvl w:ilvl="0" w:tplc="4ACCDFB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D343D"/>
    <w:multiLevelType w:val="hybridMultilevel"/>
    <w:tmpl w:val="50A4FC54"/>
    <w:lvl w:ilvl="0" w:tplc="BA480F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3514C"/>
    <w:multiLevelType w:val="multilevel"/>
    <w:tmpl w:val="224C142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6345CF"/>
    <w:multiLevelType w:val="hybridMultilevel"/>
    <w:tmpl w:val="D7961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BA2BFA"/>
    <w:multiLevelType w:val="hybridMultilevel"/>
    <w:tmpl w:val="77883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C4FCB"/>
    <w:multiLevelType w:val="hybridMultilevel"/>
    <w:tmpl w:val="D21C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401E6"/>
    <w:multiLevelType w:val="hybridMultilevel"/>
    <w:tmpl w:val="257417F8"/>
    <w:lvl w:ilvl="0" w:tplc="1C92683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868FC"/>
    <w:multiLevelType w:val="hybridMultilevel"/>
    <w:tmpl w:val="E196F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E686E"/>
    <w:multiLevelType w:val="hybridMultilevel"/>
    <w:tmpl w:val="CF38284C"/>
    <w:lvl w:ilvl="0" w:tplc="1D164876">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C97028"/>
    <w:multiLevelType w:val="hybridMultilevel"/>
    <w:tmpl w:val="91784AC0"/>
    <w:lvl w:ilvl="0" w:tplc="1D164876">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E12096"/>
    <w:multiLevelType w:val="hybridMultilevel"/>
    <w:tmpl w:val="95B81AB6"/>
    <w:lvl w:ilvl="0" w:tplc="1C92683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47A4B"/>
    <w:multiLevelType w:val="hybridMultilevel"/>
    <w:tmpl w:val="D4765D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7B3521"/>
    <w:multiLevelType w:val="hybridMultilevel"/>
    <w:tmpl w:val="016497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DC2FE5"/>
    <w:multiLevelType w:val="hybridMultilevel"/>
    <w:tmpl w:val="190A1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D077E"/>
    <w:multiLevelType w:val="hybridMultilevel"/>
    <w:tmpl w:val="D4765D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D17E87"/>
    <w:multiLevelType w:val="hybridMultilevel"/>
    <w:tmpl w:val="14B6008A"/>
    <w:lvl w:ilvl="0" w:tplc="6128C87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3E142F"/>
    <w:multiLevelType w:val="hybridMultilevel"/>
    <w:tmpl w:val="A68496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4D2DC3"/>
    <w:multiLevelType w:val="hybridMultilevel"/>
    <w:tmpl w:val="A37C74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5C1E0A"/>
    <w:multiLevelType w:val="hybridMultilevel"/>
    <w:tmpl w:val="219A8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9792E"/>
    <w:multiLevelType w:val="hybridMultilevel"/>
    <w:tmpl w:val="6AA844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1B4A79"/>
    <w:multiLevelType w:val="hybridMultilevel"/>
    <w:tmpl w:val="B9A68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15782E"/>
    <w:multiLevelType w:val="hybridMultilevel"/>
    <w:tmpl w:val="8514C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C71342"/>
    <w:multiLevelType w:val="hybridMultilevel"/>
    <w:tmpl w:val="DCFE7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11540"/>
    <w:multiLevelType w:val="hybridMultilevel"/>
    <w:tmpl w:val="42A8909C"/>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92730A"/>
    <w:multiLevelType w:val="hybridMultilevel"/>
    <w:tmpl w:val="190E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31"/>
  </w:num>
  <w:num w:numId="4">
    <w:abstractNumId w:val="28"/>
  </w:num>
  <w:num w:numId="5">
    <w:abstractNumId w:val="12"/>
  </w:num>
  <w:num w:numId="6">
    <w:abstractNumId w:val="16"/>
  </w:num>
  <w:num w:numId="7">
    <w:abstractNumId w:val="17"/>
  </w:num>
  <w:num w:numId="8">
    <w:abstractNumId w:val="5"/>
  </w:num>
  <w:num w:numId="9">
    <w:abstractNumId w:val="13"/>
  </w:num>
  <w:num w:numId="10">
    <w:abstractNumId w:val="7"/>
  </w:num>
  <w:num w:numId="11">
    <w:abstractNumId w:val="1"/>
  </w:num>
  <w:num w:numId="12">
    <w:abstractNumId w:val="11"/>
  </w:num>
  <w:num w:numId="13">
    <w:abstractNumId w:val="8"/>
  </w:num>
  <w:num w:numId="14">
    <w:abstractNumId w:val="19"/>
  </w:num>
  <w:num w:numId="15">
    <w:abstractNumId w:val="21"/>
  </w:num>
  <w:num w:numId="16">
    <w:abstractNumId w:val="4"/>
  </w:num>
  <w:num w:numId="17">
    <w:abstractNumId w:val="9"/>
  </w:num>
  <w:num w:numId="18">
    <w:abstractNumId w:val="30"/>
  </w:num>
  <w:num w:numId="19">
    <w:abstractNumId w:val="10"/>
  </w:num>
  <w:num w:numId="20">
    <w:abstractNumId w:val="22"/>
  </w:num>
  <w:num w:numId="21">
    <w:abstractNumId w:val="0"/>
  </w:num>
  <w:num w:numId="22">
    <w:abstractNumId w:val="23"/>
  </w:num>
  <w:num w:numId="23">
    <w:abstractNumId w:val="26"/>
  </w:num>
  <w:num w:numId="24">
    <w:abstractNumId w:val="6"/>
  </w:num>
  <w:num w:numId="25">
    <w:abstractNumId w:val="24"/>
  </w:num>
  <w:num w:numId="26">
    <w:abstractNumId w:val="14"/>
  </w:num>
  <w:num w:numId="27">
    <w:abstractNumId w:val="29"/>
  </w:num>
  <w:num w:numId="28">
    <w:abstractNumId w:val="27"/>
  </w:num>
  <w:num w:numId="29">
    <w:abstractNumId w:val="15"/>
  </w:num>
  <w:num w:numId="30">
    <w:abstractNumId w:val="18"/>
  </w:num>
  <w:num w:numId="31">
    <w:abstractNumId w:val="3"/>
  </w:num>
  <w:num w:numId="32">
    <w:abstractNumId w:val="2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7D420AA-A567-4E53-864B-3695F7A61D05"/>
    <w:docVar w:name="LW_COVERPAGE_TYPE" w:val="1"/>
    <w:docVar w:name="LW_CROSSREFERENCE" w:val="&lt;UNUSED&gt;"/>
    <w:docVar w:name="LW_DocType" w:val="NORMAL"/>
    <w:docVar w:name="LW_EMISSION" w:val="2020 02 05"/>
    <w:docVar w:name="LW_EMISSION_ISODATE" w:val="2020-02-05"/>
    <w:docVar w:name="LW_EMISSION_LOCATION" w:val="BRX"/>
    <w:docVar w:name="LW_EMISSION_PREFIX" w:val="Briuselis, "/>
    <w:docVar w:name="LW_EMISSION_SUFFIX" w:val=" "/>
    <w:docVar w:name="LW_ID_DOCTYPE_NONLW" w:val="CP-014"/>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Baltic&gt;Stojimo proceso stiprinimas. \u302?tikima ES perspektyva Vakar\u371? Balkan\u371? \u353?alimis&lt;/FMT&gt;"/>
    <w:docVar w:name="LW_TYPE.DOC.CP" w:val="KOMISIJOS KOMUNIKATAS EUROPOS PARLAMENTUI, TARYBAI, EUROPOS EKONOMIKOS IR SOCIALINI\u370? REIKAL\u370? KOMITETUI IR REGION\u370? KOMITETUI"/>
    <w:docVar w:name="LW_TYPE.DOC.CP.USERTEXT" w:val="&lt;EMPTY&gt;"/>
  </w:docVars>
  <w:rsids>
    <w:rsidRoot w:val="004F3A00"/>
    <w:rsid w:val="004F3A00"/>
    <w:rsid w:val="00CE77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Fußnote,Footnote Text Char Char Char,Footnote Text Char Char,single space,Fußnotentextf,Footnote text,fn,Schriftart: 9 pt,Schriftart: 10 pt,Schriftart: 8 pt,WB-Fußnotentext,footnote text Carattere,Geneva 9,Font: Geneva 9"/>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 Char,Footnote Text Char Char Char Char,Footnote Text Char Char Char1,single space Char,Fußnotentextf Char,Footnote text Char,fn Char,Schriftart: 9 pt Char,Schriftart: 10 pt Char,Schriftart: 8 pt Char,WB-Fußnotentext Char"/>
    <w:basedOn w:val="DefaultParagraphFont"/>
    <w:link w:val="FootnoteText"/>
    <w:uiPriority w:val="99"/>
    <w:rPr>
      <w:sz w:val="20"/>
      <w:szCs w:val="20"/>
    </w:rPr>
  </w:style>
  <w:style w:type="character" w:styleId="FootnoteReference">
    <w:name w:val="footnote reference"/>
    <w:aliases w:val="ftref,BVI fnr,(Footnote Reference), BVI fnr,Footnote symbol,Footnotes refss,Footnote Reference Superscript,SUPERS,Footnote,Footnote reference number,note TESI,EN Footnote Reference,Voetnootverwijzing,Times 10 Point,Ref"/>
    <w:basedOn w:val="DefaultParagraphFont"/>
    <w:uiPriority w:val="99"/>
    <w:unhideWhenUsed/>
    <w:qFormat/>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lang w:val="lt-L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FootnoteTextChar1">
    <w:name w:val="Footnote Text Char1"/>
    <w:basedOn w:val="DefaultParagraphFon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3303">
      <w:bodyDiv w:val="1"/>
      <w:marLeft w:val="0"/>
      <w:marRight w:val="0"/>
      <w:marTop w:val="0"/>
      <w:marBottom w:val="0"/>
      <w:divBdr>
        <w:top w:val="none" w:sz="0" w:space="0" w:color="auto"/>
        <w:left w:val="none" w:sz="0" w:space="0" w:color="auto"/>
        <w:bottom w:val="none" w:sz="0" w:space="0" w:color="auto"/>
        <w:right w:val="none" w:sz="0" w:space="0" w:color="auto"/>
      </w:divBdr>
    </w:div>
    <w:div w:id="437482872">
      <w:bodyDiv w:val="1"/>
      <w:marLeft w:val="0"/>
      <w:marRight w:val="0"/>
      <w:marTop w:val="0"/>
      <w:marBottom w:val="0"/>
      <w:divBdr>
        <w:top w:val="none" w:sz="0" w:space="0" w:color="auto"/>
        <w:left w:val="none" w:sz="0" w:space="0" w:color="auto"/>
        <w:bottom w:val="none" w:sz="0" w:space="0" w:color="auto"/>
        <w:right w:val="none" w:sz="0" w:space="0" w:color="auto"/>
      </w:divBdr>
    </w:div>
    <w:div w:id="486939901">
      <w:bodyDiv w:val="1"/>
      <w:marLeft w:val="0"/>
      <w:marRight w:val="0"/>
      <w:marTop w:val="0"/>
      <w:marBottom w:val="0"/>
      <w:divBdr>
        <w:top w:val="none" w:sz="0" w:space="0" w:color="auto"/>
        <w:left w:val="none" w:sz="0" w:space="0" w:color="auto"/>
        <w:bottom w:val="none" w:sz="0" w:space="0" w:color="auto"/>
        <w:right w:val="none" w:sz="0" w:space="0" w:color="auto"/>
      </w:divBdr>
    </w:div>
    <w:div w:id="609237200">
      <w:bodyDiv w:val="1"/>
      <w:marLeft w:val="0"/>
      <w:marRight w:val="0"/>
      <w:marTop w:val="0"/>
      <w:marBottom w:val="0"/>
      <w:divBdr>
        <w:top w:val="none" w:sz="0" w:space="0" w:color="auto"/>
        <w:left w:val="none" w:sz="0" w:space="0" w:color="auto"/>
        <w:bottom w:val="none" w:sz="0" w:space="0" w:color="auto"/>
        <w:right w:val="none" w:sz="0" w:space="0" w:color="auto"/>
      </w:divBdr>
    </w:div>
    <w:div w:id="684552790">
      <w:bodyDiv w:val="1"/>
      <w:marLeft w:val="0"/>
      <w:marRight w:val="0"/>
      <w:marTop w:val="0"/>
      <w:marBottom w:val="0"/>
      <w:divBdr>
        <w:top w:val="none" w:sz="0" w:space="0" w:color="auto"/>
        <w:left w:val="none" w:sz="0" w:space="0" w:color="auto"/>
        <w:bottom w:val="none" w:sz="0" w:space="0" w:color="auto"/>
        <w:right w:val="none" w:sz="0" w:space="0" w:color="auto"/>
      </w:divBdr>
    </w:div>
    <w:div w:id="1092967175">
      <w:bodyDiv w:val="1"/>
      <w:marLeft w:val="0"/>
      <w:marRight w:val="0"/>
      <w:marTop w:val="0"/>
      <w:marBottom w:val="0"/>
      <w:divBdr>
        <w:top w:val="none" w:sz="0" w:space="0" w:color="auto"/>
        <w:left w:val="none" w:sz="0" w:space="0" w:color="auto"/>
        <w:bottom w:val="none" w:sz="0" w:space="0" w:color="auto"/>
        <w:right w:val="none" w:sz="0" w:space="0" w:color="auto"/>
      </w:divBdr>
    </w:div>
    <w:div w:id="1127041799">
      <w:bodyDiv w:val="1"/>
      <w:marLeft w:val="0"/>
      <w:marRight w:val="0"/>
      <w:marTop w:val="0"/>
      <w:marBottom w:val="0"/>
      <w:divBdr>
        <w:top w:val="none" w:sz="0" w:space="0" w:color="auto"/>
        <w:left w:val="none" w:sz="0" w:space="0" w:color="auto"/>
        <w:bottom w:val="none" w:sz="0" w:space="0" w:color="auto"/>
        <w:right w:val="none" w:sz="0" w:space="0" w:color="auto"/>
      </w:divBdr>
    </w:div>
    <w:div w:id="1252397198">
      <w:bodyDiv w:val="1"/>
      <w:marLeft w:val="0"/>
      <w:marRight w:val="0"/>
      <w:marTop w:val="0"/>
      <w:marBottom w:val="0"/>
      <w:divBdr>
        <w:top w:val="none" w:sz="0" w:space="0" w:color="auto"/>
        <w:left w:val="none" w:sz="0" w:space="0" w:color="auto"/>
        <w:bottom w:val="none" w:sz="0" w:space="0" w:color="auto"/>
        <w:right w:val="none" w:sz="0" w:space="0" w:color="auto"/>
      </w:divBdr>
    </w:div>
    <w:div w:id="1329476042">
      <w:bodyDiv w:val="1"/>
      <w:marLeft w:val="0"/>
      <w:marRight w:val="0"/>
      <w:marTop w:val="0"/>
      <w:marBottom w:val="0"/>
      <w:divBdr>
        <w:top w:val="none" w:sz="0" w:space="0" w:color="auto"/>
        <w:left w:val="none" w:sz="0" w:space="0" w:color="auto"/>
        <w:bottom w:val="none" w:sz="0" w:space="0" w:color="auto"/>
        <w:right w:val="none" w:sz="0" w:space="0" w:color="auto"/>
      </w:divBdr>
    </w:div>
    <w:div w:id="1690524797">
      <w:bodyDiv w:val="1"/>
      <w:marLeft w:val="0"/>
      <w:marRight w:val="0"/>
      <w:marTop w:val="0"/>
      <w:marBottom w:val="0"/>
      <w:divBdr>
        <w:top w:val="none" w:sz="0" w:space="0" w:color="auto"/>
        <w:left w:val="none" w:sz="0" w:space="0" w:color="auto"/>
        <w:bottom w:val="none" w:sz="0" w:space="0" w:color="auto"/>
        <w:right w:val="none" w:sz="0" w:space="0" w:color="auto"/>
      </w:divBdr>
    </w:div>
    <w:div w:id="1777023546">
      <w:bodyDiv w:val="1"/>
      <w:marLeft w:val="0"/>
      <w:marRight w:val="0"/>
      <w:marTop w:val="0"/>
      <w:marBottom w:val="0"/>
      <w:divBdr>
        <w:top w:val="none" w:sz="0" w:space="0" w:color="auto"/>
        <w:left w:val="none" w:sz="0" w:space="0" w:color="auto"/>
        <w:bottom w:val="none" w:sz="0" w:space="0" w:color="auto"/>
        <w:right w:val="none" w:sz="0" w:space="0" w:color="auto"/>
      </w:divBdr>
    </w:div>
    <w:div w:id="1976325368">
      <w:bodyDiv w:val="1"/>
      <w:marLeft w:val="0"/>
      <w:marRight w:val="0"/>
      <w:marTop w:val="0"/>
      <w:marBottom w:val="0"/>
      <w:divBdr>
        <w:top w:val="none" w:sz="0" w:space="0" w:color="auto"/>
        <w:left w:val="none" w:sz="0" w:space="0" w:color="auto"/>
        <w:bottom w:val="none" w:sz="0" w:space="0" w:color="auto"/>
        <w:right w:val="none" w:sz="0" w:space="0" w:color="auto"/>
      </w:divBdr>
    </w:div>
    <w:div w:id="2142796223">
      <w:bodyDiv w:val="1"/>
      <w:marLeft w:val="0"/>
      <w:marRight w:val="0"/>
      <w:marTop w:val="0"/>
      <w:marBottom w:val="0"/>
      <w:divBdr>
        <w:top w:val="none" w:sz="0" w:space="0" w:color="auto"/>
        <w:left w:val="none" w:sz="0" w:space="0" w:color="auto"/>
        <w:bottom w:val="none" w:sz="0" w:space="0" w:color="auto"/>
        <w:right w:val="none" w:sz="0" w:space="0" w:color="auto"/>
      </w:divBdr>
    </w:div>
    <w:div w:id="2146852635">
      <w:bodyDiv w:val="1"/>
      <w:marLeft w:val="0"/>
      <w:marRight w:val="0"/>
      <w:marTop w:val="0"/>
      <w:marBottom w:val="0"/>
      <w:divBdr>
        <w:top w:val="none" w:sz="0" w:space="0" w:color="auto"/>
        <w:left w:val="none" w:sz="0" w:space="0" w:color="auto"/>
        <w:bottom w:val="none" w:sz="0" w:space="0" w:color="auto"/>
        <w:right w:val="none" w:sz="0" w:space="0" w:color="auto"/>
      </w:divBdr>
      <w:divsChild>
        <w:div w:id="1120762582">
          <w:marLeft w:val="0"/>
          <w:marRight w:val="0"/>
          <w:marTop w:val="0"/>
          <w:marBottom w:val="0"/>
          <w:divBdr>
            <w:top w:val="none" w:sz="0" w:space="0" w:color="auto"/>
            <w:left w:val="none" w:sz="0" w:space="0" w:color="auto"/>
            <w:bottom w:val="none" w:sz="0" w:space="0" w:color="auto"/>
            <w:right w:val="none" w:sz="0" w:space="0" w:color="auto"/>
          </w:divBdr>
          <w:divsChild>
            <w:div w:id="7350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3FF4-ECCC-411A-972F-A7979C2D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17925</Characters>
  <Application>Microsoft Office Word</Application>
  <DocSecurity>0</DocSecurity>
  <Lines>284</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2020-02-11T14:16:00Z</dcterms:created>
  <dcterms:modified xsi:type="dcterms:W3CDTF">2020-02-17T11:03:00Z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 Build 20190717</vt:lpwstr>
  </property>
</Properties>
</file>