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B8C53FF-4A6B-4500-8777-B659D834BA36" style="width:450.35pt;height:30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40" w:lineRule="auto"/>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 xml:space="preserve">Unapređenje pristupnog procesa – Vjerodostojna perspektiva EU-a za zapadni Balkan  </w:t>
      </w:r>
    </w:p>
    <w:p>
      <w:pPr>
        <w:spacing w:after="120" w:line="240" w:lineRule="auto"/>
        <w:rPr>
          <w:rFonts w:ascii="Times New Roman" w:hAnsi="Times New Roman" w:cs="Times New Roman"/>
          <w:b/>
          <w:noProof/>
          <w:sz w:val="24"/>
          <w:szCs w:val="24"/>
          <w:u w:val="single"/>
        </w:rPr>
      </w:pPr>
    </w:p>
    <w:p>
      <w:pPr>
        <w:pStyle w:val="ListParagraph"/>
        <w:numPr>
          <w:ilvl w:val="0"/>
          <w:numId w:val="6"/>
        </w:numPr>
        <w:spacing w:after="120" w:line="240" w:lineRule="auto"/>
        <w:contextualSpacing w:val="0"/>
        <w:rPr>
          <w:rFonts w:ascii="Times New Roman" w:hAnsi="Times New Roman" w:cs="Times New Roman"/>
          <w:b/>
          <w:noProof/>
          <w:sz w:val="24"/>
          <w:szCs w:val="24"/>
        </w:rPr>
      </w:pPr>
      <w:r>
        <w:rPr>
          <w:rFonts w:ascii="Times New Roman" w:hAnsi="Times New Roman"/>
          <w:b/>
          <w:noProof/>
          <w:sz w:val="24"/>
          <w:szCs w:val="24"/>
        </w:rPr>
        <w:t>Uvod</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eastAsia="Calibri" w:hAnsi="Times New Roman" w:cs="Times New Roman"/>
          <w:iCs/>
          <w:noProof/>
          <w:sz w:val="24"/>
          <w:szCs w:val="24"/>
        </w:rPr>
      </w:pPr>
      <w:r>
        <w:rPr>
          <w:rFonts w:ascii="Times New Roman" w:hAnsi="Times New Roman"/>
          <w:noProof/>
          <w:sz w:val="24"/>
          <w:szCs w:val="24"/>
        </w:rPr>
        <w:t xml:space="preserve">Europska unija i njezine države članice od sastanaka na vrhu u Feiri i Solunu 2000. i 2003. dosljedno izražavaju svoju </w:t>
      </w:r>
      <w:r>
        <w:rPr>
          <w:rFonts w:ascii="Times New Roman" w:hAnsi="Times New Roman"/>
          <w:b/>
          <w:bCs/>
          <w:noProof/>
          <w:sz w:val="24"/>
          <w:szCs w:val="24"/>
        </w:rPr>
        <w:t>neupitnu potporu europskoj perspektivi zapadnog Balkana</w:t>
      </w:r>
      <w:r>
        <w:rPr>
          <w:rFonts w:ascii="Times New Roman" w:hAnsi="Times New Roman"/>
          <w:noProof/>
          <w:sz w:val="24"/>
          <w:szCs w:val="24"/>
        </w:rPr>
        <w:t>. U zaključcima Vijeća donesenima na sastanku Vijeća za opće poslove u lipnju 2019. ponovno je potvrđena „</w:t>
      </w:r>
      <w:r>
        <w:rPr>
          <w:rFonts w:ascii="Times New Roman" w:hAnsi="Times New Roman"/>
          <w:b/>
          <w:bCs/>
          <w:noProof/>
          <w:sz w:val="24"/>
          <w:szCs w:val="24"/>
        </w:rPr>
        <w:t>predanost proširenju</w:t>
      </w:r>
      <w:r>
        <w:rPr>
          <w:rFonts w:ascii="Times New Roman" w:hAnsi="Times New Roman"/>
          <w:noProof/>
          <w:sz w:val="24"/>
          <w:szCs w:val="24"/>
        </w:rPr>
        <w:t>, koje je i dalje ključna politika Europske unije, u skladu s novim konsenzusom o proširenju odobrenim na sastanku Europskog vijeća 14. i 15. prosinca 2006. te u zaključcima Vijeća koji su potom usvojeni.”</w:t>
      </w:r>
      <w:r>
        <w:rPr>
          <w:rFonts w:ascii="Times New Roman" w:hAnsi="Times New Roman"/>
          <w:iCs/>
          <w:noProof/>
          <w:sz w:val="24"/>
          <w:szCs w:val="24"/>
        </w:rPr>
        <w:t xml:space="preserve"> U Vijeću je u studenome 2019. postignut zajednički dogovor o prednostima preispitivanja djelotvornosti procesa pristupnih pregovora.</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Dobri izgledi za punopravno članstvo</w:t>
      </w:r>
      <w:r>
        <w:rPr>
          <w:rFonts w:ascii="Times New Roman" w:hAnsi="Times New Roman"/>
          <w:noProof/>
          <w:sz w:val="24"/>
          <w:szCs w:val="24"/>
        </w:rPr>
        <w:t xml:space="preserve"> zemalja zapadnog Balkana u EU-u, utemeljeni na zaslugama, od interesa su za samu Uniju u političkom, sigurnosnom i gospodarskom pogledu. U vrijeme sve brojnijih izazova i podjela na globalnoj razini </w:t>
      </w:r>
      <w:r>
        <w:rPr>
          <w:rFonts w:ascii="Times New Roman" w:hAnsi="Times New Roman"/>
          <w:b/>
          <w:noProof/>
          <w:sz w:val="24"/>
          <w:szCs w:val="24"/>
        </w:rPr>
        <w:t>geostrateško ulaganje</w:t>
      </w:r>
      <w:r>
        <w:rPr>
          <w:rFonts w:ascii="Times New Roman" w:hAnsi="Times New Roman"/>
          <w:noProof/>
          <w:sz w:val="24"/>
          <w:szCs w:val="24"/>
        </w:rPr>
        <w:t xml:space="preserve"> u stabilnu, snažnu i ujedinjenu Europu važnije je no ikad. Vjerodostojna perspektiva pristupanja ključni je pokretač promjena u toj regiji te doprinosi našoj kolektivnoj sigurnosti i blagostanju. Važna je za promicanje demokracije, vladavine prava i poštovanja temeljnih prava, koji su glavni pokretači gospodarske integracije i temelj pomirenja i stabilnosti na zapadnom Balkanu. Održavanje i jačanje te politike stoga je neophodno za </w:t>
      </w:r>
      <w:r>
        <w:rPr>
          <w:rFonts w:ascii="Times New Roman" w:hAnsi="Times New Roman"/>
          <w:b/>
          <w:noProof/>
          <w:sz w:val="24"/>
          <w:szCs w:val="24"/>
        </w:rPr>
        <w:t>vjerodostojnost i uspješnost EU-a te njegov utjecaj u toj regiji i šire</w:t>
      </w:r>
      <w:r>
        <w:rPr>
          <w:rFonts w:ascii="Times New Roman" w:hAnsi="Times New Roman"/>
          <w:noProof/>
          <w:sz w:val="24"/>
          <w:szCs w:val="24"/>
        </w:rPr>
        <w:t xml:space="preserve"> – a posebno u vrijeme zaoštrenog geopolitičkog natjecanja.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Međutim, jasno je i da se </w:t>
      </w:r>
      <w:r>
        <w:rPr>
          <w:rFonts w:ascii="Times New Roman" w:hAnsi="Times New Roman"/>
          <w:b/>
          <w:noProof/>
          <w:sz w:val="24"/>
          <w:szCs w:val="24"/>
        </w:rPr>
        <w:t>mora dodatno poboljšati djelotvornost cjelokupnog pristupnog procesa i njegove provedbe</w:t>
      </w:r>
      <w:r>
        <w:rPr>
          <w:rFonts w:ascii="Times New Roman" w:hAnsi="Times New Roman"/>
          <w:noProof/>
          <w:sz w:val="24"/>
          <w:szCs w:val="24"/>
        </w:rPr>
        <w:t xml:space="preserve">. Strateški smjer politike relevantniji je nego ikad prije, ali mora se bolje primijeniti u praksi.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Unatoč nizu reformi, npr. novom pristupu vladavini prava, usmjerenosti na temeljna pitanja i poboljšanjima u okviru Komisijine strategije za zapadni Balkan iz 2018.</w:t>
      </w:r>
      <w:r>
        <w:rPr>
          <w:rStyle w:val="FootnoteReference"/>
          <w:noProof/>
          <w:sz w:val="24"/>
          <w:szCs w:val="24"/>
        </w:rPr>
        <w:footnoteReference w:id="2"/>
      </w:r>
      <w:r>
        <w:rPr>
          <w:rFonts w:ascii="Times New Roman" w:hAnsi="Times New Roman"/>
          <w:noProof/>
          <w:sz w:val="24"/>
          <w:szCs w:val="24"/>
        </w:rPr>
        <w:t xml:space="preserve">, proces treba biti prilagođeniji rješavanju </w:t>
      </w:r>
      <w:r>
        <w:rPr>
          <w:rFonts w:ascii="Times New Roman" w:hAnsi="Times New Roman"/>
          <w:b/>
          <w:noProof/>
          <w:sz w:val="24"/>
          <w:szCs w:val="24"/>
        </w:rPr>
        <w:t>strukturnih nedostataka</w:t>
      </w:r>
      <w:r>
        <w:rPr>
          <w:rFonts w:ascii="Times New Roman" w:hAnsi="Times New Roman"/>
          <w:noProof/>
          <w:sz w:val="24"/>
          <w:szCs w:val="24"/>
        </w:rPr>
        <w:t xml:space="preserve"> u tim zemljama, posebno kad je riječ o temeljnim pitanjima.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Vrlo je važno </w:t>
      </w:r>
      <w:r>
        <w:rPr>
          <w:rFonts w:ascii="Times New Roman" w:hAnsi="Times New Roman"/>
          <w:b/>
          <w:bCs/>
          <w:noProof/>
          <w:sz w:val="24"/>
          <w:szCs w:val="24"/>
        </w:rPr>
        <w:t>izgraditi veće povjerenje među svim dionicima</w:t>
      </w:r>
      <w:r>
        <w:rPr>
          <w:rFonts w:ascii="Times New Roman" w:hAnsi="Times New Roman"/>
          <w:noProof/>
          <w:sz w:val="24"/>
          <w:szCs w:val="24"/>
        </w:rPr>
        <w:t xml:space="preserve">, poboljšati </w:t>
      </w:r>
      <w:r>
        <w:rPr>
          <w:rFonts w:ascii="Times New Roman" w:hAnsi="Times New Roman"/>
          <w:b/>
          <w:bCs/>
          <w:noProof/>
          <w:sz w:val="24"/>
          <w:szCs w:val="24"/>
        </w:rPr>
        <w:t>pristupni proces i učiniti ga djelotvornijim</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Taj se proces mora učiniti </w:t>
      </w:r>
      <w:r>
        <w:rPr>
          <w:rFonts w:ascii="Times New Roman" w:hAnsi="Times New Roman"/>
          <w:b/>
          <w:noProof/>
          <w:sz w:val="24"/>
          <w:szCs w:val="24"/>
        </w:rPr>
        <w:t>predvidljivijim i vjerodostojnijim</w:t>
      </w:r>
      <w:r>
        <w:rPr>
          <w:rFonts w:ascii="Times New Roman" w:hAnsi="Times New Roman"/>
          <w:noProof/>
          <w:sz w:val="24"/>
          <w:szCs w:val="24"/>
        </w:rPr>
        <w:t xml:space="preserve"> na temelju objektivnih kriterija, strogog pozitivnog i negativnog uvjetovanja i reverzibilnosti, te </w:t>
      </w:r>
      <w:r>
        <w:rPr>
          <w:rFonts w:ascii="Times New Roman" w:hAnsi="Times New Roman"/>
          <w:b/>
          <w:noProof/>
          <w:sz w:val="24"/>
          <w:szCs w:val="24"/>
        </w:rPr>
        <w:t>dinamičnijim i politički jače usmjerenim</w:t>
      </w:r>
      <w:r>
        <w:rPr>
          <w:rFonts w:ascii="Times New Roman" w:hAnsi="Times New Roman"/>
          <w:noProof/>
          <w:sz w:val="24"/>
          <w:szCs w:val="24"/>
        </w:rPr>
        <w:t>.</w:t>
      </w:r>
    </w:p>
    <w:p>
      <w:pPr>
        <w:spacing w:after="120" w:line="240" w:lineRule="auto"/>
        <w:jc w:val="both"/>
        <w:rPr>
          <w:rFonts w:ascii="Times New Roman" w:eastAsia="Calibri" w:hAnsi="Times New Roman" w:cs="Times New Roman"/>
          <w:b/>
          <w:bCs/>
          <w:noProof/>
          <w:sz w:val="24"/>
          <w:szCs w:val="24"/>
        </w:rPr>
      </w:pPr>
      <w:r>
        <w:rPr>
          <w:rFonts w:ascii="Times New Roman" w:hAnsi="Times New Roman"/>
          <w:b/>
          <w:bCs/>
          <w:noProof/>
          <w:sz w:val="24"/>
          <w:szCs w:val="24"/>
        </w:rPr>
        <w:t>U ovoj se Komunikaciji utvrđuju</w:t>
      </w:r>
      <w:r>
        <w:rPr>
          <w:rFonts w:ascii="Times New Roman" w:hAnsi="Times New Roman"/>
          <w:noProof/>
          <w:sz w:val="24"/>
          <w:szCs w:val="24"/>
        </w:rPr>
        <w:t xml:space="preserve"> </w:t>
      </w:r>
      <w:r>
        <w:rPr>
          <w:rFonts w:ascii="Times New Roman" w:hAnsi="Times New Roman"/>
          <w:b/>
          <w:bCs/>
          <w:noProof/>
          <w:sz w:val="24"/>
          <w:szCs w:val="24"/>
        </w:rPr>
        <w:t>konkretni prijedlozi Komisije</w:t>
      </w:r>
      <w:r>
        <w:rPr>
          <w:rFonts w:ascii="Times New Roman" w:hAnsi="Times New Roman"/>
          <w:noProof/>
          <w:sz w:val="24"/>
          <w:szCs w:val="24"/>
        </w:rPr>
        <w:t xml:space="preserve"> za jačanje cjelokupnog pristupnog procesa. Općeniti je cilj tih prijedloga povećati vjerodostojnost i povjerenje na objema stranama te postići bolje rezultate na terenu. Predložene promjene mogu se prilagoditi postojećim pregovaračkim okvirima kako bi se u toj regiji osigurali ravnopravni uvjeti za sve dionike. To znači da se pregovarački okviri za Srbiju i Crnu Goru neće izmijeniti, nego se prijedlozi mogu unijeti u postojeće okvire uz suglasnost tih dviju zemalja.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Glavni je cilj suradnje Europske unije sa zemljama zapadnog Balkana pripremiti te zemlje na ispunjavanje svih uvjeta za članstvo. To uključuje potporu </w:t>
      </w:r>
      <w:r>
        <w:rPr>
          <w:rFonts w:ascii="Times New Roman" w:hAnsi="Times New Roman"/>
          <w:b/>
          <w:noProof/>
          <w:sz w:val="24"/>
          <w:szCs w:val="24"/>
        </w:rPr>
        <w:t>temeljnim reformama u području demokracije, vladavine prava i gospodarstva</w:t>
      </w:r>
      <w:r>
        <w:rPr>
          <w:rFonts w:ascii="Times New Roman" w:hAnsi="Times New Roman"/>
          <w:noProof/>
          <w:sz w:val="24"/>
          <w:szCs w:val="24"/>
        </w:rPr>
        <w:t xml:space="preserve"> te usklađivanju s temeljnim europskim vrijednostima. Tako će se potaknuti stabilan i ubrzan </w:t>
      </w:r>
      <w:r>
        <w:rPr>
          <w:rFonts w:ascii="Times New Roman" w:hAnsi="Times New Roman"/>
          <w:b/>
          <w:noProof/>
          <w:sz w:val="24"/>
          <w:szCs w:val="24"/>
        </w:rPr>
        <w:t>gospodarski rast i socijalna konvergencija</w:t>
      </w:r>
      <w:r>
        <w:rPr>
          <w:rFonts w:ascii="Times New Roman" w:hAnsi="Times New Roman"/>
          <w:noProof/>
          <w:sz w:val="24"/>
          <w:szCs w:val="24"/>
        </w:rPr>
        <w:t xml:space="preserve">. </w:t>
      </w:r>
    </w:p>
    <w:p>
      <w:pPr>
        <w:pStyle w:val="Briefingtext"/>
        <w:spacing w:after="120"/>
        <w:rPr>
          <w:rFonts w:ascii="Times New Roman" w:eastAsia="Calibri" w:hAnsi="Times New Roman" w:cs="Times New Roman"/>
          <w:noProof/>
          <w:sz w:val="24"/>
        </w:rPr>
      </w:pPr>
      <w:r>
        <w:rPr>
          <w:rFonts w:ascii="Times New Roman" w:hAnsi="Times New Roman"/>
          <w:noProof/>
          <w:sz w:val="24"/>
        </w:rPr>
        <w:t xml:space="preserve">Osim toga, u povećanju djelotvornosti pristupnog procesa veliku ulogu imat će </w:t>
      </w:r>
      <w:r>
        <w:rPr>
          <w:rFonts w:ascii="Times New Roman" w:hAnsi="Times New Roman"/>
          <w:b/>
          <w:noProof/>
          <w:sz w:val="24"/>
        </w:rPr>
        <w:t>strateška komunikacija</w:t>
      </w:r>
      <w:r>
        <w:rPr>
          <w:rFonts w:ascii="Times New Roman" w:hAnsi="Times New Roman"/>
          <w:noProof/>
          <w:sz w:val="24"/>
        </w:rPr>
        <w:t xml:space="preserve">. Od presudne je važnosti informirati dionike u regiji zapadnog Balkana o mogućnostima koje pružaju bolja integracija i reforme te ukloniti štetne utjecaje trećih zemalja. U tom će cilju i same te zemlje morati uložiti veći napor. U godišnjim izvješćima jasnije će se ocijeniti javna politička predanost vlasti tih zemalja strateškom cilju pristupanja EU-u.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Takav pristup politike stoga će biti temelj </w:t>
      </w:r>
      <w:r>
        <w:rPr>
          <w:rFonts w:ascii="Times New Roman" w:hAnsi="Times New Roman"/>
          <w:b/>
          <w:noProof/>
          <w:sz w:val="24"/>
          <w:szCs w:val="24"/>
        </w:rPr>
        <w:t>programa usmjerenog na budućnost</w:t>
      </w:r>
      <w:r>
        <w:rPr>
          <w:rFonts w:ascii="Times New Roman" w:hAnsi="Times New Roman"/>
          <w:noProof/>
          <w:sz w:val="24"/>
          <w:szCs w:val="24"/>
        </w:rPr>
        <w:t xml:space="preserve">. U tom će se programu podupirati transformacija zemalja zapadnog Balkana u funkcionalna tržišna gospodarstva koja se mogu u potpunosti integrirati u jedinstveno tržište EU-a, koja mogu stvarati radna mjesta i mogućnosti za poduzetnike, poboljšati poslovno i investicijsko okruženje, poticati vladavinu prava i zaustaviti odljev mozgova iz regije. Te su reforme nužne za poticanje gospodarstava na Balkanu i njihovo priključivanje tržištima EU-a tako što će se ubrzati za to potrebno usklađivanje. Komisija će posebno razmotriti kako unaprijediti ulaganja, socioekonomsku integraciju i vladavinu prava, olakšati pristup jedinstvenom tržištu EU-a, poboljšati povezivost i iskoristiti mogućnosti koje nudi zeleno gospodarstvo. Komisija će o tome objaviti Komunikaciju prije sastanka na vrhu u Zagrebu u svibnju 2020. </w:t>
      </w:r>
    </w:p>
    <w:p>
      <w:pPr>
        <w:spacing w:after="120" w:line="240" w:lineRule="auto"/>
        <w:jc w:val="both"/>
        <w:rPr>
          <w:rFonts w:ascii="Times New Roman" w:hAnsi="Times New Roman" w:cs="Times New Roman"/>
          <w:noProof/>
          <w:sz w:val="24"/>
          <w:szCs w:val="24"/>
        </w:rPr>
      </w:pPr>
    </w:p>
    <w:p>
      <w:pPr>
        <w:pStyle w:val="ListParagraph"/>
        <w:numPr>
          <w:ilvl w:val="0"/>
          <w:numId w:val="6"/>
        </w:numPr>
        <w:spacing w:after="120" w:line="240" w:lineRule="auto"/>
        <w:contextualSpacing w:val="0"/>
        <w:rPr>
          <w:rFonts w:ascii="Times New Roman" w:hAnsi="Times New Roman" w:cs="Times New Roman"/>
          <w:b/>
          <w:noProof/>
          <w:sz w:val="24"/>
          <w:szCs w:val="24"/>
        </w:rPr>
      </w:pPr>
      <w:r>
        <w:rPr>
          <w:rFonts w:ascii="Times New Roman" w:hAnsi="Times New Roman"/>
          <w:b/>
          <w:noProof/>
          <w:sz w:val="24"/>
          <w:szCs w:val="24"/>
        </w:rPr>
        <w:t>Nov zamah za pristupni proces</w:t>
      </w:r>
    </w:p>
    <w:p>
      <w:pPr>
        <w:pStyle w:val="ListParagraph"/>
        <w:spacing w:after="120" w:line="240" w:lineRule="auto"/>
        <w:ind w:left="1080"/>
        <w:contextualSpacing w:val="0"/>
        <w:rPr>
          <w:rFonts w:ascii="Times New Roman" w:hAnsi="Times New Roman" w:cs="Times New Roman"/>
          <w:b/>
          <w:noProof/>
          <w:sz w:val="24"/>
          <w:szCs w:val="24"/>
          <w:u w:val="single"/>
        </w:rPr>
      </w:pPr>
    </w:p>
    <w:p>
      <w:pPr>
        <w:pStyle w:val="ListParagraph"/>
        <w:numPr>
          <w:ilvl w:val="0"/>
          <w:numId w:val="32"/>
        </w:num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Više vjerodostojnosti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Kako bi pristupni proces bio obostrano vjerodostojan i ostvario svoj puni potencijal, treba se temeljiti na snažnom </w:t>
      </w:r>
      <w:r>
        <w:rPr>
          <w:rFonts w:ascii="Times New Roman" w:hAnsi="Times New Roman"/>
          <w:b/>
          <w:noProof/>
          <w:sz w:val="24"/>
          <w:szCs w:val="24"/>
        </w:rPr>
        <w:t>povjerenju te jasnim obvezama obiju strana</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To znači da </w:t>
      </w:r>
      <w:r>
        <w:rPr>
          <w:rFonts w:ascii="Times New Roman" w:hAnsi="Times New Roman"/>
          <w:b/>
          <w:noProof/>
          <w:sz w:val="24"/>
          <w:szCs w:val="24"/>
        </w:rPr>
        <w:t>čelnici zemalja zapadnog Balkana moraju vjerodostojnije ispuniti svoju obvezu</w:t>
      </w:r>
      <w:r>
        <w:rPr>
          <w:rFonts w:ascii="Times New Roman" w:hAnsi="Times New Roman"/>
          <w:noProof/>
          <w:sz w:val="24"/>
          <w:szCs w:val="24"/>
        </w:rPr>
        <w:t xml:space="preserve"> provedbe potrebnih temeljnih reformi, bilo u području vladavine prava, borbe protiv korupcije ili razvoja gospodarstva, bilo osiguranjem pravilnog funkcioniranja demokratskih institucija i javne uprave te usklađivanjem vanjskih politika. Te zemlje trebaju uvjeriti opravdano zabrinute države članice i građane EU-a u svoju nedvosmislenu političku volju provedbom konkretnih strukturnih reformi. Čelnici zemalja zapadnog Balkana moraju pokazati veću volju za jačanje regionalne suradnje i dobrosusjedskih odnosa radi stabilnosti i blagostanja svojih građana, a time će i EU-u pokazati da rade na prevladavanju prošlosti te regije.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To znači i da </w:t>
      </w:r>
      <w:r>
        <w:rPr>
          <w:rFonts w:ascii="Times New Roman" w:hAnsi="Times New Roman"/>
          <w:b/>
          <w:noProof/>
          <w:sz w:val="24"/>
          <w:szCs w:val="24"/>
        </w:rPr>
        <w:t>će Europska unija pokazati svoju nepokolebljivu predanost procesu koji se temelji na zaslugama</w:t>
      </w:r>
      <w:r>
        <w:rPr>
          <w:rFonts w:ascii="Times New Roman" w:hAnsi="Times New Roman"/>
          <w:noProof/>
          <w:sz w:val="24"/>
          <w:szCs w:val="24"/>
        </w:rPr>
        <w:t xml:space="preserve">. Kad partnerske zemlje ispune objektivne kriterije i utvrđene objektivne uvjete, države članice dogovaraju se o prelasku na iduću fazu procesa. Sve se strane moraju suzdržati od zlouporabe neriješenih pitanja u postupku pristupanja EU-u. Isto tako, države članice i institucije moraju nastupati ujedinjeno i toj regiji poslati jasnu poruku podrške i ohrabrenja, ali i jasno i otvoreno govoriti o eventualnim nedostacima.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Vjerodostojnost bi trebalo povećati </w:t>
      </w:r>
      <w:r>
        <w:rPr>
          <w:rFonts w:ascii="Times New Roman" w:hAnsi="Times New Roman"/>
          <w:b/>
          <w:noProof/>
          <w:sz w:val="24"/>
          <w:szCs w:val="24"/>
        </w:rPr>
        <w:t>jačim usmjerenjem na temeljne reforme</w:t>
      </w:r>
      <w:r>
        <w:rPr>
          <w:rFonts w:ascii="Times New Roman" w:hAnsi="Times New Roman"/>
          <w:noProof/>
          <w:sz w:val="24"/>
          <w:szCs w:val="24"/>
        </w:rPr>
        <w:t xml:space="preserve"> nužne za uspjeh na putu prema EU-u, koje će sada imati još važniju ulogu u pristupnim pregovorima. </w:t>
      </w:r>
      <w:r>
        <w:rPr>
          <w:rFonts w:ascii="Times New Roman" w:hAnsi="Times New Roman"/>
          <w:b/>
          <w:noProof/>
          <w:sz w:val="24"/>
          <w:szCs w:val="24"/>
        </w:rPr>
        <w:t>Pregovori o temeljnim pitanjima otvorit će se prvi i zatvoriti zadnji</w:t>
      </w:r>
      <w:r>
        <w:rPr>
          <w:rFonts w:ascii="Times New Roman" w:hAnsi="Times New Roman"/>
          <w:noProof/>
          <w:sz w:val="24"/>
          <w:szCs w:val="24"/>
        </w:rPr>
        <w:t xml:space="preserve"> jer će napredak u vezi s tim pitanjima određivati tempo pregovora. Ti će se pregovori voditi u skladu s:</w:t>
      </w:r>
    </w:p>
    <w:p>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planom za poglavlja o vladavini prava</w:t>
      </w:r>
      <w:r>
        <w:rPr>
          <w:rFonts w:ascii="Times New Roman" w:hAnsi="Times New Roman"/>
          <w:noProof/>
          <w:sz w:val="24"/>
          <w:szCs w:val="24"/>
        </w:rPr>
        <w:t xml:space="preserve"> koji je istovjetan prethodnim akcijskim planovima i koji će se uzeti kao mjerilo za otvaranje. Nakon toga nastavit će se utvrđivati privremena mjerila. Ni jedno drugo poglavlje neće biti privremeno zatvoreno prije nego što se ta mjerila ispune.</w:t>
      </w:r>
    </w:p>
    <w:p>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planom za funkcioniranje demokratskih institucija</w:t>
      </w:r>
      <w:r>
        <w:rPr>
          <w:rFonts w:ascii="Times New Roman" w:hAnsi="Times New Roman"/>
          <w:noProof/>
          <w:sz w:val="24"/>
          <w:szCs w:val="24"/>
        </w:rPr>
        <w:t xml:space="preserve"> i reformu javne uprave.  </w:t>
      </w:r>
    </w:p>
    <w:p>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boljom povezanosti s programom gospodarske reforme</w:t>
      </w:r>
      <w:r>
        <w:rPr>
          <w:rFonts w:ascii="Times New Roman" w:hAnsi="Times New Roman"/>
          <w:noProof/>
          <w:sz w:val="24"/>
          <w:szCs w:val="24"/>
        </w:rPr>
        <w:t xml:space="preserve"> kako bi se tim zemljama pomoglo da zadovolje gospodarske kriterije.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Osim toga, Komisija će dodatno pojačati mjere u području vladavine prava i izgradnje institucija. Rezultati tih reformi bit će preduvjet za dublju sektorsku integraciju i sveukupni napredak. U relevantnim poglavljima povećat će se naglasak na borbi protiv korupcije i tako pojačati rad u tom području. Nastavit će se potpora regionalnoj suradnji. Potrebno je predano nastojanje da se riješe bilateralni sporovi, s posebnim naglaskom na dijalogu uz posredovanje EU-a između Beograda i Prištine, koji bi se trebao zaključiti sveobuhvatnim pravno obvezujućim sporazumom o normalizaciji odnosa. </w:t>
      </w:r>
    </w:p>
    <w:p>
      <w:pPr>
        <w:spacing w:after="120" w:line="240" w:lineRule="auto"/>
        <w:jc w:val="both"/>
        <w:rPr>
          <w:rFonts w:ascii="Times New Roman" w:hAnsi="Times New Roman" w:cs="Times New Roman"/>
          <w:noProof/>
          <w:sz w:val="24"/>
          <w:szCs w:val="24"/>
        </w:rPr>
      </w:pPr>
    </w:p>
    <w:p>
      <w:pPr>
        <w:pStyle w:val="ListParagraph"/>
        <w:numPr>
          <w:ilvl w:val="0"/>
          <w:numId w:val="32"/>
        </w:num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Jače političko vodstvo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Pristupanje Europskoj uniji proces je koji zahtijeva i podupire temeljite reforme te političke i gospodarske promjene u zemljama koje žele postati članice. One moraju pokazati i da su spremne preuzeti zajedničke odgovornosti kao države članice EU-a. Taj proces nije pasivan i automatiziran, već mora odražavati </w:t>
      </w:r>
      <w:r>
        <w:rPr>
          <w:rFonts w:ascii="Times New Roman" w:hAnsi="Times New Roman"/>
          <w:b/>
          <w:noProof/>
          <w:sz w:val="24"/>
          <w:szCs w:val="24"/>
        </w:rPr>
        <w:t>aktivnu društvenu odluku</w:t>
      </w:r>
      <w:r>
        <w:rPr>
          <w:rFonts w:ascii="Times New Roman" w:hAnsi="Times New Roman"/>
          <w:noProof/>
          <w:sz w:val="24"/>
          <w:szCs w:val="24"/>
        </w:rPr>
        <w:t xml:space="preserve"> tih zemalja da dostignu i poštuju najviše europske standarde i vrijednosti. Jednako je tako obveza država članica da dijele zajedničku budućnost sa zemljama zapadnog Balkana kao punopravnim članicama Unije važna politička poruka, a ne samo formalnost.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To znači da bi obje strane trebale pokazati </w:t>
      </w:r>
      <w:r>
        <w:rPr>
          <w:rFonts w:ascii="Times New Roman" w:hAnsi="Times New Roman"/>
          <w:b/>
          <w:noProof/>
          <w:sz w:val="24"/>
          <w:szCs w:val="24"/>
        </w:rPr>
        <w:t>jače vodstvo</w:t>
      </w:r>
      <w:r>
        <w:rPr>
          <w:rFonts w:ascii="Times New Roman" w:hAnsi="Times New Roman"/>
          <w:noProof/>
          <w:sz w:val="24"/>
          <w:szCs w:val="24"/>
        </w:rPr>
        <w:t xml:space="preserve"> i javno ispuniti svoje obveze, te se izravno usmjeriti na neriješena pitanja. S obzirom na velik značaj pristupnog procesa, vrijeme je da se </w:t>
      </w:r>
      <w:r>
        <w:rPr>
          <w:rFonts w:ascii="Times New Roman" w:hAnsi="Times New Roman"/>
          <w:b/>
          <w:noProof/>
          <w:sz w:val="24"/>
          <w:szCs w:val="24"/>
        </w:rPr>
        <w:t>u prvi plan stavi njegova politička priroda</w:t>
      </w:r>
      <w:r>
        <w:rPr>
          <w:rFonts w:ascii="Times New Roman" w:hAnsi="Times New Roman"/>
          <w:noProof/>
          <w:sz w:val="24"/>
          <w:szCs w:val="24"/>
        </w:rPr>
        <w:t xml:space="preserve"> te da se osiguraju jače vodstvo i angažman država članica na visokoj razini.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To bi trebalo značiti stvaranje novih prilika za </w:t>
      </w:r>
      <w:r>
        <w:rPr>
          <w:rFonts w:ascii="Times New Roman" w:hAnsi="Times New Roman"/>
          <w:b/>
          <w:noProof/>
          <w:sz w:val="24"/>
          <w:szCs w:val="24"/>
        </w:rPr>
        <w:t>dijalog o politikama i politički dijalog</w:t>
      </w:r>
      <w:r>
        <w:rPr>
          <w:rFonts w:ascii="Times New Roman" w:hAnsi="Times New Roman"/>
          <w:noProof/>
          <w:sz w:val="24"/>
          <w:szCs w:val="24"/>
        </w:rPr>
        <w:t xml:space="preserve"> s tim zemljama </w:t>
      </w:r>
      <w:r>
        <w:rPr>
          <w:rFonts w:ascii="Times New Roman" w:hAnsi="Times New Roman"/>
          <w:b/>
          <w:noProof/>
          <w:sz w:val="24"/>
          <w:szCs w:val="24"/>
        </w:rPr>
        <w:t>na visokoj razini</w:t>
      </w:r>
      <w:r>
        <w:rPr>
          <w:rFonts w:ascii="Times New Roman" w:hAnsi="Times New Roman"/>
          <w:noProof/>
          <w:sz w:val="24"/>
          <w:szCs w:val="24"/>
        </w:rPr>
        <w:t xml:space="preserve">, </w:t>
      </w:r>
      <w:r>
        <w:rPr>
          <w:rFonts w:ascii="Times New Roman" w:hAnsi="Times New Roman"/>
          <w:b/>
          <w:noProof/>
          <w:sz w:val="24"/>
          <w:szCs w:val="24"/>
        </w:rPr>
        <w:t>u okviru redovitih sastanaka na vrhu između EU-a i zemalja zapadnog Balkana i pojačanih ministarskih kontakata,</w:t>
      </w:r>
      <w:r>
        <w:rPr>
          <w:rFonts w:ascii="Times New Roman" w:hAnsi="Times New Roman"/>
          <w:noProof/>
          <w:sz w:val="24"/>
          <w:szCs w:val="24"/>
        </w:rPr>
        <w:t xml:space="preserve"> posebno u područjima u kojima usklađivanje dobro napreduje i u kojima su ispunjeni ključni kriteriji. Takav pojačani angažman mogao bi tim zemljama omogućiti sudjelovanje u svojstvu </w:t>
      </w:r>
      <w:r>
        <w:rPr>
          <w:rFonts w:ascii="Times New Roman" w:hAnsi="Times New Roman"/>
          <w:b/>
          <w:noProof/>
          <w:sz w:val="24"/>
          <w:szCs w:val="24"/>
        </w:rPr>
        <w:t>promatrača</w:t>
      </w:r>
      <w:r>
        <w:rPr>
          <w:rFonts w:ascii="Times New Roman" w:hAnsi="Times New Roman"/>
          <w:noProof/>
          <w:sz w:val="24"/>
          <w:szCs w:val="24"/>
        </w:rPr>
        <w:t xml:space="preserve"> na važnim sastancima Europske unije o pitanjima koja su za njih vrlo važna.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Trebat će osigurati da se </w:t>
      </w:r>
      <w:r>
        <w:rPr>
          <w:rFonts w:ascii="Times New Roman" w:hAnsi="Times New Roman"/>
          <w:b/>
          <w:noProof/>
          <w:sz w:val="24"/>
          <w:szCs w:val="24"/>
        </w:rPr>
        <w:t>sva tijela u okviru Sporazuma o stabilizaciji i pridruživanju više usredotoče na ključna politička pitanja i reforme</w:t>
      </w:r>
      <w:r>
        <w:rPr>
          <w:rFonts w:ascii="Times New Roman" w:hAnsi="Times New Roman"/>
          <w:noProof/>
          <w:sz w:val="24"/>
          <w:szCs w:val="24"/>
        </w:rPr>
        <w:t xml:space="preserve"> te da se omogući istinski politički dijalog. Međuvladine konferencije trebale bi osigurati jače političko usmjeravanje pristupnih pregovora. </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u w:val="single"/>
        </w:rPr>
        <w:t>Države članice</w:t>
      </w:r>
      <w:r>
        <w:rPr>
          <w:rFonts w:ascii="Times New Roman" w:hAnsi="Times New Roman"/>
          <w:b/>
          <w:noProof/>
          <w:sz w:val="24"/>
          <w:szCs w:val="24"/>
        </w:rPr>
        <w:t xml:space="preserve"> pozvat će se da sustavnije doprinose pristupnom procesu</w:t>
      </w:r>
      <w:r>
        <w:rPr>
          <w:rFonts w:ascii="Times New Roman" w:hAnsi="Times New Roman"/>
          <w:noProof/>
          <w:sz w:val="24"/>
          <w:szCs w:val="24"/>
        </w:rPr>
        <w:t xml:space="preserve">, među ostalim i praćenjem koje će na terenu obavljati njihovi stručnjaci, izravnim doprinosima godišnjim izvješćima i pružanjem sektorskog stručnog znanja. Države članice također će moći redovitije preispitivati i pratiti cjelokupni proces.   </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u w:val="single"/>
        </w:rPr>
        <w:t>Komisija</w:t>
      </w:r>
      <w:r>
        <w:rPr>
          <w:rFonts w:ascii="Times New Roman" w:hAnsi="Times New Roman"/>
          <w:noProof/>
          <w:sz w:val="24"/>
          <w:szCs w:val="24"/>
        </w:rPr>
        <w:t xml:space="preserve"> će nastaviti razmatrati ukupni napredak u pregovorima. </w:t>
      </w:r>
      <w:r>
        <w:rPr>
          <w:rFonts w:ascii="Times New Roman" w:hAnsi="Times New Roman"/>
          <w:b/>
          <w:noProof/>
          <w:sz w:val="24"/>
          <w:szCs w:val="24"/>
        </w:rPr>
        <w:t>U svojem godišnjem paketu za proširenje predložit će daljnje korake</w:t>
      </w:r>
      <w:r>
        <w:rPr>
          <w:rFonts w:ascii="Times New Roman" w:hAnsi="Times New Roman"/>
          <w:noProof/>
          <w:sz w:val="24"/>
          <w:szCs w:val="24"/>
        </w:rPr>
        <w:t xml:space="preserve"> za sljedeću godinu, koje trebaju odobriti države članice, s više pojedinosti o reformama, </w:t>
      </w:r>
      <w:r>
        <w:rPr>
          <w:rFonts w:ascii="Times New Roman" w:hAnsi="Times New Roman"/>
          <w:b/>
          <w:noProof/>
          <w:sz w:val="24"/>
          <w:szCs w:val="24"/>
        </w:rPr>
        <w:t>uključujući prijedloge korektivnih mjera</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u w:val="single"/>
        </w:rPr>
        <w:t>Međuvladine konferencije za pojedine zemlje</w:t>
      </w:r>
      <w:r>
        <w:rPr>
          <w:rFonts w:ascii="Times New Roman" w:hAnsi="Times New Roman"/>
          <w:b/>
          <w:noProof/>
          <w:sz w:val="24"/>
          <w:szCs w:val="24"/>
        </w:rPr>
        <w:t xml:space="preserve"> trebale bi se održati nakon objave Komisijina godišnjeg paketa </w:t>
      </w:r>
      <w:r>
        <w:rPr>
          <w:rFonts w:ascii="Times New Roman" w:hAnsi="Times New Roman"/>
          <w:noProof/>
          <w:sz w:val="24"/>
          <w:szCs w:val="24"/>
        </w:rPr>
        <w:t>izvješća za svaku zemlju i</w:t>
      </w:r>
      <w:r>
        <w:rPr>
          <w:rFonts w:ascii="Times New Roman" w:hAnsi="Times New Roman"/>
          <w:b/>
          <w:noProof/>
          <w:sz w:val="24"/>
          <w:szCs w:val="24"/>
        </w:rPr>
        <w:t xml:space="preserve"> služiti kao forum za politički dijalog </w:t>
      </w:r>
      <w:r>
        <w:rPr>
          <w:rFonts w:ascii="Times New Roman" w:hAnsi="Times New Roman"/>
          <w:noProof/>
          <w:sz w:val="24"/>
          <w:szCs w:val="24"/>
        </w:rPr>
        <w:t xml:space="preserve">o reformama, razmatranje cjelokupnog pristupnog procesa i utvrđivanje planova za sljedeću godinu, uključujući otvaranje i zatvaranje poglavlja / skupina poglavlja i moguće korektivne mjere. Sve će strane na tim međuvladinim konferencijama morati biti </w:t>
      </w:r>
      <w:r>
        <w:rPr>
          <w:rFonts w:ascii="Times New Roman" w:hAnsi="Times New Roman"/>
          <w:b/>
          <w:noProof/>
          <w:sz w:val="24"/>
          <w:szCs w:val="24"/>
        </w:rPr>
        <w:t>primjereno zastupljene kako bi bio moguć produktivan politički dijalog</w:t>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u w:val="single"/>
        </w:rPr>
        <w:t>Vijeća za stabilizaciju i pridruživanje</w:t>
      </w:r>
      <w:r>
        <w:rPr>
          <w:rFonts w:ascii="Times New Roman" w:hAnsi="Times New Roman"/>
          <w:noProof/>
          <w:sz w:val="24"/>
          <w:szCs w:val="24"/>
        </w:rPr>
        <w:t xml:space="preserve"> također će dati važan doprinos političkom dijalogu o reformama. Uz odbore i pododbore za stabilizaciju i pridruživanje ta vijeća mogu doprinijeti </w:t>
      </w:r>
      <w:r>
        <w:rPr>
          <w:rFonts w:ascii="Times New Roman" w:hAnsi="Times New Roman"/>
          <w:b/>
          <w:noProof/>
          <w:sz w:val="24"/>
          <w:szCs w:val="24"/>
        </w:rPr>
        <w:t>pojačanim praćenjem postupka i odgovorima na pitanja ubrzane integracije</w:t>
      </w:r>
      <w:r>
        <w:rPr>
          <w:rFonts w:ascii="Times New Roman" w:hAnsi="Times New Roman"/>
          <w:noProof/>
          <w:sz w:val="24"/>
          <w:szCs w:val="24"/>
        </w:rPr>
        <w:t xml:space="preserve"> iz odgovarajućih tematskih skupina (vidjeti u nastavku).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Dubinski pregled političkog stanja trebao bi se provesti u ključnim fazama pristupnog procesa svakog partnera, npr. nakon ispunjavanja privremenih mjerila za temeljne reforme, svaki put kad Vijeće donese odluku o ispunjenju uvjeta za otvaranje skupine pitanja i nakon što cjelokupni pregovori postanu tehnički spremni za zatvaranje.</w:t>
      </w:r>
    </w:p>
    <w:p>
      <w:pPr>
        <w:spacing w:after="120" w:line="240" w:lineRule="auto"/>
        <w:jc w:val="both"/>
        <w:rPr>
          <w:rFonts w:ascii="Times New Roman" w:hAnsi="Times New Roman" w:cs="Times New Roman"/>
          <w:noProof/>
          <w:sz w:val="24"/>
          <w:szCs w:val="24"/>
        </w:rPr>
      </w:pPr>
    </w:p>
    <w:p>
      <w:pPr>
        <w:pStyle w:val="ListParagraph"/>
        <w:numPr>
          <w:ilvl w:val="0"/>
          <w:numId w:val="32"/>
        </w:num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Dinamičniji proces </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Kako bi se povećala dinamika pregovaračkog procesa i potaknulo uzajamno nadopunjavanje djelovanja i izvan područja pojedinačnih poglavlja, </w:t>
      </w:r>
      <w:r>
        <w:rPr>
          <w:rFonts w:ascii="Times New Roman" w:hAnsi="Times New Roman"/>
          <w:b/>
          <w:noProof/>
          <w:sz w:val="24"/>
          <w:szCs w:val="24"/>
        </w:rPr>
        <w:t>pregovaračka poglavlja grupirat će se u tematske skupine</w:t>
      </w:r>
      <w:r>
        <w:rPr>
          <w:rFonts w:ascii="Times New Roman" w:hAnsi="Times New Roman"/>
          <w:noProof/>
          <w:sz w:val="24"/>
          <w:szCs w:val="24"/>
        </w:rPr>
        <w:t xml:space="preserve">. Te će skupine odgovarati širim temama kao što su dobro upravljanje, unutarnje tržište, gospodarska konkurentnost i povezivost. </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Grupiranjem poglavlja omogućit će se </w:t>
      </w:r>
      <w:r>
        <w:rPr>
          <w:rFonts w:ascii="Times New Roman" w:hAnsi="Times New Roman"/>
          <w:b/>
          <w:noProof/>
          <w:sz w:val="24"/>
          <w:szCs w:val="24"/>
        </w:rPr>
        <w:t>veća usredotočenost političkog dijaloga na ključne sektore</w:t>
      </w:r>
      <w:r>
        <w:rPr>
          <w:rFonts w:ascii="Times New Roman" w:hAnsi="Times New Roman"/>
          <w:noProof/>
          <w:sz w:val="24"/>
          <w:szCs w:val="24"/>
        </w:rPr>
        <w:t xml:space="preserve"> te bolji okvir za politički angažman na višoj razini. Tako će se moći </w:t>
      </w:r>
      <w:r>
        <w:rPr>
          <w:rFonts w:ascii="Times New Roman" w:hAnsi="Times New Roman"/>
          <w:b/>
          <w:noProof/>
          <w:sz w:val="24"/>
          <w:szCs w:val="24"/>
        </w:rPr>
        <w:t>utvrditi najvažnije i najhitnije reforme za svaki sektor</w:t>
      </w:r>
      <w:r>
        <w:rPr>
          <w:rFonts w:ascii="Times New Roman" w:hAnsi="Times New Roman"/>
          <w:noProof/>
          <w:sz w:val="24"/>
          <w:szCs w:val="24"/>
        </w:rPr>
        <w:t>.  Zahvaljujući tome, u praksi će se općenito ojačati procesi reformi jer će se potaknuti sektorske reforme u interesu građana i poduzeća.</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Umjesto otvaranja pojedinačnih poglavlja, </w:t>
      </w:r>
      <w:r>
        <w:rPr>
          <w:rFonts w:ascii="Times New Roman" w:hAnsi="Times New Roman"/>
          <w:b/>
          <w:noProof/>
          <w:sz w:val="24"/>
          <w:szCs w:val="24"/>
        </w:rPr>
        <w:t>nakon ispunjavanja mjerila za otvaranje pregovori o svakoj skupini otvarat će se kao cjelina</w:t>
      </w:r>
      <w:r>
        <w:rPr>
          <w:rFonts w:ascii="Times New Roman" w:hAnsi="Times New Roman"/>
          <w:noProof/>
          <w:sz w:val="24"/>
          <w:szCs w:val="24"/>
        </w:rPr>
        <w:t xml:space="preserve">. Na temelju analitičkog pregleda pojedinačnih tematskih skupina EU i svaka zemlja kandidatkinja dogovarat će se o prioritetima za ubrzanu integraciju i ključne reforme. Nakon odgovarajućeg napretka s obzirom na te prioritete, ta tematska skupina (koja uključuje sva povezana poglavlja) otvara se bez dodatnih uvjeta, a za svako poglavlje utvrđuju se mjerila za zatvaranje. Ako su važne reforme već provedene prije otvaranja, vremensko razdoblje od otvaranja skupine do zatvaranja pojedinačnih poglavlja trebalo bi biti ograničeno, po mogućnosti na godinu dana ovisno o napretku reformi, a naglasak treba biti na preostalim mjerama koje treba provesti radi potpune usklađenosti. </w:t>
      </w:r>
    </w:p>
    <w:p>
      <w:pPr>
        <w:widowControl w:val="0"/>
        <w:spacing w:after="120" w:line="240" w:lineRule="auto"/>
        <w:jc w:val="both"/>
        <w:rPr>
          <w:rFonts w:ascii="Times New Roman" w:hAnsi="Times New Roman" w:cs="Times New Roman"/>
          <w:noProof/>
          <w:sz w:val="24"/>
          <w:szCs w:val="24"/>
        </w:rPr>
      </w:pPr>
      <w:r>
        <w:rPr>
          <w:rFonts w:ascii="Times New Roman" w:hAnsi="Times New Roman"/>
          <w:b/>
          <w:noProof/>
          <w:sz w:val="24"/>
          <w:szCs w:val="24"/>
        </w:rPr>
        <w:t>Skupine će se uskladiti s pododborima za stabilizaciju i pridruživanje</w:t>
      </w:r>
      <w:r>
        <w:rPr>
          <w:rFonts w:ascii="Times New Roman" w:hAnsi="Times New Roman"/>
          <w:noProof/>
          <w:sz w:val="24"/>
          <w:szCs w:val="24"/>
        </w:rPr>
        <w:t xml:space="preserve"> kako bi se u okviru struktura za stabilizaciju i pridruživanje mogao pratiti napredak u pojedinoj skupini i kako bi se mogle poduzeti posebne mjere za ubrzano usklađivanje. Time će se omogućiti ciljani dijalozi i utvrđivanje </w:t>
      </w:r>
      <w:r>
        <w:rPr>
          <w:rFonts w:ascii="Times New Roman" w:hAnsi="Times New Roman"/>
          <w:b/>
          <w:noProof/>
          <w:sz w:val="24"/>
          <w:szCs w:val="24"/>
        </w:rPr>
        <w:t>mogućnosti za ubrzano usklađivanje</w:t>
      </w:r>
      <w:r>
        <w:rPr>
          <w:rFonts w:ascii="Times New Roman" w:hAnsi="Times New Roman"/>
          <w:noProof/>
          <w:sz w:val="24"/>
          <w:szCs w:val="24"/>
        </w:rPr>
        <w:t xml:space="preserve"> i integraciju u svim područjima politika EU-a, što ima jasne prednosti i za Europsku uniju i za kandidate.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Kako bi se povećala dinamičnost u </w:t>
      </w:r>
      <w:r>
        <w:rPr>
          <w:rFonts w:ascii="Times New Roman" w:hAnsi="Times New Roman"/>
          <w:b/>
          <w:noProof/>
          <w:sz w:val="24"/>
          <w:szCs w:val="24"/>
        </w:rPr>
        <w:t>pregovorima sa Srbijom i Crnom Gorom</w:t>
      </w:r>
      <w:r>
        <w:rPr>
          <w:rFonts w:ascii="Times New Roman" w:hAnsi="Times New Roman"/>
          <w:noProof/>
          <w:sz w:val="24"/>
          <w:szCs w:val="24"/>
        </w:rPr>
        <w:t>, rad na poglavljima mogao bi se uz njihovu suglasnost također organizirati oko tematskih skupina, pri čemu bi se poštovali postojeći pregovarački okviri. Tako bi se političko usmjerenje usredotočilo na ključne sektore te tim zemljama dao politički poticaj za rješavanje pitanja ključnih za usklađivanje. Ponudit će se mogućnost sudjelovanja u utvrđivanju područja od interesa za ubrzano sektorsko usklađivanje i integraciju, a u tom će se kontekstu zajednički planovi dogovarati i pratiti u suradnji sa strukturama za stabilizaciju i pridruživanje.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 </w:t>
      </w:r>
    </w:p>
    <w:p>
      <w:pPr>
        <w:pStyle w:val="ListParagraph"/>
        <w:numPr>
          <w:ilvl w:val="0"/>
          <w:numId w:val="32"/>
        </w:numPr>
        <w:spacing w:after="120" w:line="240" w:lineRule="auto"/>
        <w:jc w:val="both"/>
        <w:rPr>
          <w:rFonts w:ascii="Times New Roman" w:hAnsi="Times New Roman" w:cs="Times New Roman"/>
          <w:b/>
          <w:noProof/>
          <w:sz w:val="24"/>
          <w:szCs w:val="24"/>
          <w:u w:val="single"/>
        </w:rPr>
      </w:pPr>
      <w:r>
        <w:rPr>
          <w:rFonts w:ascii="Times New Roman" w:hAnsi="Times New Roman"/>
          <w:b/>
          <w:noProof/>
          <w:sz w:val="24"/>
          <w:szCs w:val="24"/>
        </w:rPr>
        <w:t xml:space="preserve">Predvidljivost te pozitivno i negativno uvjetovanje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 države članice i zemlje zapadnog Balkana izrazile su potrebu za procesom koji je predvidljiviji, u kojem su </w:t>
      </w:r>
      <w:r>
        <w:rPr>
          <w:rFonts w:ascii="Times New Roman" w:hAnsi="Times New Roman"/>
          <w:b/>
          <w:noProof/>
          <w:sz w:val="24"/>
          <w:szCs w:val="24"/>
        </w:rPr>
        <w:t>pojašnjena očekivanja Unije</w:t>
      </w:r>
      <w:r>
        <w:rPr>
          <w:rFonts w:ascii="Times New Roman" w:hAnsi="Times New Roman"/>
          <w:noProof/>
          <w:sz w:val="24"/>
          <w:szCs w:val="24"/>
        </w:rPr>
        <w:t xml:space="preserve"> od zemalja proširenja u različitim fazama procesa te u kojem su jasnije </w:t>
      </w:r>
      <w:r>
        <w:rPr>
          <w:rFonts w:ascii="Times New Roman" w:hAnsi="Times New Roman"/>
          <w:b/>
          <w:noProof/>
          <w:sz w:val="24"/>
          <w:szCs w:val="24"/>
        </w:rPr>
        <w:t>pozitivne i negativne posljedice</w:t>
      </w:r>
      <w:r>
        <w:rPr>
          <w:rFonts w:ascii="Times New Roman" w:hAnsi="Times New Roman"/>
          <w:noProof/>
          <w:sz w:val="24"/>
          <w:szCs w:val="24"/>
        </w:rPr>
        <w:t xml:space="preserve"> napretka ili stagnacije.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će u skladu s </w:t>
      </w:r>
      <w:r>
        <w:rPr>
          <w:rFonts w:ascii="Times New Roman" w:hAnsi="Times New Roman"/>
          <w:b/>
          <w:noProof/>
          <w:sz w:val="24"/>
          <w:szCs w:val="24"/>
        </w:rPr>
        <w:t>paketom za proširenje provjeravati usklađenost</w:t>
      </w:r>
      <w:r>
        <w:rPr>
          <w:rFonts w:ascii="Times New Roman" w:hAnsi="Times New Roman"/>
          <w:noProof/>
          <w:sz w:val="24"/>
          <w:szCs w:val="24"/>
        </w:rPr>
        <w:t xml:space="preserve"> kandidata s pravnom stečevinom te će </w:t>
      </w:r>
      <w:r>
        <w:rPr>
          <w:rFonts w:ascii="Times New Roman" w:hAnsi="Times New Roman"/>
          <w:b/>
          <w:noProof/>
          <w:sz w:val="24"/>
          <w:szCs w:val="24"/>
        </w:rPr>
        <w:t>dati jasnije smjernice</w:t>
      </w:r>
      <w:r>
        <w:rPr>
          <w:rFonts w:ascii="Times New Roman" w:hAnsi="Times New Roman"/>
          <w:noProof/>
          <w:sz w:val="24"/>
          <w:szCs w:val="24"/>
        </w:rPr>
        <w:t xml:space="preserve"> o prioritetima za konkretne reforme, kriterijima za usklađenost i očekivanjima za sljedeće korake u procesu. Jače političko vodstvo i veća usredotočenost međuvladinih konferencija omogućit će veću predvidljivost i jasnije planiranje za sljedeću godinu. Tako će političkim dionicima u tim zemljama biti jasnije što moraju učiniti kako bi napredovali u procesu. Među ostalim, navest će se koje bi se skupine i/ili poglavlja potencijalno mogli otvoriti ili zatvoriti te, ovisno o slučaju, koje još uvjete prije toga treba ispuniti. </w:t>
      </w:r>
    </w:p>
    <w:p>
      <w:pPr>
        <w:widowControl w:val="0"/>
        <w:spacing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Uvjetovanost je u srži pristupnog procesa temeljenog na zaslugama. </w:t>
      </w:r>
      <w:r>
        <w:rPr>
          <w:rFonts w:ascii="Times New Roman" w:hAnsi="Times New Roman"/>
          <w:noProof/>
          <w:sz w:val="24"/>
          <w:szCs w:val="24"/>
        </w:rPr>
        <w:t xml:space="preserve">Međutim, za to </w:t>
      </w:r>
      <w:r>
        <w:rPr>
          <w:rFonts w:ascii="Times New Roman" w:hAnsi="Times New Roman"/>
          <w:b/>
          <w:noProof/>
          <w:sz w:val="24"/>
          <w:szCs w:val="24"/>
        </w:rPr>
        <w:t>uvjeti moraju biti jasni</w:t>
      </w:r>
      <w:r>
        <w:rPr>
          <w:rFonts w:ascii="Times New Roman" w:hAnsi="Times New Roman"/>
          <w:noProof/>
          <w:sz w:val="24"/>
          <w:szCs w:val="24"/>
        </w:rPr>
        <w:t xml:space="preserve"> od samog početka. Važno je da zemlje kandidatkinje znaju s kojim će se mjerilima uspoređivati njihovi rezultati te da državama članicama bude jasno što se točno zahtijeva od kandidata. </w:t>
      </w:r>
      <w:r>
        <w:rPr>
          <w:rFonts w:ascii="Times New Roman" w:hAnsi="Times New Roman"/>
          <w:b/>
          <w:noProof/>
          <w:sz w:val="24"/>
          <w:szCs w:val="24"/>
        </w:rPr>
        <w:t>Komisija će bolje definirati uvjete za napredak kandidata</w:t>
      </w:r>
      <w:r>
        <w:rPr>
          <w:rFonts w:ascii="Times New Roman" w:hAnsi="Times New Roman"/>
          <w:noProof/>
          <w:sz w:val="24"/>
          <w:szCs w:val="24"/>
        </w:rPr>
        <w:t xml:space="preserve">, posebno u svojim godišnjim izvješćima. Ti uvjeti moraju biti objektivni, precizni, detaljni, strogi i provjerljivi. Komisija će na temelju pokazatelja trećih strana, ako je to relevantno, državama članicama osigurati što širu osnovu za donošenje odluka. </w:t>
      </w:r>
    </w:p>
    <w:p>
      <w:pPr>
        <w:spacing w:after="120" w:line="240" w:lineRule="auto"/>
        <w:jc w:val="both"/>
        <w:rPr>
          <w:rFonts w:ascii="Times New Roman" w:hAnsi="Times New Roman" w:cs="Times New Roman"/>
          <w:b/>
          <w:noProof/>
          <w:sz w:val="24"/>
          <w:szCs w:val="24"/>
          <w:u w:val="single"/>
        </w:rPr>
      </w:pPr>
      <w:r>
        <w:rPr>
          <w:rFonts w:ascii="Times New Roman" w:hAnsi="Times New Roman"/>
          <w:b/>
          <w:noProof/>
          <w:sz w:val="24"/>
          <w:szCs w:val="24"/>
        </w:rPr>
        <w:t>Jasnim i konkretnim poticajima od izravnog interesa za građane EU može potaknuti istinsku političku volju</w:t>
      </w:r>
      <w:r>
        <w:rPr>
          <w:rFonts w:ascii="Times New Roman" w:hAnsi="Times New Roman"/>
          <w:noProof/>
          <w:sz w:val="24"/>
          <w:szCs w:val="24"/>
        </w:rPr>
        <w:t xml:space="preserve"> i nagrađivati rezultate proizišle iz zahtjevnih reformi i procesa političkih, gospodarskih i društvenih promjena. </w:t>
      </w:r>
      <w:r>
        <w:rPr>
          <w:rFonts w:ascii="Times New Roman" w:hAnsi="Times New Roman"/>
          <w:b/>
          <w:noProof/>
          <w:sz w:val="24"/>
          <w:szCs w:val="24"/>
        </w:rPr>
        <w:t xml:space="preserve">Napredak zemalja na prioritetima za reforme dogovorenima u okviru pregovora trebao bi omogućiti: </w:t>
      </w:r>
    </w:p>
    <w:p>
      <w:pPr>
        <w:numPr>
          <w:ilvl w:val="0"/>
          <w:numId w:val="24"/>
        </w:numPr>
        <w:spacing w:after="120" w:line="240" w:lineRule="auto"/>
        <w:jc w:val="both"/>
        <w:rPr>
          <w:rFonts w:ascii="Times New Roman" w:hAnsi="Times New Roman" w:cs="Times New Roman"/>
          <w:noProof/>
          <w:sz w:val="24"/>
          <w:szCs w:val="24"/>
        </w:rPr>
      </w:pPr>
      <w:r>
        <w:rPr>
          <w:rFonts w:ascii="Times New Roman" w:hAnsi="Times New Roman"/>
          <w:noProof/>
          <w:sz w:val="24"/>
          <w:szCs w:val="24"/>
          <w:u w:val="single"/>
        </w:rPr>
        <w:t>bolju integraciju</w:t>
      </w:r>
      <w:r>
        <w:rPr>
          <w:rFonts w:ascii="Times New Roman" w:hAnsi="Times New Roman"/>
          <w:noProof/>
          <w:sz w:val="24"/>
          <w:szCs w:val="24"/>
        </w:rPr>
        <w:t xml:space="preserve"> dotične zemlje u Europsku uniju, </w:t>
      </w:r>
      <w:r>
        <w:rPr>
          <w:rFonts w:ascii="Times New Roman" w:hAnsi="Times New Roman"/>
          <w:noProof/>
          <w:sz w:val="24"/>
          <w:szCs w:val="24"/>
          <w:u w:val="single"/>
        </w:rPr>
        <w:t>rad na ubrzanoj integraciji i postupnom uvođenju u pojedinačne politike EU-a</w:t>
      </w:r>
      <w:r>
        <w:rPr>
          <w:rFonts w:ascii="Times New Roman" w:hAnsi="Times New Roman"/>
          <w:noProof/>
          <w:sz w:val="24"/>
          <w:szCs w:val="24"/>
        </w:rPr>
        <w:t xml:space="preserve">, tržište i programe EU-a, pri čemu će se osigurati ravnopravni uvjeti za sve dionike </w:t>
      </w:r>
    </w:p>
    <w:p>
      <w:pPr>
        <w:numPr>
          <w:ilvl w:val="0"/>
          <w:numId w:val="24"/>
        </w:numPr>
        <w:spacing w:after="120" w:line="240" w:lineRule="auto"/>
        <w:jc w:val="both"/>
        <w:rPr>
          <w:rFonts w:ascii="Times New Roman" w:hAnsi="Times New Roman" w:cs="Times New Roman"/>
          <w:noProof/>
          <w:sz w:val="24"/>
          <w:szCs w:val="24"/>
        </w:rPr>
      </w:pPr>
      <w:r>
        <w:rPr>
          <w:rFonts w:ascii="Times New Roman" w:hAnsi="Times New Roman"/>
          <w:noProof/>
          <w:sz w:val="24"/>
          <w:szCs w:val="24"/>
          <w:u w:val="single"/>
        </w:rPr>
        <w:t>pojačano financiranje i ulaganja</w:t>
      </w:r>
      <w:r>
        <w:rPr>
          <w:rFonts w:ascii="Times New Roman" w:hAnsi="Times New Roman"/>
          <w:noProof/>
          <w:sz w:val="24"/>
          <w:szCs w:val="24"/>
        </w:rPr>
        <w:t>, među ostalim u okviru Instrumenta pretpristupne pomoći koji se temelji na uspješnosti i usmjeren je na reforme, te u užoj suradnji s međunarodnim financijskim institucijama radi povećanja potpore.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Uz sredstva iz fondova EU-a te bi mjere trebale doprinijeti uspostavi europske prednosti koja je u skladu s WTO-om, uz istodobno osnaživanje lokalnog gospodarstva. </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Iako je napredak u reformama potrebno konkretnije poticati i nagrađivati, postoji potreba i za </w:t>
      </w:r>
      <w:r>
        <w:rPr>
          <w:rFonts w:ascii="Times New Roman" w:hAnsi="Times New Roman"/>
          <w:b/>
          <w:noProof/>
          <w:sz w:val="24"/>
          <w:szCs w:val="24"/>
        </w:rPr>
        <w:t>odlučnijim mjerama kojima bi se proporcionalno sankcionirala svaka ozbiljna ili dugotrajna stagnacija ili čak nazadovanje</w:t>
      </w:r>
      <w:r>
        <w:rPr>
          <w:rFonts w:ascii="Times New Roman" w:hAnsi="Times New Roman"/>
          <w:noProof/>
          <w:sz w:val="24"/>
          <w:szCs w:val="24"/>
        </w:rPr>
        <w:t xml:space="preserve"> u provedbi reformi i ispunjavanju uvjeta pristupnog procesa.</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Takve odluke o zaustavljanju ili čak unazađivanju procesa trebale bi se temeljiti na </w:t>
      </w:r>
      <w:r>
        <w:rPr>
          <w:rFonts w:ascii="Times New Roman" w:hAnsi="Times New Roman"/>
          <w:b/>
          <w:noProof/>
          <w:sz w:val="24"/>
          <w:szCs w:val="24"/>
        </w:rPr>
        <w:t>godišnjoj ocjeni Komisije</w:t>
      </w:r>
      <w:r>
        <w:rPr>
          <w:rFonts w:ascii="Times New Roman" w:hAnsi="Times New Roman"/>
          <w:noProof/>
          <w:sz w:val="24"/>
          <w:szCs w:val="24"/>
        </w:rPr>
        <w:t xml:space="preserve"> koja je uključena u njezin paket za proširenje, a odnosi se na općenitu ravnotežu u pristupnim pregovorima i stanje provedbe temeljnih reformi, posebice u području vladavine prava. Države članice i dalje će moći doprinositi tom procesu tako da Komisiji ukažu na moguće stagnacije ili ozbiljno nazadovanje u reformama. </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U ozbiljnijim slučajevima Komisija može u bilo kojem trenutku samostalno ili na obrazložen zahtjev države članice donositi prijedloge kako bi se na takva stanja brzo odgovorilo pojednostavnjenim postupcima, ako je to primjereno, uključujući glasovanje obrnutom kvalificiranom većinom.</w:t>
      </w:r>
      <w:r>
        <w:rPr>
          <w:rFonts w:ascii="Times New Roman" w:hAnsi="Times New Roman"/>
          <w:noProof/>
        </w:rPr>
        <w:t xml:space="preserve">   </w:t>
      </w:r>
    </w:p>
    <w:p>
      <w:pPr>
        <w:rPr>
          <w:noProof/>
        </w:rPr>
      </w:pPr>
      <w:r>
        <w:rPr>
          <w:noProof/>
        </w:rPr>
        <w:br w:type="page"/>
      </w:r>
    </w:p>
    <w:p>
      <w:pPr>
        <w:widowControl w:val="0"/>
        <w:spacing w:after="120" w:line="240" w:lineRule="auto"/>
        <w:jc w:val="both"/>
        <w:rPr>
          <w:rFonts w:ascii="Times New Roman" w:hAnsi="Times New Roman" w:cs="Times New Roman"/>
          <w:noProof/>
          <w:sz w:val="28"/>
          <w:szCs w:val="24"/>
        </w:rPr>
      </w:pPr>
      <w:r>
        <w:rPr>
          <w:rFonts w:ascii="Times New Roman" w:hAnsi="Times New Roman"/>
          <w:b/>
          <w:noProof/>
          <w:sz w:val="24"/>
        </w:rPr>
        <w:t xml:space="preserve">EU bi potencijalne probleme mogao riješiti na nekoliko načina: </w:t>
      </w:r>
    </w:p>
    <w:p>
      <w:pPr>
        <w:widowControl w:val="0"/>
        <w:numPr>
          <w:ilvl w:val="0"/>
          <w:numId w:val="24"/>
        </w:numPr>
        <w:spacing w:after="120" w:line="240" w:lineRule="auto"/>
        <w:jc w:val="both"/>
        <w:rPr>
          <w:rFonts w:ascii="Times New Roman" w:hAnsi="Times New Roman" w:cs="Times New Roman"/>
          <w:noProof/>
          <w:sz w:val="28"/>
          <w:szCs w:val="24"/>
        </w:rPr>
      </w:pPr>
      <w:r>
        <w:rPr>
          <w:rFonts w:ascii="Times New Roman" w:hAnsi="Times New Roman"/>
          <w:noProof/>
          <w:sz w:val="24"/>
        </w:rPr>
        <w:t xml:space="preserve">Države članice mogle bi odlučiti da se </w:t>
      </w:r>
      <w:r>
        <w:rPr>
          <w:rFonts w:ascii="Times New Roman" w:hAnsi="Times New Roman"/>
          <w:noProof/>
          <w:sz w:val="24"/>
          <w:u w:val="single"/>
        </w:rPr>
        <w:t>pregovori</w:t>
      </w:r>
      <w:r>
        <w:rPr>
          <w:rFonts w:ascii="Times New Roman" w:hAnsi="Times New Roman"/>
          <w:noProof/>
          <w:sz w:val="24"/>
        </w:rPr>
        <w:t xml:space="preserve"> u određenim područjima </w:t>
      </w:r>
      <w:r>
        <w:rPr>
          <w:rFonts w:ascii="Times New Roman" w:hAnsi="Times New Roman"/>
          <w:noProof/>
          <w:sz w:val="24"/>
          <w:u w:val="single"/>
        </w:rPr>
        <w:t>pauziraju</w:t>
      </w:r>
      <w:r>
        <w:rPr>
          <w:rFonts w:ascii="Times New Roman" w:hAnsi="Times New Roman"/>
          <w:noProof/>
          <w:sz w:val="24"/>
        </w:rPr>
        <w:t xml:space="preserve"> ili, u najtežim slučajevima, potpuno </w:t>
      </w:r>
      <w:r>
        <w:rPr>
          <w:rFonts w:ascii="Times New Roman" w:hAnsi="Times New Roman"/>
          <w:noProof/>
          <w:sz w:val="24"/>
          <w:u w:val="single"/>
        </w:rPr>
        <w:t>obustave</w:t>
      </w:r>
      <w:r>
        <w:rPr>
          <w:rFonts w:ascii="Times New Roman" w:hAnsi="Times New Roman"/>
          <w:noProof/>
          <w:sz w:val="24"/>
        </w:rPr>
        <w:t xml:space="preserve">. </w:t>
      </w:r>
      <w:r>
        <w:rPr>
          <w:rFonts w:ascii="Times New Roman" w:hAnsi="Times New Roman"/>
          <w:noProof/>
          <w:sz w:val="24"/>
          <w:u w:val="single"/>
        </w:rPr>
        <w:t>Mogla bi se ponovno otvoriti već zatvorena poglavlja</w:t>
      </w:r>
      <w:r>
        <w:rPr>
          <w:rFonts w:ascii="Times New Roman" w:hAnsi="Times New Roman"/>
          <w:noProof/>
          <w:sz w:val="24"/>
        </w:rPr>
        <w:t xml:space="preserve"> ili bi se napredak u njima mogao poništiti bude li potrebno ponovno procijeniti stanje.</w:t>
      </w:r>
    </w:p>
    <w:p>
      <w:pPr>
        <w:widowControl w:val="0"/>
        <w:numPr>
          <w:ilvl w:val="0"/>
          <w:numId w:val="24"/>
        </w:numPr>
        <w:spacing w:after="120" w:line="240" w:lineRule="auto"/>
        <w:jc w:val="both"/>
        <w:rPr>
          <w:rFonts w:ascii="Times New Roman" w:hAnsi="Times New Roman" w:cs="Times New Roman"/>
          <w:noProof/>
          <w:sz w:val="28"/>
          <w:szCs w:val="24"/>
        </w:rPr>
      </w:pPr>
      <w:r>
        <w:rPr>
          <w:rFonts w:ascii="Times New Roman" w:hAnsi="Times New Roman"/>
          <w:noProof/>
          <w:sz w:val="24"/>
          <w:u w:val="single"/>
        </w:rPr>
        <w:t>Opseg i intenzitet financiranja EU-a mogli bi se smanjiti, uz iznimku potpore civilnom društvu</w:t>
      </w:r>
      <w:r>
        <w:rPr>
          <w:rFonts w:ascii="Times New Roman" w:hAnsi="Times New Roman"/>
          <w:noProof/>
          <w:sz w:val="24"/>
        </w:rPr>
        <w:t xml:space="preserve">. </w:t>
      </w:r>
    </w:p>
    <w:p>
      <w:pPr>
        <w:widowControl w:val="0"/>
        <w:numPr>
          <w:ilvl w:val="0"/>
          <w:numId w:val="24"/>
        </w:numPr>
        <w:spacing w:after="120" w:line="240" w:lineRule="auto"/>
        <w:jc w:val="both"/>
        <w:rPr>
          <w:rFonts w:ascii="Times New Roman" w:hAnsi="Times New Roman" w:cs="Times New Roman"/>
          <w:noProof/>
          <w:sz w:val="28"/>
          <w:szCs w:val="24"/>
        </w:rPr>
      </w:pPr>
      <w:r>
        <w:rPr>
          <w:rFonts w:ascii="Times New Roman" w:hAnsi="Times New Roman"/>
          <w:noProof/>
          <w:sz w:val="24"/>
          <w:u w:val="single"/>
        </w:rPr>
        <w:t>Koristi koje se mogu ostvariti boljom integracijom</w:t>
      </w:r>
      <w:r>
        <w:rPr>
          <w:rFonts w:ascii="Times New Roman" w:hAnsi="Times New Roman"/>
          <w:noProof/>
          <w:sz w:val="24"/>
        </w:rPr>
        <w:t xml:space="preserve">, npr. pristup programima EU-a ili jednostrane koncesije za pristup tržištu, </w:t>
      </w:r>
      <w:r>
        <w:rPr>
          <w:rFonts w:ascii="Times New Roman" w:hAnsi="Times New Roman"/>
          <w:noProof/>
          <w:sz w:val="24"/>
          <w:u w:val="single"/>
        </w:rPr>
        <w:t>mogle bi se pauzirati ili ukinuti</w:t>
      </w:r>
      <w:r>
        <w:rPr>
          <w:rFonts w:ascii="Times New Roman" w:hAnsi="Times New Roman"/>
          <w:noProof/>
          <w:sz w:val="24"/>
        </w:rPr>
        <w:t>.</w:t>
      </w:r>
    </w:p>
    <w:p>
      <w:pPr>
        <w:widowControl w:val="0"/>
        <w:spacing w:after="120" w:line="240" w:lineRule="auto"/>
        <w:jc w:val="both"/>
        <w:rPr>
          <w:rFonts w:ascii="Times New Roman" w:hAnsi="Times New Roman" w:cs="Times New Roman"/>
          <w:noProof/>
          <w:sz w:val="28"/>
          <w:szCs w:val="24"/>
          <w:u w:val="single"/>
        </w:rPr>
      </w:pPr>
      <w:r>
        <w:rPr>
          <w:rFonts w:ascii="Times New Roman" w:hAnsi="Times New Roman"/>
          <w:noProof/>
          <w:sz w:val="24"/>
        </w:rPr>
        <w:t xml:space="preserve">Predvidljivost i uvjetovanost povećat će se zajedno s </w:t>
      </w:r>
      <w:r>
        <w:rPr>
          <w:rFonts w:ascii="Times New Roman" w:hAnsi="Times New Roman"/>
          <w:b/>
          <w:noProof/>
          <w:sz w:val="24"/>
        </w:rPr>
        <w:t>povećanjem transparentnosti</w:t>
      </w:r>
      <w:r>
        <w:rPr>
          <w:rFonts w:ascii="Times New Roman" w:hAnsi="Times New Roman"/>
          <w:noProof/>
          <w:sz w:val="24"/>
        </w:rPr>
        <w:t>. Kako bi se osigurala održivost reformi i olakšalo praćenje provedbe, sve ključne reforme u zemljama trebale bi se provoditi na potpuno transparentan i uključiv način, uz sudjelovanje ključnih dionika. Europska unija trebala bi sa svoje strane nastojati povećati transparentnost procesa objavom većeg broja ključnih dokumenata.</w:t>
      </w:r>
      <w:r>
        <w:rPr>
          <w:rFonts w:ascii="Times New Roman" w:hAnsi="Times New Roman"/>
          <w:noProof/>
          <w:sz w:val="24"/>
          <w:u w:val="single"/>
        </w:rPr>
        <w:t xml:space="preserve"> </w:t>
      </w:r>
    </w:p>
    <w:p>
      <w:pPr>
        <w:pStyle w:val="Briefingtext"/>
        <w:spacing w:after="120"/>
        <w:rPr>
          <w:rFonts w:ascii="Times New Roman" w:eastAsia="Calibri" w:hAnsi="Times New Roman" w:cs="Times New Roman"/>
          <w:noProof/>
          <w:sz w:val="28"/>
        </w:rPr>
      </w:pPr>
      <w:r>
        <w:rPr>
          <w:rFonts w:ascii="Times New Roman" w:hAnsi="Times New Roman"/>
          <w:noProof/>
          <w:sz w:val="24"/>
        </w:rPr>
        <w:t xml:space="preserve">Komisija će također nastaviti sa svojim aktivnostima komunikacije i informiranja, među ostalim u državama članicama, koje imaju prvenstvenu odgovornost za informiranje svojih građana o strateškim prilikama i izazovima koje proces donosi. </w:t>
      </w:r>
    </w:p>
    <w:p>
      <w:pPr>
        <w:pStyle w:val="Briefingtext"/>
        <w:spacing w:after="120"/>
        <w:rPr>
          <w:rFonts w:ascii="Times New Roman" w:hAnsi="Times New Roman" w:cs="Times New Roman"/>
          <w:noProof/>
          <w:sz w:val="24"/>
        </w:rPr>
      </w:pPr>
      <w:r>
        <w:rPr>
          <w:rFonts w:ascii="Times New Roman" w:hAnsi="Times New Roman"/>
          <w:noProof/>
          <w:sz w:val="24"/>
        </w:rPr>
        <w:t xml:space="preserve">Tablica s predloženim skupinama poglavlja nalazi se u prilogu. Poglavlje 34. „Institucije” i poglavlje 35. „Ostala pitanja” obradit će se zasebno. </w:t>
      </w:r>
      <w:r>
        <w:rPr>
          <w:rFonts w:ascii="Times New Roman" w:hAnsi="Times New Roman"/>
          <w:noProof/>
        </w:rPr>
        <w:br w:type="page"/>
      </w:r>
    </w:p>
    <w:p>
      <w:pPr>
        <w:pageBreakBefore/>
        <w:spacing w:after="120" w:line="240" w:lineRule="auto"/>
        <w:jc w:val="both"/>
        <w:rPr>
          <w:rFonts w:ascii="Times New Roman" w:hAnsi="Times New Roman"/>
          <w:b/>
          <w:noProof/>
          <w:sz w:val="28"/>
          <w:u w:val="single"/>
        </w:rPr>
      </w:pPr>
      <w:r>
        <w:rPr>
          <w:rFonts w:ascii="Times New Roman" w:hAnsi="Times New Roman"/>
          <w:b/>
          <w:noProof/>
          <w:sz w:val="24"/>
          <w:u w:val="single"/>
        </w:rPr>
        <w:t>Tehnički prilog: skupine pregovaračkih poglavlja</w:t>
      </w:r>
    </w:p>
    <w:p>
      <w:pPr>
        <w:spacing w:after="120" w:line="240" w:lineRule="auto"/>
        <w:jc w:val="both"/>
        <w:rPr>
          <w:rFonts w:ascii="Times New Roman" w:hAnsi="Times New Roman" w:cs="Times New Roman"/>
          <w:b/>
          <w:noProof/>
          <w:sz w:val="24"/>
          <w:szCs w:val="24"/>
          <w:u w:val="single"/>
        </w:rPr>
      </w:pPr>
    </w:p>
    <w:tbl>
      <w:tblPr>
        <w:tblStyle w:val="TableGrid1"/>
        <w:tblW w:w="0" w:type="auto"/>
        <w:tblLook w:val="04A0" w:firstRow="1" w:lastRow="0" w:firstColumn="1" w:lastColumn="0" w:noHBand="0" w:noVBand="1"/>
      </w:tblPr>
      <w:tblGrid>
        <w:gridCol w:w="4656"/>
        <w:gridCol w:w="4630"/>
      </w:tblGrid>
      <w:tr>
        <w:tc>
          <w:tcPr>
            <w:tcW w:w="4656" w:type="dxa"/>
          </w:tcPr>
          <w:p>
            <w:pPr>
              <w:numPr>
                <w:ilvl w:val="0"/>
                <w:numId w:val="20"/>
              </w:numPr>
              <w:spacing w:after="120"/>
              <w:ind w:left="284" w:hanging="284"/>
              <w:rPr>
                <w:rFonts w:ascii="Times New Roman" w:hAnsi="Times New Roman" w:cs="Times New Roman"/>
                <w:b/>
                <w:noProof/>
                <w:color w:val="000000" w:themeColor="text1"/>
                <w:sz w:val="24"/>
                <w:szCs w:val="24"/>
              </w:rPr>
            </w:pPr>
            <w:r>
              <w:rPr>
                <w:rFonts w:ascii="Times New Roman" w:hAnsi="Times New Roman"/>
                <w:b/>
                <w:noProof/>
                <w:sz w:val="24"/>
              </w:rPr>
              <w:t xml:space="preserve">Temeljna pitanja </w:t>
            </w:r>
          </w:p>
        </w:tc>
        <w:tc>
          <w:tcPr>
            <w:tcW w:w="4630" w:type="dxa"/>
          </w:tcPr>
          <w:p>
            <w:pPr>
              <w:rPr>
                <w:rFonts w:ascii="Times New Roman" w:hAnsi="Times New Roman" w:cs="Times New Roman"/>
                <w:noProof/>
                <w:sz w:val="24"/>
                <w:szCs w:val="24"/>
              </w:rPr>
            </w:pPr>
            <w:r>
              <w:rPr>
                <w:rFonts w:ascii="Times New Roman" w:hAnsi="Times New Roman"/>
                <w:noProof/>
                <w:sz w:val="24"/>
              </w:rPr>
              <w:t xml:space="preserve">23. – Pravosuđe i temeljna prava </w:t>
            </w:r>
          </w:p>
          <w:p>
            <w:pPr>
              <w:rPr>
                <w:rFonts w:ascii="Times New Roman" w:hAnsi="Times New Roman" w:cs="Times New Roman"/>
                <w:noProof/>
                <w:sz w:val="24"/>
                <w:szCs w:val="24"/>
              </w:rPr>
            </w:pPr>
            <w:r>
              <w:rPr>
                <w:rFonts w:ascii="Times New Roman" w:hAnsi="Times New Roman"/>
                <w:noProof/>
                <w:sz w:val="24"/>
              </w:rPr>
              <w:t>24. – Pravda, sloboda i sigurnost</w:t>
            </w:r>
          </w:p>
          <w:p>
            <w:pPr>
              <w:rPr>
                <w:rFonts w:ascii="Times New Roman" w:hAnsi="Times New Roman" w:cs="Times New Roman"/>
                <w:noProof/>
                <w:sz w:val="24"/>
                <w:szCs w:val="24"/>
              </w:rPr>
            </w:pPr>
            <w:r>
              <w:rPr>
                <w:rFonts w:ascii="Times New Roman" w:hAnsi="Times New Roman"/>
                <w:noProof/>
                <w:sz w:val="24"/>
              </w:rPr>
              <w:t>Gospodarski kriteriji</w:t>
            </w:r>
          </w:p>
          <w:p>
            <w:pPr>
              <w:rPr>
                <w:rFonts w:ascii="Times New Roman" w:hAnsi="Times New Roman" w:cs="Times New Roman"/>
                <w:noProof/>
                <w:sz w:val="24"/>
                <w:szCs w:val="24"/>
              </w:rPr>
            </w:pPr>
            <w:r>
              <w:rPr>
                <w:rFonts w:ascii="Times New Roman" w:hAnsi="Times New Roman"/>
                <w:noProof/>
                <w:sz w:val="24"/>
              </w:rPr>
              <w:t xml:space="preserve">Rad demokratskih institucija </w:t>
            </w:r>
          </w:p>
          <w:p>
            <w:pPr>
              <w:rPr>
                <w:rFonts w:ascii="Times New Roman" w:hAnsi="Times New Roman" w:cs="Times New Roman"/>
                <w:noProof/>
                <w:sz w:val="24"/>
                <w:szCs w:val="24"/>
              </w:rPr>
            </w:pPr>
            <w:r>
              <w:rPr>
                <w:rFonts w:ascii="Times New Roman" w:hAnsi="Times New Roman"/>
                <w:noProof/>
                <w:sz w:val="24"/>
              </w:rPr>
              <w:t xml:space="preserve">Reforma javne uprave </w:t>
            </w:r>
          </w:p>
          <w:p>
            <w:pPr>
              <w:rPr>
                <w:rFonts w:ascii="Times New Roman" w:hAnsi="Times New Roman" w:cs="Times New Roman"/>
                <w:noProof/>
                <w:sz w:val="24"/>
                <w:szCs w:val="24"/>
              </w:rPr>
            </w:pPr>
            <w:r>
              <w:rPr>
                <w:rFonts w:ascii="Times New Roman" w:hAnsi="Times New Roman"/>
                <w:noProof/>
                <w:sz w:val="24"/>
              </w:rPr>
              <w:t xml:space="preserve">5. – Javna nabava </w:t>
            </w:r>
          </w:p>
          <w:p>
            <w:pPr>
              <w:rPr>
                <w:rFonts w:ascii="Times New Roman" w:hAnsi="Times New Roman" w:cs="Times New Roman"/>
                <w:noProof/>
                <w:sz w:val="24"/>
                <w:szCs w:val="24"/>
              </w:rPr>
            </w:pPr>
            <w:r>
              <w:rPr>
                <w:rFonts w:ascii="Times New Roman" w:hAnsi="Times New Roman"/>
                <w:noProof/>
                <w:sz w:val="24"/>
              </w:rPr>
              <w:t>18. – Statistika</w:t>
            </w:r>
          </w:p>
          <w:p>
            <w:pPr>
              <w:rPr>
                <w:rFonts w:ascii="Times New Roman" w:hAnsi="Times New Roman" w:cs="Times New Roman"/>
                <w:noProof/>
                <w:sz w:val="24"/>
                <w:szCs w:val="24"/>
              </w:rPr>
            </w:pPr>
            <w:r>
              <w:rPr>
                <w:rFonts w:ascii="Times New Roman" w:hAnsi="Times New Roman"/>
                <w:noProof/>
                <w:sz w:val="24"/>
              </w:rPr>
              <w:t>32. – Financijska kontrola</w:t>
            </w:r>
          </w:p>
        </w:tc>
      </w:tr>
      <w:tr>
        <w:tc>
          <w:tcPr>
            <w:tcW w:w="4656" w:type="dxa"/>
          </w:tcPr>
          <w:p>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sz w:val="24"/>
              </w:rPr>
              <w:t>Unutarnje tržište</w:t>
            </w:r>
          </w:p>
        </w:tc>
        <w:tc>
          <w:tcPr>
            <w:tcW w:w="4630" w:type="dxa"/>
          </w:tcPr>
          <w:p>
            <w:pPr>
              <w:rPr>
                <w:rFonts w:ascii="Times New Roman" w:hAnsi="Times New Roman" w:cs="Times New Roman"/>
                <w:noProof/>
                <w:sz w:val="24"/>
                <w:szCs w:val="24"/>
              </w:rPr>
            </w:pPr>
            <w:r>
              <w:rPr>
                <w:rFonts w:ascii="Times New Roman" w:hAnsi="Times New Roman"/>
                <w:noProof/>
                <w:sz w:val="24"/>
              </w:rPr>
              <w:t xml:space="preserve">1. – Slobodno kretanje robe </w:t>
            </w:r>
          </w:p>
          <w:p>
            <w:pPr>
              <w:rPr>
                <w:rFonts w:ascii="Times New Roman" w:hAnsi="Times New Roman" w:cs="Times New Roman"/>
                <w:noProof/>
                <w:sz w:val="24"/>
                <w:szCs w:val="24"/>
              </w:rPr>
            </w:pPr>
            <w:r>
              <w:rPr>
                <w:rFonts w:ascii="Times New Roman" w:hAnsi="Times New Roman"/>
                <w:noProof/>
                <w:sz w:val="24"/>
              </w:rPr>
              <w:t xml:space="preserve">2. – Sloboda kretanja radnika </w:t>
            </w:r>
          </w:p>
          <w:p>
            <w:pPr>
              <w:rPr>
                <w:rFonts w:ascii="Times New Roman" w:hAnsi="Times New Roman" w:cs="Times New Roman"/>
                <w:noProof/>
                <w:sz w:val="24"/>
                <w:szCs w:val="24"/>
              </w:rPr>
            </w:pPr>
            <w:r>
              <w:rPr>
                <w:rFonts w:ascii="Times New Roman" w:hAnsi="Times New Roman"/>
                <w:noProof/>
                <w:sz w:val="24"/>
              </w:rPr>
              <w:t xml:space="preserve">3. – Sloboda poslovnog nastana i sloboda pružanja usluga </w:t>
            </w:r>
          </w:p>
          <w:p>
            <w:pPr>
              <w:rPr>
                <w:rFonts w:ascii="Times New Roman" w:hAnsi="Times New Roman" w:cs="Times New Roman"/>
                <w:noProof/>
                <w:sz w:val="24"/>
                <w:szCs w:val="24"/>
              </w:rPr>
            </w:pPr>
            <w:r>
              <w:rPr>
                <w:rFonts w:ascii="Times New Roman" w:hAnsi="Times New Roman"/>
                <w:noProof/>
                <w:sz w:val="24"/>
              </w:rPr>
              <w:t>4. – Slobodno kretanje kapitala</w:t>
            </w:r>
          </w:p>
          <w:p>
            <w:pPr>
              <w:rPr>
                <w:rFonts w:ascii="Times New Roman" w:hAnsi="Times New Roman" w:cs="Times New Roman"/>
                <w:noProof/>
                <w:sz w:val="24"/>
                <w:szCs w:val="24"/>
              </w:rPr>
            </w:pPr>
            <w:r>
              <w:rPr>
                <w:rFonts w:ascii="Times New Roman" w:hAnsi="Times New Roman"/>
                <w:noProof/>
                <w:sz w:val="24"/>
              </w:rPr>
              <w:t>6. – Pravo trgovačkih društava</w:t>
            </w:r>
          </w:p>
          <w:p>
            <w:pPr>
              <w:rPr>
                <w:rFonts w:ascii="Times New Roman" w:hAnsi="Times New Roman" w:cs="Times New Roman"/>
                <w:noProof/>
                <w:sz w:val="24"/>
                <w:szCs w:val="24"/>
              </w:rPr>
            </w:pPr>
            <w:r>
              <w:rPr>
                <w:rFonts w:ascii="Times New Roman" w:hAnsi="Times New Roman"/>
                <w:noProof/>
                <w:sz w:val="24"/>
              </w:rPr>
              <w:t>7. – Pravo intelektualnog vlasništva</w:t>
            </w:r>
          </w:p>
          <w:p>
            <w:pPr>
              <w:rPr>
                <w:rFonts w:ascii="Times New Roman" w:hAnsi="Times New Roman" w:cs="Times New Roman"/>
                <w:noProof/>
                <w:sz w:val="24"/>
                <w:szCs w:val="24"/>
              </w:rPr>
            </w:pPr>
            <w:r>
              <w:rPr>
                <w:rFonts w:ascii="Times New Roman" w:hAnsi="Times New Roman"/>
                <w:noProof/>
                <w:sz w:val="24"/>
              </w:rPr>
              <w:t>8. – Politika tržišnog natjecanja</w:t>
            </w:r>
          </w:p>
          <w:p>
            <w:pPr>
              <w:rPr>
                <w:rFonts w:ascii="Times New Roman" w:hAnsi="Times New Roman" w:cs="Times New Roman"/>
                <w:noProof/>
                <w:sz w:val="24"/>
                <w:szCs w:val="24"/>
              </w:rPr>
            </w:pPr>
            <w:r>
              <w:rPr>
                <w:rFonts w:ascii="Times New Roman" w:hAnsi="Times New Roman"/>
                <w:noProof/>
                <w:sz w:val="24"/>
              </w:rPr>
              <w:t xml:space="preserve">9. – Financijske usluge </w:t>
            </w:r>
          </w:p>
          <w:p>
            <w:pPr>
              <w:rPr>
                <w:rFonts w:ascii="Times New Roman" w:hAnsi="Times New Roman" w:cs="Times New Roman"/>
                <w:noProof/>
                <w:sz w:val="24"/>
                <w:szCs w:val="24"/>
              </w:rPr>
            </w:pPr>
            <w:r>
              <w:rPr>
                <w:rFonts w:ascii="Times New Roman" w:hAnsi="Times New Roman"/>
                <w:noProof/>
                <w:sz w:val="24"/>
              </w:rPr>
              <w:t>28. – Zaštita potrošača i zdravlja</w:t>
            </w:r>
          </w:p>
        </w:tc>
      </w:tr>
      <w:tr>
        <w:tc>
          <w:tcPr>
            <w:tcW w:w="4656" w:type="dxa"/>
          </w:tcPr>
          <w:p>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sz w:val="24"/>
              </w:rPr>
              <w:t>Konkurentnost i uključiv rast</w:t>
            </w:r>
          </w:p>
        </w:tc>
        <w:tc>
          <w:tcPr>
            <w:tcW w:w="4630" w:type="dxa"/>
          </w:tcPr>
          <w:p>
            <w:pPr>
              <w:rPr>
                <w:rFonts w:ascii="Times New Roman" w:hAnsi="Times New Roman" w:cs="Times New Roman"/>
                <w:noProof/>
                <w:sz w:val="24"/>
                <w:szCs w:val="24"/>
              </w:rPr>
            </w:pPr>
            <w:r>
              <w:rPr>
                <w:rFonts w:ascii="Times New Roman" w:hAnsi="Times New Roman"/>
                <w:noProof/>
                <w:sz w:val="24"/>
              </w:rPr>
              <w:t xml:space="preserve">10. – Informacijsko društvo i mediji </w:t>
            </w:r>
          </w:p>
          <w:p>
            <w:pPr>
              <w:rPr>
                <w:rFonts w:ascii="Times New Roman" w:hAnsi="Times New Roman" w:cs="Times New Roman"/>
                <w:noProof/>
                <w:sz w:val="24"/>
                <w:szCs w:val="24"/>
              </w:rPr>
            </w:pPr>
            <w:r>
              <w:rPr>
                <w:rFonts w:ascii="Times New Roman" w:hAnsi="Times New Roman"/>
                <w:noProof/>
                <w:sz w:val="24"/>
              </w:rPr>
              <w:t xml:space="preserve">16. – Oporezivanje </w:t>
            </w:r>
          </w:p>
          <w:p>
            <w:pPr>
              <w:rPr>
                <w:rFonts w:ascii="Times New Roman" w:hAnsi="Times New Roman" w:cs="Times New Roman"/>
                <w:noProof/>
                <w:sz w:val="24"/>
                <w:szCs w:val="24"/>
              </w:rPr>
            </w:pPr>
            <w:r>
              <w:rPr>
                <w:rFonts w:ascii="Times New Roman" w:hAnsi="Times New Roman"/>
                <w:noProof/>
                <w:sz w:val="24"/>
              </w:rPr>
              <w:t xml:space="preserve">17. – Ekonomska i monetarna politika </w:t>
            </w:r>
          </w:p>
          <w:p>
            <w:pPr>
              <w:rPr>
                <w:rFonts w:ascii="Times New Roman" w:hAnsi="Times New Roman" w:cs="Times New Roman"/>
                <w:noProof/>
                <w:sz w:val="24"/>
                <w:szCs w:val="24"/>
              </w:rPr>
            </w:pPr>
            <w:r>
              <w:rPr>
                <w:rFonts w:ascii="Times New Roman" w:hAnsi="Times New Roman"/>
                <w:noProof/>
                <w:sz w:val="24"/>
              </w:rPr>
              <w:t xml:space="preserve">19. – Socijalna politika i zapošljavanje </w:t>
            </w:r>
          </w:p>
          <w:p>
            <w:pPr>
              <w:rPr>
                <w:rFonts w:ascii="Times New Roman" w:hAnsi="Times New Roman" w:cs="Times New Roman"/>
                <w:noProof/>
                <w:sz w:val="24"/>
                <w:szCs w:val="24"/>
              </w:rPr>
            </w:pPr>
            <w:r>
              <w:rPr>
                <w:rFonts w:ascii="Times New Roman" w:hAnsi="Times New Roman"/>
                <w:noProof/>
                <w:sz w:val="24"/>
              </w:rPr>
              <w:t>20. – Poduzetništvo i industrijska politika</w:t>
            </w:r>
          </w:p>
          <w:p>
            <w:pPr>
              <w:rPr>
                <w:rFonts w:ascii="Times New Roman" w:hAnsi="Times New Roman" w:cs="Times New Roman"/>
                <w:noProof/>
                <w:sz w:val="24"/>
                <w:szCs w:val="24"/>
              </w:rPr>
            </w:pPr>
            <w:r>
              <w:rPr>
                <w:rFonts w:ascii="Times New Roman" w:hAnsi="Times New Roman"/>
                <w:noProof/>
                <w:sz w:val="24"/>
              </w:rPr>
              <w:t xml:space="preserve">25. – Znanost i istraživanje </w:t>
            </w:r>
          </w:p>
          <w:p>
            <w:pPr>
              <w:rPr>
                <w:rFonts w:ascii="Times New Roman" w:hAnsi="Times New Roman" w:cs="Times New Roman"/>
                <w:noProof/>
                <w:sz w:val="24"/>
                <w:szCs w:val="24"/>
              </w:rPr>
            </w:pPr>
            <w:r>
              <w:rPr>
                <w:rFonts w:ascii="Times New Roman" w:hAnsi="Times New Roman"/>
                <w:noProof/>
                <w:sz w:val="24"/>
              </w:rPr>
              <w:t>26. – Obrazovanje i kultura</w:t>
            </w:r>
          </w:p>
          <w:p>
            <w:pPr>
              <w:rPr>
                <w:rFonts w:ascii="Times New Roman" w:hAnsi="Times New Roman" w:cs="Times New Roman"/>
                <w:b/>
                <w:noProof/>
                <w:color w:val="C00000"/>
                <w:sz w:val="24"/>
                <w:szCs w:val="24"/>
              </w:rPr>
            </w:pPr>
            <w:r>
              <w:rPr>
                <w:rFonts w:ascii="Times New Roman" w:hAnsi="Times New Roman"/>
                <w:noProof/>
                <w:sz w:val="24"/>
              </w:rPr>
              <w:t>29. – Carinska unija</w:t>
            </w:r>
          </w:p>
        </w:tc>
      </w:tr>
      <w:tr>
        <w:tc>
          <w:tcPr>
            <w:tcW w:w="4656" w:type="dxa"/>
          </w:tcPr>
          <w:p>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sz w:val="24"/>
              </w:rPr>
              <w:t>Zeleni program i održiva povezivost</w:t>
            </w:r>
          </w:p>
        </w:tc>
        <w:tc>
          <w:tcPr>
            <w:tcW w:w="4630" w:type="dxa"/>
          </w:tcPr>
          <w:p>
            <w:pPr>
              <w:rPr>
                <w:rFonts w:ascii="Times New Roman" w:hAnsi="Times New Roman" w:cs="Times New Roman"/>
                <w:noProof/>
                <w:sz w:val="24"/>
                <w:szCs w:val="24"/>
              </w:rPr>
            </w:pPr>
            <w:r>
              <w:rPr>
                <w:rFonts w:ascii="Times New Roman" w:hAnsi="Times New Roman"/>
                <w:noProof/>
                <w:sz w:val="24"/>
              </w:rPr>
              <w:t xml:space="preserve">14. – Prometna politika </w:t>
            </w:r>
          </w:p>
          <w:p>
            <w:pPr>
              <w:rPr>
                <w:rFonts w:ascii="Times New Roman" w:hAnsi="Times New Roman" w:cs="Times New Roman"/>
                <w:noProof/>
                <w:sz w:val="24"/>
                <w:szCs w:val="24"/>
              </w:rPr>
            </w:pPr>
            <w:r>
              <w:rPr>
                <w:rFonts w:ascii="Times New Roman" w:hAnsi="Times New Roman"/>
                <w:noProof/>
                <w:sz w:val="24"/>
              </w:rPr>
              <w:t xml:space="preserve">15. – Energija </w:t>
            </w:r>
          </w:p>
          <w:p>
            <w:pPr>
              <w:rPr>
                <w:rFonts w:ascii="Times New Roman" w:hAnsi="Times New Roman" w:cs="Times New Roman"/>
                <w:noProof/>
                <w:sz w:val="24"/>
                <w:szCs w:val="24"/>
              </w:rPr>
            </w:pPr>
            <w:r>
              <w:rPr>
                <w:rFonts w:ascii="Times New Roman" w:hAnsi="Times New Roman"/>
                <w:noProof/>
                <w:sz w:val="24"/>
              </w:rPr>
              <w:t xml:space="preserve">21. – Transeuropske mreže </w:t>
            </w:r>
          </w:p>
          <w:p>
            <w:pPr>
              <w:rPr>
                <w:rFonts w:ascii="Times New Roman" w:hAnsi="Times New Roman" w:cs="Times New Roman"/>
                <w:b/>
                <w:noProof/>
                <w:color w:val="C00000"/>
                <w:sz w:val="24"/>
                <w:szCs w:val="24"/>
              </w:rPr>
            </w:pPr>
            <w:r>
              <w:rPr>
                <w:rFonts w:ascii="Times New Roman" w:hAnsi="Times New Roman"/>
                <w:noProof/>
                <w:sz w:val="24"/>
              </w:rPr>
              <w:t>27. – Okoliš i klimatske promjene</w:t>
            </w:r>
          </w:p>
        </w:tc>
      </w:tr>
      <w:tr>
        <w:tc>
          <w:tcPr>
            <w:tcW w:w="4656" w:type="dxa"/>
          </w:tcPr>
          <w:p>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sz w:val="24"/>
              </w:rPr>
              <w:t>Resursi, poljoprivreda i kohezija</w:t>
            </w:r>
          </w:p>
        </w:tc>
        <w:tc>
          <w:tcPr>
            <w:tcW w:w="4630" w:type="dxa"/>
          </w:tcPr>
          <w:p>
            <w:pPr>
              <w:rPr>
                <w:rFonts w:ascii="Times New Roman" w:hAnsi="Times New Roman" w:cs="Times New Roman"/>
                <w:noProof/>
                <w:sz w:val="24"/>
                <w:szCs w:val="24"/>
              </w:rPr>
            </w:pPr>
            <w:r>
              <w:rPr>
                <w:rFonts w:ascii="Times New Roman" w:hAnsi="Times New Roman"/>
                <w:noProof/>
                <w:sz w:val="24"/>
              </w:rPr>
              <w:t>11. – Poljoprivreda i ruralni razvoj</w:t>
            </w:r>
          </w:p>
          <w:p>
            <w:pPr>
              <w:rPr>
                <w:rFonts w:ascii="Times New Roman" w:hAnsi="Times New Roman" w:cs="Times New Roman"/>
                <w:noProof/>
                <w:sz w:val="24"/>
                <w:szCs w:val="24"/>
              </w:rPr>
            </w:pPr>
            <w:r>
              <w:rPr>
                <w:rFonts w:ascii="Times New Roman" w:hAnsi="Times New Roman"/>
                <w:noProof/>
                <w:sz w:val="24"/>
              </w:rPr>
              <w:t xml:space="preserve">12. – Sigurnost hrane, veterinarska i fitosanitarna politika </w:t>
            </w:r>
          </w:p>
          <w:p>
            <w:pPr>
              <w:rPr>
                <w:rFonts w:ascii="Times New Roman" w:hAnsi="Times New Roman" w:cs="Times New Roman"/>
                <w:noProof/>
                <w:sz w:val="24"/>
                <w:szCs w:val="24"/>
              </w:rPr>
            </w:pPr>
            <w:r>
              <w:rPr>
                <w:rFonts w:ascii="Times New Roman" w:hAnsi="Times New Roman"/>
                <w:noProof/>
                <w:sz w:val="24"/>
              </w:rPr>
              <w:t xml:space="preserve">13. – Ribarstvo </w:t>
            </w:r>
          </w:p>
          <w:p>
            <w:pPr>
              <w:rPr>
                <w:rFonts w:ascii="Times New Roman" w:hAnsi="Times New Roman" w:cs="Times New Roman"/>
                <w:noProof/>
                <w:sz w:val="24"/>
                <w:szCs w:val="24"/>
              </w:rPr>
            </w:pPr>
            <w:r>
              <w:rPr>
                <w:rFonts w:ascii="Times New Roman" w:hAnsi="Times New Roman"/>
                <w:noProof/>
                <w:sz w:val="24"/>
              </w:rPr>
              <w:t xml:space="preserve">22. – Regionalna politika i koordinacija strukturnih instrumenata </w:t>
            </w:r>
          </w:p>
          <w:p>
            <w:pPr>
              <w:rPr>
                <w:rFonts w:ascii="Times New Roman" w:hAnsi="Times New Roman" w:cs="Times New Roman"/>
                <w:b/>
                <w:noProof/>
                <w:color w:val="C00000"/>
                <w:sz w:val="24"/>
                <w:szCs w:val="24"/>
              </w:rPr>
            </w:pPr>
            <w:r>
              <w:rPr>
                <w:rFonts w:ascii="Times New Roman" w:hAnsi="Times New Roman"/>
                <w:noProof/>
                <w:sz w:val="24"/>
              </w:rPr>
              <w:t>33. – Financijske i proračunske odredbe</w:t>
            </w:r>
          </w:p>
        </w:tc>
      </w:tr>
      <w:tr>
        <w:tc>
          <w:tcPr>
            <w:tcW w:w="4656" w:type="dxa"/>
          </w:tcPr>
          <w:p>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sz w:val="24"/>
              </w:rPr>
              <w:t>Vanjski odnosi</w:t>
            </w:r>
          </w:p>
        </w:tc>
        <w:tc>
          <w:tcPr>
            <w:tcW w:w="4630" w:type="dxa"/>
          </w:tcPr>
          <w:p>
            <w:pPr>
              <w:rPr>
                <w:rFonts w:ascii="Times New Roman" w:hAnsi="Times New Roman" w:cs="Times New Roman"/>
                <w:noProof/>
                <w:sz w:val="24"/>
                <w:szCs w:val="24"/>
              </w:rPr>
            </w:pPr>
            <w:r>
              <w:rPr>
                <w:rFonts w:ascii="Times New Roman" w:hAnsi="Times New Roman"/>
                <w:noProof/>
                <w:sz w:val="24"/>
              </w:rPr>
              <w:t xml:space="preserve">30. – Vanjski odnosi </w:t>
            </w:r>
          </w:p>
          <w:p>
            <w:pPr>
              <w:rPr>
                <w:rFonts w:ascii="Times New Roman" w:hAnsi="Times New Roman" w:cs="Times New Roman"/>
                <w:b/>
                <w:noProof/>
                <w:color w:val="C00000"/>
                <w:sz w:val="24"/>
                <w:szCs w:val="24"/>
              </w:rPr>
            </w:pPr>
            <w:r>
              <w:rPr>
                <w:rFonts w:ascii="Times New Roman" w:hAnsi="Times New Roman"/>
                <w:noProof/>
                <w:sz w:val="24"/>
              </w:rPr>
              <w:t>31. – Vanjska, sigurnosna i obrambena politika</w:t>
            </w:r>
          </w:p>
        </w:tc>
      </w:tr>
    </w:tbl>
    <w:p>
      <w:pPr>
        <w:spacing w:after="120" w:line="240" w:lineRule="auto"/>
        <w:rPr>
          <w:noProof/>
        </w:rPr>
      </w:pPr>
    </w:p>
    <w:p>
      <w:pPr>
        <w:spacing w:before="100" w:beforeAutospacing="1" w:after="100" w:afterAutospacing="1"/>
        <w:rPr>
          <w:noProof/>
          <w:color w:val="1F497D"/>
        </w:rPr>
      </w:pPr>
      <w:r>
        <w:rPr>
          <w:noProof/>
          <w:color w:val="1F497D"/>
        </w:rPr>
        <w:t xml:space="preserve">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24416"/>
      <w:docPartObj>
        <w:docPartGallery w:val="Page Numbers (Bottom of Page)"/>
        <w:docPartUnique/>
      </w:docPartObj>
    </w:sdtPr>
    <w:sdtEndPr>
      <w:rPr>
        <w:rFonts w:ascii="Times New Roman" w:hAnsi="Times New Roman"/>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cs="Times New Roman"/>
          </w:rPr>
          <w:instrText xml:space="preserve"> PAGE   \* MERGEFORMAT </w:instrText>
        </w:r>
        <w:r>
          <w:rPr>
            <w:rFonts w:ascii="Times New Roman" w:hAnsi="Times New Roman"/>
          </w:rPr>
          <w:fldChar w:fldCharType="separate"/>
        </w:r>
        <w:r>
          <w:rPr>
            <w:rFonts w:ascii="Times New Roman" w:hAnsi="Times New Roman" w:cs="Times New Roman"/>
            <w:noProof/>
          </w:rPr>
          <w:t>1</w:t>
        </w:r>
        <w:r>
          <w:rPr>
            <w:rFonts w:ascii="Times New Roman" w:hAnsi="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Vjerodostojna perspektiva proširenja i pojačana suradnja EU-a sa zapadnim Balkanom COM(2018) 65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16E"/>
    <w:multiLevelType w:val="hybridMultilevel"/>
    <w:tmpl w:val="A1EA29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C7712D"/>
    <w:multiLevelType w:val="hybridMultilevel"/>
    <w:tmpl w:val="87149E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A52AB7"/>
    <w:multiLevelType w:val="hybridMultilevel"/>
    <w:tmpl w:val="DD4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D110A"/>
    <w:multiLevelType w:val="hybridMultilevel"/>
    <w:tmpl w:val="BD922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793B20"/>
    <w:multiLevelType w:val="hybridMultilevel"/>
    <w:tmpl w:val="64243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620FF1"/>
    <w:multiLevelType w:val="hybridMultilevel"/>
    <w:tmpl w:val="45261496"/>
    <w:lvl w:ilvl="0" w:tplc="1D1648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617F54"/>
    <w:multiLevelType w:val="hybridMultilevel"/>
    <w:tmpl w:val="117AE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1763A"/>
    <w:multiLevelType w:val="hybridMultilevel"/>
    <w:tmpl w:val="945C378E"/>
    <w:lvl w:ilvl="0" w:tplc="4ACCDFB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DD343D"/>
    <w:multiLevelType w:val="hybridMultilevel"/>
    <w:tmpl w:val="50A4FC54"/>
    <w:lvl w:ilvl="0" w:tplc="BA480F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73514C"/>
    <w:multiLevelType w:val="multilevel"/>
    <w:tmpl w:val="224C14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6345CF"/>
    <w:multiLevelType w:val="hybridMultilevel"/>
    <w:tmpl w:val="D7961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BA2BFA"/>
    <w:multiLevelType w:val="hybridMultilevel"/>
    <w:tmpl w:val="77883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C4FCB"/>
    <w:multiLevelType w:val="hybridMultilevel"/>
    <w:tmpl w:val="D21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401E6"/>
    <w:multiLevelType w:val="hybridMultilevel"/>
    <w:tmpl w:val="257417F8"/>
    <w:lvl w:ilvl="0" w:tplc="1C92683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F868FC"/>
    <w:multiLevelType w:val="hybridMultilevel"/>
    <w:tmpl w:val="E196F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9E686E"/>
    <w:multiLevelType w:val="hybridMultilevel"/>
    <w:tmpl w:val="CF38284C"/>
    <w:lvl w:ilvl="0" w:tplc="1D16487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C97028"/>
    <w:multiLevelType w:val="hybridMultilevel"/>
    <w:tmpl w:val="91784AC0"/>
    <w:lvl w:ilvl="0" w:tplc="1D16487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E12096"/>
    <w:multiLevelType w:val="hybridMultilevel"/>
    <w:tmpl w:val="95B81AB6"/>
    <w:lvl w:ilvl="0" w:tplc="1C92683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47A4B"/>
    <w:multiLevelType w:val="hybridMultilevel"/>
    <w:tmpl w:val="D4765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7B3521"/>
    <w:multiLevelType w:val="hybridMultilevel"/>
    <w:tmpl w:val="01649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DC2FE5"/>
    <w:multiLevelType w:val="hybridMultilevel"/>
    <w:tmpl w:val="190A1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D077E"/>
    <w:multiLevelType w:val="hybridMultilevel"/>
    <w:tmpl w:val="D4765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D17E87"/>
    <w:multiLevelType w:val="hybridMultilevel"/>
    <w:tmpl w:val="14B6008A"/>
    <w:lvl w:ilvl="0" w:tplc="6128C87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3E142F"/>
    <w:multiLevelType w:val="hybridMultilevel"/>
    <w:tmpl w:val="A6849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4D2DC3"/>
    <w:multiLevelType w:val="hybridMultilevel"/>
    <w:tmpl w:val="A37C7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5C1E0A"/>
    <w:multiLevelType w:val="hybridMultilevel"/>
    <w:tmpl w:val="219A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C9792E"/>
    <w:multiLevelType w:val="hybridMultilevel"/>
    <w:tmpl w:val="6AA84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1B4A79"/>
    <w:multiLevelType w:val="hybridMultilevel"/>
    <w:tmpl w:val="B9A68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15782E"/>
    <w:multiLevelType w:val="hybridMultilevel"/>
    <w:tmpl w:val="8514C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C71342"/>
    <w:multiLevelType w:val="hybridMultilevel"/>
    <w:tmpl w:val="DCFE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E11540"/>
    <w:multiLevelType w:val="hybridMultilevel"/>
    <w:tmpl w:val="42A8909C"/>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92730A"/>
    <w:multiLevelType w:val="hybridMultilevel"/>
    <w:tmpl w:val="190E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1"/>
  </w:num>
  <w:num w:numId="4">
    <w:abstractNumId w:val="28"/>
  </w:num>
  <w:num w:numId="5">
    <w:abstractNumId w:val="12"/>
  </w:num>
  <w:num w:numId="6">
    <w:abstractNumId w:val="16"/>
  </w:num>
  <w:num w:numId="7">
    <w:abstractNumId w:val="17"/>
  </w:num>
  <w:num w:numId="8">
    <w:abstractNumId w:val="5"/>
  </w:num>
  <w:num w:numId="9">
    <w:abstractNumId w:val="13"/>
  </w:num>
  <w:num w:numId="10">
    <w:abstractNumId w:val="7"/>
  </w:num>
  <w:num w:numId="11">
    <w:abstractNumId w:val="1"/>
  </w:num>
  <w:num w:numId="12">
    <w:abstractNumId w:val="11"/>
  </w:num>
  <w:num w:numId="13">
    <w:abstractNumId w:val="8"/>
  </w:num>
  <w:num w:numId="14">
    <w:abstractNumId w:val="19"/>
  </w:num>
  <w:num w:numId="15">
    <w:abstractNumId w:val="21"/>
  </w:num>
  <w:num w:numId="16">
    <w:abstractNumId w:val="4"/>
  </w:num>
  <w:num w:numId="17">
    <w:abstractNumId w:val="9"/>
  </w:num>
  <w:num w:numId="18">
    <w:abstractNumId w:val="30"/>
  </w:num>
  <w:num w:numId="19">
    <w:abstractNumId w:val="10"/>
  </w:num>
  <w:num w:numId="20">
    <w:abstractNumId w:val="22"/>
  </w:num>
  <w:num w:numId="21">
    <w:abstractNumId w:val="0"/>
  </w:num>
  <w:num w:numId="22">
    <w:abstractNumId w:val="23"/>
  </w:num>
  <w:num w:numId="23">
    <w:abstractNumId w:val="26"/>
  </w:num>
  <w:num w:numId="24">
    <w:abstractNumId w:val="6"/>
  </w:num>
  <w:num w:numId="25">
    <w:abstractNumId w:val="24"/>
  </w:num>
  <w:num w:numId="26">
    <w:abstractNumId w:val="14"/>
  </w:num>
  <w:num w:numId="27">
    <w:abstractNumId w:val="29"/>
  </w:num>
  <w:num w:numId="28">
    <w:abstractNumId w:val="27"/>
  </w:num>
  <w:num w:numId="29">
    <w:abstractNumId w:val="15"/>
  </w:num>
  <w:num w:numId="30">
    <w:abstractNumId w:val="18"/>
  </w:num>
  <w:num w:numId="31">
    <w:abstractNumId w:val="3"/>
  </w:num>
  <w:num w:numId="32">
    <w:abstractNumId w:val="2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B8C53FF-4A6B-4500-8777-B659D834BA36"/>
    <w:docVar w:name="LW_COVERPAGE_TYPE" w:val="1"/>
    <w:docVar w:name="LW_CROSSREFERENCE" w:val="&lt;UNUSED&gt;"/>
    <w:docVar w:name="LW_DocType" w:val="NORMAL"/>
    <w:docVar w:name="LW_EMISSION" w:val="5.2.2020."/>
    <w:docVar w:name="LW_EMISSION_ISODATE" w:val="2020-02-05"/>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apre\u273?enje pristupnog procesa \u8211? Vjerodostojna perspektiva EU-a za zapadni Balkan&lt;/FMT&gt;"/>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ußnote,Footnote Text Char Char Char,Footnote Text Char Char,single space,Fußnotentextf,Footnote text,fn,Schriftart: 9 pt,Schriftart: 10 pt,Schriftart: 8 pt,WB-Fußnotentext,footnote text Carattere,Geneva 9,Font: Geneva 9"/>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 Char,Footnote Text Char Char Char Char,Footnote Text Char Char Char1,single space Char,Fußnotentextf Char,Footnote text Char,fn Char,Schriftart: 9 pt Char,Schriftart: 10 pt Char,Schriftart: 8 pt Char,WB-Fußnotentext Char"/>
    <w:basedOn w:val="DefaultParagraphFont"/>
    <w:link w:val="FootnoteText"/>
    <w:uiPriority w:val="99"/>
    <w:rPr>
      <w:sz w:val="20"/>
      <w:szCs w:val="20"/>
    </w:rPr>
  </w:style>
  <w:style w:type="character" w:styleId="FootnoteReference">
    <w:name w:val="footnote reference"/>
    <w:aliases w:val="ftref,BVI fnr,(Footnote Reference), BVI fnr,Footnote symbol,Footnotes refss,Footnote Reference Superscript,SUPERS,Footnote,Footnote reference number,note TESI,EN Footnote Reference,Voetnootverwijzing,Times 10 Point,Ref"/>
    <w:basedOn w:val="DefaultParagraphFo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FootnoteTextChar1">
    <w:name w:val="Footnote Text Char1"/>
    <w:basedOn w:val="DefaultParagraphFont"/>
    <w:uiPriority w:val="99"/>
    <w:semiHidden/>
    <w:rPr>
      <w:sz w:val="20"/>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ußnote,Footnote Text Char Char Char,Footnote Text Char Char,single space,Fußnotentextf,Footnote text,fn,Schriftart: 9 pt,Schriftart: 10 pt,Schriftart: 8 pt,WB-Fußnotentext,footnote text Carattere,Geneva 9,Font: Geneva 9"/>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 Char,Footnote Text Char Char Char Char,Footnote Text Char Char Char1,single space Char,Fußnotentextf Char,Footnote text Char,fn Char,Schriftart: 9 pt Char,Schriftart: 10 pt Char,Schriftart: 8 pt Char,WB-Fußnotentext Char"/>
    <w:basedOn w:val="DefaultParagraphFont"/>
    <w:link w:val="FootnoteText"/>
    <w:uiPriority w:val="99"/>
    <w:rPr>
      <w:sz w:val="20"/>
      <w:szCs w:val="20"/>
    </w:rPr>
  </w:style>
  <w:style w:type="character" w:styleId="FootnoteReference">
    <w:name w:val="footnote reference"/>
    <w:aliases w:val="ftref,BVI fnr,(Footnote Reference), BVI fnr,Footnote symbol,Footnotes refss,Footnote Reference Superscript,SUPERS,Footnote,Footnote reference number,note TESI,EN Footnote Reference,Voetnootverwijzing,Times 10 Point,Ref"/>
    <w:basedOn w:val="DefaultParagraphFo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FootnoteTextChar1">
    <w:name w:val="Footnote Text Char1"/>
    <w:basedOn w:val="DefaultParagraphFont"/>
    <w:uiPriority w:val="99"/>
    <w:semiHidden/>
    <w:rPr>
      <w:sz w:val="20"/>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3303">
      <w:bodyDiv w:val="1"/>
      <w:marLeft w:val="0"/>
      <w:marRight w:val="0"/>
      <w:marTop w:val="0"/>
      <w:marBottom w:val="0"/>
      <w:divBdr>
        <w:top w:val="none" w:sz="0" w:space="0" w:color="auto"/>
        <w:left w:val="none" w:sz="0" w:space="0" w:color="auto"/>
        <w:bottom w:val="none" w:sz="0" w:space="0" w:color="auto"/>
        <w:right w:val="none" w:sz="0" w:space="0" w:color="auto"/>
      </w:divBdr>
    </w:div>
    <w:div w:id="437482872">
      <w:bodyDiv w:val="1"/>
      <w:marLeft w:val="0"/>
      <w:marRight w:val="0"/>
      <w:marTop w:val="0"/>
      <w:marBottom w:val="0"/>
      <w:divBdr>
        <w:top w:val="none" w:sz="0" w:space="0" w:color="auto"/>
        <w:left w:val="none" w:sz="0" w:space="0" w:color="auto"/>
        <w:bottom w:val="none" w:sz="0" w:space="0" w:color="auto"/>
        <w:right w:val="none" w:sz="0" w:space="0" w:color="auto"/>
      </w:divBdr>
    </w:div>
    <w:div w:id="486939901">
      <w:bodyDiv w:val="1"/>
      <w:marLeft w:val="0"/>
      <w:marRight w:val="0"/>
      <w:marTop w:val="0"/>
      <w:marBottom w:val="0"/>
      <w:divBdr>
        <w:top w:val="none" w:sz="0" w:space="0" w:color="auto"/>
        <w:left w:val="none" w:sz="0" w:space="0" w:color="auto"/>
        <w:bottom w:val="none" w:sz="0" w:space="0" w:color="auto"/>
        <w:right w:val="none" w:sz="0" w:space="0" w:color="auto"/>
      </w:divBdr>
    </w:div>
    <w:div w:id="609237200">
      <w:bodyDiv w:val="1"/>
      <w:marLeft w:val="0"/>
      <w:marRight w:val="0"/>
      <w:marTop w:val="0"/>
      <w:marBottom w:val="0"/>
      <w:divBdr>
        <w:top w:val="none" w:sz="0" w:space="0" w:color="auto"/>
        <w:left w:val="none" w:sz="0" w:space="0" w:color="auto"/>
        <w:bottom w:val="none" w:sz="0" w:space="0" w:color="auto"/>
        <w:right w:val="none" w:sz="0" w:space="0" w:color="auto"/>
      </w:divBdr>
    </w:div>
    <w:div w:id="684552790">
      <w:bodyDiv w:val="1"/>
      <w:marLeft w:val="0"/>
      <w:marRight w:val="0"/>
      <w:marTop w:val="0"/>
      <w:marBottom w:val="0"/>
      <w:divBdr>
        <w:top w:val="none" w:sz="0" w:space="0" w:color="auto"/>
        <w:left w:val="none" w:sz="0" w:space="0" w:color="auto"/>
        <w:bottom w:val="none" w:sz="0" w:space="0" w:color="auto"/>
        <w:right w:val="none" w:sz="0" w:space="0" w:color="auto"/>
      </w:divBdr>
    </w:div>
    <w:div w:id="1092967175">
      <w:bodyDiv w:val="1"/>
      <w:marLeft w:val="0"/>
      <w:marRight w:val="0"/>
      <w:marTop w:val="0"/>
      <w:marBottom w:val="0"/>
      <w:divBdr>
        <w:top w:val="none" w:sz="0" w:space="0" w:color="auto"/>
        <w:left w:val="none" w:sz="0" w:space="0" w:color="auto"/>
        <w:bottom w:val="none" w:sz="0" w:space="0" w:color="auto"/>
        <w:right w:val="none" w:sz="0" w:space="0" w:color="auto"/>
      </w:divBdr>
    </w:div>
    <w:div w:id="1127041799">
      <w:bodyDiv w:val="1"/>
      <w:marLeft w:val="0"/>
      <w:marRight w:val="0"/>
      <w:marTop w:val="0"/>
      <w:marBottom w:val="0"/>
      <w:divBdr>
        <w:top w:val="none" w:sz="0" w:space="0" w:color="auto"/>
        <w:left w:val="none" w:sz="0" w:space="0" w:color="auto"/>
        <w:bottom w:val="none" w:sz="0" w:space="0" w:color="auto"/>
        <w:right w:val="none" w:sz="0" w:space="0" w:color="auto"/>
      </w:divBdr>
    </w:div>
    <w:div w:id="1252397198">
      <w:bodyDiv w:val="1"/>
      <w:marLeft w:val="0"/>
      <w:marRight w:val="0"/>
      <w:marTop w:val="0"/>
      <w:marBottom w:val="0"/>
      <w:divBdr>
        <w:top w:val="none" w:sz="0" w:space="0" w:color="auto"/>
        <w:left w:val="none" w:sz="0" w:space="0" w:color="auto"/>
        <w:bottom w:val="none" w:sz="0" w:space="0" w:color="auto"/>
        <w:right w:val="none" w:sz="0" w:space="0" w:color="auto"/>
      </w:divBdr>
    </w:div>
    <w:div w:id="1329476042">
      <w:bodyDiv w:val="1"/>
      <w:marLeft w:val="0"/>
      <w:marRight w:val="0"/>
      <w:marTop w:val="0"/>
      <w:marBottom w:val="0"/>
      <w:divBdr>
        <w:top w:val="none" w:sz="0" w:space="0" w:color="auto"/>
        <w:left w:val="none" w:sz="0" w:space="0" w:color="auto"/>
        <w:bottom w:val="none" w:sz="0" w:space="0" w:color="auto"/>
        <w:right w:val="none" w:sz="0" w:space="0" w:color="auto"/>
      </w:divBdr>
    </w:div>
    <w:div w:id="1690524797">
      <w:bodyDiv w:val="1"/>
      <w:marLeft w:val="0"/>
      <w:marRight w:val="0"/>
      <w:marTop w:val="0"/>
      <w:marBottom w:val="0"/>
      <w:divBdr>
        <w:top w:val="none" w:sz="0" w:space="0" w:color="auto"/>
        <w:left w:val="none" w:sz="0" w:space="0" w:color="auto"/>
        <w:bottom w:val="none" w:sz="0" w:space="0" w:color="auto"/>
        <w:right w:val="none" w:sz="0" w:space="0" w:color="auto"/>
      </w:divBdr>
    </w:div>
    <w:div w:id="1777023546">
      <w:bodyDiv w:val="1"/>
      <w:marLeft w:val="0"/>
      <w:marRight w:val="0"/>
      <w:marTop w:val="0"/>
      <w:marBottom w:val="0"/>
      <w:divBdr>
        <w:top w:val="none" w:sz="0" w:space="0" w:color="auto"/>
        <w:left w:val="none" w:sz="0" w:space="0" w:color="auto"/>
        <w:bottom w:val="none" w:sz="0" w:space="0" w:color="auto"/>
        <w:right w:val="none" w:sz="0" w:space="0" w:color="auto"/>
      </w:divBdr>
    </w:div>
    <w:div w:id="1976325368">
      <w:bodyDiv w:val="1"/>
      <w:marLeft w:val="0"/>
      <w:marRight w:val="0"/>
      <w:marTop w:val="0"/>
      <w:marBottom w:val="0"/>
      <w:divBdr>
        <w:top w:val="none" w:sz="0" w:space="0" w:color="auto"/>
        <w:left w:val="none" w:sz="0" w:space="0" w:color="auto"/>
        <w:bottom w:val="none" w:sz="0" w:space="0" w:color="auto"/>
        <w:right w:val="none" w:sz="0" w:space="0" w:color="auto"/>
      </w:divBdr>
    </w:div>
    <w:div w:id="2142796223">
      <w:bodyDiv w:val="1"/>
      <w:marLeft w:val="0"/>
      <w:marRight w:val="0"/>
      <w:marTop w:val="0"/>
      <w:marBottom w:val="0"/>
      <w:divBdr>
        <w:top w:val="none" w:sz="0" w:space="0" w:color="auto"/>
        <w:left w:val="none" w:sz="0" w:space="0" w:color="auto"/>
        <w:bottom w:val="none" w:sz="0" w:space="0" w:color="auto"/>
        <w:right w:val="none" w:sz="0" w:space="0" w:color="auto"/>
      </w:divBdr>
    </w:div>
    <w:div w:id="2146852635">
      <w:bodyDiv w:val="1"/>
      <w:marLeft w:val="0"/>
      <w:marRight w:val="0"/>
      <w:marTop w:val="0"/>
      <w:marBottom w:val="0"/>
      <w:divBdr>
        <w:top w:val="none" w:sz="0" w:space="0" w:color="auto"/>
        <w:left w:val="none" w:sz="0" w:space="0" w:color="auto"/>
        <w:bottom w:val="none" w:sz="0" w:space="0" w:color="auto"/>
        <w:right w:val="none" w:sz="0" w:space="0" w:color="auto"/>
      </w:divBdr>
      <w:divsChild>
        <w:div w:id="1120762582">
          <w:marLeft w:val="0"/>
          <w:marRight w:val="0"/>
          <w:marTop w:val="0"/>
          <w:marBottom w:val="0"/>
          <w:divBdr>
            <w:top w:val="none" w:sz="0" w:space="0" w:color="auto"/>
            <w:left w:val="none" w:sz="0" w:space="0" w:color="auto"/>
            <w:bottom w:val="none" w:sz="0" w:space="0" w:color="auto"/>
            <w:right w:val="none" w:sz="0" w:space="0" w:color="auto"/>
          </w:divBdr>
          <w:divsChild>
            <w:div w:id="735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86DF-0928-43CF-9DF0-22B0089C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2798</Words>
  <Characters>17045</Characters>
  <Application>Microsoft Office Word</Application>
  <DocSecurity>0</DocSecurity>
  <Lines>293</Lines>
  <Paragraphs>114</Paragraphs>
  <ScaleCrop>false</ScaleCrop>
  <Manager/>
  <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2020-02-11T15:13:00Z</dcterms:created>
  <dcterms:modified xsi:type="dcterms:W3CDTF">2020-02-17T11:15:00Z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ies>
</file>