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076796C-D5AF-4E9B-8D1F-E272C4B73AE0" style="width:451.25pt;height:338.25pt">
            <v:imagedata r:id="rId9" o:title=""/>
          </v:shape>
        </w:pict>
      </w:r>
    </w:p>
    <w:p>
      <w:pPr>
        <w:rPr>
          <w:noProof/>
        </w:rPr>
        <w:sectPr>
          <w:footerReference w:type="default" r:id="rId10"/>
          <w:pgSz w:w="11906" w:h="16838"/>
          <w:pgMar w:top="1134" w:right="1418" w:bottom="1134" w:left="1418" w:header="709" w:footer="709" w:gutter="0"/>
          <w:pgNumType w:start="0"/>
          <w:cols w:space="720"/>
          <w:docGrid w:linePitch="326"/>
        </w:sectPr>
      </w:pPr>
    </w:p>
    <w:p>
      <w:pPr>
        <w:pStyle w:val="Exposdesmotifstitre"/>
        <w:rPr>
          <w:noProof/>
        </w:rPr>
      </w:pPr>
      <w:bookmarkStart w:id="0" w:name="_GoBack"/>
      <w:bookmarkEnd w:id="0"/>
      <w:r>
        <w:rPr>
          <w:noProof/>
        </w:rPr>
        <w:lastRenderedPageBreak/>
        <w:t>MOTIVERING</w:t>
      </w:r>
    </w:p>
    <w:p>
      <w:pPr>
        <w:pStyle w:val="Point0"/>
        <w:rPr>
          <w:noProof/>
        </w:rPr>
      </w:pPr>
      <w:r>
        <w:rPr>
          <w:noProof/>
        </w:rPr>
        <w:t>1.</w:t>
      </w:r>
      <w:r>
        <w:rPr>
          <w:noProof/>
        </w:rPr>
        <w:tab/>
        <w:t>Inom ”Medborgarnas Europa” fäster kommissionen stor vikt vid att unionsrätten förenklas och förtydligas så att den blir mer tillgänglig och begriplig för medborgarna och därmed ger dem nya möjligheter och tillfällen att utöva de särskilda rättigheter som de kan åberopa.</w:t>
      </w:r>
    </w:p>
    <w:p>
      <w:pPr>
        <w:pStyle w:val="Text1"/>
        <w:rPr>
          <w:noProof/>
        </w:rPr>
      </w:pPr>
      <w:r>
        <w:rPr>
          <w:noProof/>
        </w:rPr>
        <w:t>Ett hinder för att uppnå detta mål är dock att ett stort antal bestämmelser som har ändrats flera gånger och ofta på ett väsentligt sätt finns spridda i såväl den ursprungliga rättsakten som i senare ändringsrättsakter. För att kunna fastställa vilka bestämmelser som gäller fordras därför att ett stort antal rättsakter kontrolleras och jämförs.</w:t>
      </w:r>
    </w:p>
    <w:p>
      <w:pPr>
        <w:pStyle w:val="Text1"/>
        <w:rPr>
          <w:noProof/>
        </w:rPr>
      </w:pPr>
      <w:r>
        <w:rPr>
          <w:noProof/>
        </w:rPr>
        <w:t>Unionsrättens klarhet och överskådlighet är därför beroende av att ofta ändrade bestämmelser kodifieras.</w:t>
      </w:r>
    </w:p>
    <w:p>
      <w:pPr>
        <w:pStyle w:val="Point0"/>
        <w:rPr>
          <w:noProof/>
        </w:rPr>
      </w:pPr>
      <w:r>
        <w:rPr>
          <w:noProof/>
        </w:rPr>
        <w:t>2.</w:t>
      </w:r>
      <w:r>
        <w:rPr>
          <w:noProof/>
        </w:rPr>
        <w:tab/>
        <w:t>Genom beslut av den 1 april 1987</w:t>
      </w:r>
      <w:r>
        <w:rPr>
          <w:rStyle w:val="FootnoteReference"/>
          <w:noProof/>
        </w:rPr>
        <w:footnoteReference w:id="1"/>
      </w:r>
      <w:r>
        <w:rPr>
          <w:noProof/>
        </w:rPr>
        <w:t xml:space="preserve"> gav kommissionen sina avdelningar i uppdrag att kodifiera rättsakter senast efter det att de ändrats för tionde gången. Den underströk samtidigt att detta är en minimiregel och att avdelningarna bör sträva efter att kodifiera de texter som de har ansvar för med ännu kortare mellanrum för att göra bestämmelserna klara och begripliga.</w:t>
      </w:r>
    </w:p>
    <w:p>
      <w:pPr>
        <w:pStyle w:val="Point0"/>
        <w:rPr>
          <w:noProof/>
        </w:rPr>
      </w:pPr>
      <w:r>
        <w:rPr>
          <w:noProof/>
        </w:rPr>
        <w:t>3.</w:t>
      </w:r>
      <w:r>
        <w:rPr>
          <w:noProof/>
        </w:rPr>
        <w:tab/>
        <w:t>Detta bekräftades i ordförandeskapets slutsatser från Europeiska rådet i Edinburgh i december 1992</w:t>
      </w:r>
      <w:r>
        <w:rPr>
          <w:rStyle w:val="FootnoteReference"/>
          <w:noProof/>
        </w:rPr>
        <w:footnoteReference w:id="2"/>
      </w:r>
      <w:r>
        <w:rPr>
          <w:noProof/>
        </w:rPr>
        <w:t>, där också betydelsen av en kodifiering betonades, eftersom den garanterar förutsebarhet i fråga om vilken lag som är tillämplig vid en viss tidpunkt i en viss fråga.</w:t>
      </w:r>
    </w:p>
    <w:p>
      <w:pPr>
        <w:pStyle w:val="Text1"/>
        <w:rPr>
          <w:noProof/>
        </w:rPr>
      </w:pPr>
      <w:r>
        <w:rPr>
          <w:noProof/>
        </w:rPr>
        <w:t>Kodifieringen ska genomföras i enlighet med det normala förfarandet för antagande av unionens rättsakter.</w:t>
      </w:r>
    </w:p>
    <w:p>
      <w:pPr>
        <w:pStyle w:val="Text1"/>
        <w:rPr>
          <w:noProof/>
        </w:rPr>
      </w:pPr>
      <w:r>
        <w:rPr>
          <w:noProof/>
        </w:rPr>
        <w:t>Eftersom rättsakterna inte får ändras i sak vid en kodifiering har Europaparlamentet, rådet och kommissionen i ett interinstitutionellt avtal av den 20 december 1994 enats om en påskyndad arbetsmetod i syfte att snabbt kunna anta kodifierade rättsakter.</w:t>
      </w:r>
    </w:p>
    <w:p>
      <w:pPr>
        <w:pStyle w:val="Point0"/>
        <w:rPr>
          <w:noProof/>
        </w:rPr>
      </w:pPr>
      <w:r>
        <w:rPr>
          <w:noProof/>
        </w:rPr>
        <w:t>4.</w:t>
      </w:r>
      <w:r>
        <w:rPr>
          <w:noProof/>
        </w:rPr>
        <w:tab/>
        <w:t xml:space="preserve">Detta förslag avser en kodifiering av rådets direktiv 91/477/EEG </w:t>
      </w:r>
      <w:r>
        <w:rPr>
          <w:bCs/>
          <w:noProof/>
        </w:rPr>
        <w:t xml:space="preserve">av den 18 juni 1991 </w:t>
      </w:r>
      <w:r>
        <w:rPr>
          <w:noProof/>
        </w:rPr>
        <w:t>om kontroll av förvärv och innehav av vapen</w:t>
      </w:r>
      <w:r>
        <w:rPr>
          <w:rStyle w:val="FootnoteReference"/>
          <w:noProof/>
        </w:rPr>
        <w:footnoteReference w:id="3"/>
      </w:r>
      <w:r>
        <w:rPr>
          <w:noProof/>
        </w:rPr>
        <w:t>. Den nya förordningen ersätter de olika rättsakter som omfattas av kodifieringen</w:t>
      </w:r>
      <w:r>
        <w:rPr>
          <w:rStyle w:val="FootnoteReference"/>
          <w:noProof/>
        </w:rPr>
        <w:footnoteReference w:id="4"/>
      </w:r>
      <w:r>
        <w:rPr>
          <w:noProof/>
        </w:rPr>
        <w:t>. Förslaget följer de kodifierade texterna vad beträffar innehållet i sak och begränsar sig därmed till att föra samman texterna, vilket innebär att de ändringar som krävs till följd av kodifieringen endast är av formell karaktär.</w:t>
      </w:r>
    </w:p>
    <w:p>
      <w:pPr>
        <w:pStyle w:val="Point0"/>
        <w:ind w:left="851" w:hanging="851"/>
        <w:rPr>
          <w:rFonts w:eastAsia="Arial Unicode MS"/>
          <w:noProof/>
          <w:u w:color="000000"/>
          <w:bdr w:val="nil"/>
        </w:rPr>
      </w:pPr>
      <w:r>
        <w:rPr>
          <w:noProof/>
        </w:rPr>
        <w:t>5.</w:t>
      </w:r>
      <w:r>
        <w:rPr>
          <w:noProof/>
        </w:rPr>
        <w:tab/>
        <w:t>Detta förslag till kodifiering har utarbetats på grundval av en föregående konsolidering på 24 officiella språk av direktiv 91/477/EEG och dess ändringsrättsakter, som genomförts av Europeiska unionens publikationsbyrå med hjälp av ett databehandlingssystem. I de fall artiklarna har numrerats om framgår förhållandet mellan de gamla och nya artikelnumren av en tabell i bilaga IV till den kodifierade förordningen.</w:t>
      </w:r>
    </w:p>
    <w:p>
      <w:pPr>
        <w:pStyle w:val="Text1"/>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 (anpassad)</w:t>
      </w:r>
    </w:p>
    <w:p>
      <w:pPr>
        <w:pStyle w:val="Rfrenceinterinstitutionnelle"/>
        <w:rPr>
          <w:noProof/>
        </w:rPr>
      </w:pPr>
      <w:r>
        <w:rPr>
          <w:noProof/>
        </w:rPr>
        <w:t>2020/0029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om kontroll av förvärv och innehav av vapen (kodifiering)</w:t>
      </w:r>
    </w:p>
    <w:p>
      <w:pPr>
        <w:pStyle w:val="Institutionquiagit"/>
        <w:rPr>
          <w:noProof/>
        </w:rPr>
      </w:pPr>
      <w:r>
        <w:rPr>
          <w:noProof/>
        </w:rPr>
        <w:t>EUROPAPARLAMENTET OCH EUROPEISKA UNIONENS RÅD HAR ANTAGIT DETTA DIREKTIV</w:t>
      </w:r>
    </w:p>
    <w:p>
      <w:pPr>
        <w:rPr>
          <w:noProof/>
        </w:rPr>
      </w:pPr>
      <w:r>
        <w:rPr>
          <w:noProof/>
        </w:rPr>
        <w:t xml:space="preserve">med beaktande av fördraget 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Europeiska unionens funktionssätt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särskilt artikel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med beaktande av Europeiska kommissionens förslag,</w:t>
      </w:r>
    </w:p>
    <w:p>
      <w:pPr>
        <w:rPr>
          <w:noProof/>
        </w:rPr>
      </w:pPr>
      <w:r>
        <w:rPr>
          <w:noProof/>
        </w:rPr>
        <w:t xml:space="preserve">efter översändande av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utkastet till lagstiftningsakt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till de nationella parlamenten,</w:t>
      </w:r>
    </w:p>
    <w:p>
      <w:pPr>
        <w:rPr>
          <w:noProof/>
        </w:rPr>
      </w:pPr>
      <w:r>
        <w:rPr>
          <w:noProof/>
        </w:rPr>
        <w:t>med beaktande av Europeiska ekonomiska och sociala kommitténs yttrande</w:t>
      </w:r>
      <w:r>
        <w:rPr>
          <w:rStyle w:val="FootnoteReference"/>
          <w:noProof/>
        </w:rPr>
        <w:footnoteReference w:id="5"/>
      </w:r>
      <w:r>
        <w:rPr>
          <w:noProof/>
        </w:rPr>
        <w:t>,</w:t>
      </w:r>
    </w:p>
    <w:p>
      <w:pPr>
        <w:rPr>
          <w:noProof/>
        </w:rPr>
      </w:pPr>
      <w:r>
        <w:rPr>
          <w:noProof/>
        </w:rPr>
        <w:t xml:space="preserve">i enlighet med det ordinarie lagstiftningsförfarandet, och </w:t>
      </w:r>
    </w:p>
    <w:p>
      <w:pPr>
        <w:rPr>
          <w:noProof/>
        </w:rPr>
      </w:pPr>
      <w:r>
        <w:rPr>
          <w:noProof/>
        </w:rPr>
        <w:t>av följande skäl:</w:t>
      </w:r>
    </w:p>
    <w:p>
      <w:pPr>
        <w:pStyle w:val="CRSeparator"/>
        <w:rPr>
          <w:noProof/>
          <w:highlight w:val="yellow"/>
          <w:lang w:val="en-US"/>
        </w:rPr>
      </w:pPr>
    </w:p>
    <w:p>
      <w:pPr>
        <w:pStyle w:val="CRReference"/>
        <w:rPr>
          <w:noProof/>
          <w:lang w:val="en-US"/>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ManualConsidrant"/>
        <w:rPr>
          <w:noProof/>
        </w:rPr>
      </w:pPr>
      <w:r>
        <w:t>(1)</w:t>
      </w:r>
      <w:r>
        <w:tab/>
      </w:r>
      <w:r>
        <w:rPr>
          <w:noProof/>
        </w:rPr>
        <w:t>Rådets direktiv 91/477/EEC</w:t>
      </w:r>
      <w:r>
        <w:rPr>
          <w:rStyle w:val="FootnoteReference"/>
          <w:noProof/>
        </w:rPr>
        <w:footnoteReference w:id="6"/>
      </w:r>
      <w:r>
        <w:rPr>
          <w:noProof/>
        </w:rPr>
        <w:t xml:space="preserve"> har ändrats väsentligt flera gånger</w:t>
      </w:r>
      <w:r>
        <w:rPr>
          <w:rStyle w:val="FootnoteReference"/>
          <w:noProof/>
        </w:rPr>
        <w:footnoteReference w:id="7"/>
      </w:r>
      <w:r>
        <w:rPr>
          <w:noProof/>
        </w:rPr>
        <w:t>. För att skapa klarhet och överskådlighet bör det direktivet kodifieras.</w:t>
      </w:r>
    </w:p>
    <w:p>
      <w:pPr>
        <w:pStyle w:val="CRSeparator"/>
        <w:rPr>
          <w:noProof/>
          <w:highlight w:val="yellow"/>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skäl 1</w:t>
      </w:r>
    </w:p>
    <w:p>
      <w:pPr>
        <w:pStyle w:val="ManualConsidrant"/>
        <w:rPr>
          <w:noProof/>
        </w:rPr>
      </w:pPr>
      <w:r>
        <w:t>(2)</w:t>
      </w:r>
      <w:r>
        <w:tab/>
      </w:r>
      <w:r>
        <w:rPr>
          <w:noProof/>
        </w:rPr>
        <w:t>Direktiv 91/477/EEG utgör en kompletterande åtgärd för den inre marknaden. Genom den skapades det en balans mellan, å ena sidan, åtagandet att säkerställa en viss frihet för handel med vissa skjutvapen och deras väsentliga delar inom unionen och, å andra sidan, kravet att den friheten begränsas av vissa garantier som gäller säkerheten och som är anpassade till dessa produkter.</w:t>
      </w:r>
    </w:p>
    <w:p>
      <w:pPr>
        <w:pStyle w:val="CRSeparator"/>
        <w:rPr>
          <w:noProof/>
          <w:highlight w:val="yellow"/>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skäl 4 (anpassad)</w:t>
      </w:r>
    </w:p>
    <w:p>
      <w:pPr>
        <w:pStyle w:val="ManualConsidrant"/>
        <w:rPr>
          <w:noProof/>
        </w:rPr>
      </w:pPr>
      <w:r>
        <w:t>(3)</w:t>
      </w:r>
      <w:r>
        <w:tab/>
      </w:r>
      <w:r>
        <w:rPr>
          <w:noProof/>
        </w:rPr>
        <w:t xml:space="preserve">Polisunderrättelser tyder på att användningen av ombyggda vapen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har ökat. Det är därför mycket viktigt att se till att sådana ombyggbara vapen omfattas av definitionen av skjutvapen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5</w:t>
      </w:r>
    </w:p>
    <w:p>
      <w:pPr>
        <w:pStyle w:val="ManualConsidrant"/>
        <w:rPr>
          <w:noProof/>
        </w:rPr>
      </w:pPr>
      <w:r>
        <w:t>(4)</w:t>
      </w:r>
      <w:r>
        <w:tab/>
      </w:r>
      <w:r>
        <w:rPr>
          <w:noProof/>
        </w:rPr>
        <w:t>Vapenhandlares verksamhet inbegriper inte bara tillverkning utan även ändring eller omvandling av skjutvapen, väsentliga delar och ammunition, t.ex. förkortande av ett komplett skjutvapen, som leder till att deras kategori eller underkategori ändras. Rent privat, icke-kommersiell verksamhet, t.ex. manuell laddning och omladdning av ammunition från ammunitionsdelar för eget bruk eller ändringar av skjutvapen eller väsentliga delar som ägs av den berörda personen, såsom ändringar av stocken eller siktet eller underhåll för att åtgärda slitage på väsentliga delar, bör inte anses utgöra verksamhet som endast vapenhandlare får utföra.</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4 (anpassad)</w:t>
      </w:r>
    </w:p>
    <w:p>
      <w:pPr>
        <w:pStyle w:val="ManualConsidrant"/>
        <w:rPr>
          <w:noProof/>
        </w:rPr>
      </w:pPr>
      <w:r>
        <w:t>(5)</w:t>
      </w:r>
      <w:r>
        <w:tab/>
      </w:r>
      <w:r>
        <w:rPr>
          <w:noProof/>
        </w:rPr>
        <w:t xml:space="preserve">Vid tillämpning av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bör definitionen av vapenmäklare omfatta varje fysisk eller juridisk person, inbegripet partnerskap, och termen tillhandahållande anses inbegripa uthyrning och leasing. Eftersom vapenmäklare tillhandahåller tjänster som liknar de som tillhandahålls av vapenhandlare bör de också omfattas av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när det gäller de skyldigheter för vapenhandlare som är av relevans för vapenmäklares verksamhet, i den mån de kan fullgöra dessa skyldigheter och i den mån skyldigheterna i fråga inte fullgörs av en vapenhandlare vad beträffar samma underliggande transaktion.</w:t>
      </w:r>
    </w:p>
    <w:p>
      <w:pPr>
        <w:pStyle w:val="CRSeparator"/>
        <w:rPr>
          <w:noProof/>
          <w:highlight w:val="yellow"/>
          <w:lang w:val="sv-SE"/>
        </w:rPr>
      </w:pPr>
    </w:p>
    <w:p>
      <w:pPr>
        <w:pStyle w:val="CRReference"/>
        <w:rPr>
          <w:noProof/>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rPr>
        <w:t> 91/477 skäl 5 (anpassad)</w:t>
      </w:r>
    </w:p>
    <w:p>
      <w:pPr>
        <w:pStyle w:val="ManualConsidrant"/>
        <w:rPr>
          <w:noProof/>
        </w:rPr>
      </w:pPr>
      <w:r>
        <w:t>(6)</w:t>
      </w:r>
      <w:r>
        <w:tab/>
      </w:r>
      <w:r>
        <w:rPr>
          <w:noProof/>
        </w:rPr>
        <w:t xml:space="preserve">Det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är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lämpligt att bestämma kategorier av skjutvapen som privatpersoner inte alls får förvärva eller inneha eller som de får inneha endast med särskilt tillstånd eller efter anmälan.</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2008/51 skäl 19</w:t>
      </w:r>
    </w:p>
    <w:p>
      <w:pPr>
        <w:pStyle w:val="ManualConsidrant"/>
        <w:rPr>
          <w:noProof/>
        </w:rPr>
      </w:pPr>
      <w:r>
        <w:t>(7)</w:t>
      </w:r>
      <w:r>
        <w:tab/>
      </w:r>
      <w:r>
        <w:rPr>
          <w:noProof/>
        </w:rPr>
        <w:t>Tillstånd att förvärva och tillstånd att inneha ett skjutvapen bör så vitt det är möjligt ges efter ett enda förvaltningförfarande.</w:t>
      </w:r>
    </w:p>
    <w:p>
      <w:pPr>
        <w:pStyle w:val="CRSeparator"/>
        <w:rPr>
          <w:noProof/>
          <w:highlight w:val="yellow"/>
          <w:lang w:val="sv-SE"/>
        </w:rPr>
      </w:pPr>
    </w:p>
    <w:p>
      <w:pPr>
        <w:pStyle w:val="CRReference"/>
        <w:rPr>
          <w:noProof/>
          <w:lang w:val="en-GB"/>
        </w:rPr>
      </w:pPr>
      <w:r>
        <w:rPr>
          <w:noProof/>
          <w:lang w:val="en-GB"/>
        </w:rPr>
        <w:fldChar w:fldCharType="begin"/>
      </w:r>
      <w:r>
        <w:rPr>
          <w:noProof/>
          <w:lang w:val="en-GB"/>
        </w:rPr>
        <w:instrText xml:space="preserve"> QUOT</w:instrText>
      </w:r>
      <w:r>
        <w:rPr>
          <w:noProof/>
        </w:rPr>
        <w:instrText>E "</w:instrText>
      </w:r>
      <w:r>
        <w:rPr>
          <w:rStyle w:val="CRMarker"/>
          <w:noProof/>
        </w:rPr>
        <w:instrText>ê</w:instrText>
      </w:r>
      <w:r>
        <w:rPr>
          <w:noProof/>
        </w:rPr>
        <w:instrText xml:space="preserve">" </w:instrText>
      </w:r>
      <w:r>
        <w:rPr>
          <w:noProof/>
          <w:lang w:val="en-GB"/>
        </w:rPr>
        <w:fldChar w:fldCharType="separate"/>
      </w:r>
      <w:r>
        <w:rPr>
          <w:rStyle w:val="CRMarker"/>
          <w:noProof/>
        </w:rPr>
        <w:t>ê</w:t>
      </w:r>
      <w:r>
        <w:rPr>
          <w:noProof/>
          <w:lang w:val="en-GB"/>
        </w:rPr>
        <w:fldChar w:fldCharType="end"/>
      </w:r>
      <w:r>
        <w:rPr>
          <w:noProof/>
        </w:rPr>
        <w:t xml:space="preserve"> 2017/853 skäl </w:t>
      </w:r>
      <w:r>
        <w:rPr>
          <w:noProof/>
          <w:lang w:val="en-GB"/>
        </w:rPr>
        <w:t>3 (anpassad)</w:t>
      </w:r>
    </w:p>
    <w:p>
      <w:pPr>
        <w:pStyle w:val="ManualConsidrant"/>
        <w:rPr>
          <w:noProof/>
        </w:rPr>
      </w:pPr>
      <w:r>
        <w:t>(8)</w:t>
      </w:r>
      <w:r>
        <w:tab/>
      </w:r>
      <w:r>
        <w:rPr>
          <w:noProof/>
        </w:rPr>
        <w:t xml:space="preserve">Så snart skjutvapen lagligen förvärvats och innehas i enlighet med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bör nationella bestämmelser om rätten att bära vapen och om jakt eller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målskytte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tillämpas.</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91/477 skäl </w:t>
      </w:r>
      <w:r>
        <w:rPr>
          <w:noProof/>
          <w:lang w:val="en-GB"/>
        </w:rPr>
        <w:t>8 (anpassad)</w:t>
      </w:r>
    </w:p>
    <w:p>
      <w:pPr>
        <w:pStyle w:val="ManualConsidrant"/>
        <w:rPr>
          <w:noProof/>
        </w:rPr>
      </w:pPr>
      <w:r>
        <w:t>(9)</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berör inte medlemsstaternas rätt att vidta åtgärder för att förhindra illegal handel med vapen.</w:t>
      </w:r>
    </w:p>
    <w:p>
      <w:pPr>
        <w:pStyle w:val="CRSeparator"/>
        <w:rPr>
          <w:noProof/>
          <w:highlight w:val="yellow"/>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skäl 8 (anpassad)</w:t>
      </w:r>
    </w:p>
    <w:p>
      <w:pPr>
        <w:pStyle w:val="ManualConsidrant"/>
        <w:rPr>
          <w:noProof/>
        </w:rPr>
      </w:pPr>
      <w:r>
        <w:t>(10)</w:t>
      </w:r>
      <w:r>
        <w:tab/>
      </w:r>
      <w:r>
        <w:rPr>
          <w:noProof/>
        </w:rPr>
        <w:t>Det är nödvändigt att medlemsstaterna upprättar antingen ett centraliserat eller ett decentraliserat datoriserat register som garanterar behöriga myndigheter tillgång till de register som innehåller nödvändiga uppgifter om varje skjutvapen. Polismyndigheters, rättsliga myndigheters och andra behöriga myndigheters tillgång till uppgifterna i detta datoriserade register måste regleras i enlighet med artikel 8 i den europeiska konventionen om skydd för de mänskliga rättigheterna och de grundläggande friheterna.</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6</w:t>
      </w:r>
    </w:p>
    <w:p>
      <w:pPr>
        <w:pStyle w:val="ManualConsidrant"/>
        <w:rPr>
          <w:noProof/>
        </w:rPr>
      </w:pPr>
      <w:r>
        <w:t>(11)</w:t>
      </w:r>
      <w:r>
        <w:tab/>
      </w:r>
      <w:r>
        <w:rPr>
          <w:noProof/>
        </w:rPr>
        <w:t>För att öka spårbarheten för alla skjutvapen och väsentliga delar och för att främja den fria rörligheten för dessa, bör alla skjutvapen eller deras väsentliga delar förses med en tydlig, beständig och unik märkning samt registreras i medlemsstaternas register.</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7</w:t>
      </w:r>
    </w:p>
    <w:p>
      <w:pPr>
        <w:pStyle w:val="ManualConsidrant"/>
        <w:rPr>
          <w:noProof/>
        </w:rPr>
      </w:pPr>
      <w:r>
        <w:t>(12)</w:t>
      </w:r>
      <w:r>
        <w:tab/>
      </w:r>
      <w:r>
        <w:rPr>
          <w:noProof/>
        </w:rPr>
        <w:t>Registrens poster bör innehålla alla uppgifter som gör det möjligt att knyta ett skjutvapen till dess innehavare, och bör inbegripa namnet på tillverkaren eller varumärkesnamnet, landet eller platsen för tillverkningen, skjutvapnets typ, märke, modell, kaliber och serienummer eller eventuella unika märkningar som anbringats på skjutvapnets stomme eller låda. Andra väsentliga delar än stommen och lådan bör i registren anges inom ramen för posten för det skjutvapen på vilket de ska monteras.</w:t>
      </w:r>
    </w:p>
    <w:p>
      <w:pPr>
        <w:pStyle w:val="CRSeparator"/>
        <w:rPr>
          <w:noProof/>
          <w:highlight w:val="yellow"/>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skäl 7 (anpassad)</w:t>
      </w:r>
    </w:p>
    <w:p>
      <w:pPr>
        <w:pStyle w:val="ManualConsidrant"/>
        <w:rPr>
          <w:noProof/>
        </w:rPr>
      </w:pPr>
      <w:r>
        <w:t>(13)</w:t>
      </w:r>
      <w:r>
        <w:tab/>
      </w:r>
      <w:r>
        <w:rPr>
          <w:noProof/>
        </w:rPr>
        <w:t xml:space="preserve">För att underlätta spårning av vapen är det nödvändigt att använda alfanumeriska koder och att i märkningen även ange vapnets tillverkningsår (om detta inte framgår av serienumret). Konventionen av den 1 juli 1969 om ömsesidigt erkännande av kontrollstämplar på handeldvapen bör i största möjliga utsträckning användas som referensram för märkningssystemet i hela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8 (anpassad)</w:t>
      </w:r>
    </w:p>
    <w:p>
      <w:pPr>
        <w:pStyle w:val="ManualConsidrant"/>
        <w:rPr>
          <w:noProof/>
        </w:rPr>
      </w:pPr>
      <w:r>
        <w:t>(14)</w:t>
      </w:r>
      <w:r>
        <w:tab/>
      </w:r>
      <w:r>
        <w:rPr>
          <w:noProof/>
        </w:rPr>
        <w:t xml:space="preserve">För att förhindra att märkningar lätt avlägsnas och för att klargöra vilka väsentliga delar som ska märkas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krävs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gemensamma unionsregler för märkning. Dessa regler bör tillämpas endast på skjutvapen eller väsentliga delar som tillverkas i eller importeras till unionen den 14 september 2018 eller senare, när dessa släpps ut på marknaden, medan skjutvapen och delar som tillverkas i eller importeras till unionen före det datumet fortsatt bör omfattas av de märknings- och registreringskrav enligt direktiv 91/477/EEG som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tillämpliga fram till det datumet.</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2008/51 skäl </w:t>
      </w:r>
      <w:r>
        <w:rPr>
          <w:noProof/>
          <w:lang w:val="en-GB"/>
        </w:rPr>
        <w:t>12</w:t>
      </w:r>
    </w:p>
    <w:p>
      <w:pPr>
        <w:pStyle w:val="ManualConsidrant"/>
        <w:rPr>
          <w:noProof/>
        </w:rPr>
      </w:pPr>
      <w:r>
        <w:t>(15)</w:t>
      </w:r>
      <w:r>
        <w:tab/>
      </w:r>
      <w:r>
        <w:rPr>
          <w:noProof/>
        </w:rPr>
        <w:t>Eftersom vapenhandlarnas verksamhet kännetecknas av särskilda förhållanden är det nödvändigt att medlemsstaterna utövar en strikt kontroll av denna verksamhet, särskilt genom att kontrollera vapenhandlarnas yrkesmässiga integritet och förmåga.</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9</w:t>
      </w:r>
    </w:p>
    <w:p>
      <w:pPr>
        <w:pStyle w:val="ManualConsidrant"/>
        <w:rPr>
          <w:noProof/>
        </w:rPr>
      </w:pPr>
      <w:r>
        <w:t>(16)</w:t>
      </w:r>
      <w:r>
        <w:tab/>
      </w:r>
      <w:r>
        <w:rPr>
          <w:noProof/>
        </w:rPr>
        <w:t>Mot bakgrund av hur farliga skjutvapen och väsentliga delar är och med tanke på deras livslängd krävs det, för att säkerställa att de behöriga myndigheterna kan spåra skjutvapen och väsentliga delar inom ramen för administrativa och straffrättsliga förfaranden och med beaktande av nationell processrätt, att registrens poster bevaras under en period av 30 år efter det att skjutvapnen eller de väsentliga delarna i fråga skrotats. Tillgång till dessa registerposter och alla tillhörande personuppgifter bör för beviljande eller återkallande av tillstånd eller tullförfarande, inbegripet ett eventuellt påförande av administrativa sanktioner, begränsas till behöriga myndigheter och tillåtas endast upp till 10 år efter det att skjutvapnet eller de väsentliga delarna i fråga skrotats, och upp till 30 år efter det att skjutvapnet eller de väsentliga delarna i fråga skrotats när sådan tillgång är nödvändig i brottsbekämpningssyfte.</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10</w:t>
      </w:r>
    </w:p>
    <w:p>
      <w:pPr>
        <w:pStyle w:val="ManualConsidrant"/>
        <w:rPr>
          <w:noProof/>
        </w:rPr>
      </w:pPr>
      <w:r>
        <w:t>(17)</w:t>
      </w:r>
      <w:r>
        <w:tab/>
      </w:r>
      <w:r>
        <w:rPr>
          <w:noProof/>
        </w:rPr>
        <w:t>Ett effektivt informationsutbyte mellan vapenhandlare och vapenmäklare å ena sidan och nationella behöriga myndigheter å andra sidan är viktigt för att registret ska fungera på ändamålsenligt sätt. Vapenhandlare och vapenmäklare bör därför utan onödigt dröjsmål förse de nationella behöriga myndigheterna med information. För att underlätta detta bör de nationella behöriga myndigheterna gentemot vapenhandlare och vapenmäklare tillgängliggöra möjligheter till elektronisk kommunikation, vilka kan inbegripa inlämnande av informationen antingen genom e-post eller direkt genom en databas eller ett register av något annat slag.</w:t>
      </w:r>
    </w:p>
    <w:p>
      <w:pPr>
        <w:pStyle w:val="CRSeparator"/>
        <w:rPr>
          <w:noProof/>
          <w:highlight w:val="yellow"/>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skäl 13 (anpassad)</w:t>
      </w:r>
    </w:p>
    <w:p>
      <w:pPr>
        <w:pStyle w:val="ManualConsidrant"/>
        <w:rPr>
          <w:noProof/>
        </w:rPr>
      </w:pPr>
      <w:r>
        <w:t>(18)</w:t>
      </w:r>
      <w:r>
        <w:tab/>
      </w:r>
      <w:r>
        <w:rPr>
          <w:noProof/>
        </w:rPr>
        <w:t>Det bör finnas ett allmänt förbud mot att personer som enligt lagakraftvunnen dom har fällts för vissa allvarliga brottsliga handlingar förvärvar skjutvapen.</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11 (anpassad)</w:t>
      </w:r>
    </w:p>
    <w:p>
      <w:pPr>
        <w:pStyle w:val="ManualConsidrant"/>
        <w:rPr>
          <w:noProof/>
        </w:rPr>
      </w:pPr>
      <w:r>
        <w:t>(19)</w:t>
      </w:r>
      <w:r>
        <w:tab/>
      </w:r>
      <w:r>
        <w:rPr>
          <w:noProof/>
        </w:rPr>
        <w:t xml:space="preserve">Medlemsstaterna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bör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ha ett övervakningssystem för att säkerställa att villkoren för tillstånd för skjutvapen är uppfyllda under hela deras varaktighet. Medlemsstaterna bör besluta huruvida bedömningen ska inbegripa läkarundersökningar och psykologiska undersökningar på förhand.</w:t>
      </w:r>
    </w:p>
    <w:p>
      <w:pPr>
        <w:pStyle w:val="CRSeparator"/>
        <w:rPr>
          <w:noProof/>
          <w:highlight w:val="yellow"/>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skäl 12 (anpassad)</w:t>
      </w:r>
    </w:p>
    <w:p>
      <w:pPr>
        <w:pStyle w:val="ManualConsidrant"/>
        <w:rPr>
          <w:noProof/>
        </w:rPr>
      </w:pPr>
      <w:r>
        <w:t>(20)</w:t>
      </w:r>
      <w:r>
        <w:tab/>
      </w:r>
      <w:r>
        <w:rPr>
          <w:noProof/>
        </w:rPr>
        <w:t xml:space="preserve">Utan att det påverkar nationell rätt om yrkesansvar bör bedömningen av relevant medicinsk eller psykologisk information inte förutsätta att den medicinska personal eller andra personer som tillhandahåller sådana uppgifter har något ansvar om skjutvapen som innehas i enlighet med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missbrukas.</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13</w:t>
      </w:r>
    </w:p>
    <w:p>
      <w:pPr>
        <w:pStyle w:val="ManualConsidrant"/>
        <w:rPr>
          <w:noProof/>
        </w:rPr>
      </w:pPr>
      <w:r>
        <w:t>(21)</w:t>
      </w:r>
      <w:r>
        <w:tab/>
      </w:r>
      <w:r>
        <w:rPr>
          <w:noProof/>
        </w:rPr>
        <w:t>Skjutvapen och ammunition bör förvaras på ett säkert sätt när de inte hålls under omedelbar uppsikt. Om de förvaras på annat sätt än i säkerhetsskåp bör skjutvapen och ammunition förvaras åtskilt från varandra. När skjutvapnet och ammunitionen ska överlämnas till en transportör bör denne vara ansvarig för lämplig övervakning och förvaring. Kriterier för lämplig förvaring och säker transport bör definieras i nationell rätt, med beaktande av antalet berörda vapen och ammunition samt deras kategori.</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14 (anpassad)</w:t>
      </w:r>
    </w:p>
    <w:p>
      <w:pPr>
        <w:pStyle w:val="ManualConsidrant"/>
        <w:rPr>
          <w:noProof/>
        </w:rPr>
      </w:pPr>
      <w:r>
        <w:t>(22)</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bör inte påverka de regler i medlemsstaterna som tillåter lagliga transaktioner gällande skjutvapen, väsentliga delar och ammunition via postorder, internet eller distansavtal enligt definitionen i Europaparlamentets och rådets direktiv 2011/83/EU</w:t>
      </w:r>
      <w:r>
        <w:rPr>
          <w:rStyle w:val="FootnoteReference"/>
          <w:noProof/>
        </w:rPr>
        <w:footnoteReference w:id="8"/>
      </w:r>
      <w:r>
        <w:rPr>
          <w:noProof/>
        </w:rPr>
        <w:t>, exempelvis genom internetbaserade auktionskataloger eller radannonser, telefon eller e-post. Det är emellertid mycket viktigt att identiteten på parterna i sådana transaktioner och parternas lagliga rätt att delta i sådana transaktioner är möjliga att kontrollera och faktiskt blir föremål för en sådan kontroll. När det gäller köpare är det därför lämpligt att säkerställa att deras identitet och i tillämpliga fall deras tillstånd för förvärv av skjutvapen, väsentliga delar eller ammunition kontrolleras av en vapenhandlare eller vapenmäklare som är licensierad eller har tillstånd eller av en offentlig myndighet eller dess företrädare, senast vid leveransen.</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15 (anpassad)</w:t>
      </w:r>
    </w:p>
    <w:p>
      <w:pPr>
        <w:pStyle w:val="ManualConsidrant"/>
        <w:rPr>
          <w:noProof/>
        </w:rPr>
      </w:pPr>
      <w:r>
        <w:t>(23)</w:t>
      </w:r>
      <w:r>
        <w:tab/>
      </w:r>
      <w:r>
        <w:rPr>
          <w:noProof/>
        </w:rPr>
        <w:t xml:space="preserve">För de farligaste skjutvapnen bör det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föreskrivas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stränga regler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som säkerställer att det inte är tillåtet att förvärva, inneha eller bedriva handel med dessa skjutvapen, med vissa begränsade, vederbörligen motiverade undantag. Om dessa regler inte följs bör medlemsstaterna vidta samtliga lämpliga åtgärder, som skulle kunna inbegripa beslagtagande av skjutvapnen i fråga.</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16</w:t>
      </w:r>
    </w:p>
    <w:p>
      <w:pPr>
        <w:pStyle w:val="ManualConsidrant"/>
        <w:rPr>
          <w:noProof/>
        </w:rPr>
      </w:pPr>
      <w:r>
        <w:t>(24)</w:t>
      </w:r>
      <w:r>
        <w:tab/>
      </w:r>
      <w:r>
        <w:rPr>
          <w:noProof/>
        </w:rPr>
        <w:t>Medlemsstaterna bör dock ha möjlighet att tillåta förvärv och innehav av skjutvapen, väsentliga delar och ammunition i kategori A när så krävs för utbildningsändamål, kulturella ändamål, inbegripet film och teater, forskningsändamål eller historiska ändamål. Personer som beviljas tillstånd skulle kunna vara bl.a. vapensmeder, kontrollanstalter, tillverkare, certifierade experter, kriminaltekniker och i vissa fall de som är involverade i film- och tv-inspelningar. Medlemsstaterna bör också ha möjlighet att tillåta enskilda att förvärva och inneha skjutvapen, väsentliga delar och ammunition i kategori A för det nationella försvaret, t.ex. inom ramen för frivillig militär utbildning som föreskrivs i nationell rätt.</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17</w:t>
      </w:r>
    </w:p>
    <w:p>
      <w:pPr>
        <w:pStyle w:val="ManualConsidrant"/>
        <w:rPr>
          <w:noProof/>
        </w:rPr>
      </w:pPr>
      <w:r>
        <w:t>(25)</w:t>
      </w:r>
      <w:r>
        <w:tab/>
      </w:r>
      <w:r>
        <w:rPr>
          <w:noProof/>
        </w:rPr>
        <w:t>Medlemsstaterna bör kunna välja att bevilja erkända museer och samlare tillstånd för förvärv och innehav av skjutvapen, väsentliga delar och ammunition i kategori A när så krävs för historiska, kulturella, vetenskapliga, tekniska, utbildningsrelaterade eller kulturarvsrelaterade ändamål, under förutsättning att sådana museer och samlare, innan ett sådant tillstånd beviljas, visar att de vidtagit de åtgärder som krävs för att motverka eventuella risker för den allmänna säkerheten eller den allmänna ordningen, också genom lämplig förvaring. Vid beviljande av varje sådant tillstånd bör den specifika situationen beaktas och tas med i beräkningen, t.ex. samlingens karaktär och ändamålen med den, och medlemsstaterna bör säkerställa att det finns ett system för övervakning av samlare och samlingar.</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18 (anpassad)</w:t>
      </w:r>
    </w:p>
    <w:p>
      <w:pPr>
        <w:pStyle w:val="ManualConsidrant"/>
        <w:rPr>
          <w:noProof/>
        </w:rPr>
      </w:pPr>
      <w:r>
        <w:t>(26)</w:t>
      </w:r>
      <w:r>
        <w:tab/>
      </w:r>
      <w:r>
        <w:rPr>
          <w:noProof/>
        </w:rPr>
        <w:t>Vapenhandlare och vapenmäklare bör inte hindras att hantera skjutvapen, väsentliga delar och ammunition i kategori A i fall där förvärv och innehav av sådana skjutvapen, väsentliga delar och ammunition undantagsvis är tillåtna, när hantering av dessa är nödvändig för deaktivering eller omvandling eller närhelst annars så är tillåtet enligt det här direktivet. Inte heller bör vapenhandlare och vapenmäklare hindras från att hantera sådana skjutvapen, väsentliga delar och ammunition i fall som inte omfattas av det här direktivet, t.ex. skjutvapen, väsentliga delar och ammunition som ska exporteras utanför unionen eller vapen som ska förvärvas av försvarsmakten, polisen eller offentliga myndigheter.</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19</w:t>
      </w:r>
    </w:p>
    <w:p>
      <w:pPr>
        <w:pStyle w:val="ManualConsidrant"/>
        <w:rPr>
          <w:noProof/>
        </w:rPr>
      </w:pPr>
      <w:r>
        <w:t>(27)</w:t>
      </w:r>
      <w:r>
        <w:tab/>
      </w:r>
      <w:r>
        <w:rPr>
          <w:noProof/>
        </w:rPr>
        <w:t>Vapenhandlare och vapenmäklare bör få vägra att genomföra varje transaktion för förvärv av komplett ammunition eller skarpa tändrör för ammunition som de anser vara misstänkt. En transaktion kan anses vara misstänkt om den exempelvis inbegriper mängder som är ovanliga för den planerade privata användningen, om köparen inte verkar känna till ammunitionens användning eller om köparen insisterar på att betala i kontanter och samtidigt är ovillig att visa upp identitetsbevis. Vapenhandlare och vapenmäklare bör också kunna rapportera sådana misstänkta transaktioner till de behöriga myndigheterna.</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20 (anpassad)</w:t>
      </w:r>
    </w:p>
    <w:p>
      <w:pPr>
        <w:pStyle w:val="ManualConsidrant"/>
        <w:rPr>
          <w:noProof/>
        </w:rPr>
      </w:pPr>
      <w:r>
        <w:t>(28)</w:t>
      </w:r>
      <w:r>
        <w:tab/>
      </w:r>
      <w:r>
        <w:rPr>
          <w:noProof/>
        </w:rPr>
        <w:t>Risken är hög för att akustiska vapen och andra typer av vapen som använder lösa skott omvandlas till verkliga skjutvapen. Det är därför mycket viktigt att ta itu med problemet med sådana omvandlade vapen som används för att begå brottslig verksamhet. I syfte att undvika risken för att larm- och signalvapen tillverkas på ett sådant sätt som gör dem möjliga att omvandlas till att avfyra ett skott, en kula eller en projektil med hjälp av ett antändbart drivämne, bör kommissionen anta tekniska specifikationer för att säkerställa att de inte går att omvandla på ett sådant sätt.</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21 (anpassad)</w:t>
      </w:r>
    </w:p>
    <w:p>
      <w:pPr>
        <w:pStyle w:val="ManualConsidrant"/>
        <w:rPr>
          <w:noProof/>
        </w:rPr>
      </w:pPr>
      <w:r>
        <w:t>(29)</w:t>
      </w:r>
      <w:r>
        <w:tab/>
      </w:r>
      <w:r>
        <w:rPr>
          <w:noProof/>
        </w:rPr>
        <w:t xml:space="preserve">Med hänsyn till att det finns stor risk för att skjutvapen som inte deaktiverats på rätt sätt reaktiveras och i syfte att höja säkerhetsnivån i hela unionen bör sådana skjutvapen omfattas av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Definitionen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av deaktiverade skjutvapen bör återspegla de generella principer för deaktivering av skjutvapen som anges i protokollet mot olaglig tillverkning av och handel med skjutvapen, delar av och komponenter till dessa samt ammunition, fogat till rådets beslut 2014/164/EU</w:t>
      </w:r>
      <w:r>
        <w:rPr>
          <w:rStyle w:val="FootnoteReference"/>
          <w:noProof/>
        </w:rPr>
        <w:footnoteReference w:id="9"/>
      </w:r>
      <w:r>
        <w:rPr>
          <w:noProof/>
        </w:rPr>
        <w:t>, varigenom protokollet införlivas i unionens rättsliga ramar.</w:t>
      </w:r>
    </w:p>
    <w:p>
      <w:pPr>
        <w:pStyle w:val="CRSeparator"/>
        <w:rPr>
          <w:noProof/>
          <w:highlight w:val="yellow"/>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skäl 14 (anpassad)</w:t>
      </w:r>
    </w:p>
    <w:p>
      <w:pPr>
        <w:pStyle w:val="ManualConsidrant"/>
        <w:rPr>
          <w:noProof/>
        </w:rPr>
      </w:pPr>
      <w:r>
        <w:t>(30)</w:t>
      </w:r>
      <w:r>
        <w:tab/>
      </w:r>
      <w:r>
        <w:rPr>
          <w:noProof/>
        </w:rPr>
        <w:t xml:space="preserve">Europeiska skjutvapenpasset bör betraktas som den huvudsakliga handling som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målskyttar och andra personer som beviljats tillstånd i enlighet med detta direktiv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behöver för att inneha ett skjutvapen under en resa till en annan medlemsstat. Medlemsstaterna bör inte kräva att en avgift betalas för att Europeiska skjutvapenpasset ska kunna godtas.</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25 (anpassad)</w:t>
      </w:r>
    </w:p>
    <w:p>
      <w:pPr>
        <w:pStyle w:val="ManualConsidrant"/>
        <w:rPr>
          <w:noProof/>
        </w:rPr>
      </w:pPr>
      <w:r>
        <w:t>(31)</w:t>
      </w:r>
      <w:r>
        <w:tab/>
      </w:r>
      <w:r>
        <w:rPr>
          <w:noProof/>
        </w:rPr>
        <w:t xml:space="preserve">Bestämmelserna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gällande Europeiska skjutvapenpasset bör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hänvisa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till skjutvapen i kategori A, utan att det påverkar medlemsstaternas rätt att välja att tillämpa strängare regler.</w:t>
      </w:r>
    </w:p>
    <w:p>
      <w:pPr>
        <w:pStyle w:val="CRSeparator"/>
        <w:rPr>
          <w:noProof/>
          <w:highlight w:val="yellow"/>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skäl 15 (anpassad)</w:t>
      </w:r>
    </w:p>
    <w:p>
      <w:pPr>
        <w:pStyle w:val="ManualConsidrant"/>
        <w:rPr>
          <w:noProof/>
        </w:rPr>
      </w:pPr>
      <w:r>
        <w:t>(32)</w:t>
      </w:r>
      <w:r>
        <w:tab/>
      </w:r>
      <w:r>
        <w:rPr>
          <w:noProof/>
        </w:rPr>
        <w:t xml:space="preserve">För att göra det lättare att spåra skjutvapen och effektivt bekämpa olaglig handel med och tillverkning av skjutvapen, delar till skjutvapen och ammunition är det nödvändigt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informationsutbyte mellan medlemsstaterna.</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22</w:t>
      </w:r>
    </w:p>
    <w:p>
      <w:pPr>
        <w:pStyle w:val="ManualConsidrant"/>
        <w:rPr>
          <w:noProof/>
        </w:rPr>
      </w:pPr>
      <w:r>
        <w:t>(33)</w:t>
      </w:r>
      <w:r>
        <w:tab/>
      </w:r>
      <w:r>
        <w:rPr>
          <w:noProof/>
        </w:rPr>
        <w:t>Skjutvapen som är utformade för militärt bruk, t.ex. AK47 och M16, och som genom sin utformning erbjuder ett val mellan olika avfyrningssätt, och manuellt kan ställas in på antingen helautomateld eller halvautomateld, bör klassificeras i kategori A skjutvapen, och därför förbjudas för civilt bruk. Om de omvandlas till halvautomatiska skjutvapen bör de klassificeras i kategori A punkt 6.</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23</w:t>
      </w:r>
    </w:p>
    <w:p>
      <w:pPr>
        <w:pStyle w:val="ManualConsidrant"/>
        <w:rPr>
          <w:noProof/>
        </w:rPr>
      </w:pPr>
      <w:r>
        <w:t>(34)</w:t>
      </w:r>
      <w:r>
        <w:tab/>
      </w:r>
      <w:r>
        <w:rPr>
          <w:noProof/>
        </w:rPr>
        <w:t>Vissa halvautomatiska skjutvapen kan lätt omvandlas till automatiska skjutvapen och utgör därmed ett hot mot säkerheten. Men även utan en sådan omvandling skulle vissa halvautomatiska skjutvapen kunna vara mycket farliga om de kan rymma många patroner samtidigt. Därför bör halvautomatiska skjutvapen med en fast laddningsanordning som gör det möjligt att avfyra många patroner samt halvautomatiska skjutvapen i kombination med en löstagbar laddningsanordning med hög kapacitet förbjudas för civilt bruk. Möjligheten att montera på en laddningsanordning med en kapacitet som överstiger 10 patroner för långa skjutvapen och 20 patroner för korta skjutvapen avgör inte i sig klassificeringen av skjutvapnet i en viss kategori.</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24 (anpassad)</w:t>
      </w:r>
    </w:p>
    <w:p>
      <w:pPr>
        <w:pStyle w:val="ManualConsidrant"/>
        <w:rPr>
          <w:noProof/>
        </w:rPr>
      </w:pPr>
      <w:r>
        <w:t>(35)</w:t>
      </w:r>
      <w:r>
        <w:tab/>
      </w:r>
      <w:r>
        <w:rPr>
          <w:noProof/>
        </w:rPr>
        <w:t xml:space="preserve">Utan att det påverkar förlängning av tillstånd i enlighet med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bör halvautomatiska skjutvapen med kantantändning, inbegripet skjutvapen av kaliber .22 eller mindre, inte klassificeras i kategori A, såvida de inte omvandlats från automatiska skjutvapen.</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26 (anpassad)</w:t>
      </w:r>
    </w:p>
    <w:p>
      <w:pPr>
        <w:pStyle w:val="ManualConsidrant"/>
        <w:rPr>
          <w:noProof/>
        </w:rPr>
      </w:pPr>
      <w:r>
        <w:t>(36)</w:t>
      </w:r>
      <w:r>
        <w:tab/>
      </w:r>
      <w:r>
        <w:rPr>
          <w:noProof/>
        </w:rPr>
        <w:t xml:space="preserve">Föremål som fysiskt ser ut som skjutvapen (replikvapen), men är tillverkade så att de inte kan omvandlas till att avfyra ett skott, en kula eller en projektil med hjälp av ett antändbart drivämne, bör inte omfattas av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27 (anpassad)</w:t>
      </w:r>
    </w:p>
    <w:p>
      <w:pPr>
        <w:pStyle w:val="ManualConsidrant"/>
        <w:rPr>
          <w:noProof/>
        </w:rPr>
      </w:pPr>
      <w:r>
        <w:t>(37)</w:t>
      </w:r>
      <w:r>
        <w:tab/>
      </w:r>
      <w:r>
        <w:rPr>
          <w:noProof/>
        </w:rPr>
        <w:t xml:space="preserve">Om medlemsstaterna har nationell rätt som reglerar antika vapen omfattas dessa vapen inte av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Reproduktioner av antika vapen är dock inte av samma historiska värde eller intresse och kan tillverkas med hjälp av moderna tekniker som kan öka livslängden och precisionen. Därför bör reproduktioner ingå i tillämpningsområdet för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är inte tillämpligt på andra produkter, såsom airsoftvapen, som inte motsvarar definitionen av ett skjutvapen och därför inte regleras genom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28 (anpassad)</w:t>
      </w:r>
    </w:p>
    <w:p>
      <w:pPr>
        <w:pStyle w:val="ManualConsidrant"/>
        <w:rPr>
          <w:noProof/>
        </w:rPr>
      </w:pPr>
      <w:r>
        <w:t>(38)</w:t>
      </w:r>
      <w:r>
        <w:tab/>
      </w:r>
      <w:r>
        <w:rPr>
          <w:noProof/>
        </w:rPr>
        <w:t>För att förbättra informationsutbytet mellan medlemsstaterna vore det värdefullt om kommissionen gjorde en bedömning av vad som krävs för ett system som kan stödja utbytet av de uppgifter som finns i medlemsstaternas datoriserade register, inbegripet möjligheten att låta varje medlemsstat få tillgång till ett sådant system. Det systemet kan använda en modul från informationssystemet för den inre marknaden (IMI) – inrättat genom Europaparlamentets och rådets förordning (EU) nr 1024/2012</w:t>
      </w:r>
      <w:r>
        <w:rPr>
          <w:rStyle w:val="FootnoteReference"/>
          <w:noProof/>
        </w:rPr>
        <w:footnoteReference w:id="10"/>
      </w:r>
      <w:r>
        <w:rPr>
          <w:noProof/>
        </w:rPr>
        <w:t xml:space="preserve"> som är särskilt anpassad för skjutvapen. Sådant informationsutbyte mellan medlemsstater bör ske i överensstämmelse med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dataskyddsregler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om fastställs i Europaparlamentets och rådets förordning (EU) 2016/679</w:t>
      </w:r>
      <w:r>
        <w:rPr>
          <w:rStyle w:val="FootnoteReference"/>
          <w:noProof/>
        </w:rPr>
        <w:footnoteReference w:id="11"/>
      </w:r>
      <w:r>
        <w:rPr>
          <w:noProof/>
        </w:rPr>
        <w:t>. När den behöriga myndigheten behöver ha tillgång till uppgifter ur kriminalregistret för en person som ansöker om tillstånd att förvärva eller inneha ett skjutvapen bör myndigheten i fråga kunna erhålla dessa uppgifter enligt rådets rambeslut 2009/315/RIF</w:t>
      </w:r>
      <w:r>
        <w:rPr>
          <w:rStyle w:val="FootnoteReference"/>
          <w:noProof/>
        </w:rPr>
        <w:footnoteReference w:id="12"/>
      </w:r>
      <w:r>
        <w:rPr>
          <w:noProof/>
        </w:rPr>
        <w:t>. Kommissionens bedömning skulle vid behov kunna åtföljas av ett förslag till lagstiftning som beaktar befintliga system för informationsutbyte.</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29</w:t>
      </w:r>
    </w:p>
    <w:p>
      <w:pPr>
        <w:pStyle w:val="ManualConsidrant"/>
        <w:rPr>
          <w:noProof/>
        </w:rPr>
      </w:pPr>
      <w:r>
        <w:t>(39)</w:t>
      </w:r>
      <w:r>
        <w:tab/>
      </w:r>
      <w:r>
        <w:rPr>
          <w:noProof/>
        </w:rPr>
        <w:t>I syfte att säkerställa ett lämpligt informationsutbyte på elektronisk väg mellan medlemsstaterna rörande beviljade tillstånd för överföring av skjutvapen till en annan medlemsstat och om avslag på ansökningar om tillstånd att förvärva eller inneha ett skjutvapen bör befogenheten att anta akter i enlighet med artikel 290 i fördraget om Europeiska unionens funktionssätt delegeras till kommissionen med avseende på att fastställa bestämmelser som gör det möjligt för medlemsstaterna att skapa ett sådant system för utbyte av information. Det är särskilt viktigt att kommissionen genomför lämpliga samråd under sitt förberedande arbete, inklusive på expertnivå, och att dessa samråd genomförs i enlighet med principerna i det interinstitutionella avtalet om bättre lagstiftning av den 13 april 2016</w:t>
      </w:r>
      <w:r>
        <w:rPr>
          <w:rStyle w:val="FootnoteReference"/>
          <w:noProof/>
        </w:rPr>
        <w:footnoteReference w:id="13"/>
      </w:r>
      <w:r>
        <w:rPr>
          <w:noProof/>
        </w:rPr>
        <w:t>. För att säkerställa lika stor delaktighet i förberedelsen av delegerade akter erhåller Europaparlamentet och rådet i synnerhet alla handlingar samtidigt som medlemsstaternas experter, och deras experter ges systematiskt tillträde till möten i kommissionens expertgrupper som arbetar med förberedelse av delegerade akter.</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30</w:t>
      </w:r>
    </w:p>
    <w:p>
      <w:pPr>
        <w:pStyle w:val="ManualConsidrant"/>
        <w:rPr>
          <w:noProof/>
        </w:rPr>
      </w:pPr>
      <w:r>
        <w:t>(40)</w:t>
      </w:r>
      <w:r>
        <w:tab/>
      </w:r>
      <w:r>
        <w:rPr>
          <w:noProof/>
        </w:rPr>
        <w:t>För att säkerställa enhetliga villkor för genomförandet av detta direktiv bör kommissionen tilldelas genomförandebefogenheter. Dessa befogenheter bör utövas i enlighet med Europaparlamentets och rådets förordning (EU) nr 182/2011</w:t>
      </w:r>
      <w:r>
        <w:rPr>
          <w:rStyle w:val="FootnoteReference"/>
          <w:noProof/>
        </w:rPr>
        <w:footnoteReference w:id="14"/>
      </w:r>
      <w:r>
        <w:rPr>
          <w:noProof/>
        </w:rPr>
        <w:t>.</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31</w:t>
      </w:r>
    </w:p>
    <w:p>
      <w:pPr>
        <w:pStyle w:val="ManualConsidrant"/>
        <w:rPr>
          <w:noProof/>
        </w:rPr>
      </w:pPr>
      <w:r>
        <w:t>(41)</w:t>
      </w:r>
      <w:r>
        <w:tab/>
      </w:r>
      <w:r>
        <w:rPr>
          <w:noProof/>
        </w:rPr>
        <w:t>Detta direktiv står i överensstämmelse med de grundläggande rättigheter och principer som erkänns särskilt i Europeiska unionens stadga om de grundläggande rättigheterna.</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32 (anpassad)</w:t>
      </w:r>
    </w:p>
    <w:p>
      <w:pPr>
        <w:pStyle w:val="ManualConsidrant"/>
        <w:rPr>
          <w:noProof/>
        </w:rPr>
      </w:pPr>
      <w:r>
        <w:t>(42)</w:t>
      </w:r>
      <w:r>
        <w:tab/>
      </w:r>
      <w:r>
        <w:rPr>
          <w:noProof/>
        </w:rPr>
        <w:t xml:space="preserve">Förordning (EU) 2016/679 bör gälla för behandling av personuppgifter inom ramen för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Om personuppgifter som samlats in enligt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direktiv behandlas i syfte att förebygga, utreda, avslöja eller lagföra brott eller verkställa straffrättsliga påföljder, bör de myndigheter som behandlar dessa uppgifter följa bestämmelser som antagits enligt Europaparlamentets och rådets direktiv (EU) 2016/680</w:t>
      </w:r>
      <w:r>
        <w:rPr>
          <w:rStyle w:val="FootnoteReference"/>
          <w:noProof/>
        </w:rPr>
        <w:footnoteReference w:id="15"/>
      </w:r>
      <w:r>
        <w:rPr>
          <w:noProof/>
        </w:rPr>
        <w:t>.</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33</w:t>
      </w:r>
    </w:p>
    <w:p>
      <w:pPr>
        <w:pStyle w:val="ManualConsidrant"/>
        <w:rPr>
          <w:noProof/>
        </w:rPr>
      </w:pPr>
      <w:r>
        <w:t>(43)</w:t>
      </w:r>
      <w:r>
        <w:tab/>
      </w:r>
      <w:r>
        <w:rPr>
          <w:noProof/>
        </w:rPr>
        <w:t>Eftersom målen för detta direktiv inte i tillräcklig utsträckning kan uppnås av medlemsstaterna, utan snarare, på grund av åtgärdens omfattning och verkningar, kan uppnås bättre på unionsnivå, kan unionen vidta åtgärder i enlighet med subsidiaritetsprincipen i artikel 5 i fördraget om Europeiska unionen. I enlighet med proportionalitetsprincipen i samma artikel går detta direktiv inte utöver vad som är nödvändigt för att uppnå dessa mål.</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35 (anpassad)</w:t>
      </w:r>
    </w:p>
    <w:p>
      <w:pPr>
        <w:pStyle w:val="ManualConsidrant"/>
        <w:rPr>
          <w:noProof/>
        </w:rPr>
      </w:pPr>
      <w:r>
        <w:t>(44)</w:t>
      </w:r>
      <w:r>
        <w:tab/>
      </w:r>
      <w:r>
        <w:rPr>
          <w:noProof/>
        </w:rPr>
        <w:t>När det gäller Island och Norge utgör detta direktiv, i enlighet med avtalet mellan Europeiska unionens råd och Republiken Island och Konungariket Norge om dessa staters associering till genomförandet, tillämpningen och utvecklingen av Schengenregelverket</w:t>
      </w:r>
      <w:r>
        <w:rPr>
          <w:rStyle w:val="FootnoteReference"/>
          <w:noProof/>
        </w:rPr>
        <w:footnoteReference w:id="16"/>
      </w:r>
      <w:r>
        <w:rPr>
          <w:noProof/>
        </w:rPr>
        <w:t>, en utveckling av de bestämmelser i Schengenregelverket som omfattas av de områden som avses i artikel 1 i rådets beslut 1999/437/EG</w:t>
      </w:r>
      <w:r>
        <w:rPr>
          <w:rStyle w:val="FootnoteReference"/>
          <w:noProof/>
        </w:rPr>
        <w:footnoteReference w:id="17"/>
      </w:r>
      <w:r>
        <w:rPr>
          <w:noProof/>
        </w:rPr>
        <w:t>.</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36 (anpassad)</w:t>
      </w:r>
    </w:p>
    <w:p>
      <w:pPr>
        <w:pStyle w:val="ManualConsidrant"/>
        <w:rPr>
          <w:noProof/>
        </w:rPr>
      </w:pPr>
      <w:r>
        <w:t>(45)</w:t>
      </w:r>
      <w:r>
        <w:tab/>
      </w:r>
      <w:r>
        <w:rPr>
          <w:noProof/>
        </w:rPr>
        <w:t>När det gäller Schweiz utgör detta direktiv, i enlighet med avtalet mellan Europeiska unionen, Europeiska gemenskapen och Schweiziska edsförbundet om Schweiziska edsförbundets associering till genomförandet, tillämpningen och utvecklingen av Schengenregelverket</w:t>
      </w:r>
      <w:r>
        <w:rPr>
          <w:rStyle w:val="FootnoteReference"/>
          <w:noProof/>
        </w:rPr>
        <w:footnoteReference w:id="18"/>
      </w:r>
      <w:r>
        <w:rPr>
          <w:noProof/>
        </w:rPr>
        <w:t>, en utveckling av de bestämmelser i Schengenregelverket som omfattas av de områden som avses i artikel 1 i beslut 1999/437/EG jämförd med artikel 3 i rådets beslut 2008/146/EG</w:t>
      </w:r>
      <w:r>
        <w:rPr>
          <w:rStyle w:val="FootnoteReference"/>
          <w:noProof/>
        </w:rPr>
        <w:footnoteReference w:id="19"/>
      </w:r>
      <w:r>
        <w:rPr>
          <w:noProof/>
        </w:rPr>
        <w:t>.</w:t>
      </w:r>
    </w:p>
    <w:p>
      <w:pPr>
        <w:pStyle w:val="CRSeparator"/>
        <w:rPr>
          <w:noProof/>
          <w:highlight w:val="yellow"/>
          <w:lang w:val="sv-SE"/>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2017/853 skäl </w:t>
      </w:r>
      <w:r>
        <w:rPr>
          <w:noProof/>
          <w:lang w:val="en-GB"/>
        </w:rPr>
        <w:t>37 (anpassad)</w:t>
      </w:r>
    </w:p>
    <w:p>
      <w:pPr>
        <w:pStyle w:val="ManualConsidrant"/>
        <w:rPr>
          <w:noProof/>
        </w:rPr>
      </w:pPr>
      <w:r>
        <w:t>(46)</w:t>
      </w:r>
      <w:r>
        <w:tab/>
      </w:r>
      <w:r>
        <w:rPr>
          <w:noProof/>
        </w:rPr>
        <w:t>När det gäller Liechtenstein utgör detta direktiv, i enlighet med protokollet mellan Europeiska unionen, Europeiska gemenskapen, Schweiziska edsförbundet och Furstendömet Liechtenstein om Furstendömet Lichtensteins anslutning till avtalet mellan Europeiska unionen, Europeiska gemenskapen och Schweiziska edsförbundet om Schweiziska edsförbundets associering till genomförandet, tillämpningen och utvecklingen av Schengenregelverket</w:t>
      </w:r>
      <w:r>
        <w:rPr>
          <w:rStyle w:val="FootnoteReference"/>
          <w:noProof/>
        </w:rPr>
        <w:footnoteReference w:id="20"/>
      </w:r>
      <w:r>
        <w:rPr>
          <w:noProof/>
        </w:rPr>
        <w:t>, en utveckling av de bestämmelser i Schengenregelverket som omfattas av de områden som avses i artikel 1 i beslut 1999/437/EG jämförd med artikel 3 i rådets beslut 2011/350/EU</w:t>
      </w:r>
      <w:r>
        <w:rPr>
          <w:rStyle w:val="FootnoteReference"/>
          <w:noProof/>
        </w:rPr>
        <w:footnoteReference w:id="21"/>
      </w:r>
      <w:r>
        <w:rPr>
          <w:noProof/>
        </w:rPr>
        <w:t>.</w:t>
      </w:r>
    </w:p>
    <w:p>
      <w:pPr>
        <w:pStyle w:val="CRSeparator"/>
        <w:rPr>
          <w:noProof/>
          <w:highlight w:val="yellow"/>
          <w:lang w:val="sv-SE"/>
        </w:rPr>
      </w:pPr>
    </w:p>
    <w:p>
      <w:pPr>
        <w:pStyle w:val="CRReference"/>
        <w:rPr>
          <w:noProof/>
          <w:lang w:val="en-US"/>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ManualConsidrant"/>
        <w:rPr>
          <w:rFonts w:eastAsia="Times New Roman"/>
          <w:noProof/>
        </w:rPr>
      </w:pPr>
      <w:r>
        <w:t>(47)</w:t>
      </w:r>
      <w:r>
        <w:tab/>
      </w:r>
      <w:r>
        <w:rPr>
          <w:noProof/>
        </w:rPr>
        <w:t>Detta direktiv bör inte påverka medlemsstaternas skyldigheter vad gäller tidsfristerna för införlivande med nationell lagstiftning av de direktiv som anges i del B i bilaga III.</w:t>
      </w:r>
    </w:p>
    <w:p>
      <w:pPr>
        <w:pStyle w:val="CRSeparator"/>
        <w:rPr>
          <w:noProof/>
          <w:highlight w:val="yellow"/>
          <w:lang w:val="sv-SE"/>
        </w:rPr>
      </w:pPr>
    </w:p>
    <w:p>
      <w:pPr>
        <w:pStyle w:val="CRReference"/>
        <w:rPr>
          <w:noProof/>
          <w:lang w:val="sv-SE"/>
        </w:rPr>
      </w:pPr>
      <w:r>
        <w:rPr>
          <w:noProof/>
          <w:lang w:val="en-GB"/>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lang w:val="en-GB"/>
        </w:rPr>
        <w:fldChar w:fldCharType="separate"/>
      </w:r>
      <w:r>
        <w:rPr>
          <w:rStyle w:val="CRMarker"/>
          <w:noProof/>
          <w:lang w:val="sv-SE"/>
        </w:rPr>
        <w:t>ê</w:t>
      </w:r>
      <w:r>
        <w:rPr>
          <w:noProof/>
          <w:lang w:val="en-GB"/>
        </w:rPr>
        <w:fldChar w:fldCharType="end"/>
      </w:r>
      <w:r>
        <w:rPr>
          <w:noProof/>
          <w:lang w:val="sv-SE"/>
        </w:rPr>
        <w:t> 91/477</w:t>
      </w:r>
    </w:p>
    <w:p>
      <w:pPr>
        <w:pStyle w:val="Formuledadoption"/>
        <w:rPr>
          <w:noProof/>
        </w:rPr>
      </w:pPr>
      <w:r>
        <w:rPr>
          <w:noProof/>
        </w:rPr>
        <w:t>HÄRIGENOM FÖRESKRIVS FÖLJANDE.</w:t>
      </w:r>
    </w:p>
    <w:p>
      <w:pPr>
        <w:pStyle w:val="ChapterTitle"/>
        <w:rPr>
          <w:noProof/>
        </w:rPr>
      </w:pPr>
      <w:r>
        <w:rPr>
          <w:noProof/>
        </w:rPr>
        <w:t>KAPITEL 1</w:t>
      </w:r>
    </w:p>
    <w:p>
      <w:pPr>
        <w:pStyle w:val="ChapterTitle"/>
        <w:rPr>
          <w:noProof/>
        </w:rPr>
      </w:pPr>
      <w:r>
        <w:rPr>
          <w:noProof/>
        </w:rPr>
        <w:t>Räckvidd</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w:t>
      </w:r>
    </w:p>
    <w:p>
      <w:pPr>
        <w:pStyle w:val="Titrearticle"/>
        <w:rPr>
          <w:noProof/>
        </w:rPr>
      </w:pPr>
      <w:r>
        <w:rPr>
          <w:noProof/>
        </w:rPr>
        <w:t>Artikel 1</w:t>
      </w:r>
    </w:p>
    <w:p>
      <w:pPr>
        <w:rPr>
          <w:noProof/>
        </w:rPr>
      </w:pPr>
      <w:r>
        <w:rPr>
          <w:noProof/>
        </w:rPr>
        <w:t>1. I detta direktiv avses med</w:t>
      </w:r>
    </w:p>
    <w:p>
      <w:pPr>
        <w:pStyle w:val="Point0"/>
        <w:rPr>
          <w:noProof/>
        </w:rPr>
      </w:pPr>
      <w:r>
        <w:rPr>
          <w:noProof/>
        </w:rPr>
        <w:t>1.</w:t>
      </w:r>
      <w:r>
        <w:rPr>
          <w:noProof/>
        </w:rPr>
        <w:tab/>
      </w:r>
      <w:r>
        <w:rPr>
          <w:i/>
          <w:iCs/>
          <w:noProof/>
        </w:rPr>
        <w:t>skjutvapen</w:t>
      </w:r>
      <w:r>
        <w:rPr>
          <w:noProof/>
        </w:rPr>
        <w:t>: varje bärbart vapen med pipa som avfyrar, är avsett att avfyra eller kan omvandlas till att avfyra ett skott, en kula eller en projektil med hjälp av ett antändbart drivämne, om det inte utesluts från den definitionen av någon av anledningarna i del III i bilaga I. Skjutvapen klassificeras i del II i bilaga I.</w:t>
      </w:r>
    </w:p>
    <w:p>
      <w:pPr>
        <w:pStyle w:val="Text1"/>
        <w:rPr>
          <w:noProof/>
        </w:rPr>
      </w:pPr>
      <w:r>
        <w:rPr>
          <w:noProof/>
        </w:rPr>
        <w:t>Ett föremål ska anses kunna omvandlas till att avfyra ett skott, en kula eller en projektil med hjälp av ett antändbart drivämne om</w:t>
      </w:r>
    </w:p>
    <w:p>
      <w:pPr>
        <w:pStyle w:val="Point1"/>
        <w:rPr>
          <w:noProof/>
        </w:rPr>
      </w:pPr>
      <w:r>
        <w:rPr>
          <w:noProof/>
        </w:rPr>
        <w:t>a)</w:t>
      </w:r>
      <w:r>
        <w:rPr>
          <w:noProof/>
        </w:rPr>
        <w:tab/>
        <w:t>det liknar ett skjutvapen, och</w:t>
      </w:r>
    </w:p>
    <w:p>
      <w:pPr>
        <w:pStyle w:val="Point1"/>
        <w:rPr>
          <w:noProof/>
        </w:rPr>
      </w:pPr>
      <w:r>
        <w:rPr>
          <w:noProof/>
        </w:rPr>
        <w:t>b)</w:t>
      </w:r>
      <w:r>
        <w:rPr>
          <w:noProof/>
        </w:rPr>
        <w:tab/>
        <w:t>det på grund av sin konstruktion eller sina materialegenskaper kan omvandlas på detta sätt,</w:t>
      </w:r>
    </w:p>
    <w:p>
      <w:pPr>
        <w:pStyle w:val="Point0"/>
        <w:rPr>
          <w:noProof/>
        </w:rPr>
      </w:pPr>
      <w:r>
        <w:rPr>
          <w:noProof/>
        </w:rPr>
        <w:t>2.</w:t>
      </w:r>
      <w:r>
        <w:rPr>
          <w:noProof/>
        </w:rPr>
        <w:tab/>
      </w:r>
      <w:r>
        <w:rPr>
          <w:i/>
          <w:iCs/>
          <w:noProof/>
        </w:rPr>
        <w:t>väsentlig del</w:t>
      </w:r>
      <w:r>
        <w:rPr>
          <w:noProof/>
        </w:rPr>
        <w:t>: pipan, stommen, lådan, inklusive både övre och nedre i tillämpliga fall, manteln, cylindern samt slutstycket, vilka, som separata delar, tillhör samma kategori som det skjutvapen på vilket de är eller är tänkta att vara monterade,</w:t>
      </w:r>
    </w:p>
    <w:p>
      <w:pPr>
        <w:pStyle w:val="Point0"/>
        <w:rPr>
          <w:noProof/>
        </w:rPr>
      </w:pPr>
      <w:r>
        <w:rPr>
          <w:noProof/>
        </w:rPr>
        <w:t>3.</w:t>
      </w:r>
      <w:r>
        <w:rPr>
          <w:noProof/>
        </w:rPr>
        <w:tab/>
      </w:r>
      <w:r>
        <w:rPr>
          <w:i/>
          <w:iCs/>
          <w:noProof/>
        </w:rPr>
        <w:t>ammunition</w:t>
      </w:r>
      <w:r>
        <w:rPr>
          <w:noProof/>
        </w:rPr>
        <w:t>: alla patroner eller deras komponenter, inklusive patronhylsor, tändhattar, drivladdningar, kulor eller projektiler som används i skjutvapen, förutsatt att dessa komponenter själva omfattas av krav på tillstånd i den berörda medlemsstaten,</w:t>
      </w:r>
    </w:p>
    <w:p>
      <w:pPr>
        <w:pStyle w:val="Point0"/>
        <w:rPr>
          <w:noProof/>
        </w:rPr>
      </w:pPr>
      <w:r>
        <w:rPr>
          <w:noProof/>
        </w:rPr>
        <w:t>4.</w:t>
      </w:r>
      <w:r>
        <w:rPr>
          <w:noProof/>
        </w:rPr>
        <w:tab/>
      </w:r>
      <w:r>
        <w:rPr>
          <w:i/>
          <w:iCs/>
          <w:noProof/>
        </w:rPr>
        <w:t>larm- och signalvapen</w:t>
      </w:r>
      <w:r>
        <w:rPr>
          <w:noProof/>
        </w:rPr>
        <w:t>: anordningar med patroner som är konstruerade endast för att avfyra lösa skott, retande ämnen, andra verksamma ämnen eller pyroteknisk signalammunition och som inte kan omvandlas till att avfyra ett skott, en kula eller en projektil med hjälp av ett antändbart drivämne,</w:t>
      </w:r>
    </w:p>
    <w:p>
      <w:pPr>
        <w:pStyle w:val="Point0"/>
        <w:rPr>
          <w:noProof/>
        </w:rPr>
      </w:pPr>
      <w:r>
        <w:rPr>
          <w:noProof/>
        </w:rPr>
        <w:t>5.</w:t>
      </w:r>
      <w:r>
        <w:rPr>
          <w:noProof/>
        </w:rPr>
        <w:tab/>
      </w:r>
      <w:r>
        <w:rPr>
          <w:i/>
          <w:iCs/>
          <w:noProof/>
        </w:rPr>
        <w:t>salutvapen och akustiska vapen</w:t>
      </w:r>
      <w:r>
        <w:rPr>
          <w:noProof/>
        </w:rPr>
        <w:t>: skjutvapen som har omvandlats särskilt så att de endast kan avfyra lösa skott för användning vid t.ex. teaterföreställningar, fotografering, film- och tv-inspelningar, återskapande av historiska händelser, parader, idrottsevenemang och utbildning,</w:t>
      </w:r>
    </w:p>
    <w:p>
      <w:pPr>
        <w:pStyle w:val="Point0"/>
        <w:rPr>
          <w:noProof/>
        </w:rPr>
      </w:pPr>
      <w:r>
        <w:rPr>
          <w:noProof/>
        </w:rPr>
        <w:t>6.</w:t>
      </w:r>
      <w:r>
        <w:rPr>
          <w:noProof/>
        </w:rPr>
        <w:tab/>
      </w:r>
      <w:r>
        <w:rPr>
          <w:i/>
          <w:iCs/>
          <w:noProof/>
        </w:rPr>
        <w:t>deaktiverade skjutvapen</w:t>
      </w:r>
      <w:r>
        <w:rPr>
          <w:noProof/>
        </w:rPr>
        <w:t>: skjutvapen som har gjorts permanent obrukbara genom åtgärder som medför att det berörda skjutvapnets samtliga väsentliga delar gjorts definitivt oanvändbara och omöjliga att avlägsna, ersätta eller ändra på ett sätt som skulle möjliggöra någon form av reaktivering av skjutvapnet,</w:t>
      </w:r>
    </w:p>
    <w:p>
      <w:pPr>
        <w:pStyle w:val="Point0"/>
        <w:rPr>
          <w:noProof/>
        </w:rPr>
      </w:pPr>
      <w:r>
        <w:rPr>
          <w:noProof/>
        </w:rPr>
        <w:t>7.</w:t>
      </w:r>
      <w:r>
        <w:rPr>
          <w:noProof/>
        </w:rPr>
        <w:tab/>
      </w:r>
      <w:r>
        <w:rPr>
          <w:i/>
          <w:iCs/>
          <w:noProof/>
        </w:rPr>
        <w:t>museum</w:t>
      </w:r>
      <w:r>
        <w:rPr>
          <w:noProof/>
        </w:rPr>
        <w:t>: en permanent institution som verkar i samhällets tjänst och för dess utveckling, är öppen för allmänheten och förvärvar, bevarar, bedriver forskning om och ställer ut skjutvapen, väsentliga delar eller ammunition för historiska, kulturella, vetenskapliga, tekniska eller utbildnings-, kulturarvs- eller fritidsrelaterade ändamål, och som erkänts som sådan av den berörda medlemsstaten,</w:t>
      </w:r>
    </w:p>
    <w:p>
      <w:pPr>
        <w:pStyle w:val="Point0"/>
        <w:rPr>
          <w:noProof/>
        </w:rPr>
      </w:pPr>
      <w:r>
        <w:rPr>
          <w:noProof/>
        </w:rPr>
        <w:t>8.</w:t>
      </w:r>
      <w:r>
        <w:rPr>
          <w:noProof/>
        </w:rPr>
        <w:tab/>
      </w:r>
      <w:r>
        <w:rPr>
          <w:i/>
          <w:iCs/>
          <w:noProof/>
        </w:rPr>
        <w:t>samlare</w:t>
      </w:r>
      <w:r>
        <w:rPr>
          <w:noProof/>
        </w:rPr>
        <w:t>: varje fysisk eller juridisk person som samlar in och bevarar skjutvapen, väsentliga delar eller ammunition för historiska, kulturella, vetenskapliga, tekniska eller utbildnings- eller kulturarvsrelaterade ändamål, och som erkänts som sådan av den berörda medlemsstaten,</w:t>
      </w:r>
    </w:p>
    <w:p>
      <w:pPr>
        <w:pStyle w:val="Point0"/>
        <w:rPr>
          <w:noProof/>
        </w:rPr>
      </w:pPr>
      <w:r>
        <w:rPr>
          <w:noProof/>
        </w:rPr>
        <w:t>9.</w:t>
      </w:r>
      <w:r>
        <w:rPr>
          <w:noProof/>
        </w:rPr>
        <w:tab/>
      </w:r>
      <w:r>
        <w:rPr>
          <w:i/>
          <w:iCs/>
          <w:noProof/>
        </w:rPr>
        <w:t>vapenhandlare</w:t>
      </w:r>
      <w:r>
        <w:rPr>
          <w:noProof/>
        </w:rPr>
        <w:t>: varje fysisk eller juridisk person vars näringsverksamhet helt eller delvis består av något av följande:</w:t>
      </w:r>
    </w:p>
    <w:p>
      <w:pPr>
        <w:pStyle w:val="Point1"/>
        <w:rPr>
          <w:noProof/>
        </w:rPr>
      </w:pPr>
      <w:r>
        <w:rPr>
          <w:noProof/>
        </w:rPr>
        <w:t>a)</w:t>
      </w:r>
      <w:r>
        <w:rPr>
          <w:noProof/>
        </w:rPr>
        <w:tab/>
        <w:t>tillverka, bedriva handel eller byteshandel med, hyra ut, reparera, ändra eller omvandla skjutvapen eller väsentliga delar,</w:t>
      </w:r>
    </w:p>
    <w:p>
      <w:pPr>
        <w:pStyle w:val="Point1"/>
        <w:rPr>
          <w:noProof/>
        </w:rPr>
      </w:pPr>
      <w:r>
        <w:rPr>
          <w:noProof/>
        </w:rPr>
        <w:t>b)</w:t>
      </w:r>
      <w:r>
        <w:rPr>
          <w:noProof/>
        </w:rPr>
        <w:tab/>
        <w:t>tillverka, bedriva handel eller byteshandel med, ändra eller omvandla ammunition,</w:t>
      </w:r>
    </w:p>
    <w:p>
      <w:pPr>
        <w:pStyle w:val="Point0"/>
        <w:rPr>
          <w:noProof/>
        </w:rPr>
      </w:pPr>
      <w:r>
        <w:rPr>
          <w:noProof/>
        </w:rPr>
        <w:t>10.</w:t>
      </w:r>
      <w:r>
        <w:rPr>
          <w:noProof/>
        </w:rPr>
        <w:tab/>
      </w:r>
      <w:r>
        <w:rPr>
          <w:i/>
          <w:iCs/>
          <w:noProof/>
        </w:rPr>
        <w:t>vapenmäklare</w:t>
      </w:r>
      <w:r>
        <w:rPr>
          <w:noProof/>
        </w:rPr>
        <w:t>: varje fysisk eller juridisk person, med undantag av vapenhandlare, vars näringsverksamhet helt eller delvis består av något av följande:</w:t>
      </w:r>
    </w:p>
    <w:p>
      <w:pPr>
        <w:pStyle w:val="Point1"/>
        <w:rPr>
          <w:noProof/>
        </w:rPr>
      </w:pPr>
      <w:r>
        <w:rPr>
          <w:noProof/>
        </w:rPr>
        <w:t>a)</w:t>
      </w:r>
      <w:r>
        <w:rPr>
          <w:noProof/>
        </w:rPr>
        <w:tab/>
        <w:t>förhandla om eller arrangera transaktioner för inköp, försäljning eller leverans av skjutvapen, väsentliga delar eller ammunition,</w:t>
      </w:r>
    </w:p>
    <w:p>
      <w:pPr>
        <w:pStyle w:val="Point1"/>
        <w:rPr>
          <w:noProof/>
        </w:rPr>
      </w:pPr>
      <w:r>
        <w:rPr>
          <w:noProof/>
        </w:rPr>
        <w:t>b)</w:t>
      </w:r>
      <w:r>
        <w:rPr>
          <w:noProof/>
        </w:rPr>
        <w:tab/>
        <w:t>arrangera överföringen av skjutvapen, väsentliga delar eller ammunition inom en medlemsstat, från en medlemsstat till en annan medlemsstat, från en medlemsstat till ett tredjeland eller från ett tredjeland till en medlemsstat,</w:t>
      </w:r>
    </w:p>
    <w:p>
      <w:pPr>
        <w:pStyle w:val="Point0"/>
        <w:rPr>
          <w:noProof/>
        </w:rPr>
      </w:pPr>
      <w:r>
        <w:rPr>
          <w:noProof/>
        </w:rPr>
        <w:t>11.</w:t>
      </w:r>
      <w:r>
        <w:rPr>
          <w:noProof/>
        </w:rPr>
        <w:tab/>
      </w:r>
      <w:r>
        <w:rPr>
          <w:i/>
          <w:iCs/>
          <w:noProof/>
        </w:rPr>
        <w:t>olaglig tillverkning</w:t>
      </w:r>
      <w:r>
        <w:rPr>
          <w:noProof/>
        </w:rPr>
        <w:t>: olaglig tillverkning eller sammansättning av skjutvapen, väsentliga delar till dessa och ammunition</w:t>
      </w:r>
    </w:p>
    <w:p>
      <w:pPr>
        <w:pStyle w:val="Point1"/>
        <w:rPr>
          <w:noProof/>
        </w:rPr>
      </w:pPr>
      <w:r>
        <w:rPr>
          <w:noProof/>
        </w:rPr>
        <w:t>a)</w:t>
      </w:r>
      <w:r>
        <w:rPr>
          <w:noProof/>
        </w:rPr>
        <w:tab/>
        <w:t>med hjälp av väsentliga delar till skjutvapen som varit föremål för olaglig handel,</w:t>
      </w:r>
    </w:p>
    <w:p>
      <w:pPr>
        <w:pStyle w:val="Point1"/>
        <w:rPr>
          <w:noProof/>
        </w:rPr>
      </w:pPr>
      <w:r>
        <w:rPr>
          <w:noProof/>
        </w:rPr>
        <w:t>b)</w:t>
      </w:r>
      <w:r>
        <w:rPr>
          <w:noProof/>
        </w:rPr>
        <w:tab/>
        <w:t>utan tillstånd som utfärdats i enlighet med artikel 4 av en behörig myndighet i den medlemsstat där tillverkningen eller sammansättningen har skett, eller</w:t>
      </w:r>
    </w:p>
    <w:p>
      <w:pPr>
        <w:pStyle w:val="Point1"/>
        <w:rPr>
          <w:noProof/>
        </w:rPr>
      </w:pPr>
      <w:r>
        <w:rPr>
          <w:noProof/>
        </w:rPr>
        <w:t>c)</w:t>
      </w:r>
      <w:r>
        <w:rPr>
          <w:noProof/>
        </w:rPr>
        <w:tab/>
        <w:t>utan märkning av vapnen då de tillverkas i enlighet med artikel 4,</w:t>
      </w:r>
    </w:p>
    <w:p>
      <w:pPr>
        <w:pStyle w:val="Point0"/>
        <w:rPr>
          <w:noProof/>
        </w:rPr>
      </w:pPr>
      <w:r>
        <w:rPr>
          <w:noProof/>
        </w:rPr>
        <w:t>12.</w:t>
      </w:r>
      <w:r>
        <w:rPr>
          <w:noProof/>
        </w:rPr>
        <w:tab/>
      </w:r>
      <w:r>
        <w:rPr>
          <w:i/>
          <w:iCs/>
          <w:noProof/>
        </w:rPr>
        <w:t>olaglig handel</w:t>
      </w:r>
      <w:r>
        <w:rPr>
          <w:noProof/>
        </w:rPr>
        <w:t>: förvärv, försäljning, leverans, transport och överföring av skjutvapen, väsentliga delar till dessa eller ammunition från en medlemsstat eller genom denna medlemsstat till en annan medlemsstat, om någon av de berörda medlemsstaterna inte tillåter det i enlighet med detta direktiv eller om skjutvapnen, de väsentliga delarna eller ammunitionen inte har märkts i enlighet med artikel 4,</w:t>
      </w:r>
    </w:p>
    <w:p>
      <w:pPr>
        <w:pStyle w:val="Point0"/>
        <w:rPr>
          <w:noProof/>
        </w:rPr>
      </w:pPr>
      <w:r>
        <w:rPr>
          <w:noProof/>
        </w:rPr>
        <w:t>13.</w:t>
      </w:r>
      <w:r>
        <w:rPr>
          <w:noProof/>
        </w:rPr>
        <w:tab/>
      </w:r>
      <w:r>
        <w:rPr>
          <w:i/>
          <w:iCs/>
          <w:noProof/>
        </w:rPr>
        <w:t>spårning</w:t>
      </w:r>
      <w:r>
        <w:rPr>
          <w:noProof/>
        </w:rPr>
        <w:t>: en systematisk utredning av hur skjutvapen och i förekommande fall väsentliga delar till dessa och ammunition går från tillverkare till köpare, i syfte att hjälpa medlemsstaternas behöriga myndigheter att upptäcka, utreda och analysera olaglig tillverkning och olaglig handel.</w:t>
      </w:r>
    </w:p>
    <w:p>
      <w:pPr>
        <w:rPr>
          <w:noProof/>
        </w:rPr>
      </w:pPr>
      <w:r>
        <w:rPr>
          <w:noProof/>
        </w:rPr>
        <w:t>2. Vid tillämpning av detta direktiv ska en person betraktas som bosatt i det land som anges i adressen i någon officiell handling som utvisar personens hemvist, såsom pass eller nationellt identitetskort som visas upp för behöriga myndigheterna i en medlemsstat eller för en vapenhandlare eller en vapenmäklare vid kontroll vid förvärv eller av innehav. Om en persons adress inte framgår av hans eller hennes pass eller nationella identitetskort ska bosättningslandet avgöras på grundval av andra officiella bevis för bosättning som godtas i den berörda medlemsstaten.</w:t>
      </w:r>
    </w:p>
    <w:p>
      <w:pPr>
        <w:rPr>
          <w:noProof/>
        </w:rPr>
      </w:pPr>
      <w:r>
        <w:rPr>
          <w:noProof/>
        </w:rPr>
        <w:t xml:space="preserve">3. Ett </w:t>
      </w:r>
      <w:r>
        <w:rPr>
          <w:i/>
          <w:iCs/>
          <w:noProof/>
        </w:rPr>
        <w:t>europeiskt skjutvapenpass</w:t>
      </w:r>
      <w:r>
        <w:rPr>
          <w:noProof/>
        </w:rPr>
        <w:t xml:space="preserve"> ska på begäran utfärdas av en medlemsstats behöriga myndigheter till en person som legalt förvärvar och använder ett skjutvapen. Passet ska ha en giltighetstid på högst fem år, som kan förlängas, och det ska innehålla de upplysningar som anges i bilaga II. Det ska vara en personlig handling där det eller de skjutvapen förs in som passets innehavare äger och använder i enlighet med passet. Då skjutvapnet används ska passet alltid medföras av den berörda personen och eventuella förändringar i skjutvapeninnehavet eller i skjutvapnets egenskaper ska anges i passet, liksom förlust eller stöld av skjutvapnet.</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1.2</w:t>
      </w:r>
    </w:p>
    <w:p>
      <w:pPr>
        <w:pStyle w:val="CRReference"/>
        <w:rPr>
          <w:i/>
          <w:noProof/>
          <w:lang w:val="sv-SE"/>
        </w:rPr>
      </w:pPr>
      <w:r>
        <w:rPr>
          <w:noProof/>
        </w:rPr>
        <w:fldChar w:fldCharType="begin"/>
      </w:r>
      <w:r>
        <w:rPr>
          <w:noProof/>
          <w:lang w:val="sv-SE"/>
        </w:rPr>
        <w:instrText xml:space="preserve"> QUOTE "</w:instrText>
      </w:r>
      <w:r>
        <w:rPr>
          <w:rStyle w:val="CRMarker"/>
          <w:noProof/>
          <w:lang w:val="sv-SE"/>
        </w:rPr>
        <w:instrText>è</w:instrText>
      </w:r>
      <w:r>
        <w:rPr>
          <w:noProof/>
          <w:lang w:val="sv-SE"/>
        </w:rPr>
        <w:instrText xml:space="preserve">" </w:instrText>
      </w:r>
      <w:r>
        <w:rPr>
          <w:noProof/>
        </w:rPr>
        <w:fldChar w:fldCharType="separate"/>
      </w:r>
      <w:r>
        <w:rPr>
          <w:rStyle w:val="CRMarker"/>
          <w:noProof/>
          <w:lang w:val="sv-SE"/>
        </w:rPr>
        <w:t>è</w:t>
      </w:r>
      <w:r>
        <w:rPr>
          <w:noProof/>
        </w:rPr>
        <w:fldChar w:fldCharType="end"/>
      </w:r>
      <w:r>
        <w:rPr>
          <w:rStyle w:val="CRRefNum"/>
          <w:noProof/>
          <w:lang w:val="sv-SE"/>
        </w:rPr>
        <w:t>1</w:t>
      </w:r>
      <w:r>
        <w:rPr>
          <w:noProof/>
          <w:lang w:val="sv-SE"/>
        </w:rPr>
        <w:t> Rättelse EUT L 160, 25.6.2018, s. 20</w:t>
      </w:r>
    </w:p>
    <w:p>
      <w:pPr>
        <w:pStyle w:val="Titrearticle"/>
        <w:rPr>
          <w:noProof/>
        </w:rPr>
      </w:pPr>
      <w:r>
        <w:rPr>
          <w:noProof/>
        </w:rPr>
        <w:t>Artikel 2</w:t>
      </w:r>
    </w:p>
    <w:p>
      <w:pPr>
        <w:rPr>
          <w:noProof/>
        </w:rPr>
      </w:pPr>
      <w:r>
        <w:rPr>
          <w:noProof/>
        </w:rPr>
        <w:t xml:space="preserve">1. Detta direktiv påverkar inte tillämpningen av nationella bestämmelser om rätten att bära vapen och om jakt eller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målskytte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om de vapen som används lagligen förvärvats och innehas i enlighet med detta direktiv.</w:t>
      </w:r>
    </w:p>
    <w:p>
      <w:pPr>
        <w:rPr>
          <w:noProof/>
        </w:rPr>
      </w:pPr>
      <w:r>
        <w:rPr>
          <w:noProof/>
        </w:rPr>
        <w:t>2. Detta direktiv ska inte tillämpas på förvärv eller innehav av vapen och ammunition i enlighet med nationell rätt av försvarsmakten, polisen eller de offentliga myndigheterna. Det ska inte heller tillämpas på överlåtelse som regleras i Europaparlamentets och rådets direktiv 2009/43/EG</w:t>
      </w:r>
      <w:r>
        <w:rPr>
          <w:rStyle w:val="FootnoteReference"/>
          <w:noProof/>
        </w:rPr>
        <w:footnoteReference w:id="22"/>
      </w:r>
      <w:r>
        <w:rPr>
          <w:noProof/>
        </w:rPr>
        <w:t>.</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 (anpassad)</w:t>
      </w:r>
    </w:p>
    <w:p>
      <w:pPr>
        <w:pStyle w:val="Titrearticle"/>
        <w:rPr>
          <w:noProof/>
        </w:rPr>
      </w:pPr>
      <w:r>
        <w:rPr>
          <w:noProof/>
        </w:rPr>
        <w:t>Artikel 3</w:t>
      </w:r>
    </w:p>
    <w:p>
      <w:pPr>
        <w:rPr>
          <w:noProof/>
        </w:rPr>
      </w:pPr>
      <w:r>
        <w:rPr>
          <w:noProof/>
        </w:rPr>
        <w:t>Medlemsstaterna får i sin lagstiftning anta strängare bestämmelser än vad som föreskrivs i detta direktiv, med förbehåll för de rättigheter som ges personer bosatta i medlemsstaterna genom artikel 17.2.</w:t>
      </w:r>
    </w:p>
    <w:p>
      <w:pPr>
        <w:pStyle w:val="ChapterTitle"/>
        <w:rPr>
          <w:noProof/>
        </w:rPr>
      </w:pPr>
      <w:r>
        <w:rPr>
          <w:noProof/>
        </w:rPr>
        <w:t>KAPITEL 2</w:t>
      </w:r>
    </w:p>
    <w:p>
      <w:pPr>
        <w:pStyle w:val="ChapterTitle"/>
        <w:rPr>
          <w:noProof/>
        </w:rPr>
      </w:pPr>
      <w:r>
        <w:rPr>
          <w:noProof/>
        </w:rPr>
        <w:t>Harmonisering av lagstiftningen om skjutvapen</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artikel 1.2</w:t>
      </w:r>
    </w:p>
    <w:p>
      <w:pPr>
        <w:pStyle w:val="Titrearticle"/>
        <w:rPr>
          <w:noProof/>
        </w:rPr>
      </w:pPr>
      <w:r>
        <w:rPr>
          <w:noProof/>
        </w:rPr>
        <w:t>Artikel 4</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1.3 a</w:t>
      </w:r>
    </w:p>
    <w:p>
      <w:pPr>
        <w:keepNext/>
        <w:rPr>
          <w:noProof/>
        </w:rPr>
      </w:pPr>
      <w:r>
        <w:rPr>
          <w:noProof/>
        </w:rPr>
        <w:t>1. När det gäller skjutvapen som tillverkats i eller importerats till unionen den 14 september 2018 eller senare ska medlemsstaterna säkerställa att alla skjutvapen eller väsentliga delar som släpps ut på marknaden har</w:t>
      </w:r>
    </w:p>
    <w:p>
      <w:pPr>
        <w:pStyle w:val="Point0"/>
        <w:keepNext/>
        <w:rPr>
          <w:noProof/>
        </w:rPr>
      </w:pPr>
      <w:r>
        <w:rPr>
          <w:noProof/>
        </w:rPr>
        <w:t>a)</w:t>
      </w:r>
      <w:r>
        <w:rPr>
          <w:noProof/>
        </w:rPr>
        <w:tab/>
        <w:t>försetts med en tydlig, permanent och unik märkning utan dröjsmål efter tillverkning och senast innan de släpps ut på marknaden, eller utan dröjsmål efter import till unionen, och</w:t>
      </w:r>
    </w:p>
    <w:p>
      <w:pPr>
        <w:pStyle w:val="Point0"/>
        <w:rPr>
          <w:noProof/>
        </w:rPr>
      </w:pPr>
      <w:r>
        <w:rPr>
          <w:noProof/>
        </w:rPr>
        <w:t>b)</w:t>
      </w:r>
      <w:r>
        <w:rPr>
          <w:noProof/>
        </w:rPr>
        <w:tab/>
        <w:t>registrerats i enlighet med detta direktiv utan dröjsmål efter tillverkning och senast innan de släpps ut på marknaden, eller utan dröjsmål efter import till unionen.</w:t>
      </w:r>
    </w:p>
    <w:p>
      <w:pPr>
        <w:rPr>
          <w:noProof/>
        </w:rPr>
      </w:pPr>
      <w:r>
        <w:rPr>
          <w:noProof/>
        </w:rPr>
        <w:t>2. Den unika märkning som avses i punkt 1 a ska inbegripa tillverkarens namn eller varumärkesnamnet, landet eller platsen för tillverkningen, serienumret och tillverkningsåret, om detta inte redan framgår av serienumret, samt om möjligt modellen. Detta ska inte påverka möjligheten att anbringa tillverkarens varumärke. Om en väsentlig del är för liten för att kunna märkas i enlighet med denna artikel ska den märkas med åtminstone ett serienummer eller en alfanumerisk eller digital kod.</w:t>
      </w:r>
    </w:p>
    <w:p>
      <w:pPr>
        <w:rPr>
          <w:noProof/>
        </w:rPr>
      </w:pPr>
      <w:r>
        <w:rPr>
          <w:noProof/>
        </w:rPr>
        <w:t>Märkningskraven för skjutvapen och väsentliga delar som är av särskilt stort historiskt värde ska fastställas i enlighet med nationell rätt.</w:t>
      </w:r>
    </w:p>
    <w:p>
      <w:pPr>
        <w:rPr>
          <w:noProof/>
        </w:rPr>
      </w:pPr>
      <w:r>
        <w:rPr>
          <w:noProof/>
        </w:rPr>
        <w:t>Medlemsstaterna ska säkerställa att varje enskild förpackning med komplett ammunition märks på ett sådant sätt att tillverkarens namn, varupartiets identifikationsnummer, kalibern och ammunitionstypen anges.</w:t>
      </w:r>
    </w:p>
    <w:p>
      <w:pPr>
        <w:rPr>
          <w:noProof/>
        </w:rPr>
      </w:pPr>
      <w:r>
        <w:rPr>
          <w:noProof/>
        </w:rPr>
        <w:t>Vid tillämpning av punkt 1 och den här punkten får medlemsstaterna välja att tillämpa bestämmelserna i konventionen av den 1 juli 1969 om ömsesidigt erkännande av kontrollstämplar på handeldvapen.</w:t>
      </w:r>
    </w:p>
    <w:p>
      <w:pPr>
        <w:rPr>
          <w:noProof/>
        </w:rPr>
      </w:pPr>
      <w:r>
        <w:rPr>
          <w:noProof/>
        </w:rPr>
        <w:t>När ett skjutvapen eller dess väsentliga delar överförs från en statlig depå till permanent civilt bruk ska medlemsstaterna dessutom säkerställa att det eller de förses med den unika märkning som föreskrivs i punkt 1 och som tillåter identifiering av den enhet från vilken överföringen har skett.</w:t>
      </w:r>
    </w:p>
    <w:p>
      <w:pPr>
        <w:rPr>
          <w:noProof/>
        </w:rPr>
      </w:pPr>
      <w:r>
        <w:rPr>
          <w:noProof/>
        </w:rPr>
        <w:t>3. Kommissionen ska anta genomförandeakter med tekniska specifikationer för märkningen. Dessa genomförandeakter ska antas i enlighet med det granskningsförfarande som avses i artikel 20.2.</w:t>
      </w:r>
    </w:p>
    <w:p>
      <w:pPr>
        <w:rPr>
          <w:noProof/>
        </w:rPr>
      </w:pPr>
      <w:r>
        <w:rPr>
          <w:noProof/>
        </w:rPr>
        <w:t>4. Medlemsstaterna ska inrätta ett system för reglering av vapenhandlar- och vapenmäklarverksamhet. Sådana system ska inbegripa åtminstone</w:t>
      </w:r>
    </w:p>
    <w:p>
      <w:pPr>
        <w:pStyle w:val="Point0"/>
        <w:rPr>
          <w:noProof/>
        </w:rPr>
      </w:pPr>
      <w:r>
        <w:rPr>
          <w:noProof/>
        </w:rPr>
        <w:t>a)</w:t>
      </w:r>
      <w:r>
        <w:rPr>
          <w:noProof/>
        </w:rPr>
        <w:tab/>
        <w:t>registrering av vapenhandlare och vapenmäklare som är verksamma på den medlemsstatens territorium,</w:t>
      </w:r>
    </w:p>
    <w:p>
      <w:pPr>
        <w:pStyle w:val="Point0"/>
        <w:rPr>
          <w:noProof/>
        </w:rPr>
      </w:pPr>
      <w:r>
        <w:rPr>
          <w:noProof/>
        </w:rPr>
        <w:t>b)</w:t>
      </w:r>
      <w:r>
        <w:rPr>
          <w:noProof/>
        </w:rPr>
        <w:tab/>
        <w:t>licens eller tillstånd för vapenhandlar- och vapenmäklarverksamhet på den medlemsstatens territorium, och</w:t>
      </w:r>
    </w:p>
    <w:p>
      <w:pPr>
        <w:pStyle w:val="Point0"/>
        <w:rPr>
          <w:noProof/>
        </w:rPr>
      </w:pPr>
      <w:r>
        <w:rPr>
          <w:noProof/>
        </w:rPr>
        <w:t>c)</w:t>
      </w:r>
      <w:r>
        <w:rPr>
          <w:noProof/>
        </w:rPr>
        <w:tab/>
        <w:t>en prövning av den berörda vapenhandlarens eller vapenmäklarens personliga och yrkesmässiga integritet och relevanta förmåga. I fråga om juridiska personer gäller prövningen både den juridiska personen och den fysiska person eller de personer som leder företaget.</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artikel 1.2 (anpassad)</w:t>
      </w: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è</w:instrText>
      </w:r>
      <w:r>
        <w:rPr>
          <w:noProof/>
          <w:lang w:val="sv-SE"/>
        </w:rPr>
        <w:instrText xml:space="preserve">" </w:instrText>
      </w:r>
      <w:r>
        <w:rPr>
          <w:noProof/>
        </w:rPr>
        <w:fldChar w:fldCharType="separate"/>
      </w:r>
      <w:r>
        <w:rPr>
          <w:rStyle w:val="CRMarker"/>
          <w:noProof/>
          <w:lang w:val="sv-SE"/>
        </w:rPr>
        <w:t>è</w:t>
      </w:r>
      <w:r>
        <w:rPr>
          <w:noProof/>
        </w:rPr>
        <w:fldChar w:fldCharType="end"/>
      </w:r>
      <w:r>
        <w:rPr>
          <w:rStyle w:val="CRRefNum"/>
          <w:noProof/>
          <w:lang w:val="sv-SE"/>
        </w:rPr>
        <w:t>1</w:t>
      </w:r>
      <w:r>
        <w:rPr>
          <w:noProof/>
          <w:lang w:val="sv-SE"/>
        </w:rPr>
        <w:t> 2017/853 artikel 1.3 b</w:t>
      </w:r>
    </w:p>
    <w:p>
      <w:pPr>
        <w:rPr>
          <w:noProof/>
        </w:rPr>
      </w:pPr>
      <w:r>
        <w:rPr>
          <w:noProof/>
        </w:rPr>
        <w:t xml:space="preserve">5. Medlemsstaterna ska föra antingen ett centraliserat eller ett decentraliserat datoriserat register som garanterar behöriga myndigheter tillgång till de register där varje skjutvapen som omfattas av detta direktiv registreras.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Det registret ska omfatta alla de uppgifter med anknytning till skjutvapen som krävs för att spåra och identifiera skjutvapnen i fråga, däribland</w:t>
      </w:r>
    </w:p>
    <w:p>
      <w:pPr>
        <w:pStyle w:val="Point0"/>
        <w:rPr>
          <w:noProof/>
        </w:rPr>
      </w:pPr>
      <w:r>
        <w:rPr>
          <w:noProof/>
        </w:rPr>
        <w:t>a)</w:t>
      </w:r>
      <w:r>
        <w:rPr>
          <w:noProof/>
        </w:rPr>
        <w:tab/>
        <w:t>typ, märke, modell, kaliber och serienummer för varje skjutvapen samt den märkning som anbringats på dess stomme eller låda som en unik märkning i enlighet med punkt 1, varigenom varje skjutvapens unika identitet ska fastställas,</w:t>
      </w:r>
    </w:p>
    <w:p>
      <w:pPr>
        <w:pStyle w:val="Point0"/>
        <w:rPr>
          <w:noProof/>
        </w:rPr>
      </w:pPr>
      <w:r>
        <w:rPr>
          <w:noProof/>
        </w:rPr>
        <w:t>b)</w:t>
      </w:r>
      <w:r>
        <w:rPr>
          <w:noProof/>
        </w:rPr>
        <w:tab/>
        <w:t>det serienummer eller den unika märkning som anbringats på de väsentliga delarna, om det eller den skiljer sig från märkningen på skjutvapnets stomme eller låda,</w:t>
      </w:r>
    </w:p>
    <w:p>
      <w:pPr>
        <w:pStyle w:val="Point0"/>
        <w:rPr>
          <w:noProof/>
        </w:rPr>
      </w:pPr>
      <w:r>
        <w:rPr>
          <w:noProof/>
        </w:rPr>
        <w:t>c)</w:t>
      </w:r>
      <w:r>
        <w:rPr>
          <w:noProof/>
        </w:rPr>
        <w:tab/>
        <w:t>namn och adress avseende leverantörerna av och förvärvarna av eller ägarna till skjutvapnet, tillsammans med relevant eller relevanta datum, och</w:t>
      </w:r>
    </w:p>
    <w:p>
      <w:pPr>
        <w:pStyle w:val="Point0"/>
        <w:rPr>
          <w:noProof/>
        </w:rPr>
      </w:pPr>
      <w:r>
        <w:rPr>
          <w:noProof/>
        </w:rPr>
        <w:t>d)</w:t>
      </w:r>
      <w:r>
        <w:rPr>
          <w:noProof/>
        </w:rPr>
        <w:tab/>
        <w:t>angivelser om omvandlingar eller ändringar av skjutvapnet som leder till att dess kategori eller underkategori ändras, inklusive certifierad deaktivering eller skrotning, med relevant eller relevanta datum.</w:t>
      </w:r>
    </w:p>
    <w:p>
      <w:pPr>
        <w:rPr>
          <w:noProof/>
        </w:rPr>
      </w:pPr>
      <w:r>
        <w:rPr>
          <w:noProof/>
        </w:rPr>
        <w:t>Medlemsstaterna ska säkerställa att de behöriga myndigheterna behåller uppgifterna för skjutvapen och väsentliga delar i registret, inklusive tillhörande personuppgifter, under en period av 30 år efter det att skjutvapnen eller de väsentliga delarna i fråga skrotats.</w:t>
      </w:r>
    </w:p>
    <w:p>
      <w:pPr>
        <w:rPr>
          <w:noProof/>
        </w:rPr>
      </w:pPr>
      <w:r>
        <w:rPr>
          <w:noProof/>
        </w:rPr>
        <w:t>Registeruppgifterna för skjutvapen och de väsentliga delar som avses i första stycket i denna punkt och tillhörande personuppgifter ska kunna tas del av</w:t>
      </w:r>
    </w:p>
    <w:p>
      <w:pPr>
        <w:pStyle w:val="Point0"/>
        <w:rPr>
          <w:noProof/>
        </w:rPr>
      </w:pPr>
      <w:r>
        <w:rPr>
          <w:noProof/>
        </w:rPr>
        <w:t>a)</w:t>
      </w:r>
      <w:r>
        <w:rPr>
          <w:noProof/>
        </w:rPr>
        <w:tab/>
        <w:t>för myndigheter med behörighet att bevilja eller återkalla de tillstånd som avses i artikel 9 eller 10 eller för myndigheter med behörighet för tullförfaranden för en period om 10 år efter det att skjutvapnet eller de väsentliga delarna i fråga skrotats, och</w:t>
      </w:r>
    </w:p>
    <w:p>
      <w:pPr>
        <w:pStyle w:val="Point0"/>
        <w:rPr>
          <w:noProof/>
        </w:rPr>
      </w:pPr>
      <w:r>
        <w:rPr>
          <w:noProof/>
        </w:rPr>
        <w:t>b)</w:t>
      </w:r>
      <w:r>
        <w:rPr>
          <w:noProof/>
        </w:rPr>
        <w:tab/>
        <w:t>för myndigheter med behörighet att förebygga, utreda, avslöja eller lagföra brott eller verkställa straffrättsliga påföljder för en period om 30 år efter det att skjutvapnet eller de väsentliga delarna i fråga skrotats.</w:t>
      </w:r>
    </w:p>
    <w:p>
      <w:pPr>
        <w:rPr>
          <w:noProof/>
        </w:rPr>
      </w:pPr>
      <w:r>
        <w:rPr>
          <w:noProof/>
        </w:rPr>
        <w:t xml:space="preserve">Medlemsstaterna ska säkerställa att personuppgifterna raderas från registret vid utgången av de perioder som anges i andra och tredje stycket. Detta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ska inte påverka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fall där specifika personuppgifter har överförts till en myndighet med behörighet att förebygga, utreda, avslöja eller lagföra brott eller verkställa straffrättsliga påföljder och används i det specifika sammanhanget, eller till andra myndigheter som är behöriga för jämförbara ändamål som föreskrivs i nationell rätt. I dessa fall ska de behöriga myndigheternas behandling av sådana uppgifter regleras av den berörda medlemsstatens nationella rätt, till fullo i överensstämmelse med unionsrätten, i synnerhet dess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dataskyddsregler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1.3 b</w:t>
      </w:r>
    </w:p>
    <w:p>
      <w:pPr>
        <w:rPr>
          <w:noProof/>
        </w:rPr>
      </w:pPr>
      <w:r>
        <w:rPr>
          <w:noProof/>
        </w:rPr>
        <w:t>Vapenhandlare och vapenmäklare ska vara skyldiga att, så länge verksamheten bedrivs, föra ett register där varje skjutvapen och varje väsentlig del som omfattas av detta direktiv och som de tagit emot eller lämnat ut registreras, tillsammans med uppgifter som gör det möjligt att identifiera och spåra det berörda skjutvapnet eller de berörda väsentliga delarna, särskilt uppgifter om typ, märke, modell, kaliber och serienummer samt leverantörers och förvärvares namn och adress.</w:t>
      </w:r>
    </w:p>
    <w:p>
      <w:pPr>
        <w:rPr>
          <w:noProof/>
        </w:rPr>
      </w:pPr>
      <w:r>
        <w:rPr>
          <w:noProof/>
        </w:rPr>
        <w:t>Efter det att deras verksamhet har upphört ska vapenhandlarna och vapenmäklarna överlämna det registret till de nationella myndigheter som är ansvariga för det register som avses i första stycket.</w:t>
      </w:r>
    </w:p>
    <w:p>
      <w:pPr>
        <w:rPr>
          <w:noProof/>
        </w:rPr>
      </w:pPr>
      <w:r>
        <w:rPr>
          <w:noProof/>
        </w:rPr>
        <w:t>Medlemsstater ska säkerställa att vapenhandlare och vapenmäklare som är etablerade på dess territorium rapporterar transaktioner som inbegriper skjutvapen eller väsentliga delar utan onödigt dröjsmål till de behöriga nationella myndigheterna, att vapenhandlare och vapenmäklare kan kommunicera elektroniskt med de myndigheterna för sådana rapporteringsändamål och att registret uppdateras omedelbart efter det att de mottagit uppgifter om sådana transaktioner.</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1.3 c</w:t>
      </w:r>
    </w:p>
    <w:p>
      <w:pPr>
        <w:rPr>
          <w:noProof/>
        </w:rPr>
      </w:pPr>
      <w:r>
        <w:rPr>
          <w:noProof/>
        </w:rPr>
        <w:t>6. Medlemsstaterna ska se till att alla skjutvapen vid varje givet tillfälle kan kopplas till sina respektive ägare.</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1.4</w:t>
      </w:r>
    </w:p>
    <w:p>
      <w:pPr>
        <w:pStyle w:val="Titrearticle"/>
        <w:rPr>
          <w:noProof/>
        </w:rPr>
      </w:pPr>
      <w:r>
        <w:rPr>
          <w:noProof/>
        </w:rPr>
        <w:t>Artikel 5</w:t>
      </w:r>
    </w:p>
    <w:p>
      <w:pPr>
        <w:rPr>
          <w:noProof/>
        </w:rPr>
      </w:pPr>
      <w:r>
        <w:rPr>
          <w:noProof/>
        </w:rPr>
        <w:t>Utan att det påverkar tillämpningen av artikel 3 ska medlemsstaterna tillåta förvärv och innehav av skjutvapen bara för personer som har beviljats en licens eller, när det gäller skjutvapen i kategori C, för personer som har erhållit ett särskilt tillstånd för förvärv och innehav av sådana skjutvapen i enlighet med nationell rätt.</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1.6 (anpassad)</w:t>
      </w:r>
    </w:p>
    <w:p>
      <w:pPr>
        <w:pStyle w:val="CRReference"/>
        <w:rPr>
          <w:i/>
          <w:noProof/>
          <w:lang w:val="sv-SE"/>
        </w:rPr>
      </w:pPr>
      <w:r>
        <w:rPr>
          <w:noProof/>
        </w:rPr>
        <w:fldChar w:fldCharType="begin"/>
      </w:r>
      <w:r>
        <w:rPr>
          <w:noProof/>
          <w:lang w:val="sv-SE"/>
        </w:rPr>
        <w:instrText xml:space="preserve"> QUOTE "</w:instrText>
      </w:r>
      <w:r>
        <w:rPr>
          <w:rStyle w:val="CRMarker"/>
          <w:noProof/>
          <w:lang w:val="sv-SE"/>
        </w:rPr>
        <w:instrText>è</w:instrText>
      </w:r>
      <w:r>
        <w:rPr>
          <w:noProof/>
          <w:lang w:val="sv-SE"/>
        </w:rPr>
        <w:instrText xml:space="preserve">" </w:instrText>
      </w:r>
      <w:r>
        <w:rPr>
          <w:noProof/>
        </w:rPr>
        <w:fldChar w:fldCharType="separate"/>
      </w:r>
      <w:r>
        <w:rPr>
          <w:rStyle w:val="CRMarker"/>
          <w:noProof/>
          <w:lang w:val="sv-SE"/>
        </w:rPr>
        <w:t>è</w:t>
      </w:r>
      <w:r>
        <w:rPr>
          <w:noProof/>
        </w:rPr>
        <w:fldChar w:fldCharType="end"/>
      </w:r>
      <w:r>
        <w:rPr>
          <w:rStyle w:val="CRRefNum"/>
          <w:noProof/>
          <w:lang w:val="sv-SE"/>
        </w:rPr>
        <w:t>1</w:t>
      </w:r>
      <w:r>
        <w:rPr>
          <w:noProof/>
          <w:lang w:val="sv-SE"/>
        </w:rPr>
        <w:t> Rättelse EUT L 160, 25.6.2018, s. 20</w:t>
      </w:r>
    </w:p>
    <w:p>
      <w:pPr>
        <w:pStyle w:val="Titrearticle"/>
        <w:rPr>
          <w:noProof/>
        </w:rPr>
      </w:pPr>
      <w:r>
        <w:rPr>
          <w:noProof/>
        </w:rPr>
        <w:t>Artikel 6</w:t>
      </w:r>
    </w:p>
    <w:p>
      <w:pPr>
        <w:rPr>
          <w:noProof/>
        </w:rPr>
      </w:pPr>
      <w:r>
        <w:rPr>
          <w:noProof/>
        </w:rPr>
        <w:t>1. Utan att det påverkar tillämpningen av artikel 3 ska medlemsstaterna tillåta förvärv och innehav av skjutvapen bara för personer som har giltiga skäl och som</w:t>
      </w:r>
    </w:p>
    <w:p>
      <w:pPr>
        <w:pStyle w:val="Point0"/>
        <w:rPr>
          <w:noProof/>
        </w:rPr>
      </w:pPr>
      <w:r>
        <w:rPr>
          <w:noProof/>
        </w:rPr>
        <w:t>a)</w:t>
      </w:r>
      <w:r>
        <w:rPr>
          <w:noProof/>
        </w:rPr>
        <w:tab/>
        <w:t xml:space="preserve">fyllt 18 år; undantag ska dock göras för dels annat förvärv än köp, dels för innehav av skjutvapen avsedda för jakt och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målskytte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förutsatt att personer under 18 år i detta fall har föräldrarnas tillstånd eller får vägledning från en förälder eller en vuxen med en giltig skjutvapenlicens eller jaktlicens eller befinner sig på ett licensierat eller på annat sätt godkänt träningscenter och att föräldern, eller en vuxen med en giltig skjutvapenlicens eller jaktlicens, tar ansvar för lämplig förvaring enligt artikel 7, och</w:t>
      </w:r>
    </w:p>
    <w:p>
      <w:pPr>
        <w:pStyle w:val="Point0"/>
        <w:rPr>
          <w:noProof/>
        </w:rPr>
      </w:pPr>
      <w:r>
        <w:rPr>
          <w:noProof/>
        </w:rPr>
        <w:t>b)</w:t>
      </w:r>
      <w:r>
        <w:rPr>
          <w:noProof/>
        </w:rPr>
        <w:tab/>
        <w:t>inte kan antas utgöra en fara för sig själva eller andra eller för allmän ordning och säkerhet. Det faktum att en person har befunnits skyldig till ett uppsåtligt våldsbrott, ska anses tala för att sådan fara föreligger.</w:t>
      </w:r>
    </w:p>
    <w:p>
      <w:pPr>
        <w:rPr>
          <w:noProof/>
        </w:rPr>
      </w:pPr>
      <w:r>
        <w:rPr>
          <w:noProof/>
        </w:rPr>
        <w:t>2. Medlemsstaterna ska ha ett övervakningssystem, där övervakningen kan ske fortlöpande eller på annat sätt, i syfte att säkerställa att de villkor för tillstånd som fastställs i nationell rätt är uppfyllda under den tid som tillståndet gäller och att det görs bedömningar av bl.a. relevant medicinsk och psykologisk information. De specifika formerna ska fastställas i enlighet med nationell rätt.</w:t>
      </w:r>
    </w:p>
    <w:p>
      <w:pPr>
        <w:rPr>
          <w:noProof/>
        </w:rPr>
      </w:pPr>
      <w:r>
        <w:rPr>
          <w:noProof/>
        </w:rPr>
        <w:t>Om något av dessa villkor för tillstånd inte längre är uppfyllt ska medlemsstaterna återkalla respektive tillstånd.</w:t>
      </w:r>
    </w:p>
    <w:p>
      <w:pPr>
        <w:rPr>
          <w:noProof/>
        </w:rPr>
      </w:pPr>
      <w:r>
        <w:rPr>
          <w:noProof/>
        </w:rPr>
        <w:t>Medlemsstaterna får inte förbjuda personer bosatta inom deras territorier att inneha skjutvapen som förvärvats i en annan medlemsstat, om de inte förbjuder förvärv av samma typ av skjutvapen inom sitt eget territorium.</w:t>
      </w:r>
    </w:p>
    <w:p>
      <w:pPr>
        <w:rPr>
          <w:noProof/>
        </w:rPr>
      </w:pPr>
      <w:r>
        <w:rPr>
          <w:noProof/>
        </w:rPr>
        <w:t>3. Medlemsstaterna ska säkerställa att tillstånd att förvärva och tillstånd att inneha ett skjutvapen i kategori B ska återkallas om det framkommer att den person som beviljades det tillståndet innehar en laddningsanordning som är möjlig att montera på halvautomatiska skjutvapen med centralantändning eller repeterande skjutvapen och</w:t>
      </w:r>
    </w:p>
    <w:p>
      <w:pPr>
        <w:pStyle w:val="Point0"/>
        <w:rPr>
          <w:noProof/>
        </w:rPr>
      </w:pPr>
      <w:r>
        <w:rPr>
          <w:noProof/>
        </w:rPr>
        <w:t>a)</w:t>
      </w:r>
      <w:r>
        <w:rPr>
          <w:noProof/>
        </w:rPr>
        <w:tab/>
        <w:t>som kan innehålla mer än 20 patroner, eller</w:t>
      </w:r>
    </w:p>
    <w:p>
      <w:pPr>
        <w:pStyle w:val="Point0"/>
        <w:rPr>
          <w:noProof/>
        </w:rPr>
      </w:pPr>
      <w:r>
        <w:rPr>
          <w:noProof/>
        </w:rPr>
        <w:t>b)</w:t>
      </w:r>
      <w:r>
        <w:rPr>
          <w:noProof/>
        </w:rPr>
        <w:tab/>
        <w:t>i fall av långa skjutvapen kan innehålla mer än 10 patroner,</w:t>
      </w:r>
    </w:p>
    <w:p>
      <w:pPr>
        <w:rPr>
          <w:noProof/>
        </w:rPr>
      </w:pPr>
      <w:r>
        <w:rPr>
          <w:noProof/>
        </w:rPr>
        <w:t>såvida inte personen har beviljats tillstånd enligt artikel 9 eller tillstånd som har bekräftats, förnyats eller förlängts enligt artikel 10.5.</w:t>
      </w:r>
    </w:p>
    <w:p>
      <w:pPr>
        <w:pStyle w:val="Titrearticle"/>
        <w:rPr>
          <w:noProof/>
        </w:rPr>
      </w:pPr>
      <w:r>
        <w:rPr>
          <w:noProof/>
        </w:rPr>
        <w:t>Artikel 7</w:t>
      </w:r>
    </w:p>
    <w:p>
      <w:pPr>
        <w:rPr>
          <w:noProof/>
        </w:rPr>
      </w:pPr>
      <w:r>
        <w:rPr>
          <w:noProof/>
        </w:rPr>
        <w:t>För att minimera risken att en obehörig person får tag i skjutvapen och ammunition ska medlemsstaterna fastställa regler för lämplig övervakning av skjutvapen och ammunition samt regler för hur dessa ska förvaras på ett lämpligt och säkert sätt. Skjutvapen och ammunition till skjutvapen får inte förvaras lättillgängligt tillsammans. Lämplig övervakning ska innebära att den person som lagligt innehar skjutvapnet eller ammunitionen i fråga har kontroll över det/den under dess transport och användning. Kontrollnivån för lämpliga förvaringsarrangemang ska återspegla antal och kategori av de berörda skjutvapnen och ammunitionen i fråga.</w:t>
      </w:r>
    </w:p>
    <w:p>
      <w:pPr>
        <w:pStyle w:val="Titrearticle"/>
        <w:rPr>
          <w:noProof/>
        </w:rPr>
      </w:pPr>
      <w:r>
        <w:rPr>
          <w:noProof/>
        </w:rPr>
        <w:t>Artikel 8</w:t>
      </w:r>
    </w:p>
    <w:p>
      <w:pPr>
        <w:rPr>
          <w:noProof/>
        </w:rPr>
      </w:pPr>
      <w:r>
        <w:rPr>
          <w:noProof/>
        </w:rPr>
        <w:t xml:space="preserve">Medlemsstaterna ska, i fall då skjutvapen, väsentliga delar eller ammunition i kategorierna A, B eller C förvärvas och säljs genom </w:t>
      </w:r>
      <w:r>
        <w:rPr>
          <w:i/>
          <w:iCs/>
          <w:noProof/>
        </w:rPr>
        <w:t>distansavtal</w:t>
      </w:r>
      <w:r>
        <w:rPr>
          <w:noProof/>
        </w:rPr>
        <w:t xml:space="preserve"> enligt definitionen i artikel 2 led 7 i direktiv 2011/83/EU, säkerställa att identitet och, när så krävs, tillstånd för förvärvaren av skjutvapnet, de väsentliga delarna eller ammunitionen kontrolleras före eller allra senast vid leveransen av dessa till personen i fråga genom</w:t>
      </w:r>
    </w:p>
    <w:p>
      <w:pPr>
        <w:pStyle w:val="Point0"/>
        <w:rPr>
          <w:noProof/>
        </w:rPr>
      </w:pPr>
      <w:r>
        <w:rPr>
          <w:noProof/>
        </w:rPr>
        <w:t>a)</w:t>
      </w:r>
      <w:r>
        <w:rPr>
          <w:noProof/>
        </w:rPr>
        <w:tab/>
        <w:t>en vapenhandlare eller vapenmäklare som är licensierad eller har tillstånd, eller</w:t>
      </w:r>
    </w:p>
    <w:p>
      <w:pPr>
        <w:pStyle w:val="Point0"/>
        <w:rPr>
          <w:noProof/>
        </w:rPr>
      </w:pPr>
      <w:r>
        <w:rPr>
          <w:noProof/>
        </w:rPr>
        <w:t>b)</w:t>
      </w:r>
      <w:r>
        <w:rPr>
          <w:noProof/>
        </w:rPr>
        <w:tab/>
        <w:t>en offentlig myndighet eller en företrädare för den myndigheten.</w:t>
      </w:r>
    </w:p>
    <w:p>
      <w:pPr>
        <w:pStyle w:val="Titrearticle"/>
        <w:rPr>
          <w:noProof/>
        </w:rPr>
      </w:pPr>
      <w:r>
        <w:rPr>
          <w:noProof/>
        </w:rPr>
        <w:t>Artikel 9</w:t>
      </w:r>
    </w:p>
    <w:p>
      <w:pPr>
        <w:rPr>
          <w:noProof/>
        </w:rPr>
      </w:pPr>
      <w:r>
        <w:rPr>
          <w:noProof/>
        </w:rPr>
        <w:t>1. Utan att det påverkar tillämpningen av artikel 2.2 ska medlemsstaterna vidta alla lämpliga åtgärder för att förbjuda förvärv och innehav av skjutvapen, väsentliga delar och ammunition i kategori A. De ska säkerställa att skjutvapen, väsentliga delar och ammunition som innehas olagligt i strid med detta förbud beslagtas.</w:t>
      </w:r>
    </w:p>
    <w:p>
      <w:pPr>
        <w:rPr>
          <w:noProof/>
        </w:rPr>
      </w:pPr>
      <w:r>
        <w:rPr>
          <w:noProof/>
        </w:rPr>
        <w:t>2. För skydd av säkerheten för kritisk infrastruktur, kommersiell sjöfart, konvojer av högt värde och känsliga fastigheter och för ändamål som rör det nationella försvaret, utbildnings-, kultur- och forskningsändamål samt historiska ändamål, får de nationella behöriga myndigheterna, utan att det påverkar tillämpningen av punkt 1, i enskilda och vederbörligen motiverade undantagsfall bevilja tillstånd för skjutvapen, väsentliga delar och ammunition i kategori A om detta inte är i strid mot allmän säkerhet eller allmän ordning.</w:t>
      </w:r>
    </w:p>
    <w:p>
      <w:pPr>
        <w:rPr>
          <w:noProof/>
        </w:rPr>
      </w:pPr>
      <w:r>
        <w:rPr>
          <w:noProof/>
        </w:rPr>
        <w:t>3. Medlemsstaterna får i särskilda enskilda och vederbörligen motiverade undantagsfall besluta att bevilja samlare tillstånd att förvärva och inneha skjutvapen, väsentliga delar och ammunition i kategori A, under förutsättning att strikta säkerhetsvillkor är på plats och att samlarna för de nationella behöriga myndigheterna visar att åtgärder vidtagits för att motverka eventuella risker för den allmänna säkerheten eller den allmänna ordningen och att skjutvapnen, de väsentliga delarna eller ammunitionen i fråga förvaras på ett säkert sätt motsvarande de risker som är förbundna med obehörig tillgång till sådana produkter.</w:t>
      </w:r>
    </w:p>
    <w:p>
      <w:pPr>
        <w:rPr>
          <w:noProof/>
        </w:rPr>
      </w:pPr>
      <w:r>
        <w:rPr>
          <w:noProof/>
        </w:rPr>
        <w:t>Medlemsstaterna ska säkerställa att samlare som beviljats tillstånd enligt första stycket i denna punkt är identifierbara i det register som avses i artikel 4. Sådana samlare med tillstånd ska vara skyldiga att föra register över samtliga skjutvapen i kategori A som de innehar, och nämnda register ska vara tillgängligt för de nationella behöriga myndigheterna. Medlemsstaterna ska inrätta ett lämpligt övervakningssystem för sådana samlare med tillstånd, med beaktande av alla relevanta faktorer.</w:t>
      </w:r>
    </w:p>
    <w:p>
      <w:pPr>
        <w:rPr>
          <w:noProof/>
        </w:rPr>
      </w:pPr>
      <w:r>
        <w:rPr>
          <w:noProof/>
        </w:rPr>
        <w:t>4. Medlemsstaterna får tillåta vapenhandlare eller vapenmäklare att inom ramen för sin respektive yrkesutövning – och under förutsättning att strikta villkor om säkerhet är uppfyllda – förvärva, tillverka, deaktivera, reparera, leverera, överföra och inneha skjutvapen, väsentliga delar till skjutvapen och ammunition i kategori A.</w:t>
      </w:r>
    </w:p>
    <w:p>
      <w:pPr>
        <w:rPr>
          <w:noProof/>
        </w:rPr>
      </w:pPr>
      <w:r>
        <w:rPr>
          <w:noProof/>
        </w:rPr>
        <w:t>5. Medlemsstaterna får tillåta museer att förvärva och inneha skjutvapen, väsentliga delar och ammunition i kategori A under förutsättning att strikta villkor om säkerhet är uppfyllda.</w:t>
      </w:r>
    </w:p>
    <w:p>
      <w:pPr>
        <w:rPr>
          <w:noProof/>
        </w:rPr>
      </w:pPr>
      <w:r>
        <w:rPr>
          <w:noProof/>
        </w:rPr>
        <w:t xml:space="preserve">6. Medlemsstaterna får tillåta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målskyttar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att förvärva och inneha halvautomatiska skjutvapen i kategori A punkterna 6 eller 7 under förutsättning att följande villkor är uppfyllda:</w:t>
      </w:r>
    </w:p>
    <w:p>
      <w:pPr>
        <w:pStyle w:val="Point0"/>
        <w:rPr>
          <w:noProof/>
        </w:rPr>
      </w:pPr>
      <w:r>
        <w:rPr>
          <w:noProof/>
        </w:rPr>
        <w:t>a)</w:t>
      </w:r>
      <w:r>
        <w:rPr>
          <w:noProof/>
        </w:rPr>
        <w:tab/>
        <w:t>En tillfredsställande bedömning av de relevanta uppgifterna till följd av tillämpningen av artikel 6.2.</w:t>
      </w:r>
    </w:p>
    <w:p>
      <w:pPr>
        <w:pStyle w:val="Point0"/>
        <w:rPr>
          <w:noProof/>
        </w:rPr>
      </w:pPr>
      <w:r>
        <w:rPr>
          <w:noProof/>
        </w:rPr>
        <w:t>b)</w:t>
      </w:r>
      <w:r>
        <w:rPr>
          <w:noProof/>
        </w:rPr>
        <w:tab/>
        <w:t xml:space="preserve">Tillhandahållande av bevis för att den berörda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målskytten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aktivt tränar inför eller deltar i skyttetävlingar som erkänns av en officiellt erkänd skyttesportorganisation i den berörda medlemsstaten eller av ett internationellt etablerat och officiellt erkänt skyttesportförbund.</w:t>
      </w:r>
    </w:p>
    <w:p>
      <w:pPr>
        <w:pStyle w:val="Point0"/>
        <w:rPr>
          <w:noProof/>
        </w:rPr>
      </w:pPr>
      <w:r>
        <w:rPr>
          <w:noProof/>
        </w:rPr>
        <w:t>c)</w:t>
      </w:r>
      <w:r>
        <w:rPr>
          <w:noProof/>
        </w:rPr>
        <w:tab/>
        <w:t>Tillhandahållande av ett intyg från en officiellt erkänd skyttesportorganisation som styrker att</w:t>
      </w:r>
    </w:p>
    <w:p>
      <w:pPr>
        <w:pStyle w:val="Point1"/>
        <w:rPr>
          <w:noProof/>
        </w:rPr>
      </w:pPr>
      <w:r>
        <w:rPr>
          <w:noProof/>
        </w:rPr>
        <w:t>i)</w:t>
      </w:r>
      <w:r>
        <w:rPr>
          <w:noProof/>
        </w:rPr>
        <w:tab/>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målskytten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är medlem i en skytteklubb och regelbundet har bedrivit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målskytte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vid denna klubb under minst tolv månader, och</w:t>
      </w:r>
    </w:p>
    <w:p>
      <w:pPr>
        <w:pStyle w:val="Point1"/>
        <w:rPr>
          <w:noProof/>
        </w:rPr>
      </w:pPr>
      <w:r>
        <w:rPr>
          <w:noProof/>
        </w:rPr>
        <w:t>ii)</w:t>
      </w:r>
      <w:r>
        <w:rPr>
          <w:noProof/>
        </w:rPr>
        <w:tab/>
        <w:t>skjutvapnet i fråga uppfyller de specifikationer som krävs för utövande av en skyttegren som erkänns av ett internationellt etablerat och officiellt erkänt skyttesportförbund.</w:t>
      </w:r>
    </w:p>
    <w:p>
      <w:pPr>
        <w:rPr>
          <w:noProof/>
        </w:rPr>
      </w:pPr>
      <w:r>
        <w:rPr>
          <w:noProof/>
        </w:rPr>
        <w:t xml:space="preserve">När det gäller skjutvapen i kategori A punkt 6 får medlemsstater som tillämpar ett militärt system som grundar sig på allmän värnplikt och som under de senaste 50 åren har tillämpat ett system med överföring av militära skjutvapen till personer som lämnar armén efter att ha fullgjort sin militärtjänst, bevilja dessa personer tillstånd, i deras egenskap av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målskyttar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att behålla ett skjutvapen som använts under den obligatoriska militärtjänstgöringen. Den relevanta offentliga myndigheten ska omvandla dessa skjutvapen till halvautomatiska skjutvapen, och ska regelbundet kontrollera att de personer som använder skjutvapnen inte utgör en risk för den allmänna säkerheten. Bestämmelserna som fastställs i första stycket leden a, b och c ska tillämpas.</w:t>
      </w:r>
    </w:p>
    <w:p>
      <w:pPr>
        <w:rPr>
          <w:noProof/>
        </w:rPr>
      </w:pPr>
      <w:r>
        <w:rPr>
          <w:noProof/>
        </w:rPr>
        <w:t>7. Tillstånd som beviljas enligt denna artikel ska regelbundet omprövas, med intervaller som inte överstiger fem år.</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w:t>
      </w:r>
    </w:p>
    <w:p>
      <w:pPr>
        <w:pStyle w:val="Titrearticle"/>
        <w:rPr>
          <w:noProof/>
        </w:rPr>
      </w:pPr>
      <w:r>
        <w:rPr>
          <w:noProof/>
        </w:rPr>
        <w:t>Artikel 10</w:t>
      </w:r>
    </w:p>
    <w:p>
      <w:pPr>
        <w:rPr>
          <w:noProof/>
        </w:rPr>
      </w:pPr>
      <w:r>
        <w:rPr>
          <w:noProof/>
        </w:rPr>
        <w:t>1. Ett skjutvapen i kategori B får inte förvärvas inom en medlemsstats territorium utan den medlemsstatens tillstånd.</w:t>
      </w:r>
    </w:p>
    <w:p>
      <w:pPr>
        <w:rPr>
          <w:noProof/>
        </w:rPr>
      </w:pPr>
      <w:r>
        <w:rPr>
          <w:noProof/>
        </w:rPr>
        <w:t>Ett sådant tillstånd får inte ges till en person som är bosatt i en annan medlemsstat utan den senare statens föregående samtycke.</w:t>
      </w:r>
    </w:p>
    <w:p>
      <w:pPr>
        <w:rPr>
          <w:noProof/>
        </w:rPr>
      </w:pPr>
      <w:r>
        <w:rPr>
          <w:noProof/>
        </w:rPr>
        <w:t>2. Ett skjutvapen i kategori B får inte innehas inom en medlemsstats territorium utan den medlemsstatens tillstånd. Om innehavaren av vapnet är bosatt i en annan medlemsstat ska denna informeras.</w:t>
      </w:r>
    </w:p>
    <w:p>
      <w:pPr>
        <w:rPr>
          <w:noProof/>
        </w:rPr>
      </w:pPr>
      <w:r>
        <w:rPr>
          <w:noProof/>
        </w:rPr>
        <w:t>3. Tillstånd att förvärva och tillstånd att inneha ett skjutvapen i kategori B får ges i ett gemensamt förvaltningsbeslut.</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artikel 1.6 (anpassad)</w:t>
      </w:r>
    </w:p>
    <w:p>
      <w:pPr>
        <w:rPr>
          <w:noProof/>
        </w:rPr>
      </w:pPr>
      <w:r>
        <w:rPr>
          <w:noProof/>
        </w:rPr>
        <w:t xml:space="preserve">4. Medlemsstaterna får överväga att till personer som uppfyller kraven för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tillstånd för skjutvapen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utfärda en flerårig licens för förvärv och innehav av alla skjutvapen som omfattas av tillstånd, utan att det påverkar</w:t>
      </w:r>
    </w:p>
    <w:p>
      <w:pPr>
        <w:pStyle w:val="Point0"/>
        <w:rPr>
          <w:noProof/>
        </w:rPr>
      </w:pPr>
      <w:r>
        <w:rPr>
          <w:noProof/>
        </w:rPr>
        <w:t>a)</w:t>
      </w:r>
      <w:r>
        <w:rPr>
          <w:noProof/>
        </w:rPr>
        <w:tab/>
        <w:t>skyldigheten att underrätta de behöriga myndigheterna om överföringarna,</w:t>
      </w:r>
    </w:p>
    <w:p>
      <w:pPr>
        <w:pStyle w:val="Point0"/>
        <w:rPr>
          <w:noProof/>
        </w:rPr>
      </w:pPr>
      <w:r>
        <w:rPr>
          <w:noProof/>
        </w:rPr>
        <w:t>b)</w:t>
      </w:r>
      <w:r>
        <w:rPr>
          <w:noProof/>
        </w:rPr>
        <w:tab/>
        <w:t>den fortlöpande kontrollen av att dessa personer efterlever villkoren, och</w:t>
      </w:r>
    </w:p>
    <w:p>
      <w:pPr>
        <w:pStyle w:val="Point0"/>
        <w:rPr>
          <w:noProof/>
        </w:rPr>
      </w:pPr>
      <w:r>
        <w:rPr>
          <w:noProof/>
        </w:rPr>
        <w:t>c)</w:t>
      </w:r>
      <w:r>
        <w:rPr>
          <w:noProof/>
        </w:rPr>
        <w:tab/>
        <w:t>de tak för innehav som fastställs i nationell lagstiftning.</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1.7 a</w:t>
      </w:r>
    </w:p>
    <w:p>
      <w:pPr>
        <w:rPr>
          <w:noProof/>
        </w:rPr>
      </w:pPr>
      <w:r>
        <w:rPr>
          <w:noProof/>
        </w:rPr>
        <w:t>Tillstånden för innehav av skjutvapen ska regelbundet omprövas, med intervaller som inte överstiger fem år. Ett tillstånd kan förnyas eller förlängas om de villkor som låg till grund för att det beviljades fortfarande är uppfyllda.</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1.7 b (anpassad)</w:t>
      </w:r>
    </w:p>
    <w:p>
      <w:pPr>
        <w:rPr>
          <w:noProof/>
        </w:rPr>
      </w:pPr>
      <w:r>
        <w:rPr>
          <w:noProof/>
        </w:rPr>
        <w:t>5. Medlemsstaterna får besluta att bekräfta, förnya eller förlänga tillstånd för halvautomatiska skjutvapen i kategori A punkterna 6, 7 eller 8 avseende ett skjutvapen som klassificerats i kategori B, och som lagligen förvärvats och registrerats före den 13 juni 2017, i enlighet med de övriga villkor som fastställs i detta direktiv. Dessutom får medlemsstaterna tillåta att sådana skjutvapen förvärvas av andra personer som beviljats tillstånd av medlemsstaterna i enlighet med detta direktiv.</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artikel 1.6 (anpassad)</w:t>
      </w:r>
    </w:p>
    <w:p>
      <w:pPr>
        <w:rPr>
          <w:noProof/>
        </w:rPr>
      </w:pPr>
      <w:r>
        <w:rPr>
          <w:noProof/>
        </w:rPr>
        <w:t xml:space="preserve">6. Medlemsstaterna ska anta bestämmelser för att se till att de personer som enligt nationell lagstiftning innehar giltiga tillstånd för skjutvapen i kategori B den 28 juli 2008 inte behöver ansöka om licens eller tillstånd för skjutvapen som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innehade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 kategorierna C eller 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före denna tidpunkt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Vid varje överföring av vapen i kategorierna C eller D krävs dock att mottagaren införskaffar eller innehar licens för eller har särskilt tillstånd att inneha skjutvapnen i enlighet med nationell lagstiftning.</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 (anpassad)</w:t>
      </w:r>
    </w:p>
    <w:p>
      <w:pPr>
        <w:pStyle w:val="Titrearticle"/>
        <w:rPr>
          <w:noProof/>
        </w:rPr>
      </w:pPr>
      <w:r>
        <w:rPr>
          <w:noProof/>
        </w:rPr>
        <w:t>Artikel 11</w:t>
      </w:r>
    </w:p>
    <w:p>
      <w:pPr>
        <w:rPr>
          <w:noProof/>
        </w:rPr>
      </w:pPr>
      <w:r>
        <w:rPr>
          <w:noProof/>
        </w:rPr>
        <w:t>1. Innehav av ett skjutvapen i kategori C är bara tillåtet om innehavaren har lämnat uppgift om detta till myndigheterna i den medlemsstat där vapnet innehas.</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2.4 (anpassad)</w:t>
      </w:r>
    </w:p>
    <w:p>
      <w:pPr>
        <w:rPr>
          <w:noProof/>
        </w:rPr>
      </w:pPr>
      <w:r>
        <w:rPr>
          <w:noProof/>
        </w:rPr>
        <w:t>Medlemsstaterna får när det gäller skjutvapen som förvärvats före den 14 september 2018 upphäva kravet att lämna uppgift om innehav av sådana skjutvapen i punkterna 5, 6 eller 7 till och med den 14 mars 2021.</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w:t>
      </w:r>
    </w:p>
    <w:p>
      <w:pPr>
        <w:rPr>
          <w:noProof/>
        </w:rPr>
      </w:pPr>
      <w:r>
        <w:rPr>
          <w:noProof/>
        </w:rPr>
        <w:t>2. Varje säljare, vapenhandlare och privatperson ska informera myndigheterna i den medlemsstat där transaktionen äger rum om överlåtelse eller utlämnande av ett skjutvapen i kategori C med angivande av de uppgifter som krävs för att vapnet och förvärvaren ska kunna identifieras. Om den som förvärvar ett sådant skjutvapen är bosatt i en annan medlemsstat ska denna informeras om förvärvet av såväl medlemsstaten där transaktionen ägde rum som av förvärvaren.</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1.8</w:t>
      </w:r>
    </w:p>
    <w:p>
      <w:pPr>
        <w:rPr>
          <w:noProof/>
        </w:rPr>
      </w:pPr>
      <w:r>
        <w:rPr>
          <w:noProof/>
        </w:rPr>
        <w:t>3. Om en medlemsstat förbjuder eller kräver tillstånd för förvärv och innehav av ett skjutvapen i kategori B eller C inom sitt territorium, ska den underrätta de andra medlemsstaterna om detta; dessa stater ska enligt artikel 17.2 föra in en uttrycklig anmärkning om detta förhållande i varje europeiskt skjutvapenpass som de utfärdar för ett sådant skjutvapen.</w:t>
      </w:r>
    </w:p>
    <w:p>
      <w:pPr>
        <w:pStyle w:val="CRSeparator"/>
        <w:keepLines/>
        <w:rPr>
          <w:noProof/>
          <w:lang w:val="sv-SE"/>
        </w:rPr>
      </w:pPr>
    </w:p>
    <w:p>
      <w:pPr>
        <w:pStyle w:val="CRReference"/>
        <w:keepLines/>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 (anpassad)</w:t>
      </w:r>
    </w:p>
    <w:p>
      <w:pPr>
        <w:pStyle w:val="Titrearticle"/>
        <w:keepLines/>
        <w:rPr>
          <w:noProof/>
        </w:rPr>
      </w:pPr>
      <w:r>
        <w:rPr>
          <w:noProof/>
        </w:rPr>
        <w:t>Artikel 12</w:t>
      </w:r>
    </w:p>
    <w:p>
      <w:pPr>
        <w:keepNext/>
        <w:keepLines/>
        <w:rPr>
          <w:noProof/>
        </w:rPr>
      </w:pPr>
      <w:r>
        <w:rPr>
          <w:noProof/>
        </w:rPr>
        <w:t xml:space="preserve">1. Överlämnande av ett skjutvapen i kategori A, B och C till en person som inte är bosatt i den aktuella medlemsstaten ska tillåtas under förutsättning att bestämmelserna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artiklarna 9, 10 och 11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iakttas, om</w:t>
      </w:r>
    </w:p>
    <w:p>
      <w:pPr>
        <w:pStyle w:val="Point0"/>
        <w:keepNext/>
        <w:keepLines/>
        <w:rPr>
          <w:noProof/>
        </w:rPr>
      </w:pPr>
      <w:r>
        <w:rPr>
          <w:noProof/>
        </w:rPr>
        <w:t>a)</w:t>
      </w:r>
      <w:r>
        <w:rPr>
          <w:noProof/>
        </w:rPr>
        <w:tab/>
        <w:t>förvärvaren fått tillstånd enligt artikel 16 att själv utföra överföringen till det land där han är bosatt,</w:t>
      </w:r>
    </w:p>
    <w:p>
      <w:pPr>
        <w:pStyle w:val="Point0"/>
        <w:rPr>
          <w:noProof/>
        </w:rPr>
      </w:pPr>
      <w:r>
        <w:rPr>
          <w:noProof/>
        </w:rPr>
        <w:t>b)</w:t>
      </w:r>
      <w:r>
        <w:rPr>
          <w:noProof/>
        </w:rPr>
        <w:tab/>
        <w:t>förvärvaren lämnar in en skriftlig anmälan där han intygar och motiverar sin avsikt att inneha skjutvapnet i den medlemsstat där förvärvet skett, förutsatt att han uppfyller medlemsstatens rättsliga villkor för innehavet.</w:t>
      </w:r>
    </w:p>
    <w:p>
      <w:pPr>
        <w:rPr>
          <w:noProof/>
        </w:rPr>
      </w:pPr>
      <w:r>
        <w:rPr>
          <w:noProof/>
        </w:rPr>
        <w:t>2. Medlemsstaterna får tillåta tillfälliga överlämnanden av skjutvapen enligt närmare föreskrifter som de själva bestämmer.</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1.9</w:t>
      </w:r>
    </w:p>
    <w:p>
      <w:pPr>
        <w:pStyle w:val="Titrearticle"/>
        <w:rPr>
          <w:noProof/>
        </w:rPr>
      </w:pPr>
      <w:r>
        <w:rPr>
          <w:noProof/>
        </w:rPr>
        <w:t>Artikel 13</w:t>
      </w:r>
    </w:p>
    <w:p>
      <w:pPr>
        <w:rPr>
          <w:noProof/>
        </w:rPr>
      </w:pPr>
      <w:r>
        <w:rPr>
          <w:noProof/>
        </w:rPr>
        <w:t>1. Bestämmelserna för förvärv och innehav av ammunition ska vara desamma som de som gäller för innehav av de skjutvapen som ammunitionen är avsedd för.</w:t>
      </w:r>
    </w:p>
    <w:p>
      <w:pPr>
        <w:rPr>
          <w:noProof/>
        </w:rPr>
      </w:pPr>
      <w:r>
        <w:rPr>
          <w:noProof/>
        </w:rPr>
        <w:t>Förvärv av laddningsanordningar för halvautomatiska skjutvapen med centralantändning vilka kan innehålla mer än 20 patroner eller mer än 10 patroner vad gäller långa skjutvapen ska tillåtas endast för personer som beviljas tillstånd enligt artikel 9 eller ett tillstånd som har bekräftats, förnyats eller förlängts enligt artikel 10.5.</w:t>
      </w:r>
    </w:p>
    <w:p>
      <w:pPr>
        <w:rPr>
          <w:noProof/>
        </w:rPr>
      </w:pPr>
      <w:r>
        <w:rPr>
          <w:noProof/>
        </w:rPr>
        <w:t>2. Vapenhandlare och vapenmäklare får vägra att genomföra varje transaktion för förvärv av komplett ammunition eller delar av ammunition som de med fog anser vara misstänkt på grund av sin karaktär eller omfattning, och ska rapportera varje försök till sådan transaktion till de behöriga myndigheterna.</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1.10 (anpassad)</w:t>
      </w:r>
    </w:p>
    <w:p>
      <w:pPr>
        <w:pStyle w:val="Titrearticle"/>
        <w:rPr>
          <w:noProof/>
        </w:rPr>
      </w:pPr>
      <w:r>
        <w:rPr>
          <w:noProof/>
        </w:rPr>
        <w:t>Artikel 14</w:t>
      </w:r>
    </w:p>
    <w:p>
      <w:pPr>
        <w:rPr>
          <w:noProof/>
        </w:rPr>
      </w:pPr>
      <w:r>
        <w:rPr>
          <w:noProof/>
        </w:rPr>
        <w:t>1. Medlemsstaterna ska vidta åtgärder för att säkerställa att anordningar med patroner som är konstruerade endast för att avfyra lösa skott, retande ämnen, andra verksamma ämnen eller pyroteknisk signalammunition inte kan omvandlas till att avfyra ett skott, en kula eller en projektil med hjälp av ett antändbart drivämne.</w:t>
      </w:r>
    </w:p>
    <w:p>
      <w:pPr>
        <w:rPr>
          <w:noProof/>
        </w:rPr>
      </w:pPr>
      <w:r>
        <w:rPr>
          <w:noProof/>
        </w:rPr>
        <w:t>2. Medlemsstaterna ska som skjutvapen klassificera anordningar med patroner som är konstruerade endast för att avfyra lösa skott, retande ämnen, andra verksamma ämnen eller pyroteknisk signalammunition och som kan omvandlas till att avfyra ett skott, en kula eller en projektil med hjälp av ett antändbart drivämne.</w:t>
      </w:r>
    </w:p>
    <w:p>
      <w:pPr>
        <w:rPr>
          <w:noProof/>
        </w:rPr>
      </w:pPr>
      <w:r>
        <w:rPr>
          <w:noProof/>
        </w:rPr>
        <w:t>3. Kommissionen ska anta genomförandeakter om fastställande av tekniska specifikationer för larm- och signalvapen som tillverkas i eller importeras till unionen den 14 september 2018 eller efter detta datum, för att säkerställa att de inte går att omvandla till att avfyra ett skott, en kula eller en projektil med hjälp av ett antändbart drivämne. Dessa genomförandeakter ska antas i enlighet med det granskningsförfarande som avses i artikel 20.2.</w:t>
      </w:r>
    </w:p>
    <w:p>
      <w:pPr>
        <w:pStyle w:val="Titrearticle"/>
        <w:rPr>
          <w:noProof/>
        </w:rPr>
      </w:pPr>
      <w:r>
        <w:rPr>
          <w:noProof/>
        </w:rPr>
        <w:t>Artikel 15</w:t>
      </w:r>
    </w:p>
    <w:p>
      <w:pPr>
        <w:rPr>
          <w:noProof/>
        </w:rPr>
      </w:pPr>
      <w:r>
        <w:rPr>
          <w:noProof/>
        </w:rPr>
        <w:t>1. Medlemsstaterna ska låta en behörig myndighet kontrollera åtgärderna för deaktivering av skjutvapen för att säkerställa att ändringarna av ett skjutvapen gör alla dess väsentliga delar definitivt funktionsodugliga och omöjliga att avlägsna, ersätta eller ändra på ett sätt som skulle tillåta någon form av reaktivering av skjutvapnet. Medlemsstaterna ska föreskriva att det i samband med denna kontroll utfärdas ett intyg och en annan handling av vilka det framgår att skjutvapnet deaktiverats, och att vapnet förses med en väl synlig märkning i detta syfte.</w:t>
      </w:r>
    </w:p>
    <w:p>
      <w:pPr>
        <w:rPr>
          <w:noProof/>
        </w:rPr>
      </w:pPr>
      <w:r>
        <w:rPr>
          <w:noProof/>
        </w:rPr>
        <w:t>2. Kommissionen ska anta genomförandeakter om fastställande av standarder och teknik för deaktivering som säkerställer att alla väsentliga delar av ett skjutvapen görs definitivt funktionsodugliga och omöjliga att avlägsna, ersätta eller ändra på ett sätt som skulle tillåta någon form av reaktivering av skjutvapnet. Dessa genomförandeakter ska antas i enlighet med det granskningsförfarande som avses i artikel 20.2.</w:t>
      </w:r>
    </w:p>
    <w:p>
      <w:pPr>
        <w:rPr>
          <w:noProof/>
        </w:rPr>
      </w:pPr>
      <w:r>
        <w:rPr>
          <w:noProof/>
        </w:rPr>
        <w:t>3. De genomförandeakter som avses i punkt 2 ska inte vara tillämpliga på skjutvapen som deaktiverats före den dag då de genomförandeakterna börjar tillämpas, såvida inte dessa skjutvapen överförs till en annan medlemsstat eller släpps ut på marknaden efter den dagen.</w:t>
      </w:r>
    </w:p>
    <w:p>
      <w:pPr>
        <w:rPr>
          <w:noProof/>
        </w:rPr>
      </w:pPr>
      <w:r>
        <w:rPr>
          <w:noProof/>
        </w:rPr>
        <w:t>4. Medlemsstaterna får inom två månader efter den 13 juni 2017 underrätta kommissionen om sina nationella deaktiveringsstandarder och tekniker som tillämpades före den 8 april 2016 och motivera på vilka sätt säkerhetsnivån som säkerställs av dessa nationella standarder och tekniker är likvärdig med den som säkerställs av de tekniska specifikationer för deaktivering av skjutvapen som fastställs i bilaga I till kommissionens genomförandeförordning (EU) 2015/2403</w:t>
      </w:r>
      <w:r>
        <w:rPr>
          <w:rStyle w:val="FootnoteReference"/>
          <w:noProof/>
        </w:rPr>
        <w:footnoteReference w:id="23"/>
      </w:r>
      <w:r>
        <w:rPr>
          <w:noProof/>
        </w:rPr>
        <w:t>, som började tillämpas den 8 april 2016.</w:t>
      </w:r>
    </w:p>
    <w:p>
      <w:pPr>
        <w:rPr>
          <w:noProof/>
        </w:rPr>
      </w:pPr>
      <w:r>
        <w:rPr>
          <w:noProof/>
        </w:rPr>
        <w:t>5. När medlemsstaterna underrättar kommissionen i enlighet med punkt 4 ska kommissionen, senast 12 månader efter underrättelsen, anta genomförandeakter som fastställer huruvida nämnda nationella deaktiveringsstandarder och tekniker som det underrättats om säkerställde att skjutvapen deaktiverades med en säkerhetsnivå likvärdig med den som säkerställs av de tekniska specifikationer för deaktivering av skjutvapen som fastställs i bilaga I till genomförandeförordning (EU) 2015/2403, som började tillämpas den 8 april 2016. Dessa genomförandeakter ska antas i enlighet med det granskningsförfarande som avses i artikel 20.2.</w:t>
      </w:r>
    </w:p>
    <w:p>
      <w:pPr>
        <w:rPr>
          <w:noProof/>
        </w:rPr>
      </w:pPr>
      <w:r>
        <w:rPr>
          <w:noProof/>
        </w:rPr>
        <w:t>6. Innan dessa genomförandeakter som avses i punkt 5 börjar tillämpas ska varje skjutvapen som deaktiverats i enlighet med nationella deaktiveringsstandarder och tekniker tillämpade före den 8 april 2016 när det överförs till en annan medlemsstat eller släpps ut på marknaden stämma överens med de tekniska specifikationer för deaktivering av skjutvapen som fastställs i bilaga I till genomförandeförordning (EU) 2015/2403.</w:t>
      </w:r>
    </w:p>
    <w:p>
      <w:pPr>
        <w:rPr>
          <w:noProof/>
        </w:rPr>
      </w:pPr>
      <w:r>
        <w:rPr>
          <w:noProof/>
        </w:rPr>
        <w:t>7. Skjutvapen som deaktiverats före den 8 april 2016 i enlighet med nationella deaktiveringsstandarder och tekniker och som bedömts säkerställa en säkerhetsnivå likvärdig med de tekniska specifikationer för deaktivering av skjutvapen som fastställs i bilaga I till genomförandeförordning (EU) 2015/2403, som började tillämpas den 8 april 2016, ska anses vara deaktiverade skjutvapen, inbegripet när de överförs till en annan medlemsstat eller släpps ut på marknaden efter den dag då de genomförandeakter som avses i punkt 5 började tillämpas.</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w:t>
      </w: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è</w:instrText>
      </w:r>
      <w:r>
        <w:rPr>
          <w:noProof/>
          <w:lang w:val="sv-SE"/>
        </w:rPr>
        <w:instrText xml:space="preserve">" </w:instrText>
      </w:r>
      <w:r>
        <w:rPr>
          <w:noProof/>
        </w:rPr>
        <w:fldChar w:fldCharType="separate"/>
      </w:r>
      <w:r>
        <w:rPr>
          <w:rStyle w:val="CRMarker"/>
          <w:noProof/>
          <w:lang w:val="sv-SE"/>
        </w:rPr>
        <w:t>è</w:t>
      </w:r>
      <w:r>
        <w:rPr>
          <w:noProof/>
        </w:rPr>
        <w:fldChar w:fldCharType="end"/>
      </w:r>
      <w:r>
        <w:rPr>
          <w:rStyle w:val="CRRefNum"/>
          <w:noProof/>
          <w:lang w:val="sv-SE"/>
        </w:rPr>
        <w:t>1</w:t>
      </w:r>
      <w:r>
        <w:rPr>
          <w:noProof/>
          <w:lang w:val="sv-SE"/>
        </w:rPr>
        <w:t> 2017/853 artikel 1.11</w:t>
      </w:r>
    </w:p>
    <w:p>
      <w:pPr>
        <w:pStyle w:val="ChapterTitle"/>
        <w:rPr>
          <w:noProof/>
        </w:rPr>
      </w:pPr>
      <w:r>
        <w:rPr>
          <w:noProof/>
        </w:rPr>
        <w:t>KAPITEL 3</w:t>
      </w:r>
    </w:p>
    <w:p>
      <w:pPr>
        <w:pStyle w:val="ChapterTitle"/>
        <w:rPr>
          <w:noProof/>
        </w:rPr>
      </w:pPr>
      <w:r>
        <w:rPr>
          <w:noProof/>
        </w:rPr>
        <w:t xml:space="preserve">Formaliteter för förflyttning av vapen inom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unionen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Titrearticle"/>
        <w:rPr>
          <w:noProof/>
        </w:rPr>
      </w:pPr>
      <w:r>
        <w:rPr>
          <w:noProof/>
        </w:rPr>
        <w:t>Artikel 16</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1.12</w:t>
      </w:r>
    </w:p>
    <w:p>
      <w:pPr>
        <w:rPr>
          <w:noProof/>
        </w:rPr>
      </w:pPr>
      <w:r>
        <w:rPr>
          <w:noProof/>
        </w:rPr>
        <w:t xml:space="preserve">1. Skjutvapen får, utan att det påverkar tillämpningen av artikel 17, överföras från en medlemsstat till en annan endast i enlighet med det förfarande som fastställs i den här artikeln. Det förfarandet ska också tillämpas på överföring av skjutvapen efter försäljning genom </w:t>
      </w:r>
      <w:r>
        <w:rPr>
          <w:i/>
          <w:iCs/>
          <w:noProof/>
        </w:rPr>
        <w:t>distansavtal</w:t>
      </w:r>
      <w:r>
        <w:rPr>
          <w:noProof/>
        </w:rPr>
        <w:t xml:space="preserve"> enligt definitionen i artikel 2 led 7 i direktiv 2011/83/EU.</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 (anpassad)</w:t>
      </w:r>
    </w:p>
    <w:p>
      <w:pPr>
        <w:rPr>
          <w:noProof/>
        </w:rPr>
      </w:pPr>
      <w:r>
        <w:rPr>
          <w:noProof/>
        </w:rPr>
        <w:t>2. Om ett skjutvapen ska föras över till en annan medlemsstat, ska den berörda personen först lämna följande uppgifter till den medlemsstat där skjutvapnet finns:</w:t>
      </w:r>
    </w:p>
    <w:p>
      <w:pPr>
        <w:pStyle w:val="Point0"/>
        <w:rPr>
          <w:noProof/>
        </w:rPr>
      </w:pPr>
      <w:r>
        <w:rPr>
          <w:noProof/>
        </w:rPr>
        <w:t>a)</w:t>
      </w:r>
      <w:r>
        <w:rPr>
          <w:noProof/>
        </w:rPr>
        <w:tab/>
        <w:t>Namn och adress på den som säljer eller överlåter skjutvapnet och på den som köper eller förvärvar det eller i förekommande fall ägaren.</w:t>
      </w:r>
    </w:p>
    <w:p>
      <w:pPr>
        <w:pStyle w:val="Point0"/>
        <w:rPr>
          <w:noProof/>
        </w:rPr>
      </w:pPr>
      <w:r>
        <w:rPr>
          <w:noProof/>
        </w:rPr>
        <w:t>b)</w:t>
      </w:r>
      <w:r>
        <w:rPr>
          <w:noProof/>
        </w:rPr>
        <w:tab/>
        <w:t>Den adress som skjutvapnet ska transporteras till.</w:t>
      </w:r>
    </w:p>
    <w:p>
      <w:pPr>
        <w:pStyle w:val="Point0"/>
        <w:rPr>
          <w:noProof/>
        </w:rPr>
      </w:pPr>
      <w:r>
        <w:rPr>
          <w:noProof/>
        </w:rPr>
        <w:t>c)</w:t>
      </w:r>
      <w:r>
        <w:rPr>
          <w:noProof/>
        </w:rPr>
        <w:tab/>
        <w:t>Antalet skjutvapen som ska transporteras.</w:t>
      </w:r>
    </w:p>
    <w:p>
      <w:pPr>
        <w:pStyle w:val="Point0"/>
        <w:rPr>
          <w:noProof/>
        </w:rPr>
      </w:pPr>
      <w:r>
        <w:rPr>
          <w:noProof/>
        </w:rPr>
        <w:t>d)</w:t>
      </w:r>
      <w:r>
        <w:rPr>
          <w:noProof/>
        </w:rPr>
        <w:tab/>
        <w:t>Uppgifter som möjliggör identifiering av skjutvapnet samt en angivelse om att vapnet har kontrollerats i enlighet med konventionen av den 1 juli 1969 om ömsesidigt erkännande av kontrollmärkning av handeldvapen.</w:t>
      </w:r>
    </w:p>
    <w:p>
      <w:pPr>
        <w:pStyle w:val="Point0"/>
        <w:rPr>
          <w:noProof/>
        </w:rPr>
      </w:pPr>
      <w:r>
        <w:rPr>
          <w:noProof/>
        </w:rPr>
        <w:t>e)</w:t>
      </w:r>
      <w:r>
        <w:rPr>
          <w:noProof/>
        </w:rPr>
        <w:tab/>
        <w:t>Överföringssättet.</w:t>
      </w:r>
    </w:p>
    <w:p>
      <w:pPr>
        <w:pStyle w:val="Point0"/>
        <w:rPr>
          <w:noProof/>
        </w:rPr>
      </w:pPr>
      <w:r>
        <w:rPr>
          <w:noProof/>
        </w:rPr>
        <w:t>f)</w:t>
      </w:r>
      <w:r>
        <w:rPr>
          <w:noProof/>
        </w:rPr>
        <w:tab/>
        <w:t>Dag för avsändandet och beräknad ankomstdag.</w:t>
      </w:r>
    </w:p>
    <w:p>
      <w:pPr>
        <w:rPr>
          <w:noProof/>
        </w:rPr>
      </w:pPr>
      <w:r>
        <w:rPr>
          <w:noProof/>
        </w:rPr>
        <w:t>Upplysningarna i punkterna e och f behöver inte lämnas om överföringen sker mellan två vapenhandlare.</w:t>
      </w:r>
    </w:p>
    <w:p>
      <w:pPr>
        <w:rPr>
          <w:noProof/>
        </w:rPr>
      </w:pPr>
      <w:r>
        <w:rPr>
          <w:noProof/>
        </w:rPr>
        <w:t>Medlemsstaten ska undersöka under vilka omständigheter överföringen ska ske, särskilt med tanke på säkerheten.</w:t>
      </w:r>
    </w:p>
    <w:p>
      <w:pPr>
        <w:rPr>
          <w:noProof/>
        </w:rPr>
      </w:pPr>
      <w:r>
        <w:rPr>
          <w:noProof/>
        </w:rPr>
        <w:t>Om medlemsstaten tillåter en sådan överföring ska den utfärda ett tillstånd med alla de uppgifter som nämns i första stycket. Ett sådant tillstånd ska följa skjutvapnet till dess destinationsort; det ska visas upp på begäran av medlemsstaternas myndigheter.</w:t>
      </w:r>
    </w:p>
    <w:p>
      <w:pPr>
        <w:rPr>
          <w:noProof/>
        </w:rPr>
      </w:pPr>
      <w:r>
        <w:rPr>
          <w:noProof/>
        </w:rPr>
        <w:t xml:space="preserve">3. Utom i fråga om krigsvapen, som enligt artikel 2.2 är undantagna från tillämpningsområdet för detta direktiv, får varje medlemsstat ge vapenhandlare rätt att utan föregående tillstånd enligt punkt 2 föra över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skjutvapen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från sitt territorium till en vapenhandlare som är bosatt i en annan medlemsstat. För detta ändamål ska den utfärda ett tillstånd som gäller högst tre år och som när som helst kan dras in tillfälligt eller upphävas genom ett motiverat beslut. En handling som hänvisar till detta tillstånd ska följa skjutvapnet till destinationsorten; detta dokument ska visas upp på begäran av medlemsstaternas myndigheter.</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artikel 1.7</w:t>
      </w:r>
    </w:p>
    <w:p>
      <w:pPr>
        <w:rPr>
          <w:noProof/>
        </w:rPr>
      </w:pPr>
      <w:r>
        <w:rPr>
          <w:noProof/>
        </w:rPr>
        <w:t>Före datumet för överföringen ska vapenhandlaren lämna alla de uppgifter som anges i punkt 2 första stycket till myndigheterna i den medlemsstat från vilken överföringen ska äga rum. Dessa myndigheter ska genomföra inspektioner, i tillämpliga fall på plats, för att kontrollera överensstämmelsen mellan de uppgifter som lämnats av vapenhandlaren och de faktiska kännetecknen för överföringen. Uppgifterna ska lämnas av vapenhandlaren inom en period som ger tillräckligt med tid.</w:t>
      </w:r>
    </w:p>
    <w:p>
      <w:pPr>
        <w:pStyle w:val="CRSeparator"/>
        <w:rPr>
          <w:noProof/>
          <w:lang w:val="sv-SE"/>
        </w:rPr>
      </w:pP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91/477</w:t>
      </w: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rPr>
        <w:fldChar w:fldCharType="separate"/>
      </w:r>
      <w:r>
        <w:rPr>
          <w:rStyle w:val="CRMarker"/>
          <w:noProof/>
          <w:lang w:val="it-IT"/>
        </w:rPr>
        <w:t>è</w:t>
      </w:r>
      <w:r>
        <w:rPr>
          <w:noProof/>
        </w:rPr>
        <w:fldChar w:fldCharType="end"/>
      </w:r>
      <w:r>
        <w:rPr>
          <w:rStyle w:val="CRRefNum"/>
          <w:noProof/>
          <w:lang w:val="it-IT"/>
        </w:rPr>
        <w:t>1</w:t>
      </w:r>
      <w:r>
        <w:rPr>
          <w:noProof/>
          <w:lang w:val="it-IT"/>
        </w:rPr>
        <w:t> 2008/51 artikel 1.8</w:t>
      </w: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rPr>
        <w:fldChar w:fldCharType="separate"/>
      </w:r>
      <w:r>
        <w:rPr>
          <w:rStyle w:val="CRMarker"/>
          <w:noProof/>
          <w:lang w:val="it-IT"/>
        </w:rPr>
        <w:t>è</w:t>
      </w:r>
      <w:r>
        <w:rPr>
          <w:noProof/>
        </w:rPr>
        <w:fldChar w:fldCharType="end"/>
      </w:r>
      <w:r>
        <w:rPr>
          <w:rStyle w:val="CRRefNum"/>
          <w:noProof/>
          <w:lang w:val="it-IT"/>
        </w:rPr>
        <w:t>2</w:t>
      </w:r>
      <w:r>
        <w:rPr>
          <w:noProof/>
          <w:lang w:val="it-IT"/>
        </w:rPr>
        <w:t> 2017/853 artikel 1.13 a</w:t>
      </w: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è</w:instrText>
      </w:r>
      <w:r>
        <w:rPr>
          <w:noProof/>
          <w:lang w:val="sv-SE"/>
        </w:rPr>
        <w:instrText xml:space="preserve">" </w:instrText>
      </w:r>
      <w:r>
        <w:rPr>
          <w:noProof/>
        </w:rPr>
        <w:fldChar w:fldCharType="separate"/>
      </w:r>
      <w:r>
        <w:rPr>
          <w:rStyle w:val="CRMarker"/>
          <w:noProof/>
          <w:lang w:val="sv-SE"/>
        </w:rPr>
        <w:t>è</w:t>
      </w:r>
      <w:r>
        <w:rPr>
          <w:noProof/>
        </w:rPr>
        <w:fldChar w:fldCharType="end"/>
      </w:r>
      <w:r>
        <w:rPr>
          <w:rStyle w:val="CRRefNum"/>
          <w:noProof/>
          <w:lang w:val="sv-SE"/>
        </w:rPr>
        <w:t>3</w:t>
      </w:r>
      <w:r>
        <w:rPr>
          <w:noProof/>
          <w:lang w:val="sv-SE"/>
        </w:rPr>
        <w:t> Rättelse EUT L 160, 25.6.2018, s. 20</w:t>
      </w:r>
    </w:p>
    <w:p>
      <w:pPr>
        <w:rPr>
          <w:noProof/>
        </w:rPr>
      </w:pPr>
      <w:r>
        <w:rPr>
          <w:noProof/>
        </w:rPr>
        <w:t>4. Varje medlemsstat ska tillhandahålla de övriga medlemsstaterna en förteckning över vilka skjutvapen som inte utan medlemsstatens föregående samtycke får överföras till dess territorium.</w:t>
      </w:r>
    </w:p>
    <w:p>
      <w:pPr>
        <w:rPr>
          <w:noProof/>
        </w:rPr>
      </w:pPr>
      <w:r>
        <w:rPr>
          <w:noProof/>
        </w:rPr>
        <w:t>Förteckningarna ska förmedlas till vapenhandlare som enligt förfarandet i punkt 3 medgivits rätt att föra över skjutvapen utan föregående tillstånd.</w:t>
      </w:r>
    </w:p>
    <w:p>
      <w:pPr>
        <w:pStyle w:val="Titrearticle"/>
        <w:rPr>
          <w:noProof/>
        </w:rPr>
      </w:pPr>
      <w:r>
        <w:rPr>
          <w:noProof/>
        </w:rPr>
        <w:t>Artikel 17</w:t>
      </w:r>
    </w:p>
    <w:p>
      <w:pPr>
        <w:rPr>
          <w:noProof/>
        </w:rPr>
      </w:pPr>
      <w:r>
        <w:rPr>
          <w:noProof/>
        </w:rPr>
        <w:t>1. Tillämpas inte förfarandet i artikel 16, ska innehav av skjutvapen under en resa genom två eller fler medlemsstater vara tillåtet endast om den berörda personen har fått tillstånd av var och en av dessa medlemsstater.</w:t>
      </w:r>
    </w:p>
    <w:p>
      <w:pPr>
        <w:rPr>
          <w:noProof/>
        </w:rPr>
      </w:pPr>
      <w:r>
        <w:rPr>
          <w:noProof/>
        </w:rPr>
        <w:t>Medlemsstaterna får ge sådana tillstånd för en eller flera resor och för en maximitid om ett år, med möjlighet till förlängning. Sådana tillstånd ska föras in i det europeiska skjutvapenpass som den resande måste visa upp på begäran av medlemsstaternas myndigheter.</w:t>
      </w:r>
    </w:p>
    <w:p>
      <w:pPr>
        <w:rPr>
          <w:noProof/>
        </w:rPr>
      </w:pPr>
      <w:r>
        <w:rPr>
          <w:noProof/>
        </w:rPr>
        <w:t xml:space="preserve">2.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xml:space="preserve"> Utan hinder av punkt 1 får jägare och återskapare av historiska händelser i fråga om skjutvapen i kategori C, samt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målskyttar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i fråga om skjutvapen i kategorierna B eller C och skjutvapen i kategori A för vilka tillstånd beviljats, undantagsvis enligt artikel 9.6 eller för vilka tillståndet bekräftats, förnyats eller förlängts enligt artikel 10.5, utan det föregående tillstånd som avses i artikel 16.2 inneha ett eller flera skjutvapen under en resa genom två eller flera medlemsstater i syfte att utöva sin verksamhet, förutsatt att</w:t>
      </w:r>
    </w:p>
    <w:p>
      <w:pPr>
        <w:pStyle w:val="Point0"/>
        <w:rPr>
          <w:noProof/>
        </w:rPr>
      </w:pPr>
      <w:r>
        <w:rPr>
          <w:noProof/>
        </w:rPr>
        <w:t>a)</w:t>
      </w:r>
      <w:r>
        <w:rPr>
          <w:noProof/>
        </w:rPr>
        <w:tab/>
        <w:t>de har ett europeiskt skjutvapenpass, där skjutvapnet eller skjutvapnen är införda, och</w:t>
      </w:r>
    </w:p>
    <w:p>
      <w:pPr>
        <w:pStyle w:val="Point0"/>
        <w:rPr>
          <w:noProof/>
        </w:rPr>
      </w:pPr>
      <w:r>
        <w:rPr>
          <w:noProof/>
        </w:rPr>
        <w:t>b)</w:t>
      </w:r>
      <w:r>
        <w:rPr>
          <w:noProof/>
        </w:rPr>
        <w:tab/>
        <w:t xml:space="preserve">de kan styrka skälen för resan, särskilt genom uppvisande av en inbjudan eller något annat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bevis på sin jaktverksamhet, målskytteverksamhet eller verksamhet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rörande återskapande av historiska händelser i den medlemsstat som är destinationsland.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rPr>
          <w:noProof/>
        </w:rPr>
      </w:pPr>
      <w:r>
        <w:rPr>
          <w:noProof/>
        </w:rPr>
        <w:t>Medlemsstaterna får inte kräva att en avgift betalas för att Europeiska skjutvapenpasset ska kunna godtas.</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1.13 b</w:t>
      </w:r>
    </w:p>
    <w:p>
      <w:pPr>
        <w:rPr>
          <w:noProof/>
        </w:rPr>
      </w:pPr>
      <w:r>
        <w:rPr>
          <w:noProof/>
        </w:rPr>
        <w:t>Detta undantag ska dock inte tillämpas på resor till en medlemsstat som enligt artikel 11.3 antingen förbjuder förvärv och innehav av skjutvapnet i fråga eller som kräver ett tillstånd för vapnet. I detta fall ska i så fall detta uttryckligen anmärkas i Europeiska skjutvapenpasset. Medlemsstaterna får även vägra att tillämpa detta undantag i fall av skjutvapen i kategori A för vilka ett tillstånd beviljats enligt artikel 9.6 eller för vilka tillståndet bekräftats, förnyats eller förlängts enligt artikel 10.5.</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 (anpassad)</w:t>
      </w:r>
    </w:p>
    <w:p>
      <w:pPr>
        <w:rPr>
          <w:noProof/>
        </w:rPr>
      </w:pPr>
      <w:r>
        <w:rPr>
          <w:noProof/>
        </w:rPr>
        <w:t xml:space="preserve">I samband med den i artikel 24 omnämnda rapporten ska kommissionen i samråd med medlemsstaterna överväga effekterna av tillämpningen av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tredje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stycket, särskilt beträffande dess inverkan på allmän ordning och säkerhet.</w:t>
      </w:r>
    </w:p>
    <w:p>
      <w:pPr>
        <w:rPr>
          <w:noProof/>
        </w:rPr>
      </w:pPr>
      <w:r>
        <w:rPr>
          <w:noProof/>
        </w:rPr>
        <w:t>3. Genom avtal om ömsesidigt erkännande av nationella dokument får två eller flera medlemsstater införa ett smidigare system för resor med skjutvapen inom sina territorier än som föreskrivs i denna artikel.</w:t>
      </w:r>
    </w:p>
    <w:p>
      <w:pPr>
        <w:pStyle w:val="Titrearticle"/>
        <w:rPr>
          <w:noProof/>
        </w:rPr>
      </w:pPr>
      <w:r>
        <w:rPr>
          <w:noProof/>
        </w:rPr>
        <w:t>Artikel 18</w:t>
      </w:r>
    </w:p>
    <w:p>
      <w:pPr>
        <w:rPr>
          <w:noProof/>
        </w:rPr>
      </w:pPr>
      <w:r>
        <w:rPr>
          <w:noProof/>
        </w:rPr>
        <w:t>1. Varje medlemsstat ska lämna alla relevanta upplysningar den har tillgång till angående slutgiltiga överföringar av skjutvapen till den medlemsstat till vars territorium överföringen har skett.</w:t>
      </w:r>
    </w:p>
    <w:p>
      <w:pPr>
        <w:rPr>
          <w:noProof/>
        </w:rPr>
      </w:pPr>
      <w:r>
        <w:rPr>
          <w:noProof/>
        </w:rPr>
        <w:t>2. De upplysningar som medlemsstaterna får genom förfarandena enligt artikel 16 om överföring av skjutvapen och enligt artikel 10.2 och artikel 11.2 om utlandsbosattas förvärv och innehav av skjutvapen, ska senast vid tidpunkten för den aktuella överföringen meddelas den medlemsstat som är destinationsland och, i förekommande fall, de medlemsstater som är transiteringsländer.</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artikel 1.9 (anpassad)</w:t>
      </w:r>
    </w:p>
    <w:p>
      <w:pPr>
        <w:rPr>
          <w:noProof/>
        </w:rPr>
      </w:pPr>
      <w:r>
        <w:rPr>
          <w:noProof/>
        </w:rPr>
        <w:t xml:space="preserve">3. I syfte att effektivt tillämpa detta direktiv ska medlemsstaterna regelbundet utbyta upplysningar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inom 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kontaktgrupp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som inrättats enligt artikel 13.3 i direktiv 91/477/EEG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Medlemsstaterna ska underrätta varandra och kommissionen om vilka nationella myndigheter som är ansvariga för att överföra och ta emot information och för att uppfylla skyldigheterna enligt artikel 16.4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detta direktiv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1.14 (anpassad)</w:t>
      </w:r>
    </w:p>
    <w:p>
      <w:pPr>
        <w:rPr>
          <w:noProof/>
        </w:rPr>
      </w:pPr>
      <w:r>
        <w:rPr>
          <w:noProof/>
        </w:rPr>
        <w:t>4. Medlemsstaternas behöriga myndigheter ska på elektronisk väg utbyta information om tillstånd som beviljats för överföring av skjutvapen till en annan medlemsstat samt information om avslag på ansökningar om tillstånd som föreskrivs i artiklarna 9 och 10 av säkerhetsskäl eller med avseende på den berörda personens pålitlighet.</w:t>
      </w:r>
    </w:p>
    <w:p>
      <w:pPr>
        <w:rPr>
          <w:noProof/>
        </w:rPr>
      </w:pPr>
      <w:r>
        <w:rPr>
          <w:noProof/>
        </w:rPr>
        <w:t xml:space="preserve">5. Kommissionen ska ombesörja ett system för utbyte av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information som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anges i denna artikel.</w:t>
      </w:r>
    </w:p>
    <w:p>
      <w:pPr>
        <w:rPr>
          <w:noProof/>
        </w:rPr>
      </w:pPr>
      <w:r>
        <w:rPr>
          <w:noProof/>
        </w:rPr>
        <w:t>Kommissionen ska anta delegerade akter i enlighet med artikel 19 för att komplettera detta direktiv genom att fastställa närmare bestämmelser för det systematiska utbytet av information på elektronisk väg.</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1.15</w:t>
      </w:r>
    </w:p>
    <w:p>
      <w:pPr>
        <w:pStyle w:val="Titrearticle"/>
        <w:rPr>
          <w:noProof/>
        </w:rPr>
      </w:pPr>
      <w:r>
        <w:rPr>
          <w:noProof/>
        </w:rPr>
        <w:t>Artikel 19</w:t>
      </w:r>
    </w:p>
    <w:p>
      <w:pPr>
        <w:rPr>
          <w:noProof/>
        </w:rPr>
      </w:pPr>
      <w:r>
        <w:rPr>
          <w:noProof/>
        </w:rPr>
        <w:t>1. Befogenheten att anta delegerade akter ges till kommissionen med förbehåll för de villkor som anges i denna artikel.</w:t>
      </w:r>
    </w:p>
    <w:p>
      <w:pPr>
        <w:rPr>
          <w:noProof/>
        </w:rPr>
      </w:pPr>
      <w:r>
        <w:rPr>
          <w:noProof/>
        </w:rPr>
        <w:t>2. Den befogenhet att anta delegerade akter som avses i artikel 18.5 ska ges till kommissionen tills vidare från och med den 13 juni 2017.</w:t>
      </w:r>
    </w:p>
    <w:p>
      <w:pPr>
        <w:rPr>
          <w:noProof/>
        </w:rPr>
      </w:pPr>
      <w:r>
        <w:rPr>
          <w:noProof/>
        </w:rPr>
        <w:t xml:space="preserve">3. Den delegering av befogenhet som avses i artikel 18.5 får när som helst återkallas av Europaparlamentet eller rådet. Ett beslut om återkallelse innebär att delegeringen av den befogenhet som anges i beslutet upphör att gälla. Beslutet får verkan dagen efter det att det offentliggörs i </w:t>
      </w:r>
      <w:r>
        <w:rPr>
          <w:i/>
          <w:iCs/>
          <w:noProof/>
        </w:rPr>
        <w:t>Europeiska unionens officiella tidning</w:t>
      </w:r>
      <w:r>
        <w:rPr>
          <w:noProof/>
        </w:rPr>
        <w:t>, eller vid ett senare i beslutet angivet datum. Det påverkar inte giltigheten av delegerade akter som redan har trätt i kraft.</w:t>
      </w:r>
    </w:p>
    <w:p>
      <w:pPr>
        <w:rPr>
          <w:noProof/>
        </w:rPr>
      </w:pPr>
      <w:r>
        <w:rPr>
          <w:noProof/>
        </w:rPr>
        <w:t>4. Innan kommissionen antar en delegerad akt, ska den samråda med experter som utsetts av varje medlemsstat i enlighet med principerna i det interinstitutionella avtalet om bättre lagstiftning av den 13 april 2016.</w:t>
      </w:r>
    </w:p>
    <w:p>
      <w:pPr>
        <w:rPr>
          <w:noProof/>
        </w:rPr>
      </w:pPr>
      <w:r>
        <w:rPr>
          <w:noProof/>
        </w:rPr>
        <w:t>5. Så snart kommissionen antar en delegerad akt ska den samtidigt delge Europaparlamentet och rådet denna.</w:t>
      </w:r>
    </w:p>
    <w:p>
      <w:pPr>
        <w:rPr>
          <w:noProof/>
        </w:rPr>
      </w:pPr>
      <w:r>
        <w:rPr>
          <w:noProof/>
        </w:rPr>
        <w:t>6. En delegerad akt som antas enligt artikel 18.5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1.16</w:t>
      </w:r>
    </w:p>
    <w:p>
      <w:pPr>
        <w:pStyle w:val="Titrearticle"/>
        <w:rPr>
          <w:noProof/>
        </w:rPr>
      </w:pPr>
      <w:r>
        <w:rPr>
          <w:noProof/>
        </w:rPr>
        <w:t>Artikel 20</w:t>
      </w:r>
    </w:p>
    <w:p>
      <w:pPr>
        <w:rPr>
          <w:noProof/>
        </w:rPr>
      </w:pPr>
      <w:r>
        <w:rPr>
          <w:noProof/>
        </w:rPr>
        <w:t>1. Kommissionen ska biträdas av en kommitté. Denna kommitté ska vara en kommitté i den mening som avses i förordning (EU) nr 182/2011.</w:t>
      </w:r>
    </w:p>
    <w:p>
      <w:pPr>
        <w:rPr>
          <w:noProof/>
        </w:rPr>
      </w:pPr>
      <w:r>
        <w:rPr>
          <w:noProof/>
        </w:rPr>
        <w:t>2. När det hänvisas till denna punkt ska artikel 5 i förordning (EU) nr 182/2011 tillämpas.</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w:t>
      </w: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è</w:instrText>
      </w:r>
      <w:r>
        <w:rPr>
          <w:noProof/>
          <w:lang w:val="sv-SE"/>
        </w:rPr>
        <w:instrText xml:space="preserve">" </w:instrText>
      </w:r>
      <w:r>
        <w:rPr>
          <w:noProof/>
        </w:rPr>
        <w:fldChar w:fldCharType="separate"/>
      </w:r>
      <w:r>
        <w:rPr>
          <w:rStyle w:val="CRMarker"/>
          <w:noProof/>
          <w:lang w:val="sv-SE"/>
        </w:rPr>
        <w:t>è</w:t>
      </w:r>
      <w:r>
        <w:rPr>
          <w:noProof/>
        </w:rPr>
        <w:fldChar w:fldCharType="end"/>
      </w:r>
      <w:r>
        <w:rPr>
          <w:rStyle w:val="CRRefNum"/>
          <w:noProof/>
          <w:lang w:val="sv-SE"/>
        </w:rPr>
        <w:t>1</w:t>
      </w:r>
      <w:r>
        <w:rPr>
          <w:noProof/>
          <w:lang w:val="sv-SE"/>
        </w:rPr>
        <w:t> 2017/853 artikel 1.17</w:t>
      </w:r>
    </w:p>
    <w:p>
      <w:pPr>
        <w:pStyle w:val="Titrearticle"/>
        <w:rPr>
          <w:noProof/>
        </w:rPr>
      </w:pPr>
      <w:r>
        <w:rPr>
          <w:noProof/>
        </w:rPr>
        <w:t>Artikel 21</w:t>
      </w:r>
    </w:p>
    <w:p>
      <w:pPr>
        <w:rPr>
          <w:noProof/>
        </w:rPr>
      </w:pPr>
      <w:r>
        <w:rPr>
          <w:noProof/>
        </w:rPr>
        <w:t>Medlemsstaterna ska anta alla bestämmelser som behövs för att förbjuda införsel till deras territorier av</w:t>
      </w:r>
    </w:p>
    <w:p>
      <w:pPr>
        <w:pStyle w:val="Point0"/>
        <w:rPr>
          <w:noProof/>
        </w:rPr>
      </w:pPr>
      <w:r>
        <w:rPr>
          <w:noProof/>
        </w:rPr>
        <w:t>a)</w:t>
      </w:r>
      <w:r>
        <w:rPr>
          <w:noProof/>
        </w:rPr>
        <w:tab/>
        <w:t>skjutvapen utom i de fall som anges i artiklarna 16 och 17 och förutsatt att de där föreskrivna villkoren uppfylls,</w:t>
      </w:r>
    </w:p>
    <w:p>
      <w:pPr>
        <w:pStyle w:val="Point0"/>
        <w:rPr>
          <w:noProof/>
        </w:rPr>
      </w:pPr>
      <w:r>
        <w:rPr>
          <w:noProof/>
        </w:rPr>
        <w:t>b)</w:t>
      </w:r>
      <w:r>
        <w:rPr>
          <w:noProof/>
        </w:rPr>
        <w:tab/>
        <w:t>andra vapen än skjutvapen, förutsatt att den ifrågavarande medlemsstatens nationella föreskrifter tillåter det.</w:t>
      </w:r>
    </w:p>
    <w:p>
      <w:pPr>
        <w:pStyle w:val="ChapterTitle"/>
        <w:rPr>
          <w:noProof/>
        </w:rPr>
      </w:pPr>
      <w:r>
        <w:rPr>
          <w:noProof/>
        </w:rPr>
        <w:t>KAPITEL 4</w:t>
      </w:r>
    </w:p>
    <w:p>
      <w:pPr>
        <w:pStyle w:val="ChapterTitle"/>
        <w:rPr>
          <w:noProof/>
        </w:rPr>
      </w:pPr>
      <w:r>
        <w:rPr>
          <w:noProof/>
        </w:rPr>
        <w:t>Slutbestämmelser</w:t>
      </w:r>
    </w:p>
    <w:p>
      <w:pPr>
        <w:pStyle w:val="Titrearticle"/>
        <w:rPr>
          <w:noProof/>
        </w:rPr>
      </w:pPr>
      <w:r>
        <w:rPr>
          <w:noProof/>
        </w:rPr>
        <w:t>Artikel 22</w:t>
      </w:r>
    </w:p>
    <w:p>
      <w:pPr>
        <w:rPr>
          <w:noProof/>
        </w:rPr>
      </w:pPr>
      <w:r>
        <w:rPr>
          <w:noProof/>
        </w:rPr>
        <w:t xml:space="preserve">1. Medlemsstaterna ska skärpa kontrollen av vapeninnehav vid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unionens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yttre gränser. De ska särskilt övervaka att resande från tredje land som avser att resa vidare till en annan medlemsstat iakttar bestämmelserna i artikel 17.</w:t>
      </w:r>
    </w:p>
    <w:p>
      <w:pPr>
        <w:rPr>
          <w:noProof/>
        </w:rPr>
      </w:pPr>
      <w:r>
        <w:rPr>
          <w:noProof/>
        </w:rPr>
        <w:t>2. Detta direktiv ska inte utesluta kontroller som utförs av medlemsstaterna eller transportföretaget i samband med ombordstigning i ett transportmedel.</w:t>
      </w:r>
    </w:p>
    <w:p>
      <w:pPr>
        <w:rPr>
          <w:noProof/>
        </w:rPr>
      </w:pPr>
      <w:r>
        <w:rPr>
          <w:noProof/>
        </w:rPr>
        <w:t>3. Medlemsstaterna ska underrätta kommissionen om hur kontrollerna i punkt 1 och 2 utförs. Kommissionen ska sammanställa dessa upplysningar och göra dem tillgängliga för alla medlemsstater.</w:t>
      </w:r>
    </w:p>
    <w:p>
      <w:pPr>
        <w:rPr>
          <w:noProof/>
        </w:rPr>
      </w:pPr>
      <w:r>
        <w:rPr>
          <w:noProof/>
        </w:rPr>
        <w:t>4. Medlemsstaterna ska underrätta kommissionen om sina nationella bestämmelser, däribland om ändringar som berör förvärv och innehav av vapen, om den nationella lagstiftningen är strängare än minimikraven. Kommissionen ska vidarebefordra sådana upplysningar till de andra medlemsstaterna.</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artikel 1.11</w:t>
      </w:r>
    </w:p>
    <w:p>
      <w:pPr>
        <w:pStyle w:val="Titrearticle"/>
        <w:rPr>
          <w:noProof/>
        </w:rPr>
      </w:pPr>
      <w:r>
        <w:rPr>
          <w:noProof/>
        </w:rPr>
        <w:t>Artikel 23</w:t>
      </w:r>
    </w:p>
    <w:p>
      <w:pPr>
        <w:rPr>
          <w:noProof/>
        </w:rPr>
      </w:pPr>
      <w:r>
        <w:rPr>
          <w:noProof/>
        </w:rPr>
        <w:t>Medlemsstaterna ska fastställa ett sanktionssystem för överträdelser av de nationella bestämmelser som antas i enlighet med detta direktiv och vidta alla nödvändiga åtgärder för att säkerställa att dessa sanktioner tillämpas. Sanktionerna ska vara effektiva, proportionella och avskräckande.</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1.18</w:t>
      </w:r>
    </w:p>
    <w:p>
      <w:pPr>
        <w:pStyle w:val="Titrearticle"/>
        <w:rPr>
          <w:noProof/>
        </w:rPr>
      </w:pPr>
      <w:r>
        <w:rPr>
          <w:noProof/>
        </w:rPr>
        <w:t>Artikel 24</w:t>
      </w:r>
    </w:p>
    <w:p>
      <w:pPr>
        <w:rPr>
          <w:noProof/>
        </w:rPr>
      </w:pPr>
      <w:r>
        <w:rPr>
          <w:noProof/>
        </w:rPr>
        <w:t>Senast den 14 september 2020 och vart femte år därefter ska kommissionen lämna en rapport till Europaparlamentet och rådet om tillämpningen av detta direktiv, inklusive en kontroll av dess bestämmelsers ändamålsenlighet, vid behov åtföljd av lagstiftningsförslag till åtgärder, särskilt i fråga om kategorierna av skjutvapen i bilaga I och de frågor som rör genomförandet av systemet för Europeiska skjutvapenpasset, märkningen och ny teknik, t.ex. konsekvenserna av friformsframställning med 3D-skrivare, användning av QR-kod och användning av radiofrekvensidentifiering (RFID).</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2.5</w:t>
      </w:r>
    </w:p>
    <w:p>
      <w:pPr>
        <w:pStyle w:val="Titrearticle"/>
        <w:rPr>
          <w:noProof/>
        </w:rPr>
      </w:pPr>
      <w:r>
        <w:rPr>
          <w:noProof/>
        </w:rPr>
        <w:t>Artikel 25</w:t>
      </w:r>
    </w:p>
    <w:p>
      <w:pPr>
        <w:rPr>
          <w:noProof/>
        </w:rPr>
      </w:pPr>
      <w:r>
        <w:rPr>
          <w:noProof/>
        </w:rPr>
        <w:t>Medlemsstaterna ska till kommissionen överlämna texten till de centrala bestämmelser i nationell rätt som de antar inom det område som omfattas av detta direktiv.</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p>
    <w:p>
      <w:pPr>
        <w:pStyle w:val="Titrearticle"/>
        <w:rPr>
          <w:noProof/>
        </w:rPr>
      </w:pPr>
      <w:r>
        <w:rPr>
          <w:noProof/>
        </w:rPr>
        <w:t>Artikel 26</w:t>
      </w:r>
    </w:p>
    <w:p>
      <w:pPr>
        <w:rPr>
          <w:noProof/>
        </w:rPr>
      </w:pPr>
      <w:r>
        <w:rPr>
          <w:noProof/>
        </w:rPr>
        <w:t>Direktiv 91/477/EEG, i dess lydelse enligt de direktiv som anges i del A i bilaga III, ska upphöra att gälla, utan att det påverkar medlemsstaternas skyldigheter vad gäller de tidsfrister för införlivande med nationell rätt av direktiven som anges i del B i bilaga III.</w:t>
      </w:r>
    </w:p>
    <w:p>
      <w:pPr>
        <w:rPr>
          <w:noProof/>
        </w:rPr>
      </w:pPr>
      <w:r>
        <w:rPr>
          <w:noProof/>
        </w:rPr>
        <w:t>Hänvisningar till det upphävda direktivet ska anses som hänvisningar till det här direktivet och läsas i enlighet med jämförelsetabellen i bilaga IV.</w:t>
      </w:r>
    </w:p>
    <w:p>
      <w:pPr>
        <w:pStyle w:val="Titrearticle"/>
        <w:rPr>
          <w:noProof/>
        </w:rPr>
      </w:pPr>
      <w:r>
        <w:rPr>
          <w:noProof/>
        </w:rPr>
        <w:t>Artikel 27</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w:t>
      </w:r>
    </w:p>
    <w:p>
      <w:pPr>
        <w:pStyle w:val="Titrearticle"/>
        <w:rPr>
          <w:noProof/>
        </w:rPr>
      </w:pPr>
      <w:r>
        <w:rPr>
          <w:noProof/>
        </w:rPr>
        <w:t>Artikel 28</w:t>
      </w:r>
    </w:p>
    <w:p>
      <w:pPr>
        <w:rPr>
          <w:noProof/>
        </w:rPr>
      </w:pPr>
      <w:r>
        <w:rPr>
          <w:noProof/>
        </w:rPr>
        <w:t>Detta direktiv riktar sig till medlemsstaterna.</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KOM(87) 868 PV.</w:t>
      </w:r>
    </w:p>
  </w:footnote>
  <w:footnote w:id="2">
    <w:p>
      <w:pPr>
        <w:pStyle w:val="FootnoteText"/>
        <w:rPr>
          <w:color w:val="000000"/>
        </w:rPr>
      </w:pPr>
      <w:r>
        <w:rPr>
          <w:rStyle w:val="FootnoteReference"/>
        </w:rPr>
        <w:footnoteRef/>
      </w:r>
      <w:r>
        <w:tab/>
        <w:t>Se bilaga 3 till del A i slutsatserna.</w:t>
      </w:r>
    </w:p>
  </w:footnote>
  <w:footnote w:id="3">
    <w:p>
      <w:pPr>
        <w:pStyle w:val="FootnoteText"/>
      </w:pPr>
      <w:r>
        <w:rPr>
          <w:rStyle w:val="FootnoteReference"/>
        </w:rPr>
        <w:footnoteRef/>
      </w:r>
      <w:r>
        <w:tab/>
        <w:t>Förslaget finns infört i lagstiftningsprogrammet för 2019.</w:t>
      </w:r>
    </w:p>
  </w:footnote>
  <w:footnote w:id="4">
    <w:p>
      <w:pPr>
        <w:pStyle w:val="FootnoteText"/>
      </w:pPr>
      <w:r>
        <w:rPr>
          <w:rStyle w:val="FootnoteReference"/>
        </w:rPr>
        <w:footnoteRef/>
      </w:r>
      <w:r>
        <w:tab/>
        <w:t>Se bilaga III till del A till detta förslag.</w:t>
      </w:r>
    </w:p>
  </w:footnote>
  <w:footnote w:id="5">
    <w:p>
      <w:pPr>
        <w:pStyle w:val="FootnoteText"/>
      </w:pPr>
      <w:r>
        <w:rPr>
          <w:rStyle w:val="FootnoteReference"/>
        </w:rPr>
        <w:footnoteRef/>
      </w:r>
      <w:r>
        <w:tab/>
        <w:t>EUT C […], […], s. […].</w:t>
      </w:r>
    </w:p>
  </w:footnote>
  <w:footnote w:id="6">
    <w:p>
      <w:pPr>
        <w:pStyle w:val="FootnoteText"/>
      </w:pPr>
      <w:r>
        <w:rPr>
          <w:rStyle w:val="FootnoteReference"/>
          <w:lang w:val="en-US"/>
        </w:rPr>
        <w:footnoteRef/>
      </w:r>
      <w:r>
        <w:tab/>
        <w:t>Rådets direktiv 91/477/EEG av den 18 juni 1991 om kontroll av förvärv och innehav av vapen (EGT L 256, 13.9.1991, s. 51).</w:t>
      </w:r>
    </w:p>
  </w:footnote>
  <w:footnote w:id="7">
    <w:p>
      <w:pPr>
        <w:pStyle w:val="FootnoteText"/>
      </w:pPr>
      <w:r>
        <w:rPr>
          <w:rStyle w:val="FootnoteReference"/>
        </w:rPr>
        <w:footnoteRef/>
      </w:r>
      <w:r>
        <w:tab/>
        <w:t>Se bilaga 3, del A.</w:t>
      </w:r>
    </w:p>
  </w:footnote>
  <w:footnote w:id="8">
    <w:p>
      <w:pPr>
        <w:pStyle w:val="FootnoteText"/>
      </w:pPr>
      <w:r>
        <w:rPr>
          <w:rStyle w:val="FootnoteReference"/>
        </w:rPr>
        <w:footnoteRef/>
      </w:r>
      <w:r>
        <w:tab/>
        <w:t>Europaparlamentets och rådets direktiv 2011/83/EU av den 25 oktober 2011 om konsumenträttigheter och om ändring av rådets direktiv 93/13/EEG och Europaparlamentets och rådets direktiv 1999/44/EG och om upphävande av rådets direktiv 85/577/EEG och Europaparlamentets och rådets direktiv 97/7/EG (EUT L 304, 22.11.2011, s. 64).</w:t>
      </w:r>
    </w:p>
  </w:footnote>
  <w:footnote w:id="9">
    <w:p>
      <w:pPr>
        <w:pStyle w:val="FootnoteText"/>
      </w:pPr>
      <w:r>
        <w:rPr>
          <w:rStyle w:val="FootnoteReference"/>
        </w:rPr>
        <w:footnoteRef/>
      </w:r>
      <w:r>
        <w:tab/>
        <w:t>Rådets beslut 2014/164/EU av den 11 februari 2014 om ingående på Europeiska unionens vägnar av protokollet mot olaglig tillverkning av och handel med skjutvapen, delar av och komponenter till dessa samt ammunition, vilket kompletterar Förenta nationernas konvention mot gränsöverskridande organiserad brottslighet (EUT L 89, 25.3.2014, s. 7).</w:t>
      </w:r>
    </w:p>
  </w:footnote>
  <w:footnote w:id="10">
    <w:p>
      <w:pPr>
        <w:pStyle w:val="FootnoteText"/>
      </w:pPr>
      <w:r>
        <w:rPr>
          <w:rStyle w:val="FootnoteReference"/>
        </w:rPr>
        <w:footnoteRef/>
      </w:r>
      <w:r>
        <w:tab/>
        <w:t>Europaparlamentets och rådets förordning (EU) nr 1024/2012 av den 25 oktober 2012 om administrativt samarbete genom informationssystemet för den inre marknaden och om upphävande av kommissionens beslut 2008/49/EG (IMI-förordningen) (EUT L 316, 14.11.2012, s. 1).</w:t>
      </w:r>
    </w:p>
  </w:footnote>
  <w:footnote w:id="11">
    <w:p>
      <w:pPr>
        <w:pStyle w:val="FootnoteText"/>
      </w:pPr>
      <w:r>
        <w:rPr>
          <w:rStyle w:val="FootnoteReference"/>
        </w:rPr>
        <w:footnoteRef/>
      </w:r>
      <w:r>
        <w:tab/>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12">
    <w:p>
      <w:pPr>
        <w:pStyle w:val="FootnoteText"/>
      </w:pPr>
      <w:r>
        <w:rPr>
          <w:rStyle w:val="FootnoteReference"/>
        </w:rPr>
        <w:footnoteRef/>
      </w:r>
      <w:r>
        <w:tab/>
        <w:t>Rådets rambeslut 2009/315/RIF av den 26 februari 2009 om organisationen av medlemsstaternas utbyte av uppgifter ur kriminalregistret och uppgifternas innehåll (EUT L 93, 7.4.2009, s. 23).</w:t>
      </w:r>
    </w:p>
  </w:footnote>
  <w:footnote w:id="13">
    <w:p>
      <w:pPr>
        <w:pStyle w:val="FootnoteText"/>
      </w:pPr>
      <w:r>
        <w:rPr>
          <w:rStyle w:val="FootnoteReference"/>
        </w:rPr>
        <w:footnoteRef/>
      </w:r>
      <w:r>
        <w:tab/>
        <w:t>EUT L 123, 12.5.2016, s. 1.</w:t>
      </w:r>
    </w:p>
  </w:footnote>
  <w:footnote w:id="14">
    <w:p>
      <w:pPr>
        <w:pStyle w:val="FootnoteText"/>
      </w:pPr>
      <w:r>
        <w:rPr>
          <w:rStyle w:val="FootnoteReference"/>
          <w:lang w:val="en-US"/>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15">
    <w:p>
      <w:pPr>
        <w:pStyle w:val="FootnoteText"/>
      </w:pPr>
      <w:r>
        <w:rPr>
          <w:rStyle w:val="FootnoteReference"/>
          <w:lang w:val="en-US"/>
        </w:rPr>
        <w:footnoteRef/>
      </w:r>
      <w:r>
        <w:tab/>
        <w:t>Europaparlamentets och rådets direktiv (EU) 2016/680 av den 27 april 2016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 (EUT L 119, 4.5.2016, s. 89).</w:t>
      </w:r>
    </w:p>
  </w:footnote>
  <w:footnote w:id="16">
    <w:p>
      <w:pPr>
        <w:pStyle w:val="FootnoteText"/>
      </w:pPr>
      <w:r>
        <w:rPr>
          <w:rStyle w:val="FootnoteReference"/>
        </w:rPr>
        <w:footnoteRef/>
      </w:r>
      <w:r>
        <w:tab/>
        <w:t>EGT L 176, 10.7.1999, s. 36.</w:t>
      </w:r>
    </w:p>
  </w:footnote>
  <w:footnote w:id="17">
    <w:p>
      <w:pPr>
        <w:pStyle w:val="FootnoteText"/>
      </w:pPr>
      <w:r>
        <w:rPr>
          <w:rStyle w:val="FootnoteReference"/>
          <w:lang w:val="en-US"/>
        </w:rPr>
        <w:footnoteRef/>
      </w:r>
      <w:r>
        <w:tab/>
        <w:t>Rådets beslut 1999/437/EG av den 17 maj 1999 om vissa tillämpningsföreskrifter för det avtal som har ingåtts mellan Europeiska unionens råd och Republiken Island och Konungariket Norge om dessa båda staters associering till genomförandet, tillämpningen och utvecklingen av Schengenregelverket (EGT L 176, 10.7.1999, s. 31).</w:t>
      </w:r>
    </w:p>
  </w:footnote>
  <w:footnote w:id="18">
    <w:p>
      <w:pPr>
        <w:pStyle w:val="FootnoteText"/>
      </w:pPr>
      <w:r>
        <w:rPr>
          <w:rStyle w:val="FootnoteReference"/>
        </w:rPr>
        <w:footnoteRef/>
      </w:r>
      <w:r>
        <w:tab/>
        <w:t>EUT L 53, 27.2.2008, s. 52.</w:t>
      </w:r>
    </w:p>
  </w:footnote>
  <w:footnote w:id="19">
    <w:p>
      <w:pPr>
        <w:pStyle w:val="FootnoteText"/>
      </w:pPr>
      <w:r>
        <w:rPr>
          <w:rStyle w:val="FootnoteReference"/>
          <w:lang w:val="en-US"/>
        </w:rPr>
        <w:footnoteRef/>
      </w:r>
      <w:r>
        <w:tab/>
        <w:t>Rådets beslut 2008/146/EG av den 28 januari 2008 om ingående på Europeiska gemenskapens vägnar av avtalet mellan Europeiska unionen, Europeiska gemenskapen och Schweiziska edsförbundet om Schweiziska edsförbundets associering till genomförandet, tillämpningen och utvecklingen av Schengenregelverket (EUT L 53, 27.2.2008, s. 1).</w:t>
      </w:r>
    </w:p>
  </w:footnote>
  <w:footnote w:id="20">
    <w:p>
      <w:pPr>
        <w:pStyle w:val="FootnoteText"/>
      </w:pPr>
      <w:r>
        <w:rPr>
          <w:rStyle w:val="FootnoteReference"/>
        </w:rPr>
        <w:footnoteRef/>
      </w:r>
      <w:r>
        <w:tab/>
        <w:t>EUT L 160, 18.6.2011, s. 21.</w:t>
      </w:r>
    </w:p>
  </w:footnote>
  <w:footnote w:id="21">
    <w:p>
      <w:pPr>
        <w:pStyle w:val="FootnoteText"/>
      </w:pPr>
      <w:r>
        <w:rPr>
          <w:rStyle w:val="FootnoteReference"/>
          <w:lang w:val="en-US"/>
        </w:rPr>
        <w:footnoteRef/>
      </w:r>
      <w:r>
        <w:tab/>
        <w:t>Rådets beslut 2011/350/EU av den 7 mars 2011 om ingående på Europeiska unionens vägnar av protokollet mellan Europeiska unionen, Europeiska gemenskapen, Schweiziska edsförbundet och Furstendömet Liechtenstein om Furstendömet Liechtensteins anslutning till avtalet mellan Europeiska unionen, Europeiska gemenskapen och Schweiziska edsförbundet om Schweiziska edsförbundets associering till genomförandet, tillämpningen och utvecklingen av Schengenregelverket, om avskaffande av kontroller vid de inre gränserna och om personers rörlighet (EUT L 160, 18.6.2011, s. 19).</w:t>
      </w:r>
    </w:p>
  </w:footnote>
  <w:footnote w:id="22">
    <w:p>
      <w:pPr>
        <w:pStyle w:val="FootnoteText"/>
      </w:pPr>
      <w:r>
        <w:rPr>
          <w:rStyle w:val="FootnoteReference"/>
          <w:lang w:val="en-US"/>
        </w:rPr>
        <w:footnoteRef/>
      </w:r>
      <w:r>
        <w:tab/>
        <w:t>Europaparlamentets och rådets direktiv 2009/43/EG av den 6 maj 2009 om förenkling av villkoren för överföring av försvarsrelaterade produkter inom gemenskapen (EUT L 146, 10.6.2009, s. 1).</w:t>
      </w:r>
    </w:p>
  </w:footnote>
  <w:footnote w:id="23">
    <w:p>
      <w:pPr>
        <w:pStyle w:val="FootnoteText"/>
      </w:pPr>
      <w:r>
        <w:rPr>
          <w:rStyle w:val="FootnoteReference"/>
          <w:lang w:val="en-US"/>
        </w:rPr>
        <w:footnoteRef/>
      </w:r>
      <w:r>
        <w:tab/>
        <w:t>Kommissionens genomförandeförordning (EU) 2015/2403 av den 15 december 2015 om fastställande av gemensamma riktlinjer om standarder och metoder för deaktivering i syfte att se till att deaktiverade skjutvapen görs irreversibelt funktionsodugliga (EUT L 333, 19.12.2015, s.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7EB8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CA804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0F0481B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E2A0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C9F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FA405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0AC50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4FC8C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4"/>
  </w:num>
  <w:num w:numId="8">
    <w:abstractNumId w:val="3"/>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08/51/EG Art. 1.2"/>
    <w:docVar w:name="CR_Ref1" w:val="2008/51/EG Art. 1.6"/>
    <w:docVar w:name="CR_Ref10" w:val="2017/853 Art. 1.3 b"/>
    <w:docVar w:name="CR_Ref11" w:val="2017/853 Art. 1.3 c"/>
    <w:docVar w:name="CR_Ref12" w:val="2017/853 Art. 1.4"/>
    <w:docVar w:name="CR_Ref13" w:val="2017/853 Art. 1.5"/>
    <w:docVar w:name="CR_Ref14" w:val="2017/853 Art. 1.6"/>
    <w:docVar w:name="CR_Ref15" w:val="2017/853 Art. 1.7 a"/>
    <w:docVar w:name="CR_Ref16" w:val="2017/853 Art. 1.7 b"/>
    <w:docVar w:name="CR_Ref17" w:val="2017/853 Art. 1.8"/>
    <w:docVar w:name="CR_Ref18" w:val="2017/853 Art. 1.9"/>
    <w:docVar w:name="CR_Ref19" w:val="2017/853 Art. 1.10"/>
    <w:docVar w:name="CR_Ref2" w:val="2008/51/EG Art. 1.7"/>
    <w:docVar w:name="CR_Ref20" w:val="2017/853 Art. 1.11"/>
    <w:docVar w:name="CR_Ref21" w:val="2017/853 Art. 1.12"/>
    <w:docVar w:name="CR_Ref22" w:val="2017/853 Art. 1.13 a"/>
    <w:docVar w:name="CR_Ref23" w:val="2017/853 Art. 1.13 b"/>
    <w:docVar w:name="CR_Ref24" w:val="2017/853 Art. 1.14"/>
    <w:docVar w:name="CR_Ref25" w:val="2017/853 Art. 1.15"/>
    <w:docVar w:name="CR_Ref26" w:val="2017/853 Art. 1.16"/>
    <w:docVar w:name="CR_Ref27" w:val="2017/853 Art. 1.17"/>
    <w:docVar w:name="CR_Ref28" w:val="2017/853 Art. 1.18"/>
    <w:docVar w:name="CR_Ref29" w:val="2017/853 Art. 1.19 1"/>
    <w:docVar w:name="CR_Ref3" w:val="2008/51/EG Art. 1.8"/>
    <w:docVar w:name="CR_Ref30" w:val="2017/853 Art. 1.19 2"/>
    <w:docVar w:name="CR_Ref31" w:val="2017/853 Art. 1.20"/>
    <w:docVar w:name="CR_Ref32" w:val="Rättelse EUT L 160, 25.6.2018"/>
    <w:docVar w:name="CR_Ref33" w:val="Rättelse EUT L 161, 26.6.2018"/>
    <w:docVar w:name="CR_Ref4" w:val="2008/51/EG Art. 1.9"/>
    <w:docVar w:name="CR_Ref5" w:val="2008/51/EG Art. 1.11"/>
    <w:docVar w:name="CR_Ref6" w:val="2008/51/EG Art. 1.13 a"/>
    <w:docVar w:name="CR_Ref7" w:val="2017/853 Art. 1.1"/>
    <w:docVar w:name="CR_Ref8" w:val="2017/853 Art. 1.2"/>
    <w:docVar w:name="CR_Ref9" w:val="2017/853 Art. 1.3 a"/>
    <w:docVar w:name="CR_RefCount" w:val="34"/>
    <w:docVar w:name="CR_RefLast" w:val="36"/>
    <w:docVar w:name="DQCDateTime" w:val="2020-02-12 09:11: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A076796C-D5AF-4E9B-8D1F-E272C4B73AE0"/>
    <w:docVar w:name="LW_COVERPAGE_TYPE" w:val="1"/>
    <w:docVar w:name="LW_CROSSREFERENCE" w:val="&lt;UNUSED&gt;"/>
    <w:docVar w:name="LW_DocType" w:val="COM"/>
    <w:docVar w:name="LW_EMISSION" w:val="19.2.2020"/>
    <w:docVar w:name="LW_EMISSION_ISODATE" w:val="2020-02-19"/>
    <w:docVar w:name="LW_EMISSION_LOCATION" w:val="BRX"/>
    <w:docVar w:name="LW_EMISSION_PREFIX" w:val="Bryssel den "/>
    <w:docVar w:name="LW_EMISSION_SUFFIX" w:val=" "/>
    <w:docVar w:name="LW_FAITA" w:val="&lt;UNUSED&gt;"/>
    <w:docVar w:name="LW_ID_DOCMODEL" w:val="SJ-024"/>
    <w:docVar w:name="LW_ID_DOCSIGNATURE" w:val="SJ-024"/>
    <w:docVar w:name="LW_ID_DOCSTRUCTURE" w:val="COM/PL/ORG"/>
    <w:docVar w:name="LW_ID_DOCTYPE" w:val="SJ-024"/>
    <w:docVar w:name="LW_ID_STATUT" w:val="SJ-024"/>
    <w:docVar w:name="LW_INST.SIGNE" w:val="&lt;UNUSED&gt;"/>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PERS.SIGNE" w:val="&lt;UNUSED&gt;"/>
    <w:docVar w:name="LW_REF.II.NEW.CP" w:val="COD"/>
    <w:docVar w:name="LW_REF.II.NEW.CP_NUMBER" w:val="0029"/>
    <w:docVar w:name="LW_REF.II.NEW.CP_YEAR" w:val="2020"/>
    <w:docVar w:name="LW_REF.INST.NEW" w:val="COM"/>
    <w:docVar w:name="LW_REF.INST.NEW_ADOPTED" w:val="final"/>
    <w:docVar w:name="LW_REF.INST.NEW_TEXT" w:val="(2020)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kontroll av förvärv och innehav av vapen (kodifiering)"/>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Titreobjet"/>
    <w:pPr>
      <w:autoSpaceDE w:val="0"/>
      <w:autoSpaceDN w:val="0"/>
      <w:spacing w:before="0" w:after="0"/>
    </w:pPr>
    <w:rPr>
      <w:rFonts w:eastAsia="Times New Roman"/>
      <w:bCs/>
      <w:szCs w:val="24"/>
      <w:lang w:val="fr-FR" w:eastAsia="en-GB"/>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eastAsia="en-US"/>
    </w:rPr>
  </w:style>
  <w:style w:type="character" w:customStyle="1" w:styleId="CRDeleted">
    <w:name w:val="CR Deleted"/>
    <w:basedOn w:val="DefaultParagraphFont"/>
    <w:rPr>
      <w:strike w:val="0"/>
      <w:dstrike/>
      <w:noProof w:val="0"/>
    </w:rPr>
  </w:style>
  <w:style w:type="character" w:customStyle="1" w:styleId="CRMinorChangeDeleted">
    <w:name w:val="CR Minor Change Deleted"/>
    <w:basedOn w:val="DefaultParagraphFont"/>
    <w:rPr>
      <w:strike w:val="0"/>
      <w:dstrike/>
      <w:noProof w:val="0"/>
      <w:u w:val="doub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lang w:val="sv-S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lang w:val="sv-SE" w:eastAsia="en-US"/>
    </w:rPr>
  </w:style>
  <w:style w:type="character" w:customStyle="1" w:styleId="Heading5Char">
    <w:name w:val="Heading 5 Char"/>
    <w:basedOn w:val="DefaultParagraphFont"/>
    <w:link w:val="Heading5"/>
    <w:uiPriority w:val="99"/>
    <w:rPr>
      <w:rFonts w:ascii="Arial" w:eastAsia="Times New Roman" w:hAnsi="Arial" w:cs="Arial"/>
      <w:sz w:val="22"/>
      <w:szCs w:val="22"/>
      <w:lang w:val="fr-FR"/>
    </w:rPr>
  </w:style>
  <w:style w:type="character" w:customStyle="1" w:styleId="Heading6Char">
    <w:name w:val="Heading 6 Char"/>
    <w:basedOn w:val="DefaultParagraphFont"/>
    <w:link w:val="Heading6"/>
    <w:uiPriority w:val="99"/>
    <w:rPr>
      <w:rFonts w:ascii="Arial" w:eastAsia="Times New Roman" w:hAnsi="Arial" w:cs="Arial"/>
      <w:i/>
      <w:iCs/>
      <w:sz w:val="22"/>
      <w:szCs w:val="22"/>
      <w:lang w:val="fr-FR"/>
    </w:rPr>
  </w:style>
  <w:style w:type="character" w:customStyle="1" w:styleId="Heading7Char">
    <w:name w:val="Heading 7 Char"/>
    <w:basedOn w:val="DefaultParagraphFont"/>
    <w:link w:val="Heading7"/>
    <w:uiPriority w:val="99"/>
    <w:rPr>
      <w:rFonts w:ascii="Arial" w:eastAsia="Times New Roman" w:hAnsi="Arial" w:cs="Arial"/>
      <w:lang w:val="fr-FR"/>
    </w:rPr>
  </w:style>
  <w:style w:type="character" w:customStyle="1" w:styleId="Heading8Char">
    <w:name w:val="Heading 8 Char"/>
    <w:basedOn w:val="DefaultParagraphFont"/>
    <w:link w:val="Heading8"/>
    <w:uiPriority w:val="99"/>
    <w:rPr>
      <w:rFonts w:ascii="Arial" w:eastAsia="Times New Roman" w:hAnsi="Arial" w:cs="Arial"/>
      <w:i/>
      <w:iCs/>
      <w:lang w:val="fr-FR"/>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fr-FR"/>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character" w:customStyle="1" w:styleId="CRMinorChangeAdded">
    <w:name w:val="CR Minor Change Added"/>
    <w:rPr>
      <w:rFonts w:cs="Times New Roman"/>
      <w:u w:val="double"/>
      <w:lang w:val="fr-FR" w:eastAsia="x-none"/>
    </w:rPr>
  </w:style>
  <w:style w:type="character" w:customStyle="1" w:styleId="italic1">
    <w:name w:val="italic1"/>
    <w:rPr>
      <w:i/>
    </w:rPr>
  </w:style>
  <w:style w:type="paragraph" w:styleId="Revision">
    <w:name w:val="Revision"/>
    <w:hidden/>
    <w:uiPriority w:val="99"/>
    <w:semiHidden/>
    <w:rPr>
      <w:rFonts w:ascii="Times New Roman" w:hAnsi="Times New Roman"/>
      <w:sz w:val="24"/>
      <w:lang w:val="sv-SE"/>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Titreobjet"/>
    <w:pPr>
      <w:autoSpaceDE w:val="0"/>
      <w:autoSpaceDN w:val="0"/>
      <w:spacing w:before="0" w:after="0"/>
    </w:pPr>
    <w:rPr>
      <w:rFonts w:eastAsia="Times New Roman"/>
      <w:bCs/>
      <w:szCs w:val="24"/>
      <w:lang w:val="fr-FR" w:eastAsia="en-GB"/>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eastAsia="en-US"/>
    </w:rPr>
  </w:style>
  <w:style w:type="character" w:customStyle="1" w:styleId="CRDeleted">
    <w:name w:val="CR Deleted"/>
    <w:basedOn w:val="DefaultParagraphFont"/>
    <w:rPr>
      <w:strike w:val="0"/>
      <w:dstrike/>
      <w:noProof w:val="0"/>
    </w:rPr>
  </w:style>
  <w:style w:type="character" w:customStyle="1" w:styleId="CRMinorChangeDeleted">
    <w:name w:val="CR Minor Change Deleted"/>
    <w:basedOn w:val="DefaultParagraphFont"/>
    <w:rPr>
      <w:strike w:val="0"/>
      <w:dstrike/>
      <w:noProof w:val="0"/>
      <w:u w:val="doub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lang w:val="sv-S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lang w:val="sv-SE" w:eastAsia="en-US"/>
    </w:rPr>
  </w:style>
  <w:style w:type="character" w:customStyle="1" w:styleId="Heading5Char">
    <w:name w:val="Heading 5 Char"/>
    <w:basedOn w:val="DefaultParagraphFont"/>
    <w:link w:val="Heading5"/>
    <w:uiPriority w:val="99"/>
    <w:rPr>
      <w:rFonts w:ascii="Arial" w:eastAsia="Times New Roman" w:hAnsi="Arial" w:cs="Arial"/>
      <w:sz w:val="22"/>
      <w:szCs w:val="22"/>
      <w:lang w:val="fr-FR"/>
    </w:rPr>
  </w:style>
  <w:style w:type="character" w:customStyle="1" w:styleId="Heading6Char">
    <w:name w:val="Heading 6 Char"/>
    <w:basedOn w:val="DefaultParagraphFont"/>
    <w:link w:val="Heading6"/>
    <w:uiPriority w:val="99"/>
    <w:rPr>
      <w:rFonts w:ascii="Arial" w:eastAsia="Times New Roman" w:hAnsi="Arial" w:cs="Arial"/>
      <w:i/>
      <w:iCs/>
      <w:sz w:val="22"/>
      <w:szCs w:val="22"/>
      <w:lang w:val="fr-FR"/>
    </w:rPr>
  </w:style>
  <w:style w:type="character" w:customStyle="1" w:styleId="Heading7Char">
    <w:name w:val="Heading 7 Char"/>
    <w:basedOn w:val="DefaultParagraphFont"/>
    <w:link w:val="Heading7"/>
    <w:uiPriority w:val="99"/>
    <w:rPr>
      <w:rFonts w:ascii="Arial" w:eastAsia="Times New Roman" w:hAnsi="Arial" w:cs="Arial"/>
      <w:lang w:val="fr-FR"/>
    </w:rPr>
  </w:style>
  <w:style w:type="character" w:customStyle="1" w:styleId="Heading8Char">
    <w:name w:val="Heading 8 Char"/>
    <w:basedOn w:val="DefaultParagraphFont"/>
    <w:link w:val="Heading8"/>
    <w:uiPriority w:val="99"/>
    <w:rPr>
      <w:rFonts w:ascii="Arial" w:eastAsia="Times New Roman" w:hAnsi="Arial" w:cs="Arial"/>
      <w:i/>
      <w:iCs/>
      <w:lang w:val="fr-FR"/>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fr-FR"/>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character" w:customStyle="1" w:styleId="CRMinorChangeAdded">
    <w:name w:val="CR Minor Change Added"/>
    <w:rPr>
      <w:rFonts w:cs="Times New Roman"/>
      <w:u w:val="double"/>
      <w:lang w:val="fr-FR" w:eastAsia="x-none"/>
    </w:rPr>
  </w:style>
  <w:style w:type="character" w:customStyle="1" w:styleId="italic1">
    <w:name w:val="italic1"/>
    <w:rPr>
      <w:i/>
    </w:rPr>
  </w:style>
  <w:style w:type="paragraph" w:styleId="Revision">
    <w:name w:val="Revision"/>
    <w:hidden/>
    <w:uiPriority w:val="99"/>
    <w:semiHidden/>
    <w:rPr>
      <w:rFonts w:ascii="Times New Roman" w:hAnsi="Times New Roman"/>
      <w:sz w:val="24"/>
      <w:lang w:val="sv-SE"/>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E97A-8695-45DC-B7C2-A8900CDF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10687</Words>
  <Characters>62413</Characters>
  <Application>Microsoft Office Word</Application>
  <DocSecurity>0</DocSecurity>
  <Lines>1177</Lines>
  <Paragraphs>454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2018-11-27T13:50:00Z</cp:lastPrinted>
  <dcterms:created xsi:type="dcterms:W3CDTF">2019-11-18T13:40:00Z</dcterms:created>
  <dcterms:modified xsi:type="dcterms:W3CDTF">2020-02-12T08:11:00Z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LWCR Document">
    <vt:lpwstr>True</vt:lpwstr>
  </property>
  <property fmtid="{D5CDD505-2E9C-101B-9397-08002B2CF9AE}" pid="7" name="LWCR Version">
    <vt:lpwstr>1.3.3</vt:lpwstr>
  </property>
  <property fmtid="{D5CDD505-2E9C-101B-9397-08002B2CF9AE}" pid="8" name="Level of sensitivity">
    <vt:lpwstr>Standard treatment</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SJ-024</vt:lpwstr>
  </property>
  <property fmtid="{D5CDD505-2E9C-101B-9397-08002B2CF9AE}" pid="12" name="LWCR IsRefonte">
    <vt:lpwstr>False</vt:lpwstr>
  </property>
  <property fmtid="{D5CDD505-2E9C-101B-9397-08002B2CF9AE}" pid="13" name="DQCStatus">
    <vt:lpwstr>Green (DQC version 03)</vt:lpwstr>
  </property>
</Properties>
</file>