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9EDD24C9-FD43-4220-BDB0-59D2800DDA9F" style="width:450.75pt;height:306.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OCHeading"/>
        <w:rPr>
          <w:rFonts w:ascii="Times New Roman" w:hAnsi="Times New Roman"/>
          <w:b w:val="0"/>
          <w:caps w:val="0"/>
          <w:noProof/>
        </w:rPr>
      </w:pPr>
      <w:bookmarkStart w:id="1" w:name="_GoBack"/>
      <w:bookmarkEnd w:id="1"/>
    </w:p>
    <w:p>
      <w:pPr>
        <w:pStyle w:val="TOCHeading"/>
        <w:rPr>
          <w:rFonts w:ascii="Times New Roman" w:hAnsi="Times New Roman"/>
          <w:b w:val="0"/>
          <w:caps w:val="0"/>
          <w:noProof/>
        </w:rPr>
      </w:pPr>
    </w:p>
    <w:sdt>
      <w:sdtPr>
        <w:rPr>
          <w:rFonts w:ascii="Times New Roman" w:hAnsi="Times New Roman"/>
          <w:b w:val="0"/>
          <w:caps w:val="0"/>
          <w:noProof/>
        </w:rPr>
        <w:alias w:val="Cuprins"/>
        <w:tag w:val="2OIKVGtmzwJ66PTlFMFRa4"/>
        <w:id w:val="-1932041533"/>
      </w:sdtPr>
      <w:sdtContent>
        <w:p>
          <w:pPr>
            <w:pStyle w:val="TOCHeading"/>
            <w:rPr>
              <w:noProof/>
            </w:rPr>
          </w:pPr>
          <w:sdt>
            <w:sdtPr>
              <w:rPr>
                <w:noProof/>
              </w:rPr>
              <w:id w:val="2022430718"/>
              <w:dataBinding w:xpath="/Texts/TOCHeading" w:storeItemID="{4EF90DE6-88B6-4264-9629-4D8DFDFE87D2}"/>
              <w:text w:multiLine="1"/>
            </w:sdtPr>
            <w:sdtContent>
              <w:r>
                <w:rPr>
                  <w:noProof/>
                </w:rPr>
                <w:t>Cuprins</w:t>
              </w:r>
            </w:sdtContent>
          </w:sdt>
        </w:p>
        <w:p>
          <w:pPr>
            <w:pStyle w:val="TOC1"/>
            <w:rPr>
              <w:rFonts w:asciiTheme="minorHAnsi" w:eastAsiaTheme="minorEastAsia" w:hAnsiTheme="minorHAnsi" w:cstheme="minorBidi"/>
              <w:caps w:val="0"/>
              <w:noProof/>
              <w:sz w:val="22"/>
              <w:szCs w:val="22"/>
              <w:lang w:eastAsia="zh-CN"/>
            </w:rPr>
          </w:pPr>
          <w:r>
            <w:rPr>
              <w:noProof/>
            </w:rPr>
            <w:fldChar w:fldCharType="begin"/>
          </w:r>
          <w:r>
            <w:rPr>
              <w:noProof/>
            </w:rPr>
            <w:instrText>TOC \o "1-4" \h \t "Article;1;ChapterTitle;5;PartTitle;5;SectionTitle;5;AnnexTitle;6"</w:instrText>
          </w:r>
          <w:r>
            <w:rPr>
              <w:noProof/>
            </w:rPr>
            <w:fldChar w:fldCharType="separate"/>
          </w:r>
          <w:hyperlink w:anchor="_Toc27400516" w:history="1">
            <w:r>
              <w:rPr>
                <w:rStyle w:val="Hyperlink"/>
                <w:noProof/>
              </w:rPr>
              <w:t>1.</w:t>
            </w:r>
            <w:r>
              <w:rPr>
                <w:rFonts w:asciiTheme="minorHAnsi" w:eastAsiaTheme="minorEastAsia" w:hAnsiTheme="minorHAnsi" w:cstheme="minorBidi"/>
                <w:caps w:val="0"/>
                <w:noProof/>
                <w:sz w:val="22"/>
                <w:szCs w:val="22"/>
                <w:lang w:eastAsia="zh-CN"/>
              </w:rPr>
              <w:tab/>
            </w:r>
            <w:r>
              <w:rPr>
                <w:rStyle w:val="Hyperlink"/>
                <w:noProof/>
              </w:rPr>
              <w:t>Introducere</w:t>
            </w:r>
            <w:r>
              <w:rPr>
                <w:noProof/>
              </w:rPr>
              <w:tab/>
            </w:r>
            <w:r>
              <w:rPr>
                <w:noProof/>
              </w:rPr>
              <w:fldChar w:fldCharType="begin"/>
            </w:r>
            <w:r>
              <w:rPr>
                <w:noProof/>
              </w:rPr>
              <w:instrText xml:space="preserve"> PAGEREF _Toc27400516 \h </w:instrText>
            </w:r>
            <w:r>
              <w:rPr>
                <w:noProof/>
              </w:rPr>
            </w:r>
            <w:r>
              <w:rPr>
                <w:noProof/>
              </w:rPr>
              <w:fldChar w:fldCharType="separate"/>
            </w:r>
            <w:r>
              <w:rPr>
                <w:noProof/>
              </w:rPr>
              <w:t>2</w:t>
            </w:r>
            <w:r>
              <w:rPr>
                <w:noProof/>
              </w:rPr>
              <w:fldChar w:fldCharType="end"/>
            </w:r>
          </w:hyperlink>
        </w:p>
        <w:p>
          <w:pPr>
            <w:pStyle w:val="TOC1"/>
            <w:rPr>
              <w:rFonts w:asciiTheme="minorHAnsi" w:eastAsiaTheme="minorEastAsia" w:hAnsiTheme="minorHAnsi" w:cstheme="minorBidi"/>
              <w:caps w:val="0"/>
              <w:noProof/>
              <w:sz w:val="22"/>
              <w:szCs w:val="22"/>
              <w:lang w:eastAsia="zh-CN"/>
            </w:rPr>
          </w:pPr>
          <w:hyperlink w:anchor="_Toc27400517" w:history="1">
            <w:r>
              <w:rPr>
                <w:rStyle w:val="Hyperlink"/>
                <w:noProof/>
              </w:rPr>
              <w:t>2.</w:t>
            </w:r>
            <w:r>
              <w:rPr>
                <w:rFonts w:asciiTheme="minorHAnsi" w:eastAsiaTheme="minorEastAsia" w:hAnsiTheme="minorHAnsi" w:cstheme="minorBidi"/>
                <w:caps w:val="0"/>
                <w:noProof/>
                <w:sz w:val="22"/>
                <w:szCs w:val="22"/>
                <w:lang w:eastAsia="zh-CN"/>
              </w:rPr>
              <w:tab/>
            </w:r>
            <w:r>
              <w:rPr>
                <w:rStyle w:val="Hyperlink"/>
                <w:noProof/>
              </w:rPr>
              <w:t>Rezumat</w:t>
            </w:r>
            <w:r>
              <w:rPr>
                <w:noProof/>
              </w:rPr>
              <w:tab/>
            </w:r>
            <w:r>
              <w:rPr>
                <w:noProof/>
              </w:rPr>
              <w:fldChar w:fldCharType="begin"/>
            </w:r>
            <w:r>
              <w:rPr>
                <w:noProof/>
              </w:rPr>
              <w:instrText xml:space="preserve"> PAGEREF _Toc27400517 \h </w:instrText>
            </w:r>
            <w:r>
              <w:rPr>
                <w:noProof/>
              </w:rPr>
            </w:r>
            <w:r>
              <w:rPr>
                <w:noProof/>
              </w:rPr>
              <w:fldChar w:fldCharType="separate"/>
            </w:r>
            <w:r>
              <w:rPr>
                <w:noProof/>
              </w:rPr>
              <w:t>2</w:t>
            </w:r>
            <w:r>
              <w:rPr>
                <w:noProof/>
              </w:rPr>
              <w:fldChar w:fldCharType="end"/>
            </w:r>
          </w:hyperlink>
        </w:p>
        <w:p>
          <w:pPr>
            <w:pStyle w:val="TOC1"/>
            <w:rPr>
              <w:rFonts w:asciiTheme="minorHAnsi" w:eastAsiaTheme="minorEastAsia" w:hAnsiTheme="minorHAnsi" w:cstheme="minorBidi"/>
              <w:caps w:val="0"/>
              <w:noProof/>
              <w:sz w:val="22"/>
              <w:szCs w:val="22"/>
              <w:lang w:eastAsia="zh-CN"/>
            </w:rPr>
          </w:pPr>
          <w:hyperlink w:anchor="_Toc27400518" w:history="1">
            <w:r>
              <w:rPr>
                <w:rStyle w:val="Hyperlink"/>
                <w:noProof/>
              </w:rPr>
              <w:t>3.</w:t>
            </w:r>
            <w:r>
              <w:rPr>
                <w:rFonts w:asciiTheme="minorHAnsi" w:eastAsiaTheme="minorEastAsia" w:hAnsiTheme="minorHAnsi" w:cstheme="minorBidi"/>
                <w:caps w:val="0"/>
                <w:noProof/>
                <w:sz w:val="22"/>
                <w:szCs w:val="22"/>
                <w:lang w:eastAsia="zh-CN"/>
              </w:rPr>
              <w:tab/>
            </w:r>
            <w:r>
              <w:rPr>
                <w:rStyle w:val="Hyperlink"/>
                <w:noProof/>
              </w:rPr>
              <w:t>Cadrul juridic al domeniului .eu</w:t>
            </w:r>
            <w:r>
              <w:rPr>
                <w:noProof/>
              </w:rPr>
              <w:tab/>
            </w:r>
            <w:r>
              <w:rPr>
                <w:noProof/>
              </w:rPr>
              <w:fldChar w:fldCharType="begin"/>
            </w:r>
            <w:r>
              <w:rPr>
                <w:noProof/>
              </w:rPr>
              <w:instrText xml:space="preserve"> PAGEREF _Toc27400518 \h </w:instrText>
            </w:r>
            <w:r>
              <w:rPr>
                <w:noProof/>
              </w:rPr>
            </w:r>
            <w:r>
              <w:rPr>
                <w:noProof/>
              </w:rPr>
              <w:fldChar w:fldCharType="separate"/>
            </w:r>
            <w:r>
              <w:rPr>
                <w:noProof/>
              </w:rPr>
              <w:t>3</w:t>
            </w:r>
            <w:r>
              <w:rPr>
                <w:noProof/>
              </w:rPr>
              <w:fldChar w:fldCharType="end"/>
            </w:r>
          </w:hyperlink>
        </w:p>
        <w:p>
          <w:pPr>
            <w:pStyle w:val="TOC2"/>
            <w:tabs>
              <w:tab w:val="left" w:pos="1077"/>
            </w:tabs>
            <w:rPr>
              <w:rFonts w:asciiTheme="minorHAnsi" w:eastAsiaTheme="minorEastAsia" w:hAnsiTheme="minorHAnsi" w:cstheme="minorBidi"/>
              <w:sz w:val="22"/>
              <w:szCs w:val="22"/>
              <w:lang w:eastAsia="zh-CN"/>
            </w:rPr>
          </w:pPr>
          <w:hyperlink w:anchor="_Toc27400519" w:history="1">
            <w:r>
              <w:rPr>
                <w:rStyle w:val="Hyperlink"/>
              </w:rPr>
              <w:t>3.1.</w:t>
            </w:r>
            <w:r>
              <w:rPr>
                <w:rFonts w:asciiTheme="minorHAnsi" w:eastAsiaTheme="minorEastAsia" w:hAnsiTheme="minorHAnsi" w:cstheme="minorBidi"/>
                <w:sz w:val="22"/>
                <w:szCs w:val="22"/>
                <w:lang w:eastAsia="zh-CN"/>
              </w:rPr>
              <w:tab/>
            </w:r>
            <w:r>
              <w:rPr>
                <w:rStyle w:val="Hyperlink"/>
              </w:rPr>
              <w:t>Cadrul actual</w:t>
            </w:r>
            <w:r>
              <w:tab/>
            </w:r>
            <w:r>
              <w:fldChar w:fldCharType="begin"/>
            </w:r>
            <w:r>
              <w:instrText xml:space="preserve"> PAGEREF _Toc27400519 \h </w:instrText>
            </w:r>
            <w:r>
              <w:fldChar w:fldCharType="separate"/>
            </w:r>
            <w:r>
              <w:t>3</w:t>
            </w:r>
            <w:r>
              <w:fldChar w:fldCharType="end"/>
            </w:r>
          </w:hyperlink>
        </w:p>
        <w:p>
          <w:pPr>
            <w:pStyle w:val="TOC2"/>
            <w:tabs>
              <w:tab w:val="left" w:pos="1077"/>
            </w:tabs>
            <w:rPr>
              <w:rFonts w:asciiTheme="minorHAnsi" w:eastAsiaTheme="minorEastAsia" w:hAnsiTheme="minorHAnsi" w:cstheme="minorBidi"/>
              <w:sz w:val="22"/>
              <w:szCs w:val="22"/>
              <w:lang w:eastAsia="zh-CN"/>
            </w:rPr>
          </w:pPr>
          <w:hyperlink w:anchor="_Toc27400520" w:history="1">
            <w:r>
              <w:rPr>
                <w:rStyle w:val="Hyperlink"/>
              </w:rPr>
              <w:t>3.2.</w:t>
            </w:r>
            <w:r>
              <w:rPr>
                <w:rFonts w:asciiTheme="minorHAnsi" w:eastAsiaTheme="minorEastAsia" w:hAnsiTheme="minorHAnsi" w:cstheme="minorBidi"/>
                <w:sz w:val="22"/>
                <w:szCs w:val="22"/>
                <w:lang w:eastAsia="zh-CN"/>
              </w:rPr>
              <w:tab/>
            </w:r>
            <w:r>
              <w:rPr>
                <w:rStyle w:val="Hyperlink"/>
              </w:rPr>
              <w:t>Un nou cadru</w:t>
            </w:r>
            <w:r>
              <w:tab/>
            </w:r>
            <w:r>
              <w:fldChar w:fldCharType="begin"/>
            </w:r>
            <w:r>
              <w:instrText xml:space="preserve"> PAGEREF _Toc27400520 \h </w:instrText>
            </w:r>
            <w:r>
              <w:fldChar w:fldCharType="separate"/>
            </w:r>
            <w:r>
              <w:t>3</w:t>
            </w:r>
            <w:r>
              <w:fldChar w:fldCharType="end"/>
            </w:r>
          </w:hyperlink>
        </w:p>
        <w:p>
          <w:pPr>
            <w:pStyle w:val="TOC1"/>
            <w:rPr>
              <w:rFonts w:asciiTheme="minorHAnsi" w:eastAsiaTheme="minorEastAsia" w:hAnsiTheme="minorHAnsi" w:cstheme="minorBidi"/>
              <w:caps w:val="0"/>
              <w:noProof/>
              <w:sz w:val="22"/>
              <w:szCs w:val="22"/>
              <w:lang w:eastAsia="zh-CN"/>
            </w:rPr>
          </w:pPr>
          <w:hyperlink w:anchor="_Toc27400521" w:history="1">
            <w:r>
              <w:rPr>
                <w:rStyle w:val="Hyperlink"/>
                <w:noProof/>
              </w:rPr>
              <w:t>4.</w:t>
            </w:r>
            <w:r>
              <w:rPr>
                <w:rFonts w:asciiTheme="minorHAnsi" w:eastAsiaTheme="minorEastAsia" w:hAnsiTheme="minorHAnsi" w:cstheme="minorBidi"/>
                <w:caps w:val="0"/>
                <w:noProof/>
                <w:sz w:val="22"/>
                <w:szCs w:val="22"/>
                <w:lang w:eastAsia="zh-CN"/>
              </w:rPr>
              <w:tab/>
            </w:r>
            <w:r>
              <w:rPr>
                <w:rStyle w:val="Hyperlink"/>
                <w:noProof/>
              </w:rPr>
              <w:t>Registrul .eu</w:t>
            </w:r>
            <w:r>
              <w:rPr>
                <w:noProof/>
              </w:rPr>
              <w:tab/>
            </w:r>
            <w:r>
              <w:rPr>
                <w:noProof/>
              </w:rPr>
              <w:fldChar w:fldCharType="begin"/>
            </w:r>
            <w:r>
              <w:rPr>
                <w:noProof/>
              </w:rPr>
              <w:instrText xml:space="preserve"> PAGEREF _Toc27400521 \h </w:instrText>
            </w:r>
            <w:r>
              <w:rPr>
                <w:noProof/>
              </w:rPr>
            </w:r>
            <w:r>
              <w:rPr>
                <w:noProof/>
              </w:rPr>
              <w:fldChar w:fldCharType="separate"/>
            </w:r>
            <w:r>
              <w:rPr>
                <w:noProof/>
              </w:rPr>
              <w:t>3</w:t>
            </w:r>
            <w:r>
              <w:rPr>
                <w:noProof/>
              </w:rPr>
              <w:fldChar w:fldCharType="end"/>
            </w:r>
          </w:hyperlink>
        </w:p>
        <w:p>
          <w:pPr>
            <w:pStyle w:val="TOC2"/>
            <w:tabs>
              <w:tab w:val="left" w:pos="1077"/>
            </w:tabs>
            <w:rPr>
              <w:rFonts w:asciiTheme="minorHAnsi" w:eastAsiaTheme="minorEastAsia" w:hAnsiTheme="minorHAnsi" w:cstheme="minorBidi"/>
              <w:sz w:val="22"/>
              <w:szCs w:val="22"/>
              <w:lang w:eastAsia="zh-CN"/>
            </w:rPr>
          </w:pPr>
          <w:hyperlink w:anchor="_Toc27400522" w:history="1">
            <w:r>
              <w:rPr>
                <w:rStyle w:val="Hyperlink"/>
              </w:rPr>
              <w:t>4.1.</w:t>
            </w:r>
            <w:r>
              <w:rPr>
                <w:rFonts w:asciiTheme="minorHAnsi" w:eastAsiaTheme="minorEastAsia" w:hAnsiTheme="minorHAnsi" w:cstheme="minorBidi"/>
                <w:sz w:val="22"/>
                <w:szCs w:val="22"/>
                <w:lang w:eastAsia="zh-CN"/>
              </w:rPr>
              <w:tab/>
            </w:r>
            <w:r>
              <w:rPr>
                <w:rStyle w:val="Hyperlink"/>
              </w:rPr>
              <w:t>Conformitatea financiară și contractuală</w:t>
            </w:r>
            <w:r>
              <w:tab/>
            </w:r>
            <w:r>
              <w:fldChar w:fldCharType="begin"/>
            </w:r>
            <w:r>
              <w:instrText xml:space="preserve"> PAGEREF _Toc27400522 \h </w:instrText>
            </w:r>
            <w:r>
              <w:fldChar w:fldCharType="separate"/>
            </w:r>
            <w:r>
              <w:t>4</w:t>
            </w:r>
            <w:r>
              <w:fldChar w:fldCharType="end"/>
            </w:r>
          </w:hyperlink>
        </w:p>
        <w:p>
          <w:pPr>
            <w:pStyle w:val="TOC1"/>
            <w:rPr>
              <w:rFonts w:asciiTheme="minorHAnsi" w:eastAsiaTheme="minorEastAsia" w:hAnsiTheme="minorHAnsi" w:cstheme="minorBidi"/>
              <w:caps w:val="0"/>
              <w:noProof/>
              <w:sz w:val="22"/>
              <w:szCs w:val="22"/>
              <w:lang w:eastAsia="zh-CN"/>
            </w:rPr>
          </w:pPr>
          <w:hyperlink w:anchor="_Toc27400523" w:history="1">
            <w:r>
              <w:rPr>
                <w:rStyle w:val="Hyperlink"/>
                <w:noProof/>
              </w:rPr>
              <w:t>5.</w:t>
            </w:r>
            <w:r>
              <w:rPr>
                <w:rFonts w:asciiTheme="minorHAnsi" w:eastAsiaTheme="minorEastAsia" w:hAnsiTheme="minorHAnsi" w:cstheme="minorBidi"/>
                <w:caps w:val="0"/>
                <w:noProof/>
                <w:sz w:val="22"/>
                <w:szCs w:val="22"/>
                <w:lang w:eastAsia="zh-CN"/>
              </w:rPr>
              <w:tab/>
            </w:r>
            <w:r>
              <w:rPr>
                <w:rStyle w:val="Hyperlink"/>
                <w:noProof/>
              </w:rPr>
              <w:t>Domeniul .eu</w:t>
            </w:r>
            <w:r>
              <w:rPr>
                <w:noProof/>
              </w:rPr>
              <w:tab/>
            </w:r>
            <w:r>
              <w:rPr>
                <w:noProof/>
              </w:rPr>
              <w:fldChar w:fldCharType="begin"/>
            </w:r>
            <w:r>
              <w:rPr>
                <w:noProof/>
              </w:rPr>
              <w:instrText xml:space="preserve"> PAGEREF _Toc27400523 \h </w:instrText>
            </w:r>
            <w:r>
              <w:rPr>
                <w:noProof/>
              </w:rPr>
            </w:r>
            <w:r>
              <w:rPr>
                <w:noProof/>
              </w:rPr>
              <w:fldChar w:fldCharType="separate"/>
            </w:r>
            <w:r>
              <w:rPr>
                <w:noProof/>
              </w:rPr>
              <w:t>5</w:t>
            </w:r>
            <w:r>
              <w:rPr>
                <w:noProof/>
              </w:rPr>
              <w:fldChar w:fldCharType="end"/>
            </w:r>
          </w:hyperlink>
        </w:p>
        <w:p>
          <w:pPr>
            <w:pStyle w:val="TOC2"/>
            <w:tabs>
              <w:tab w:val="left" w:pos="1077"/>
            </w:tabs>
            <w:rPr>
              <w:rFonts w:asciiTheme="minorHAnsi" w:eastAsiaTheme="minorEastAsia" w:hAnsiTheme="minorHAnsi" w:cstheme="minorBidi"/>
              <w:sz w:val="22"/>
              <w:szCs w:val="22"/>
              <w:lang w:eastAsia="zh-CN"/>
            </w:rPr>
          </w:pPr>
          <w:hyperlink w:anchor="_Toc27400524" w:history="1">
            <w:r>
              <w:rPr>
                <w:rStyle w:val="Hyperlink"/>
              </w:rPr>
              <w:t>5.1.</w:t>
            </w:r>
            <w:r>
              <w:rPr>
                <w:rFonts w:asciiTheme="minorHAnsi" w:eastAsiaTheme="minorEastAsia" w:hAnsiTheme="minorHAnsi" w:cstheme="minorBidi"/>
                <w:sz w:val="22"/>
                <w:szCs w:val="22"/>
                <w:lang w:eastAsia="zh-CN"/>
              </w:rPr>
              <w:tab/>
            </w:r>
            <w:r>
              <w:rPr>
                <w:rStyle w:val="Hyperlink"/>
              </w:rPr>
              <w:t>Tendințe generale</w:t>
            </w:r>
            <w:r>
              <w:tab/>
            </w:r>
            <w:r>
              <w:fldChar w:fldCharType="begin"/>
            </w:r>
            <w:r>
              <w:instrText xml:space="preserve"> PAGEREF _Toc27400524 \h </w:instrText>
            </w:r>
            <w:r>
              <w:fldChar w:fldCharType="separate"/>
            </w:r>
            <w:r>
              <w:t>5</w:t>
            </w:r>
            <w:r>
              <w:fldChar w:fldCharType="end"/>
            </w:r>
          </w:hyperlink>
        </w:p>
        <w:p>
          <w:pPr>
            <w:pStyle w:val="TOC2"/>
            <w:tabs>
              <w:tab w:val="left" w:pos="1077"/>
            </w:tabs>
            <w:rPr>
              <w:rFonts w:asciiTheme="minorHAnsi" w:eastAsiaTheme="minorEastAsia" w:hAnsiTheme="minorHAnsi" w:cstheme="minorBidi"/>
              <w:sz w:val="22"/>
              <w:szCs w:val="22"/>
              <w:lang w:eastAsia="zh-CN"/>
            </w:rPr>
          </w:pPr>
          <w:hyperlink w:anchor="_Toc27400525" w:history="1">
            <w:r>
              <w:rPr>
                <w:rStyle w:val="Hyperlink"/>
              </w:rPr>
              <w:t>5.2.</w:t>
            </w:r>
            <w:r>
              <w:rPr>
                <w:rFonts w:asciiTheme="minorHAnsi" w:eastAsiaTheme="minorEastAsia" w:hAnsiTheme="minorHAnsi" w:cstheme="minorBidi"/>
                <w:sz w:val="22"/>
                <w:szCs w:val="22"/>
                <w:lang w:eastAsia="zh-CN"/>
              </w:rPr>
              <w:tab/>
            </w:r>
            <w:r>
              <w:rPr>
                <w:rStyle w:val="Hyperlink"/>
              </w:rPr>
              <w:t>Marca .eu</w:t>
            </w:r>
            <w:r>
              <w:tab/>
            </w:r>
            <w:r>
              <w:fldChar w:fldCharType="begin"/>
            </w:r>
            <w:r>
              <w:instrText xml:space="preserve"> PAGEREF _Toc27400525 \h </w:instrText>
            </w:r>
            <w:r>
              <w:fldChar w:fldCharType="separate"/>
            </w:r>
            <w:r>
              <w:t>6</w:t>
            </w:r>
            <w:r>
              <w:fldChar w:fldCharType="end"/>
            </w:r>
          </w:hyperlink>
        </w:p>
        <w:p>
          <w:pPr>
            <w:pStyle w:val="TOC2"/>
            <w:tabs>
              <w:tab w:val="left" w:pos="1077"/>
            </w:tabs>
            <w:rPr>
              <w:rFonts w:asciiTheme="minorHAnsi" w:eastAsiaTheme="minorEastAsia" w:hAnsiTheme="minorHAnsi" w:cstheme="minorBidi"/>
              <w:sz w:val="22"/>
              <w:szCs w:val="22"/>
              <w:lang w:eastAsia="zh-CN"/>
            </w:rPr>
          </w:pPr>
          <w:hyperlink w:anchor="_Toc27400526" w:history="1">
            <w:r>
              <w:rPr>
                <w:rStyle w:val="Hyperlink"/>
              </w:rPr>
              <w:t>5.3.</w:t>
            </w:r>
            <w:r>
              <w:rPr>
                <w:rFonts w:asciiTheme="minorHAnsi" w:eastAsiaTheme="minorEastAsia" w:hAnsiTheme="minorHAnsi" w:cstheme="minorBidi"/>
                <w:sz w:val="22"/>
                <w:szCs w:val="22"/>
                <w:lang w:eastAsia="zh-CN"/>
              </w:rPr>
              <w:tab/>
            </w:r>
            <w:r>
              <w:rPr>
                <w:rStyle w:val="Hyperlink"/>
              </w:rPr>
              <w:t>Marketing și comunicare</w:t>
            </w:r>
            <w:r>
              <w:tab/>
            </w:r>
            <w:r>
              <w:fldChar w:fldCharType="begin"/>
            </w:r>
            <w:r>
              <w:instrText xml:space="preserve"> PAGEREF _Toc27400526 \h </w:instrText>
            </w:r>
            <w:r>
              <w:fldChar w:fldCharType="separate"/>
            </w:r>
            <w:r>
              <w:t>6</w:t>
            </w:r>
            <w:r>
              <w:fldChar w:fldCharType="end"/>
            </w:r>
          </w:hyperlink>
        </w:p>
        <w:p>
          <w:pPr>
            <w:pStyle w:val="TOC2"/>
            <w:tabs>
              <w:tab w:val="left" w:pos="1077"/>
            </w:tabs>
            <w:rPr>
              <w:rFonts w:asciiTheme="minorHAnsi" w:eastAsiaTheme="minorEastAsia" w:hAnsiTheme="minorHAnsi" w:cstheme="minorBidi"/>
              <w:sz w:val="22"/>
              <w:szCs w:val="22"/>
              <w:lang w:eastAsia="zh-CN"/>
            </w:rPr>
          </w:pPr>
          <w:hyperlink w:anchor="_Toc27400527" w:history="1">
            <w:r>
              <w:rPr>
                <w:rStyle w:val="Hyperlink"/>
              </w:rPr>
              <w:t>5.4.</w:t>
            </w:r>
            <w:r>
              <w:rPr>
                <w:rFonts w:asciiTheme="minorHAnsi" w:eastAsiaTheme="minorEastAsia" w:hAnsiTheme="minorHAnsi" w:cstheme="minorBidi"/>
                <w:sz w:val="22"/>
                <w:szCs w:val="22"/>
                <w:lang w:eastAsia="zh-CN"/>
              </w:rPr>
              <w:tab/>
            </w:r>
            <w:r>
              <w:rPr>
                <w:rStyle w:val="Hyperlink"/>
              </w:rPr>
              <w:t>Multilingvismul</w:t>
            </w:r>
            <w:r>
              <w:tab/>
            </w:r>
            <w:r>
              <w:fldChar w:fldCharType="begin"/>
            </w:r>
            <w:r>
              <w:instrText xml:space="preserve"> PAGEREF _Toc27400527 \h </w:instrText>
            </w:r>
            <w:r>
              <w:fldChar w:fldCharType="separate"/>
            </w:r>
            <w:r>
              <w:t>7</w:t>
            </w:r>
            <w:r>
              <w:fldChar w:fldCharType="end"/>
            </w:r>
          </w:hyperlink>
        </w:p>
        <w:p>
          <w:pPr>
            <w:pStyle w:val="TOC2"/>
            <w:tabs>
              <w:tab w:val="left" w:pos="1077"/>
            </w:tabs>
            <w:rPr>
              <w:rFonts w:asciiTheme="minorHAnsi" w:eastAsiaTheme="minorEastAsia" w:hAnsiTheme="minorHAnsi" w:cstheme="minorBidi"/>
              <w:sz w:val="22"/>
              <w:szCs w:val="22"/>
              <w:lang w:eastAsia="zh-CN"/>
            </w:rPr>
          </w:pPr>
          <w:hyperlink w:anchor="_Toc27400528" w:history="1">
            <w:r>
              <w:rPr>
                <w:rStyle w:val="Hyperlink"/>
              </w:rPr>
              <w:t>5.5.</w:t>
            </w:r>
            <w:r>
              <w:rPr>
                <w:rFonts w:asciiTheme="minorHAnsi" w:eastAsiaTheme="minorEastAsia" w:hAnsiTheme="minorHAnsi" w:cstheme="minorBidi"/>
                <w:sz w:val="22"/>
                <w:szCs w:val="22"/>
                <w:lang w:eastAsia="zh-CN"/>
              </w:rPr>
              <w:tab/>
            </w:r>
            <w:r>
              <w:rPr>
                <w:rStyle w:val="Hyperlink"/>
              </w:rPr>
              <w:t>Impactul intenției Regatului Unit de a se retrage din UE</w:t>
            </w:r>
            <w:r>
              <w:tab/>
            </w:r>
            <w:r>
              <w:fldChar w:fldCharType="begin"/>
            </w:r>
            <w:r>
              <w:instrText xml:space="preserve"> PAGEREF _Toc27400528 \h </w:instrText>
            </w:r>
            <w:r>
              <w:fldChar w:fldCharType="separate"/>
            </w:r>
            <w:r>
              <w:t>8</w:t>
            </w:r>
            <w:r>
              <w:fldChar w:fldCharType="end"/>
            </w:r>
          </w:hyperlink>
        </w:p>
        <w:p>
          <w:pPr>
            <w:pStyle w:val="TOC1"/>
            <w:rPr>
              <w:rFonts w:asciiTheme="minorHAnsi" w:eastAsiaTheme="minorEastAsia" w:hAnsiTheme="minorHAnsi" w:cstheme="minorBidi"/>
              <w:caps w:val="0"/>
              <w:noProof/>
              <w:sz w:val="22"/>
              <w:szCs w:val="22"/>
              <w:lang w:eastAsia="zh-CN"/>
            </w:rPr>
          </w:pPr>
          <w:hyperlink w:anchor="_Toc27400529" w:history="1">
            <w:r>
              <w:rPr>
                <w:rStyle w:val="Hyperlink"/>
                <w:noProof/>
              </w:rPr>
              <w:t>6.</w:t>
            </w:r>
            <w:r>
              <w:rPr>
                <w:rFonts w:asciiTheme="minorHAnsi" w:eastAsiaTheme="minorEastAsia" w:hAnsiTheme="minorHAnsi" w:cstheme="minorBidi"/>
                <w:caps w:val="0"/>
                <w:noProof/>
                <w:sz w:val="22"/>
                <w:szCs w:val="22"/>
                <w:lang w:eastAsia="zh-CN"/>
              </w:rPr>
              <w:tab/>
            </w:r>
            <w:r>
              <w:rPr>
                <w:rStyle w:val="Hyperlink"/>
                <w:noProof/>
              </w:rPr>
              <w:t>Încredere și securitate</w:t>
            </w:r>
            <w:r>
              <w:rPr>
                <w:noProof/>
              </w:rPr>
              <w:tab/>
            </w:r>
            <w:r>
              <w:rPr>
                <w:noProof/>
              </w:rPr>
              <w:fldChar w:fldCharType="begin"/>
            </w:r>
            <w:r>
              <w:rPr>
                <w:noProof/>
              </w:rPr>
              <w:instrText xml:space="preserve"> PAGEREF _Toc27400529 \h </w:instrText>
            </w:r>
            <w:r>
              <w:rPr>
                <w:noProof/>
              </w:rPr>
            </w:r>
            <w:r>
              <w:rPr>
                <w:noProof/>
              </w:rPr>
              <w:fldChar w:fldCharType="separate"/>
            </w:r>
            <w:r>
              <w:rPr>
                <w:noProof/>
              </w:rPr>
              <w:t>9</w:t>
            </w:r>
            <w:r>
              <w:rPr>
                <w:noProof/>
              </w:rPr>
              <w:fldChar w:fldCharType="end"/>
            </w:r>
          </w:hyperlink>
        </w:p>
        <w:p>
          <w:pPr>
            <w:pStyle w:val="TOC2"/>
            <w:tabs>
              <w:tab w:val="left" w:pos="1077"/>
            </w:tabs>
            <w:rPr>
              <w:rFonts w:asciiTheme="minorHAnsi" w:eastAsiaTheme="minorEastAsia" w:hAnsiTheme="minorHAnsi" w:cstheme="minorBidi"/>
              <w:sz w:val="22"/>
              <w:szCs w:val="22"/>
              <w:lang w:eastAsia="zh-CN"/>
            </w:rPr>
          </w:pPr>
          <w:hyperlink w:anchor="_Toc27400530" w:history="1">
            <w:r>
              <w:rPr>
                <w:rStyle w:val="Hyperlink"/>
              </w:rPr>
              <w:t>6.1.</w:t>
            </w:r>
            <w:r>
              <w:rPr>
                <w:rFonts w:asciiTheme="minorHAnsi" w:eastAsiaTheme="minorEastAsia" w:hAnsiTheme="minorHAnsi" w:cstheme="minorBidi"/>
                <w:sz w:val="22"/>
                <w:szCs w:val="22"/>
                <w:lang w:eastAsia="zh-CN"/>
              </w:rPr>
              <w:tab/>
            </w:r>
            <w:r>
              <w:rPr>
                <w:rStyle w:val="Hyperlink"/>
              </w:rPr>
              <w:t>Nume de domenii sigure</w:t>
            </w:r>
            <w:r>
              <w:tab/>
            </w:r>
            <w:r>
              <w:fldChar w:fldCharType="begin"/>
            </w:r>
            <w:r>
              <w:instrText xml:space="preserve"> PAGEREF _Toc27400530 \h </w:instrText>
            </w:r>
            <w:r>
              <w:fldChar w:fldCharType="separate"/>
            </w:r>
            <w:r>
              <w:t>9</w:t>
            </w:r>
            <w:r>
              <w:fldChar w:fldCharType="end"/>
            </w:r>
          </w:hyperlink>
        </w:p>
        <w:p>
          <w:pPr>
            <w:pStyle w:val="TOC2"/>
            <w:tabs>
              <w:tab w:val="left" w:pos="1077"/>
            </w:tabs>
            <w:rPr>
              <w:rFonts w:asciiTheme="minorHAnsi" w:eastAsiaTheme="minorEastAsia" w:hAnsiTheme="minorHAnsi" w:cstheme="minorBidi"/>
              <w:sz w:val="22"/>
              <w:szCs w:val="22"/>
              <w:lang w:eastAsia="zh-CN"/>
            </w:rPr>
          </w:pPr>
          <w:hyperlink w:anchor="_Toc27400531" w:history="1">
            <w:r>
              <w:rPr>
                <w:rStyle w:val="Hyperlink"/>
              </w:rPr>
              <w:t>6.2.</w:t>
            </w:r>
            <w:r>
              <w:rPr>
                <w:rFonts w:asciiTheme="minorHAnsi" w:eastAsiaTheme="minorEastAsia" w:hAnsiTheme="minorHAnsi" w:cstheme="minorBidi"/>
                <w:sz w:val="22"/>
                <w:szCs w:val="22"/>
                <w:lang w:eastAsia="zh-CN"/>
              </w:rPr>
              <w:tab/>
            </w:r>
            <w:r>
              <w:rPr>
                <w:rStyle w:val="Hyperlink"/>
              </w:rPr>
              <w:t>Reducerea numărului de înregistrări abuzive</w:t>
            </w:r>
            <w:r>
              <w:tab/>
            </w:r>
            <w:r>
              <w:fldChar w:fldCharType="begin"/>
            </w:r>
            <w:r>
              <w:instrText xml:space="preserve"> PAGEREF _Toc27400531 \h </w:instrText>
            </w:r>
            <w:r>
              <w:fldChar w:fldCharType="separate"/>
            </w:r>
            <w:r>
              <w:t>9</w:t>
            </w:r>
            <w:r>
              <w:fldChar w:fldCharType="end"/>
            </w:r>
          </w:hyperlink>
        </w:p>
        <w:p>
          <w:pPr>
            <w:pStyle w:val="TOC2"/>
            <w:tabs>
              <w:tab w:val="left" w:pos="1077"/>
            </w:tabs>
            <w:rPr>
              <w:rFonts w:asciiTheme="minorHAnsi" w:eastAsiaTheme="minorEastAsia" w:hAnsiTheme="minorHAnsi" w:cstheme="minorBidi"/>
              <w:sz w:val="22"/>
              <w:szCs w:val="22"/>
              <w:lang w:eastAsia="zh-CN"/>
            </w:rPr>
          </w:pPr>
          <w:hyperlink w:anchor="_Toc27400532" w:history="1">
            <w:r>
              <w:rPr>
                <w:rStyle w:val="Hyperlink"/>
              </w:rPr>
              <w:t>6.3.</w:t>
            </w:r>
            <w:r>
              <w:rPr>
                <w:rFonts w:asciiTheme="minorHAnsi" w:eastAsiaTheme="minorEastAsia" w:hAnsiTheme="minorHAnsi" w:cstheme="minorBidi"/>
                <w:sz w:val="22"/>
                <w:szCs w:val="22"/>
                <w:lang w:eastAsia="zh-CN"/>
              </w:rPr>
              <w:tab/>
            </w:r>
            <w:r>
              <w:rPr>
                <w:rStyle w:val="Hyperlink"/>
              </w:rPr>
              <w:t>Cooperarea în domeniul combaterii criminalității informatice</w:t>
            </w:r>
            <w:r>
              <w:tab/>
            </w:r>
            <w:r>
              <w:fldChar w:fldCharType="begin"/>
            </w:r>
            <w:r>
              <w:instrText xml:space="preserve"> PAGEREF _Toc27400532 \h </w:instrText>
            </w:r>
            <w:r>
              <w:fldChar w:fldCharType="separate"/>
            </w:r>
            <w:r>
              <w:t>10</w:t>
            </w:r>
            <w:r>
              <w:fldChar w:fldCharType="end"/>
            </w:r>
          </w:hyperlink>
        </w:p>
        <w:p>
          <w:pPr>
            <w:pStyle w:val="TOC2"/>
            <w:tabs>
              <w:tab w:val="left" w:pos="1077"/>
            </w:tabs>
            <w:rPr>
              <w:rFonts w:asciiTheme="minorHAnsi" w:eastAsiaTheme="minorEastAsia" w:hAnsiTheme="minorHAnsi" w:cstheme="minorBidi"/>
              <w:sz w:val="22"/>
              <w:szCs w:val="22"/>
              <w:lang w:eastAsia="zh-CN"/>
            </w:rPr>
          </w:pPr>
          <w:hyperlink w:anchor="_Toc27400533" w:history="1">
            <w:r>
              <w:rPr>
                <w:rStyle w:val="Hyperlink"/>
              </w:rPr>
              <w:t>6.4.</w:t>
            </w:r>
            <w:r>
              <w:rPr>
                <w:rFonts w:asciiTheme="minorHAnsi" w:eastAsiaTheme="minorEastAsia" w:hAnsiTheme="minorHAnsi" w:cstheme="minorBidi"/>
                <w:sz w:val="22"/>
                <w:szCs w:val="22"/>
                <w:lang w:eastAsia="zh-CN"/>
              </w:rPr>
              <w:tab/>
            </w:r>
            <w:r>
              <w:rPr>
                <w:rStyle w:val="Hyperlink"/>
              </w:rPr>
              <w:t>Soluționarea alternativă a litigiilor</w:t>
            </w:r>
            <w:r>
              <w:tab/>
            </w:r>
            <w:r>
              <w:fldChar w:fldCharType="begin"/>
            </w:r>
            <w:r>
              <w:instrText xml:space="preserve"> PAGEREF _Toc27400533 \h </w:instrText>
            </w:r>
            <w:r>
              <w:fldChar w:fldCharType="separate"/>
            </w:r>
            <w:r>
              <w:t>10</w:t>
            </w:r>
            <w:r>
              <w:fldChar w:fldCharType="end"/>
            </w:r>
          </w:hyperlink>
        </w:p>
        <w:p>
          <w:pPr>
            <w:pStyle w:val="TOC2"/>
            <w:tabs>
              <w:tab w:val="left" w:pos="1077"/>
            </w:tabs>
            <w:rPr>
              <w:rFonts w:asciiTheme="minorHAnsi" w:eastAsiaTheme="minorEastAsia" w:hAnsiTheme="minorHAnsi" w:cstheme="minorBidi"/>
              <w:sz w:val="22"/>
              <w:szCs w:val="22"/>
              <w:lang w:eastAsia="zh-CN"/>
            </w:rPr>
          </w:pPr>
          <w:hyperlink w:anchor="_Toc27400534" w:history="1">
            <w:r>
              <w:rPr>
                <w:rStyle w:val="Hyperlink"/>
              </w:rPr>
              <w:t>6.5.</w:t>
            </w:r>
            <w:r>
              <w:rPr>
                <w:rFonts w:asciiTheme="minorHAnsi" w:eastAsiaTheme="minorEastAsia" w:hAnsiTheme="minorHAnsi" w:cstheme="minorBidi"/>
                <w:sz w:val="22"/>
                <w:szCs w:val="22"/>
                <w:lang w:eastAsia="zh-CN"/>
              </w:rPr>
              <w:tab/>
            </w:r>
            <w:r>
              <w:rPr>
                <w:rStyle w:val="Hyperlink"/>
              </w:rPr>
              <w:t>Stabilitatea, securitatea și continuitatea activității</w:t>
            </w:r>
            <w:r>
              <w:tab/>
            </w:r>
            <w:r>
              <w:fldChar w:fldCharType="begin"/>
            </w:r>
            <w:r>
              <w:instrText xml:space="preserve"> PAGEREF _Toc27400534 \h </w:instrText>
            </w:r>
            <w:r>
              <w:fldChar w:fldCharType="separate"/>
            </w:r>
            <w:r>
              <w:t>11</w:t>
            </w:r>
            <w:r>
              <w:fldChar w:fldCharType="end"/>
            </w:r>
          </w:hyperlink>
        </w:p>
        <w:p>
          <w:pPr>
            <w:pStyle w:val="TOC1"/>
            <w:rPr>
              <w:rFonts w:asciiTheme="minorHAnsi" w:eastAsiaTheme="minorEastAsia" w:hAnsiTheme="minorHAnsi" w:cstheme="minorBidi"/>
              <w:caps w:val="0"/>
              <w:noProof/>
              <w:sz w:val="22"/>
              <w:szCs w:val="22"/>
              <w:lang w:eastAsia="zh-CN"/>
            </w:rPr>
          </w:pPr>
          <w:hyperlink w:anchor="_Toc27400535" w:history="1">
            <w:r>
              <w:rPr>
                <w:rStyle w:val="Hyperlink"/>
                <w:noProof/>
              </w:rPr>
              <w:t>7.</w:t>
            </w:r>
            <w:r>
              <w:rPr>
                <w:rFonts w:asciiTheme="minorHAnsi" w:eastAsiaTheme="minorEastAsia" w:hAnsiTheme="minorHAnsi" w:cstheme="minorBidi"/>
                <w:caps w:val="0"/>
                <w:noProof/>
                <w:sz w:val="22"/>
                <w:szCs w:val="22"/>
                <w:lang w:eastAsia="zh-CN"/>
              </w:rPr>
              <w:tab/>
            </w:r>
            <w:r>
              <w:rPr>
                <w:rStyle w:val="Hyperlink"/>
                <w:noProof/>
              </w:rPr>
              <w:t>Relații internaționale</w:t>
            </w:r>
            <w:r>
              <w:rPr>
                <w:noProof/>
              </w:rPr>
              <w:tab/>
            </w:r>
            <w:r>
              <w:rPr>
                <w:noProof/>
              </w:rPr>
              <w:fldChar w:fldCharType="begin"/>
            </w:r>
            <w:r>
              <w:rPr>
                <w:noProof/>
              </w:rPr>
              <w:instrText xml:space="preserve"> PAGEREF _Toc27400535 \h </w:instrText>
            </w:r>
            <w:r>
              <w:rPr>
                <w:noProof/>
              </w:rPr>
            </w:r>
            <w:r>
              <w:rPr>
                <w:noProof/>
              </w:rPr>
              <w:fldChar w:fldCharType="separate"/>
            </w:r>
            <w:r>
              <w:rPr>
                <w:noProof/>
              </w:rPr>
              <w:t>11</w:t>
            </w:r>
            <w:r>
              <w:rPr>
                <w:noProof/>
              </w:rPr>
              <w:fldChar w:fldCharType="end"/>
            </w:r>
          </w:hyperlink>
        </w:p>
        <w:p>
          <w:pPr>
            <w:pStyle w:val="TOC1"/>
            <w:rPr>
              <w:rFonts w:asciiTheme="minorHAnsi" w:eastAsiaTheme="minorEastAsia" w:hAnsiTheme="minorHAnsi" w:cstheme="minorBidi"/>
              <w:caps w:val="0"/>
              <w:noProof/>
              <w:sz w:val="22"/>
              <w:szCs w:val="22"/>
              <w:lang w:eastAsia="zh-CN"/>
            </w:rPr>
          </w:pPr>
          <w:hyperlink w:anchor="_Toc27400536" w:history="1">
            <w:r>
              <w:rPr>
                <w:rStyle w:val="Hyperlink"/>
                <w:noProof/>
              </w:rPr>
              <w:t>8.</w:t>
            </w:r>
            <w:r>
              <w:rPr>
                <w:rFonts w:asciiTheme="minorHAnsi" w:eastAsiaTheme="minorEastAsia" w:hAnsiTheme="minorHAnsi" w:cstheme="minorBidi"/>
                <w:caps w:val="0"/>
                <w:noProof/>
                <w:sz w:val="22"/>
                <w:szCs w:val="22"/>
                <w:lang w:eastAsia="zh-CN"/>
              </w:rPr>
              <w:tab/>
            </w:r>
            <w:r>
              <w:rPr>
                <w:rStyle w:val="Hyperlink"/>
                <w:noProof/>
              </w:rPr>
              <w:t>Impactul asupra mediului</w:t>
            </w:r>
            <w:r>
              <w:rPr>
                <w:noProof/>
              </w:rPr>
              <w:tab/>
            </w:r>
            <w:r>
              <w:rPr>
                <w:noProof/>
              </w:rPr>
              <w:fldChar w:fldCharType="begin"/>
            </w:r>
            <w:r>
              <w:rPr>
                <w:noProof/>
              </w:rPr>
              <w:instrText xml:space="preserve"> PAGEREF _Toc27400536 \h </w:instrText>
            </w:r>
            <w:r>
              <w:rPr>
                <w:noProof/>
              </w:rPr>
            </w:r>
            <w:r>
              <w:rPr>
                <w:noProof/>
              </w:rPr>
              <w:fldChar w:fldCharType="separate"/>
            </w:r>
            <w:r>
              <w:rPr>
                <w:noProof/>
              </w:rPr>
              <w:t>12</w:t>
            </w:r>
            <w:r>
              <w:rPr>
                <w:noProof/>
              </w:rPr>
              <w:fldChar w:fldCharType="end"/>
            </w:r>
          </w:hyperlink>
        </w:p>
        <w:p>
          <w:pPr>
            <w:pStyle w:val="TOC1"/>
            <w:rPr>
              <w:rFonts w:asciiTheme="minorHAnsi" w:eastAsiaTheme="minorEastAsia" w:hAnsiTheme="minorHAnsi" w:cstheme="minorBidi"/>
              <w:caps w:val="0"/>
              <w:noProof/>
              <w:sz w:val="22"/>
              <w:szCs w:val="22"/>
              <w:lang w:eastAsia="zh-CN"/>
            </w:rPr>
          </w:pPr>
          <w:hyperlink w:anchor="_Toc27400537" w:history="1">
            <w:r>
              <w:rPr>
                <w:rStyle w:val="Hyperlink"/>
                <w:noProof/>
              </w:rPr>
              <w:t>9.</w:t>
            </w:r>
            <w:r>
              <w:rPr>
                <w:rFonts w:asciiTheme="minorHAnsi" w:eastAsiaTheme="minorEastAsia" w:hAnsiTheme="minorHAnsi" w:cstheme="minorBidi"/>
                <w:caps w:val="0"/>
                <w:noProof/>
                <w:sz w:val="22"/>
                <w:szCs w:val="22"/>
                <w:lang w:eastAsia="zh-CN"/>
              </w:rPr>
              <w:tab/>
            </w:r>
            <w:r>
              <w:rPr>
                <w:rStyle w:val="Hyperlink"/>
                <w:noProof/>
              </w:rPr>
              <w:t>Concluzie</w:t>
            </w:r>
            <w:r>
              <w:rPr>
                <w:noProof/>
              </w:rPr>
              <w:tab/>
            </w:r>
            <w:r>
              <w:rPr>
                <w:noProof/>
              </w:rPr>
              <w:fldChar w:fldCharType="begin"/>
            </w:r>
            <w:r>
              <w:rPr>
                <w:noProof/>
              </w:rPr>
              <w:instrText xml:space="preserve"> PAGEREF _Toc27400537 \h </w:instrText>
            </w:r>
            <w:r>
              <w:rPr>
                <w:noProof/>
              </w:rPr>
            </w:r>
            <w:r>
              <w:rPr>
                <w:noProof/>
              </w:rPr>
              <w:fldChar w:fldCharType="separate"/>
            </w:r>
            <w:r>
              <w:rPr>
                <w:noProof/>
              </w:rPr>
              <w:t>12</w:t>
            </w:r>
            <w:r>
              <w:rPr>
                <w:noProof/>
              </w:rPr>
              <w:fldChar w:fldCharType="end"/>
            </w:r>
          </w:hyperlink>
        </w:p>
        <w:p>
          <w:pPr>
            <w:rPr>
              <w:noProof/>
            </w:rPr>
          </w:pPr>
          <w:r>
            <w:rPr>
              <w:noProof/>
            </w:rPr>
            <w:fldChar w:fldCharType="end"/>
          </w:r>
        </w:p>
      </w:sdtContent>
    </w:sdt>
    <w:p>
      <w:pPr>
        <w:spacing w:after="0"/>
        <w:jc w:val="left"/>
        <w:rPr>
          <w:b/>
          <w:smallCaps/>
          <w:noProof/>
        </w:rPr>
      </w:pPr>
      <w:r>
        <w:rPr>
          <w:noProof/>
        </w:rPr>
        <w:br w:type="page"/>
      </w:r>
    </w:p>
    <w:p>
      <w:pPr>
        <w:pStyle w:val="Heading1"/>
        <w:rPr>
          <w:noProof/>
        </w:rPr>
      </w:pPr>
      <w:bookmarkStart w:id="2" w:name="_Toc27400516"/>
      <w:r>
        <w:rPr>
          <w:noProof/>
        </w:rPr>
        <w:t>Introducere</w:t>
      </w:r>
      <w:bookmarkEnd w:id="2"/>
    </w:p>
    <w:p>
      <w:pPr>
        <w:pStyle w:val="Text1"/>
        <w:rPr>
          <w:noProof/>
        </w:rPr>
      </w:pPr>
      <w:r>
        <w:rPr>
          <w:noProof/>
        </w:rPr>
        <w:t xml:space="preserve">Prezentul raport se referă la codul ccTLD .eu (domeniul de prim nivel tip cod de țară), domeniul de internet al Uniunii Europene, și la variantele sale în alte alfabete, astfel cum sunt administrate și gestionate de organizația non-profit EURid (Registrul European al Domeniilor de Internet), care operează ca registru al acestui domeniu (denumit în continuare „registrul .eu”) pe baza unui contract de concesiune de servicii încheiat cu Comisia. În temeiul articolului 8 din Regulamentul (CE) nr. 733/2002 din 22 aprilie 2002 privind punerea în aplicare a domeniului de nivel 1 „.eu” (denumit în continuare „Regulamentul privind domeniul .eu”), Comisia are obligația de a prezenta Parlamentului European și Consiliului, o dată la doi ani, un raport privind punerea în aplicare, funcționarea și eficacitatea domeniului .eu. Prezentul raport vizează perioada cuprinsă între 1 aprilie 2017 și 31 martie 2019 (denumită în continuare „perioada vizată”). </w:t>
      </w:r>
    </w:p>
    <w:p>
      <w:pPr>
        <w:pStyle w:val="Heading1"/>
        <w:rPr>
          <w:noProof/>
        </w:rPr>
      </w:pPr>
      <w:bookmarkStart w:id="3" w:name="_Toc27400517"/>
      <w:r>
        <w:rPr>
          <w:noProof/>
        </w:rPr>
        <w:t>Rezumat</w:t>
      </w:r>
      <w:bookmarkEnd w:id="3"/>
    </w:p>
    <w:p>
      <w:pPr>
        <w:pStyle w:val="Text1"/>
        <w:rPr>
          <w:noProof/>
        </w:rPr>
      </w:pPr>
      <w:r>
        <w:rPr>
          <w:noProof/>
        </w:rPr>
        <w:t>Având 3,7 milioane de nume de domeniu înregistrate, domeniul .eu este în continuare cel de al șaptelea cel mai mare ccTLD din întreaga lume. Creșterea a stagnat în perioada vizată ca urmare a maturității pieței numelor de domenii. Totuși, performanța domeniului .eu s-a menținut la același nivel cu cea a altor ccTLD, în ciuda unei scăderi semnificative a numărului de înregistrări de nume de domenii .eu cauzată de intenția Regatului Unit de a se retrage din Uniunea Europeană și de suspendarea numelor de domenii ca urmare a unor verificări mai stricte a datelor de înregistrare.</w:t>
      </w:r>
    </w:p>
    <w:p>
      <w:pPr>
        <w:pStyle w:val="Text1"/>
        <w:rPr>
          <w:noProof/>
        </w:rPr>
      </w:pPr>
      <w:r>
        <w:rPr>
          <w:noProof/>
        </w:rPr>
        <w:t xml:space="preserve">Confruntându-se cu o concurență din ce în ce mai mare, registrul .eu s-a axat tot mai mult pe calitatea serviciilor și pe securitate mai degrabă decât pe preț. Acest lucru s­a dovedit a fi un succes: rata de reînnoire a numelor de domenii .eu se menține la un nivel ridicat și a crescut de la 78,6 % la 80 % în perioada vizată de prezentul raport. </w:t>
      </w:r>
    </w:p>
    <w:p>
      <w:pPr>
        <w:pStyle w:val="Text1"/>
        <w:rPr>
          <w:noProof/>
        </w:rPr>
      </w:pPr>
      <w:r>
        <w:rPr>
          <w:noProof/>
        </w:rPr>
        <w:t>În plus, registrul .eu a continuat să promoveze DNSSEC</w:t>
      </w:r>
      <w:r>
        <w:rPr>
          <w:rStyle w:val="FootnoteReference"/>
          <w:noProof/>
        </w:rPr>
        <w:footnoteReference w:id="1"/>
      </w:r>
      <w:r>
        <w:rPr>
          <w:noProof/>
        </w:rPr>
        <w:t>, o extensie de securitate a DNS (sistemul de nume de domenii), a pus în aplicare măsuri de securitate cibernetică, a lansat noi inițiative pentru prevenirea înregistrărilor abuzive și a colaborat cu autoritățile de asigurare a respectării legii și cu alte autorități publice atât la nivel național, cât și la nivel european, în vederea combaterii activităților ilegale care implică nume de domenii .eu. Registrul .eu și-a menținut o infrastructură tehnică foarte rezilientă și solidă pentru a se asigura că spațiul de nume .eu este disponibil în continuare pentru toți utilizatorii de internet.</w:t>
      </w:r>
    </w:p>
    <w:p>
      <w:pPr>
        <w:pStyle w:val="Text1"/>
        <w:rPr>
          <w:noProof/>
        </w:rPr>
      </w:pPr>
      <w:r>
        <w:rPr>
          <w:noProof/>
        </w:rPr>
        <w:t xml:space="preserve">Sprijinirea diversității lingvistice europene și extinderea multilingvismului în cadrul domeniului .eu reprezintă în continuare o prioritate. La sfârșitul perioadei vizate, se preconiza ca secvența </w:t>
      </w:r>
      <w:r>
        <w:rPr>
          <w:i/>
          <w:noProof/>
        </w:rPr>
        <w:t>.ευ</w:t>
      </w:r>
      <w:r>
        <w:rPr>
          <w:noProof/>
        </w:rPr>
        <w:t xml:space="preserve"> din alfabetul elen să poată fi lansată la sfârșitul anului 2019. Această etapă va marca finalizarea cu succes a eforturilor de susținere a tuturor alfabetelor nelatine din Uniunea Europeană</w:t>
      </w:r>
      <w:r>
        <w:rPr>
          <w:rStyle w:val="FootnoteReference"/>
          <w:noProof/>
        </w:rPr>
        <w:footnoteReference w:id="2"/>
      </w:r>
      <w:r>
        <w:rPr>
          <w:noProof/>
        </w:rPr>
        <w:t>.</w:t>
      </w:r>
    </w:p>
    <w:p>
      <w:pPr>
        <w:pStyle w:val="Text1"/>
        <w:rPr>
          <w:noProof/>
        </w:rPr>
      </w:pPr>
      <w:r>
        <w:rPr>
          <w:noProof/>
        </w:rPr>
        <w:t>În general, domeniul .eu continuă să funcționeze într-un mod eficient, facilitând accesul la piața unică digitală într-un mod sigur și de încredere și permițând europenilor să își afișeze online identitatea europeană.</w:t>
      </w:r>
    </w:p>
    <w:p>
      <w:pPr>
        <w:pStyle w:val="Heading1"/>
        <w:rPr>
          <w:noProof/>
        </w:rPr>
      </w:pPr>
      <w:bookmarkStart w:id="4" w:name="_Toc27400518"/>
      <w:r>
        <w:rPr>
          <w:noProof/>
        </w:rPr>
        <w:t>Cadrul juridic al domeniului .eu</w:t>
      </w:r>
      <w:bookmarkEnd w:id="4"/>
    </w:p>
    <w:p>
      <w:pPr>
        <w:pStyle w:val="Heading2"/>
        <w:rPr>
          <w:noProof/>
        </w:rPr>
      </w:pPr>
      <w:bookmarkStart w:id="5" w:name="_Toc27400519"/>
      <w:r>
        <w:rPr>
          <w:noProof/>
        </w:rPr>
        <w:t>Cadrul actual</w:t>
      </w:r>
      <w:bookmarkEnd w:id="5"/>
      <w:r>
        <w:rPr>
          <w:noProof/>
        </w:rPr>
        <w:t xml:space="preserve"> </w:t>
      </w:r>
    </w:p>
    <w:p>
      <w:pPr>
        <w:pStyle w:val="Text1"/>
        <w:rPr>
          <w:noProof/>
        </w:rPr>
      </w:pPr>
      <w:r>
        <w:rPr>
          <w:noProof/>
        </w:rPr>
        <w:t>Domeniul .eu a fost pus în aplicare prin Regulamentul privind domeniul .eu (astfel cum a fost modificat</w:t>
      </w:r>
      <w:r>
        <w:rPr>
          <w:rStyle w:val="FootnoteReference"/>
          <w:noProof/>
        </w:rPr>
        <w:footnoteReference w:id="3"/>
      </w:r>
      <w:r>
        <w:rPr>
          <w:noProof/>
        </w:rPr>
        <w:t>) și prin Regulamentul (CE) nr. 874/2004 de stabilire a normelor de politică publică privind punerea în aplicare și funcțiile domeniului de nivel superior „.eu” și a principiilor de înregistrare (astfel cum a fost modificat</w:t>
      </w:r>
      <w:r>
        <w:rPr>
          <w:rStyle w:val="FootnoteReference"/>
          <w:noProof/>
        </w:rPr>
        <w:footnoteReference w:id="4"/>
      </w:r>
      <w:r>
        <w:rPr>
          <w:noProof/>
        </w:rPr>
        <w:t>).</w:t>
      </w:r>
    </w:p>
    <w:p>
      <w:pPr>
        <w:pStyle w:val="Heading2"/>
        <w:rPr>
          <w:noProof/>
        </w:rPr>
      </w:pPr>
      <w:bookmarkStart w:id="6" w:name="_Toc27400520"/>
      <w:r>
        <w:rPr>
          <w:noProof/>
        </w:rPr>
        <w:t>Un nou cadru</w:t>
      </w:r>
      <w:bookmarkEnd w:id="6"/>
    </w:p>
    <w:p>
      <w:pPr>
        <w:pStyle w:val="Text1"/>
        <w:rPr>
          <w:noProof/>
        </w:rPr>
      </w:pPr>
      <w:r>
        <w:rPr>
          <w:noProof/>
        </w:rPr>
        <w:t>În 2017, Comisia a evaluat cadrul de reglementare pentru domeniul .eu în cadrul procesului de evaluare desfășurat ca parte a Programului privind o reglementare adecvată și funcțională (REFIT) și, ulterior, a efectuat o revizuire. În urma unei consultări publice, a unei evaluări a impactului</w:t>
      </w:r>
      <w:r>
        <w:rPr>
          <w:rStyle w:val="FootnoteReference"/>
          <w:noProof/>
        </w:rPr>
        <w:footnoteReference w:id="5"/>
      </w:r>
      <w:r>
        <w:rPr>
          <w:noProof/>
        </w:rPr>
        <w:t xml:space="preserve"> și ca urmare a feedbackului pozitiv pe care l-a primit din partea Comitetului de analiză a reglementării, Comisia a făcut o propunere legislativă pentru înlocuirea regulamentului (regulamentelor) existente privind domeniul .eu. Această propunere a fost în cele din urmă adoptată sub forma Regulamentului (UE) 2019/517 al Parlamentului European și al Consiliului privind punerea în aplicare și funcționarea numelui de domeniu de nivel superior .eu, și de modificare și abrogare a Regulamentului (CE) nr. 733/2002 și de abrogare a Regulamentului (CE) nr. 874/2004 al Comisiei („Regulamentul revizuit privind domeniul .eu”).</w:t>
      </w:r>
    </w:p>
    <w:p>
      <w:pPr>
        <w:pStyle w:val="Text1"/>
        <w:rPr>
          <w:noProof/>
        </w:rPr>
      </w:pPr>
      <w:r>
        <w:rPr>
          <w:noProof/>
        </w:rPr>
        <w:t>Regulamentul revizuit privind domeniul .eu oferă flexibilitatea juridică pentru ca domeniul .eu să se adapteze la evoluția pieței, modernizează structura de guvernanță a acestuia</w:t>
      </w:r>
      <w:r>
        <w:rPr>
          <w:rStyle w:val="FootnoteReference"/>
          <w:noProof/>
        </w:rPr>
        <w:footnoteReference w:id="6"/>
      </w:r>
      <w:r>
        <w:rPr>
          <w:noProof/>
        </w:rPr>
        <w:t xml:space="preserve"> și extinde criteriile de eligibilitate pentru numele de domeniu .eu, pentru a permite cetățenilor UE să înregistreze un nume de domeniu, indiferent de locul în care aceștia își au reședința. Regulamentul FEIS revizuit a intrat în vigoare la 18 aprilie 2019 și se va aplica de la 13 octombrie 2022, dată la care Regulamentele 733/2002 și 874/2004 vor fi abrogate, cu excepția dispozițiilor care lărgesc criteriile de eligibilitate, care se aplică de la 19 octombrie 2019.</w:t>
      </w:r>
    </w:p>
    <w:p>
      <w:pPr>
        <w:pStyle w:val="Heading1"/>
        <w:rPr>
          <w:noProof/>
        </w:rPr>
      </w:pPr>
      <w:bookmarkStart w:id="7" w:name="_Toc27400521"/>
      <w:r>
        <w:rPr>
          <w:noProof/>
        </w:rPr>
        <w:t>Registrul .eu</w:t>
      </w:r>
      <w:bookmarkEnd w:id="7"/>
    </w:p>
    <w:p>
      <w:pPr>
        <w:pStyle w:val="Text1"/>
        <w:rPr>
          <w:noProof/>
        </w:rPr>
      </w:pPr>
      <w:r>
        <w:rPr>
          <w:noProof/>
        </w:rPr>
        <w:t xml:space="preserve">Organizația non-profit Registrul European al Domeniilor de Internet (EURid) a fost selectată în urma unui proces de atribuire a contractelor și i s-a acordat un contract de concesiune de servicii în 2004 pentru a deveni operatorul registrului .eu, responsabil cu organizarea, administrarea și gestionarea domeniului .eu și a variantelor sale în alte alfabete. După o a doua procedură de atribuire a contractelor, a fost încredințat EURid al doilea contract în 2014. Acest contract a fost prelungit de la 1 aprilie 2019 până la 12 octombrie 2022. </w:t>
      </w:r>
    </w:p>
    <w:p>
      <w:pPr>
        <w:pStyle w:val="Text1"/>
        <w:rPr>
          <w:noProof/>
        </w:rPr>
      </w:pPr>
      <w:r>
        <w:rPr>
          <w:noProof/>
        </w:rPr>
        <w:t xml:space="preserve">EURid este o asociație fără scop lucrativ, care a fost înființată în conformitate cu dreptul belgian și care are sediul central la Bruxelles. Trei societăți, deținute de EURid, funcționează ca birouri regionale cu sediul în Italia, Cehia și Suedia. Misiunea EURid este de a „crea un spațiu .eu de încredere pentru utilizatorul final într-un mod durabil, prin excelență operațională, oferind în același timp servicii de înaltă calitate registrarilor săi acreditați”. </w:t>
      </w:r>
    </w:p>
    <w:p>
      <w:pPr>
        <w:pStyle w:val="Text1"/>
        <w:rPr>
          <w:noProof/>
        </w:rPr>
      </w:pPr>
      <w:r>
        <w:rPr>
          <w:noProof/>
        </w:rPr>
        <w:t xml:space="preserve">Asociația EURid are doi membri fondatori, DNS Belgium (registrul TLD „.be”) și Istituto di Informatica e Telematica (registrul TLD „.it”), alți nouă membri și un comitet strategic format din 13 reprezentanți. Organizația este condusă de un director general și de o echipă de conducere formată din opt persoane. La sfârșitul perioadei vizate, EURid avea 56 de angajați cu normă întreagă, care își desfășurau activitatea în șapte departamente din cadrul celor patru birouri regionale ale sale. Majoritatea angajaților lucrează în echipa Relații Externe și în Departamentul Tehnic. </w:t>
      </w:r>
    </w:p>
    <w:p>
      <w:pPr>
        <w:pStyle w:val="Heading2"/>
        <w:rPr>
          <w:noProof/>
        </w:rPr>
      </w:pPr>
      <w:bookmarkStart w:id="8" w:name="_Toc27400522"/>
      <w:r>
        <w:rPr>
          <w:noProof/>
        </w:rPr>
        <w:t>Conformitatea financiară și contractuală</w:t>
      </w:r>
      <w:bookmarkEnd w:id="8"/>
    </w:p>
    <w:p>
      <w:pPr>
        <w:pStyle w:val="Text1"/>
        <w:rPr>
          <w:noProof/>
        </w:rPr>
      </w:pPr>
      <w:r>
        <w:rPr>
          <w:noProof/>
        </w:rPr>
        <w:t>Ca organizație externă, EURid gestionează domeniul .eu într-un mod autonom. Cu toate acestea, Comisia urmărește îndeaproape situația financiară a EURid și respectarea condițiilor contractuale, în conformitate cu dispozițiile cadrului de reglementare al domeniului .eu și ale contractului de concesiune de servicii. Comisia își exercită rolul de supraveghere prin revizuirea conturilor auditate anual, a rapoartelor financiare semestriale și anuale, a propunerilor bugetare și a strategiilor și a planurilor operaționale ale registrului .eu. Aspectele financiare sunt discutate în cadrul reuniunilor semestriale și al reuniunilor ad-hoc.</w:t>
      </w:r>
    </w:p>
    <w:p>
      <w:pPr>
        <w:pStyle w:val="Text1"/>
        <w:rPr>
          <w:noProof/>
        </w:rPr>
      </w:pPr>
      <w:r>
        <w:rPr>
          <w:noProof/>
        </w:rPr>
        <w:t>În perioada vizată de prezentul raport, situația financiară a EURid a fost comparabilă cu cea din cei doi ani anteriori, veniturile fiind de aproximativ 13 milioane EUR, iar costurile fiind de 11 milioane EUR pe an. În urma aprobării conturilor și a rezervelor, surplusul transferat către Uniunea Europeană în conformitate cu clauzele contractului de concesiune de servicii a fost de 2 863 036 EUR pentru exercițiul financiar 2017 și, respectiv, 1 347 883 EUR pentru exercițiul financiar 2018.</w:t>
      </w:r>
    </w:p>
    <w:p>
      <w:pPr>
        <w:pStyle w:val="Text1"/>
        <w:rPr>
          <w:noProof/>
        </w:rPr>
      </w:pPr>
      <w:r>
        <w:rPr>
          <w:noProof/>
        </w:rPr>
        <w:t>La sfârșitul anului 2018, EURid deținea rezerve financiare pentru depreciere (0,5 milioane EUR), pentru investiții (0,6 milioane EUR), pentru pasivul social (2,4 milioane EUR), pentru datoriile legale (1,2 milioane EUR) și pentru capitalul de lucru (0,2 milioane EUR), și a adăugat o nouă rezervă pentru încetarea contractelor (0,9 milioane EUR).</w:t>
      </w:r>
    </w:p>
    <w:p>
      <w:pPr>
        <w:pStyle w:val="Text1"/>
        <w:rPr>
          <w:noProof/>
        </w:rPr>
      </w:pPr>
      <w:r>
        <w:rPr>
          <w:noProof/>
        </w:rPr>
        <w:t>În 2018, Comisia a efectuat un audit cu privire la diverse aspecte administrative și financiare ale gestionării registrului .eu. Auditul a condus la o serie de recomandări care sunt în curs de a fi puse în aplicare în 2019, conform unui plan de acțiune convenit între Comisie și EURid. În special, acestea vizează revizuirea politicii EURid în domeniul achizițiilor; revizuirea politicii EURid privind conflictele de interese; clarificarea normelor și a abordării privind constituirea rezervelor; elaborarea unei abordări coerente în ceea ce privește contractarea consultanților externi; revizuirea eficienței și a eficacității birourilor regionale; evaluarea activităților de marketing și de sensibilizare și organizarea unui audit anual privind respectarea condițiilor contractuale.</w:t>
      </w:r>
    </w:p>
    <w:p>
      <w:pPr>
        <w:pStyle w:val="Heading1"/>
        <w:rPr>
          <w:noProof/>
        </w:rPr>
      </w:pPr>
      <w:bookmarkStart w:id="9" w:name="_Toc27400523"/>
      <w:r>
        <w:rPr>
          <w:noProof/>
        </w:rPr>
        <w:t>Domeniul .eu</w:t>
      </w:r>
      <w:bookmarkEnd w:id="9"/>
    </w:p>
    <w:p>
      <w:pPr>
        <w:pStyle w:val="Heading2"/>
        <w:rPr>
          <w:noProof/>
        </w:rPr>
      </w:pPr>
      <w:bookmarkStart w:id="10" w:name="_Toc27400524"/>
      <w:r>
        <w:rPr>
          <w:noProof/>
        </w:rPr>
        <w:t>Tendințe generale</w:t>
      </w:r>
      <w:bookmarkEnd w:id="10"/>
    </w:p>
    <w:p>
      <w:pPr>
        <w:pStyle w:val="Text1"/>
        <w:rPr>
          <w:noProof/>
        </w:rPr>
      </w:pPr>
      <w:r>
        <w:rPr>
          <w:noProof/>
        </w:rPr>
        <w:t>Cu cele 3,7 milioane de nume de domenii înregistrate până la sfârșitul primului trimestru al anului 2019, domeniul .eu este cel de al unsprezecelea cel mai mare TLD și rămâne cel de al șaptelea cel mai mare ccTLD din întreaga lume</w:t>
      </w:r>
      <w:r>
        <w:rPr>
          <w:rStyle w:val="FootnoteReference"/>
          <w:noProof/>
        </w:rPr>
        <w:footnoteReference w:id="7"/>
      </w:r>
      <w:r>
        <w:rPr>
          <w:noProof/>
        </w:rPr>
        <w:t xml:space="preserve">. Volumul înregistrărilor reprezintă aproximativ 1 % din piața globală a numelor de domenii, cuprinzând peste 350 de milioane de nume de domenii repartizate în 1 486 de TLD­uri. </w:t>
      </w:r>
    </w:p>
    <w:p>
      <w:pPr>
        <w:pStyle w:val="Text1"/>
        <w:rPr>
          <w:noProof/>
        </w:rPr>
      </w:pPr>
      <w:r>
        <w:rPr>
          <w:noProof/>
        </w:rPr>
        <w:t xml:space="preserve">În timp ce anul 2017 s-a încheiat cu o creștere anuală de 1,5 %, anul 2018 a înregistrat o creștere negativă de 3,4 %. Două evoluții atipice - în comparație cu alte ccTLD - explică această creștere negativă: intenția Regatului Unit de a se retrage din Uniunea Europeană (explicată în secțiunea privind „Impactul intenției Regatului Unit de a se retrage din UE”) și suspendarea a aproximativ 58 000 de nume de domeniu pe parcursul anului 2018 ca urmare a unor verificări mai stricte ale eligibilității. </w:t>
      </w:r>
    </w:p>
    <w:p>
      <w:pPr>
        <w:pStyle w:val="Text1"/>
        <w:rPr>
          <w:noProof/>
        </w:rPr>
      </w:pPr>
      <w:r>
        <w:rPr>
          <w:noProof/>
        </w:rPr>
        <w:t>În general, performanța domeniului .eu este similară cu performanța altor ccTLD, supuse unor provocări colective generate de ratele de creștere scăzute înregistrate pe piața numelor de domeniu în perioada de doi ani vizată de prezentul raport. O serie de motive explică aceste rate de creștere scăzute. Tendințele descrise în raportul anterior se mențin, cum ar fi maturitatea principalelor piețe naționale și concurența din ce în ce mai mare cauzată de apariția de noi gTLD-uri (domenii generice de prin nivel). În perioada vizată de prezentul raport, substitutele, cum ar fi conturile de pe platformele de comunicare socială pentru persoane fizice și pentru întreprinderi și aplicațiile pentru piața comunicațiilor mobile, au câștigat, de asemenea, o cotă de piață importantă, în special pe piețele emergente</w:t>
      </w:r>
      <w:r>
        <w:rPr>
          <w:rStyle w:val="FootnoteReference"/>
          <w:noProof/>
        </w:rPr>
        <w:footnoteReference w:id="8"/>
      </w:r>
      <w:r>
        <w:rPr>
          <w:noProof/>
          <w:vertAlign w:val="superscript"/>
        </w:rPr>
        <w:t>,</w:t>
      </w:r>
      <w:r>
        <w:rPr>
          <w:rStyle w:val="FootnoteReference"/>
          <w:noProof/>
        </w:rPr>
        <w:footnoteReference w:id="9"/>
      </w:r>
      <w:r>
        <w:rPr>
          <w:noProof/>
        </w:rPr>
        <w:t>.</w:t>
      </w:r>
      <w:r>
        <w:rPr>
          <w:noProof/>
          <w:vertAlign w:val="superscript"/>
        </w:rPr>
        <w:t xml:space="preserve"> </w:t>
      </w:r>
    </w:p>
    <w:p>
      <w:pPr>
        <w:pStyle w:val="Text1"/>
        <w:rPr>
          <w:noProof/>
        </w:rPr>
      </w:pPr>
      <w:r>
        <w:rPr>
          <w:noProof/>
        </w:rPr>
        <w:t>După numărul de înregistrări, Germania, Țările de Jos, Franța, Polonia și Italia au fost principalele piețe pentru domeniul .eu la sfârșitul primului trimestru al anului 2019. În perioada vizată de prezentul raport, Regatul Unit a coborât de pe poziția a patra pe poziția a șasea, în timp ce ponderea înregistrărilor de domenii .eu din Portugalia aproape s-a dublat, ceea ce demonstrează că numele de domenii pot înregistra în continuare o rată de creștere de două cifre.</w:t>
      </w:r>
    </w:p>
    <w:p>
      <w:pPr>
        <w:pStyle w:val="Heading2"/>
        <w:rPr>
          <w:noProof/>
        </w:rPr>
      </w:pPr>
      <w:bookmarkStart w:id="11" w:name="_Toc27400525"/>
      <w:r>
        <w:rPr>
          <w:noProof/>
        </w:rPr>
        <w:t>Marca .eu</w:t>
      </w:r>
      <w:bookmarkEnd w:id="11"/>
    </w:p>
    <w:p>
      <w:pPr>
        <w:pStyle w:val="Text1"/>
        <w:rPr>
          <w:noProof/>
        </w:rPr>
      </w:pPr>
      <w:r>
        <w:rPr>
          <w:noProof/>
        </w:rPr>
        <w:t xml:space="preserve">În ultimii ani, piața numelor de domenii și, în special, unele TLD-uri deja bine consacrate s-au confruntat cu o creștere semnificativă a concurenței ca urmare a introducerii de noi gTLD-uri precum </w:t>
      </w:r>
      <w:r>
        <w:rPr>
          <w:i/>
          <w:noProof/>
        </w:rPr>
        <w:t>.hotel</w:t>
      </w:r>
      <w:r>
        <w:rPr>
          <w:noProof/>
        </w:rPr>
        <w:t xml:space="preserve"> sau </w:t>
      </w:r>
      <w:r>
        <w:rPr>
          <w:i/>
          <w:noProof/>
        </w:rPr>
        <w:t>.shop</w:t>
      </w:r>
      <w:r>
        <w:rPr>
          <w:noProof/>
        </w:rPr>
        <w:t xml:space="preserve">. Concurența a devenit acerbă și multe registre noi oferă prețuri foarte scăzute, adoptând un marketing agresiv pentru registrari și revânzători. </w:t>
      </w:r>
    </w:p>
    <w:p>
      <w:pPr>
        <w:pStyle w:val="Text1"/>
        <w:rPr>
          <w:noProof/>
        </w:rPr>
      </w:pPr>
      <w:r>
        <w:rPr>
          <w:noProof/>
        </w:rPr>
        <w:t>Răspunsul EURid a fost să se axeze mai degrabă pe calitate și pe securitate decât pe preț și să continue să promoveze marca .eu drept o marcă de încredere, cu acoperire europeană. Această strategie s-a dovedit de succes: rata de reînnoire a numelor de domeniu .eu (în general un indicator al încrederii și al loialității clienților) s-a menținut la un nivel ridicat și a crescut de la 78,6 % la 80 % în perioada vizată de prezentul raport.</w:t>
      </w:r>
    </w:p>
    <w:p>
      <w:pPr>
        <w:pStyle w:val="Heading2"/>
        <w:rPr>
          <w:noProof/>
        </w:rPr>
      </w:pPr>
      <w:bookmarkStart w:id="12" w:name="_Toc27400526"/>
      <w:r>
        <w:rPr>
          <w:noProof/>
        </w:rPr>
        <w:t>Marketing și comunicare</w:t>
      </w:r>
      <w:bookmarkEnd w:id="12"/>
    </w:p>
    <w:p>
      <w:pPr>
        <w:pStyle w:val="Text1"/>
        <w:rPr>
          <w:noProof/>
        </w:rPr>
      </w:pPr>
      <w:r>
        <w:rPr>
          <w:noProof/>
        </w:rPr>
        <w:t>În conformitate cu obiectivul său strategic de a pune accentul mai degrabă pe calitate și securitate decât pe preț, EURid a întreprins următoarele activități de marketing și comunicare:</w:t>
      </w:r>
    </w:p>
    <w:p>
      <w:pPr>
        <w:pStyle w:val="ListDash1"/>
        <w:rPr>
          <w:noProof/>
        </w:rPr>
      </w:pPr>
      <w:r>
        <w:rPr>
          <w:noProof/>
        </w:rPr>
        <w:t xml:space="preserve">Publicarea </w:t>
      </w:r>
      <w:r>
        <w:rPr>
          <w:i/>
          <w:noProof/>
        </w:rPr>
        <w:t>trust.eurid.eu</w:t>
      </w:r>
      <w:r>
        <w:rPr>
          <w:noProof/>
        </w:rPr>
        <w:t>, o nouă pagină de pornire de pe site-ul web al EURid, pentru a evidenția numele de domeniu .eu ca marcă ce inspiră încredere și securitate, realizată prin măsuri care asigură un nivel ridicat de securitate cibernetică și care reduc în mod activ riscurile privind abuzurile legate de numele de domenii.</w:t>
      </w:r>
    </w:p>
    <w:p>
      <w:pPr>
        <w:pStyle w:val="ListDash1"/>
        <w:rPr>
          <w:noProof/>
        </w:rPr>
      </w:pPr>
      <w:r>
        <w:rPr>
          <w:noProof/>
        </w:rPr>
        <w:t>Organizarea în 2018 a două campanii de conștientizare online de succes. Țările în care s-au desfășurat campaniile (Polonia, Germania, Franța și Spania, printre altele), au fost selectate pe baza ratei de creștere înregistrate la nivel național de domeniul .eu și a sprijinului acordat de registrarii care desfășoară campanii de promovare .eu.</w:t>
      </w:r>
    </w:p>
    <w:p>
      <w:pPr>
        <w:pStyle w:val="ListDash1"/>
        <w:rPr>
          <w:noProof/>
        </w:rPr>
      </w:pPr>
      <w:r>
        <w:rPr>
          <w:noProof/>
        </w:rPr>
        <w:t xml:space="preserve">Parteneriatul cu registrarii .eu acreditați a fost consolidat prin intermediul programului de marketing cofinanțat de EURid, în cadrul căruia registrarii pot primi rambursări de până la 100 % din costul eligibil al acțiunilor promoționale pentru numele de domenii .eu. În 2017 și 2018, programul a cofinanțat peste 120 de campanii. </w:t>
      </w:r>
    </w:p>
    <w:p>
      <w:pPr>
        <w:pStyle w:val="ListDash1"/>
        <w:rPr>
          <w:noProof/>
        </w:rPr>
      </w:pPr>
      <w:r>
        <w:rPr>
          <w:noProof/>
        </w:rPr>
        <w:t>Registrarii au continuat să utilizeze sistemul de reducere al EURid, prin care beneficiază de o reducere la plata noilor taxe de înregistrare. Registrarii apreciază stabilitatea sistemului, care le permite să promoveze în mod regulat domeniul .eu pe tot parcursul anului. În acest sistem s-au înscris 327 de registrari, reprezentând 93,3 % din întregul portofoliu .eu și 97 % din totalitatea numelor noi de domenii în 2019.</w:t>
      </w:r>
    </w:p>
    <w:p>
      <w:pPr>
        <w:pStyle w:val="ListDash1"/>
        <w:rPr>
          <w:noProof/>
        </w:rPr>
      </w:pPr>
      <w:r>
        <w:rPr>
          <w:noProof/>
        </w:rPr>
        <w:t xml:space="preserve">Pentru a recunoaște nivelul de inovare și de excelență al registranților de nume de domenii .eu, EURid decernează anual premiile „Web Awards”. Câștigătorii „Web Awards” primesc un pachet de premii care include o campanie prin panouri publicitare de trei luni pe aeroportul din Bruxelles. În 2018, participarea la „Web Awards” a înregistrat un nivel maxim, cu peste 200 de nominalizări și aproape 10 000 de voturi. </w:t>
      </w:r>
    </w:p>
    <w:p>
      <w:pPr>
        <w:pStyle w:val="ListDash1"/>
        <w:rPr>
          <w:noProof/>
        </w:rPr>
      </w:pPr>
      <w:r>
        <w:rPr>
          <w:noProof/>
        </w:rPr>
        <w:t>EURid a continuat să-și eficientizeze prezența pe platformele de comunicare socială, în special prin contul său de Twitter și prin canalul său de YouTube.</w:t>
      </w:r>
    </w:p>
    <w:p>
      <w:pPr>
        <w:pStyle w:val="Text1"/>
        <w:rPr>
          <w:noProof/>
        </w:rPr>
      </w:pPr>
      <w:r>
        <w:rPr>
          <w:noProof/>
        </w:rPr>
        <w:t>Partenerii-cheie pentru activitățile de marketing .eu sunt registrarii, care pun la dispoziție numele de domeniu .eu și interacționează cu registranții. În perioada cuprinsă între 2017 și 2019, EURid și-a continuat eforturile în direcția îmbunătățirii calității serviciilor furnizate registrarilor acreditați și a simplificării procesului de înregistrare.</w:t>
      </w:r>
    </w:p>
    <w:p>
      <w:pPr>
        <w:pStyle w:val="Text1"/>
        <w:rPr>
          <w:noProof/>
        </w:rPr>
      </w:pPr>
      <w:r>
        <w:rPr>
          <w:noProof/>
        </w:rPr>
        <w:t xml:space="preserve">La sfârșitul primului trimestru al anului 2019, domeniul .eu avea 715 registrari acreditați. Numărul de registrari a rămas relativ stabil în ultimii ani, în ciuda concentrării crescute pe piață. </w:t>
      </w:r>
    </w:p>
    <w:p>
      <w:pPr>
        <w:pStyle w:val="Text1"/>
        <w:rPr>
          <w:noProof/>
        </w:rPr>
      </w:pPr>
      <w:r>
        <w:rPr>
          <w:noProof/>
        </w:rPr>
        <w:t>Potrivit ultimului sondaj bienal privind nivelul de satisfacție al registrarilor la sfârșitul anului 2017, evaluările privind calitatea relației cu EURid au fost pozitive în proporție de 93 % în general, în concordanță cu nivelul ridicat din sondajul precedent. În general, registrarii au acordat calificative bune pentru fiabilitate și au considerat că numele de domenii .eu sunt ușor de vândut și că acestea reprezintă o investiție bună</w:t>
      </w:r>
      <w:r>
        <w:rPr>
          <w:rStyle w:val="FootnoteReference"/>
          <w:noProof/>
        </w:rPr>
        <w:footnoteReference w:id="10"/>
      </w:r>
      <w:r>
        <w:rPr>
          <w:noProof/>
        </w:rPr>
        <w:t>.</w:t>
      </w:r>
    </w:p>
    <w:p>
      <w:pPr>
        <w:pStyle w:val="Text1"/>
        <w:rPr>
          <w:noProof/>
        </w:rPr>
      </w:pPr>
      <w:r>
        <w:rPr>
          <w:noProof/>
        </w:rPr>
        <w:t>Ca semn clar de apreciere, EURid a câștigat premiul „Registrul Anului” acordat de CENTR</w:t>
      </w:r>
      <w:r>
        <w:rPr>
          <w:rStyle w:val="FootnoteReference"/>
          <w:noProof/>
        </w:rPr>
        <w:footnoteReference w:id="11"/>
      </w:r>
      <w:r>
        <w:rPr>
          <w:noProof/>
        </w:rPr>
        <w:t xml:space="preserve"> în 2017 și 2018, pe baza unui sondaj în cadrul căruia au votat peste 100 de registrari.</w:t>
      </w:r>
    </w:p>
    <w:p>
      <w:pPr>
        <w:pStyle w:val="Heading2"/>
        <w:rPr>
          <w:noProof/>
        </w:rPr>
      </w:pPr>
      <w:bookmarkStart w:id="13" w:name="_Toc27400527"/>
      <w:r>
        <w:rPr>
          <w:noProof/>
        </w:rPr>
        <w:t>Multilingvismul</w:t>
      </w:r>
      <w:bookmarkEnd w:id="13"/>
      <w:r>
        <w:rPr>
          <w:noProof/>
        </w:rPr>
        <w:t xml:space="preserve"> </w:t>
      </w:r>
    </w:p>
    <w:p>
      <w:pPr>
        <w:pStyle w:val="Text1"/>
        <w:rPr>
          <w:noProof/>
        </w:rPr>
      </w:pPr>
      <w:r>
        <w:rPr>
          <w:noProof/>
        </w:rPr>
        <w:t>EURid a continuat să depună eforturi pentru a susține diversitatea lingvistică europeană și pentru a extinde multilingvismul în cadrul domeniului .eu. La sfârșitul primului trimestru al anului 2019, existau aproximativ 39 000 de IDN-uri (nume de domeniu internaționalizate) înregistrate</w:t>
      </w:r>
      <w:r>
        <w:rPr>
          <w:rStyle w:val="FootnoteReference"/>
          <w:noProof/>
        </w:rPr>
        <w:footnoteReference w:id="12"/>
      </w:r>
      <w:r>
        <w:rPr>
          <w:noProof/>
        </w:rPr>
        <w:t>, plasând domeniul .eu printre cele mai mari două spații IDN din lume.</w:t>
      </w:r>
    </w:p>
    <w:p>
      <w:pPr>
        <w:pStyle w:val="Text1"/>
        <w:rPr>
          <w:noProof/>
        </w:rPr>
      </w:pPr>
      <w:r>
        <w:rPr>
          <w:noProof/>
        </w:rPr>
        <w:t xml:space="preserve">După introducerea în iunie 2016 a extensiei </w:t>
      </w:r>
      <w:r>
        <w:rPr>
          <w:i/>
          <w:noProof/>
        </w:rPr>
        <w:t>.ею</w:t>
      </w:r>
      <w:r>
        <w:rPr>
          <w:noProof/>
        </w:rPr>
        <w:t xml:space="preserve"> (echivalentul .eu în alfabetul chirilic), a fost introdusă o perioadă de tranziție cu o durată de trei ani, menită să impună o politică de „utilizare a unui singur alfabet” pentru toate numele de domenii. Această politică, mandatată de ICANN</w:t>
      </w:r>
      <w:r>
        <w:rPr>
          <w:rStyle w:val="FootnoteReference"/>
          <w:noProof/>
        </w:rPr>
        <w:footnoteReference w:id="13"/>
      </w:r>
      <w:r>
        <w:rPr>
          <w:noProof/>
        </w:rPr>
        <w:t xml:space="preserve"> (Corporația pentru alocarea de nume și numere de domenii internet), impune ca atât numele de domeniu, cât și extensia acestuia să fie scrise cu caractere din cadrul aceluiași alfabet. La sfârșitul primului trimestru al anului 2019, existau aproximativ 1 900 de nume de domenii înregistrate în cadrul extensiei </w:t>
      </w:r>
      <w:r>
        <w:rPr>
          <w:i/>
          <w:noProof/>
        </w:rPr>
        <w:t>.ею</w:t>
      </w:r>
      <w:r>
        <w:rPr>
          <w:noProof/>
        </w:rPr>
        <w:t>.</w:t>
      </w:r>
    </w:p>
    <w:p>
      <w:pPr>
        <w:pStyle w:val="Text1"/>
        <w:rPr>
          <w:noProof/>
        </w:rPr>
      </w:pPr>
      <w:r>
        <w:rPr>
          <w:noProof/>
        </w:rPr>
        <w:t xml:space="preserve">Înainte de perioada care face obiectul prezentului raport și pe parcursul acesteia, EURid a depus eforturi semnificative pentru ca extensia </w:t>
      </w:r>
      <w:r>
        <w:rPr>
          <w:i/>
          <w:noProof/>
        </w:rPr>
        <w:t>.ευ</w:t>
      </w:r>
      <w:r>
        <w:rPr>
          <w:noProof/>
        </w:rPr>
        <w:t xml:space="preserve"> (echivalentul .eu în alfabetul elen) să fie aprobată de ICANN. Aplicarea </w:t>
      </w:r>
      <w:r>
        <w:rPr>
          <w:i/>
          <w:noProof/>
        </w:rPr>
        <w:t>.ευ</w:t>
      </w:r>
      <w:r>
        <w:rPr>
          <w:noProof/>
        </w:rPr>
        <w:t xml:space="preserve"> s-a confruntat cu dificultăți în etapa de evaluare, ca urmare a faptului că s-a constatat că secvența </w:t>
      </w:r>
      <w:r>
        <w:rPr>
          <w:i/>
          <w:noProof/>
        </w:rPr>
        <w:t>.ευ</w:t>
      </w:r>
      <w:r>
        <w:rPr>
          <w:noProof/>
        </w:rPr>
        <w:t xml:space="preserve"> ar putea genera confuzii prin asemănarea cu secvența .eu și cu reprezentările cu majuscule ale altor secvențe de două litere. La finalul perioadei vizate, se preconiza ca secvența </w:t>
      </w:r>
      <w:r>
        <w:rPr>
          <w:i/>
          <w:noProof/>
        </w:rPr>
        <w:t>.ευ</w:t>
      </w:r>
      <w:r>
        <w:rPr>
          <w:noProof/>
        </w:rPr>
        <w:t xml:space="preserve"> din alfabetul elen să fie lansată la sfârșitul anului 2019. Această etapă va marca finalizarea cu succes a eforturilor de susținere a tuturor alfabetelor nelatine din Uniunea Europeană.</w:t>
      </w:r>
    </w:p>
    <w:p>
      <w:pPr>
        <w:pStyle w:val="Heading2"/>
        <w:rPr>
          <w:noProof/>
        </w:rPr>
      </w:pPr>
      <w:bookmarkStart w:id="14" w:name="_Toc27400528"/>
      <w:r>
        <w:rPr>
          <w:noProof/>
        </w:rPr>
        <w:t>Impactul intenției Regatului Unit de a se retrage din UE</w:t>
      </w:r>
      <w:bookmarkEnd w:id="14"/>
      <w:r>
        <w:rPr>
          <w:noProof/>
        </w:rPr>
        <w:t xml:space="preserve"> </w:t>
      </w:r>
    </w:p>
    <w:p>
      <w:pPr>
        <w:pStyle w:val="Text1"/>
        <w:rPr>
          <w:noProof/>
          <w:highlight w:val="yellow"/>
        </w:rPr>
      </w:pPr>
      <w:r>
        <w:rPr>
          <w:noProof/>
        </w:rPr>
        <w:t xml:space="preserve">Conform Regulamentului privind domeniul .eu, astfel cum a fost modificat, titularii de nume de domeniu .eu trebuie să fie rezidenți sau cetățeni ai unui stat membru al UE, ai Islandei, ai Liechtensteinului sau ai Norvegiei, ori întreprinderi sau organizații stabilite în aceste țări. </w:t>
      </w:r>
    </w:p>
    <w:p>
      <w:pPr>
        <w:pStyle w:val="Text1"/>
        <w:rPr>
          <w:noProof/>
          <w:highlight w:val="yellow"/>
        </w:rPr>
      </w:pPr>
      <w:r>
        <w:rPr>
          <w:noProof/>
        </w:rPr>
        <w:t>În urma notificării de către Regatul Unit, la 29 martie 2017, a intenției sale de a se retrage din Uniune, UE a negociat și a încheiat cu Regatul Unit un acord care stabilește modalitățile de retragere a acestuia (denumit în continuare „Acordul de retragere”), în conformitate cu articolul 50 din Tratatul privind Uniunea Europeană (TUE)</w:t>
      </w:r>
      <w:r>
        <w:rPr>
          <w:rStyle w:val="FootnoteReference"/>
          <w:noProof/>
        </w:rPr>
        <w:footnoteReference w:id="14"/>
      </w:r>
      <w:r>
        <w:rPr>
          <w:noProof/>
        </w:rPr>
        <w:t>. Acordul de retragere prevede o perioadă de tranziție în timpul căreia dreptul Uniunii se aplică Regatului Unit și pe teritoriul acestuia. Prin urmare, pe parcursul acestei perioade de tranziție, rezidenții și cetățenii Regatului Unit, precum și întreprinderile și organizațiile stabilite în Regatul Unit vor continua să fie eligibile pentru a fi titulari ai unui un nume de domeniu .eu. Această perioadă de tranziție va începe la data retragerii</w:t>
      </w:r>
      <w:r>
        <w:rPr>
          <w:rStyle w:val="FootnoteReference"/>
          <w:noProof/>
        </w:rPr>
        <w:footnoteReference w:id="15"/>
      </w:r>
      <w:r>
        <w:rPr>
          <w:noProof/>
        </w:rPr>
        <w:t xml:space="preserve"> și se va încheia la 31 decembrie 2020, cu excepția cazului în care Uniunea și Regatul Unit convin, până la 1 iulie 2020, o prelungire unică a acestei perioade de tranziție cu cel mult un an sau doi. </w:t>
      </w:r>
    </w:p>
    <w:p>
      <w:pPr>
        <w:pStyle w:val="Text1"/>
        <w:rPr>
          <w:noProof/>
        </w:rPr>
      </w:pPr>
      <w:r>
        <w:rPr>
          <w:noProof/>
        </w:rPr>
        <w:t>La încheierea acestei perioade de tranziție, dreptul Uniunii încetează să se aplice Regatului Unit și pe teritoriul acestuia. Prin urmare, rezidenții Regatului Unit care nu sunt cetățeni ai unui stat membru al UE, ai Islandei, ai Liechtensteinului sau ai Norvegiei și întreprinderile și organizațiile care sunt stabilite în Regatul Unit, dar nu într-un stat membru al UE, în Islanda, în Liechtenstein sau în Norvegia nu vor mai fi eligibili în temeiul dreptului UE să dețină un nume de domeniu .eu, așa cum se întâmplă și în cazul rezidenților, întreprinderilor și organizațiilor din alte țări terțe. Această consecință s-ar aplica de la data retragerii în cazul în care Acordul de retragere nu ar intra în vigoare.</w:t>
      </w:r>
    </w:p>
    <w:p>
      <w:pPr>
        <w:pStyle w:val="Text1"/>
        <w:rPr>
          <w:noProof/>
        </w:rPr>
      </w:pPr>
      <w:r>
        <w:rPr>
          <w:noProof/>
        </w:rPr>
        <w:t>Prin intermediul avizului pe tema „Retragerea Regatului Unit și normele UE privind numele de domeniu «.eu »” din 28 martie 2018, actualizat la 18 iulie 2019</w:t>
      </w:r>
      <w:r>
        <w:rPr>
          <w:rStyle w:val="FootnoteReference"/>
          <w:noProof/>
        </w:rPr>
        <w:footnoteReference w:id="16"/>
      </w:r>
      <w:r>
        <w:rPr>
          <w:noProof/>
        </w:rPr>
        <w:t>, Comisia a avertizat titularii de nume de domeniu .eu care sunt rezidenți sau care sunt stabiliți în Regatul Unit cu privire la consecințele retragerii Regatului Unit din UE, sub rezerva dispozițiilor Acordului de retragere în vigoare în ceea ce privește perioada de tranziție. În plus, Comisia și EURid au convenit asupra unui plan de acțiune care să atenueze efectele care ar rezulta în ipoteza neintrării în vigoare a Acordului de retragere și care să asigure tranziția Regatului Unit către statutul de țară terță, inclusiv în ceea ce privește comunicarea cu registrarii și cu registranții, precum și măsuri de tranziție pentru numele de domenii înregistrate aparținând rezidenților Regatului Unit</w:t>
      </w:r>
      <w:r>
        <w:rPr>
          <w:rStyle w:val="FootnoteReference"/>
          <w:noProof/>
        </w:rPr>
        <w:footnoteReference w:id="17"/>
      </w:r>
      <w:r>
        <w:rPr>
          <w:noProof/>
        </w:rPr>
        <w:t>.</w:t>
      </w:r>
    </w:p>
    <w:p>
      <w:pPr>
        <w:pStyle w:val="Text1"/>
        <w:rPr>
          <w:noProof/>
        </w:rPr>
      </w:pPr>
      <w:r>
        <w:rPr>
          <w:noProof/>
        </w:rPr>
        <w:t>Impactul intenției Regatului Unit de a se retrage din UE asupra domeniului .eu a început să fie resimțit în 2018. Pentru rezidenții Regatului Unit, posibilitatea pierderii eligibilității pentru înregistrarea numelor de domenii .eu a condus la anulări, nereînnoiri și scăderea numărului de noi înregistrări. În plus, unii registrari din Regatul Unit au încetat să mai pună la dispoziție domeniul .eu. Ca urmare, numărul de înregistrări .eu în Regatul Unit a scăzut până la sfârșitul primului trimestru al anului 2019 de la aproximativ 240 000 la aproximativ 190 000, o scădere de 24 %.</w:t>
      </w:r>
    </w:p>
    <w:p>
      <w:pPr>
        <w:pStyle w:val="Heading1"/>
        <w:rPr>
          <w:noProof/>
        </w:rPr>
      </w:pPr>
      <w:bookmarkStart w:id="15" w:name="_Toc27400529"/>
      <w:r>
        <w:rPr>
          <w:noProof/>
        </w:rPr>
        <w:t>Încredere și securitate</w:t>
      </w:r>
      <w:bookmarkEnd w:id="15"/>
    </w:p>
    <w:p>
      <w:pPr>
        <w:pStyle w:val="Heading2"/>
        <w:rPr>
          <w:noProof/>
        </w:rPr>
      </w:pPr>
      <w:bookmarkStart w:id="16" w:name="_Toc27400530"/>
      <w:r>
        <w:rPr>
          <w:noProof/>
        </w:rPr>
        <w:t>Nume de domenii sigure</w:t>
      </w:r>
      <w:bookmarkEnd w:id="16"/>
    </w:p>
    <w:p>
      <w:pPr>
        <w:pStyle w:val="Text1"/>
        <w:rPr>
          <w:noProof/>
        </w:rPr>
      </w:pPr>
      <w:r>
        <w:rPr>
          <w:noProof/>
        </w:rPr>
        <w:t>DNSSEC</w:t>
      </w:r>
      <w:r>
        <w:rPr>
          <w:rStyle w:val="FootnoteReference"/>
          <w:noProof/>
        </w:rPr>
        <w:footnoteReference w:id="18"/>
      </w:r>
      <w:r>
        <w:rPr>
          <w:noProof/>
        </w:rPr>
        <w:t>, o extensie de securitate a DNS, a fost lansată și promovată în domeniul .eu din 2013. DNSSEC asigură faptul că utilizatorii comunică cu site-ul web corect, prevenind atacurile de interceptare de tip „man in the middle” prin site-uri false.</w:t>
      </w:r>
    </w:p>
    <w:p>
      <w:pPr>
        <w:pStyle w:val="Text1"/>
        <w:rPr>
          <w:noProof/>
        </w:rPr>
      </w:pPr>
      <w:r>
        <w:rPr>
          <w:noProof/>
        </w:rPr>
        <w:t xml:space="preserve">Pentru ca DNSSEC să funcționeze corect, atât domeniul de prim nivel, cât și numele de domenii individuale trebuie să aibă o semnătură digitală („să fie semnate”). După semnarea domeniului de prim nivel .eu în 2010, EURid a promovat semnarea DNSSEC printre numele de domenii .eu. Din 2015, EURid a oferit o reducere a taxelor pentru numele de domenii semnate corect. La sfârșitul primului trimestru al anului 2019, aproximativ 540 000 de nume de domeniu (15 % dintre numele de domenii .eu) au fost semnate corect cu DNSSEC. Creșterea periodică a numărului de nume de domenii semnate DNSSEC în perioada vizată a demonstrat că aceste măsuri de reducere au motivat registrarii să utilizeze DNSSEC și să o ofere registranților. Deși domeniul .eu este printre cele mai bune registre ccTLD din punctul de vedere al utilizării DNSSEC, este clar că este nevoie de eforturi suplimentare pentru ca numărul de înregistrări de nume de domenii .eu să crească. </w:t>
      </w:r>
    </w:p>
    <w:p>
      <w:pPr>
        <w:pStyle w:val="Text1"/>
        <w:rPr>
          <w:noProof/>
        </w:rPr>
      </w:pPr>
      <w:r>
        <w:rPr>
          <w:noProof/>
        </w:rPr>
        <w:t>În general, EURid sprijină comunitatea sa de registrari să adopte standardele de securitate cibernetică prin seminarii online și reuniuni, precum și prin informări periodice cu privire la DNSSEC și la alte măsuri de securitate.</w:t>
      </w:r>
    </w:p>
    <w:p>
      <w:pPr>
        <w:pStyle w:val="Heading2"/>
        <w:rPr>
          <w:noProof/>
        </w:rPr>
      </w:pPr>
      <w:bookmarkStart w:id="17" w:name="_Toc27400531"/>
      <w:r>
        <w:rPr>
          <w:noProof/>
        </w:rPr>
        <w:t>Reducerea numărului de înregistrări abuzive</w:t>
      </w:r>
      <w:bookmarkEnd w:id="17"/>
    </w:p>
    <w:p>
      <w:pPr>
        <w:pStyle w:val="Text1"/>
        <w:rPr>
          <w:noProof/>
        </w:rPr>
      </w:pPr>
      <w:r>
        <w:rPr>
          <w:noProof/>
        </w:rPr>
        <w:t>Prevenirea înregistrărilor abuzive de nume de domeniu, utilizate pentru încălcări în domeniul drepturilor de autor, pentru vânzarea de mărfuri contrafăcute, pentru phishing, atacuri cibernetice și distribuția de programe malware continuă să fie o prioritate esențială pentru domeniul .eu. Acest lucru se realizează prin verificarea validității datelor înregistrate în raport cu criteriile de eligibilitate .eu</w:t>
      </w:r>
      <w:r>
        <w:rPr>
          <w:rStyle w:val="FootnoteReference"/>
          <w:noProof/>
        </w:rPr>
        <w:footnoteReference w:id="19"/>
      </w:r>
      <w:r>
        <w:rPr>
          <w:noProof/>
        </w:rPr>
        <w:t xml:space="preserve"> și prin verificarea noilor înregistrări pentru a depista comportamentele suspecte sau unele anomalii. </w:t>
      </w:r>
    </w:p>
    <w:p>
      <w:pPr>
        <w:pStyle w:val="Text1"/>
        <w:rPr>
          <w:noProof/>
        </w:rPr>
      </w:pPr>
      <w:r>
        <w:rPr>
          <w:noProof/>
        </w:rPr>
        <w:t>Ca măsură preventivă, EURid verifică zilnic noile înregistrări. În cazul în care sunt depistate date suspecte, registranții sunt invitați să își actualizeze sau să își corecteze informațiile, altfel riscă să le fie suspendat numele de domeniu. În 2017 și în 2018 au fost suspendate 20 126 și, respectiv, 58 966 de nume de domenii.</w:t>
      </w:r>
    </w:p>
    <w:p>
      <w:pPr>
        <w:pStyle w:val="Text1"/>
        <w:rPr>
          <w:noProof/>
        </w:rPr>
      </w:pPr>
      <w:r>
        <w:rPr>
          <w:noProof/>
        </w:rPr>
        <w:t>În 2017, Universitatea din Leuven a dezvoltat un sistem pentru EURid care face predicții privind numele de domenii .eu care ar putea fi utilizate în scop abuziv, pe baza datelor istorice și a algoritmilor de autoînvățare. Acest sistem, încă în curs de dezvoltare, are ca scop, într-o primă etapă, să împiedice activarea unor nume de domenii răuvoitoare.</w:t>
      </w:r>
    </w:p>
    <w:p>
      <w:pPr>
        <w:pStyle w:val="Heading2"/>
        <w:rPr>
          <w:noProof/>
        </w:rPr>
      </w:pPr>
      <w:bookmarkStart w:id="18" w:name="_Toc27400532"/>
      <w:r>
        <w:rPr>
          <w:noProof/>
        </w:rPr>
        <w:t>Cooperarea în domeniul combaterii criminalității informatice</w:t>
      </w:r>
      <w:bookmarkEnd w:id="18"/>
    </w:p>
    <w:p>
      <w:pPr>
        <w:pStyle w:val="Text1"/>
        <w:rPr>
          <w:noProof/>
        </w:rPr>
      </w:pPr>
      <w:r>
        <w:rPr>
          <w:noProof/>
        </w:rPr>
        <w:t>EURid a continuat să ofere asistență, în mod regulat, autorităților de asigurare a respectării legii și altor autorități relevante atât la nivel național, cât și la nivel european, ajutându-le să combată activitățile ilegale care implică nume de domenii .eu.</w:t>
      </w:r>
    </w:p>
    <w:p>
      <w:pPr>
        <w:pStyle w:val="Text1"/>
        <w:rPr>
          <w:noProof/>
        </w:rPr>
      </w:pPr>
      <w:r>
        <w:rPr>
          <w:noProof/>
        </w:rPr>
        <w:t xml:space="preserve">La nivel național, EURid a colaborat activ cu Ministerul Federal al Economiei din Belgia, cu administrația belgiană a vămilor (Cybersquad) și cu Parchetul din Belgia. </w:t>
      </w:r>
    </w:p>
    <w:p>
      <w:pPr>
        <w:pStyle w:val="Text1"/>
        <w:rPr>
          <w:noProof/>
        </w:rPr>
      </w:pPr>
      <w:r>
        <w:rPr>
          <w:noProof/>
        </w:rPr>
        <w:t>La nivel european, EURid a continuat să se angajeze într-un dialog regulat cu Centrul de răspuns la incidente de securitate cibernetică pentru instituțiile, organele și agențiile UE (CERT-UE) și să își extindă cooperarea cu EUROPOL prin schimbul de date statistice și de tendințe, derulând proiecte comune destinate combaterii criminalității informatice</w:t>
      </w:r>
      <w:r>
        <w:rPr>
          <w:rStyle w:val="FootnoteReference"/>
          <w:noProof/>
        </w:rPr>
        <w:footnoteReference w:id="20"/>
      </w:r>
      <w:r>
        <w:rPr>
          <w:noProof/>
        </w:rPr>
        <w:t xml:space="preserve"> și organizând ateliere de lucru comune</w:t>
      </w:r>
      <w:r>
        <w:rPr>
          <w:rStyle w:val="FootnoteReference"/>
          <w:noProof/>
        </w:rPr>
        <w:footnoteReference w:id="21"/>
      </w:r>
      <w:r>
        <w:rPr>
          <w:noProof/>
        </w:rPr>
        <w:t>. În iunie 2018, EURid și Coaliția internațională de combatere a contrafacerii au semnat un memorandum de înțelegere pentru a se angaja în eforturi comune de combatere a criminalității informatice în domeniul .eu. De asemenea, EURid a continuat să coopereze cu EUIPO (Oficiul Uniunii Europene pentru Proprietate Intelectuală) pentru a notifica titularilor de mărci atunci când se înregistrează un nume de domeniu .eu care este identic cu o marcă înregistrată a UE.</w:t>
      </w:r>
    </w:p>
    <w:p>
      <w:pPr>
        <w:pStyle w:val="Heading2"/>
        <w:rPr>
          <w:noProof/>
        </w:rPr>
      </w:pPr>
      <w:bookmarkStart w:id="19" w:name="_Toc27400533"/>
      <w:r>
        <w:rPr>
          <w:noProof/>
        </w:rPr>
        <w:t>Soluționarea alternativă a litigiilor</w:t>
      </w:r>
      <w:bookmarkEnd w:id="19"/>
    </w:p>
    <w:p>
      <w:pPr>
        <w:pStyle w:val="Text1"/>
        <w:rPr>
          <w:noProof/>
        </w:rPr>
      </w:pPr>
      <w:r>
        <w:rPr>
          <w:noProof/>
        </w:rPr>
        <w:t>În iunie 2017, EURid a extins posibilitățile de inițiere a unei proceduri de soluționare alternativă a litigiilor (SAL) prin semnarea unui acord cu Organizația Mondială a Proprietății Intelectuale (OMPI) pentru a deveni un nou organism responsabil cu soluționarea alternativă a litigiilor (SAL) pentru numele de domeniu .eu, pe lângă organismul responsabil cu SAL actual, respectiv Curtea de Arbitraj de la Praga (Curtea Cehă de Arbitraj). O caracteristică a SAL cu privire la un nume de domeniu .eu este posibilitatea de a depune o plângere online în oricare dintre limbile oficiale ale UE. În perioada vizată de prezentul raport, au fost depuse 127 de plângeri și au fost soluționate 130 de litigii.</w:t>
      </w:r>
    </w:p>
    <w:p>
      <w:pPr>
        <w:pStyle w:val="Heading2"/>
        <w:rPr>
          <w:noProof/>
        </w:rPr>
      </w:pPr>
      <w:bookmarkStart w:id="20" w:name="_Toc27400534"/>
      <w:r>
        <w:rPr>
          <w:noProof/>
        </w:rPr>
        <w:t>Stabilitatea, securitatea și continuitatea activității</w:t>
      </w:r>
      <w:bookmarkEnd w:id="20"/>
    </w:p>
    <w:p>
      <w:pPr>
        <w:pStyle w:val="Text1"/>
        <w:rPr>
          <w:noProof/>
        </w:rPr>
      </w:pPr>
      <w:r>
        <w:rPr>
          <w:noProof/>
        </w:rPr>
        <w:t>EURid și-a menținut o infrastructură tehnică foarte rezilientă și solidă astfel încât, în orice moment, spațiul de nume .eu să fie vizibil și să aibă rezultate bune pentru toți utilizatorii de internet. Prin urmare, utilizatorii care s-au conectat la aceste nume de domenii în perioada vizată de prezentul raport au beneficiat de un acces neîntrerupt la numele de domenii .eu (perioadă de funcționare de 100 %). Două servere de nume de domeniu</w:t>
      </w:r>
      <w:r>
        <w:rPr>
          <w:rStyle w:val="FootnoteReference"/>
          <w:noProof/>
        </w:rPr>
        <w:footnoteReference w:id="22"/>
      </w:r>
      <w:r>
        <w:rPr>
          <w:noProof/>
        </w:rPr>
        <w:t xml:space="preserve"> situate în Amsterdam și în Luxemburg formează nucleul infrastructurii tehnice a EURid, la care se adaugă o serie de servere autoadministrate (de la Amsterdam, Ljubljana, Londra și Praga) și furnizori Anycast externi, cum ar fi DENIC, NetNod și Dyn/Oracle, care pun la dispoziție servere de nume în întreaga lume pentru a sprijini fișierul zonal .eu.</w:t>
      </w:r>
    </w:p>
    <w:p>
      <w:pPr>
        <w:pStyle w:val="Text1"/>
        <w:rPr>
          <w:noProof/>
        </w:rPr>
      </w:pPr>
      <w:r>
        <w:rPr>
          <w:noProof/>
        </w:rPr>
        <w:t>Stabilirea și menținerea unui standard ridicat în ceea ce privește securitatea informațiilor și a rețelelor sale rămân elemente importante ale politicii EURid, care vizează să furnizeze în continuare registrarilor .eu acreditați și publicului servicii sigure și de înaltă calitate. EURid a obținut certificarea ISO</w:t>
      </w:r>
      <w:r>
        <w:rPr>
          <w:rStyle w:val="FootnoteReference"/>
          <w:noProof/>
        </w:rPr>
        <w:footnoteReference w:id="23"/>
      </w:r>
      <w:r>
        <w:rPr>
          <w:noProof/>
        </w:rPr>
        <w:t xml:space="preserve"> 22301 în 2017 pentru felul în care își gestionează procedurile de continuitate a activității și a primit recertificarea pentru standardul de securitate a informațiilor ISO/IEC 27001 în 2019. În plus, EURid și-a evaluat și și-a adaptat în mod responsabil politica privind publicarea informațiilor în 2018 și a continuat colaborarea cu o societate externă pentru a evalua și a îmbunătăți securitatea cibernetică și pentru a reduce amenințările.</w:t>
      </w:r>
    </w:p>
    <w:p>
      <w:pPr>
        <w:pStyle w:val="Text1"/>
        <w:rPr>
          <w:noProof/>
        </w:rPr>
      </w:pPr>
      <w:r>
        <w:rPr>
          <w:noProof/>
        </w:rPr>
        <w:t>EURid a fost un pionier în ceea ce privește continuitatea activității în rândul registrelor ccTLD. EURid și-a actualizat anual evaluarea riscurilor și a reevaluat periodic scenariile legate de continuitate. În 2018, EURid a efectuat două exerciții privind continuitatea activității care simulează dezastre majore, care au fost evaluate pozitiv de către un evaluator independent. În plus, au fost efectuate șapte teste de dezastru și de recuperare în caz de dezastru și teste de redundanță, care au demonstrat soliditatea infrastructurii tehnice a EURid.</w:t>
      </w:r>
    </w:p>
    <w:p>
      <w:pPr>
        <w:pStyle w:val="Heading1"/>
        <w:rPr>
          <w:noProof/>
        </w:rPr>
      </w:pPr>
      <w:bookmarkStart w:id="21" w:name="_Toc27400535"/>
      <w:r>
        <w:rPr>
          <w:noProof/>
        </w:rPr>
        <w:t>Relații internaționale</w:t>
      </w:r>
      <w:bookmarkEnd w:id="21"/>
      <w:r>
        <w:rPr>
          <w:noProof/>
        </w:rPr>
        <w:t xml:space="preserve"> </w:t>
      </w:r>
    </w:p>
    <w:p>
      <w:pPr>
        <w:pStyle w:val="Text1"/>
        <w:rPr>
          <w:noProof/>
        </w:rPr>
      </w:pPr>
      <w:r>
        <w:rPr>
          <w:noProof/>
        </w:rPr>
        <w:t>În perioada de raportare, EURid a continuat să se implice în ecosistemul internet, în special prin intermediul următoarelor acțiuni și activități:</w:t>
      </w:r>
    </w:p>
    <w:p>
      <w:pPr>
        <w:pStyle w:val="ListDash1"/>
        <w:rPr>
          <w:noProof/>
        </w:rPr>
      </w:pPr>
      <w:r>
        <w:rPr>
          <w:noProof/>
        </w:rPr>
        <w:t>Participarea la reuniunile ICANN prin diverse comitete și grupuri de lucru, inclusiv contribuția la eforturile de consolidare a capacității în rândul registrelor ccTLD de dimensiuni mai mici în ceea ce privește planificarea continuității activității și recuperarea în caz de dezastru;</w:t>
      </w:r>
    </w:p>
    <w:p>
      <w:pPr>
        <w:pStyle w:val="ListDash1"/>
        <w:rPr>
          <w:noProof/>
        </w:rPr>
      </w:pPr>
      <w:r>
        <w:rPr>
          <w:noProof/>
        </w:rPr>
        <w:t>Cooperarea cu UNESCO, cu Verisign și cu organizațiile regionale de registre în vederea elaborării Raportului mondial anual privind IDN</w:t>
      </w:r>
      <w:r>
        <w:rPr>
          <w:rStyle w:val="FootnoteReference"/>
          <w:noProof/>
        </w:rPr>
        <w:footnoteReference w:id="24"/>
      </w:r>
      <w:r>
        <w:rPr>
          <w:noProof/>
        </w:rPr>
        <w:t xml:space="preserve"> și sprijinirea Anului internațional al limbilor indigene UNESCO 2019; </w:t>
      </w:r>
    </w:p>
    <w:p>
      <w:pPr>
        <w:pStyle w:val="ListDash1"/>
        <w:rPr>
          <w:noProof/>
        </w:rPr>
      </w:pPr>
      <w:r>
        <w:rPr>
          <w:noProof/>
        </w:rPr>
        <w:t>Continuarea activității .eu Academy</w:t>
      </w:r>
      <w:r>
        <w:rPr>
          <w:rStyle w:val="FootnoteReference"/>
          <w:noProof/>
        </w:rPr>
        <w:footnoteReference w:id="25"/>
      </w:r>
      <w:r>
        <w:rPr>
          <w:noProof/>
        </w:rPr>
        <w:t xml:space="preserve">, prin care reprezentanții altor registre au beneficiat de formare cu privire la diverse aspecte din domeniul registrelor; </w:t>
      </w:r>
    </w:p>
    <w:p>
      <w:pPr>
        <w:pStyle w:val="ListDash1"/>
        <w:rPr>
          <w:noProof/>
        </w:rPr>
      </w:pPr>
      <w:r>
        <w:rPr>
          <w:noProof/>
        </w:rPr>
        <w:t>Sprijinirea sesiunilor EuroDIG (Dialogul european privind guvernanța internetului) și a Școlii Balcanice pentru GI (guvernanța internetului);</w:t>
      </w:r>
    </w:p>
    <w:p>
      <w:pPr>
        <w:pStyle w:val="ListDash1"/>
        <w:rPr>
          <w:noProof/>
        </w:rPr>
      </w:pPr>
      <w:r>
        <w:rPr>
          <w:noProof/>
        </w:rPr>
        <w:t>Participarea la Forumul pentru guvernanța internetului (FGI)</w:t>
      </w:r>
      <w:r>
        <w:rPr>
          <w:rStyle w:val="FootnoteReference"/>
          <w:noProof/>
        </w:rPr>
        <w:footnoteReference w:id="26"/>
      </w:r>
      <w:r>
        <w:rPr>
          <w:noProof/>
        </w:rPr>
        <w:t xml:space="preserve"> din 2017 cu un atelier privind impactul TIC asupra mediului.</w:t>
      </w:r>
    </w:p>
    <w:p>
      <w:pPr>
        <w:pStyle w:val="Heading1"/>
        <w:rPr>
          <w:noProof/>
        </w:rPr>
      </w:pPr>
      <w:bookmarkStart w:id="22" w:name="_Toc27400536"/>
      <w:r>
        <w:rPr>
          <w:noProof/>
        </w:rPr>
        <w:t>Impactul asupra mediului</w:t>
      </w:r>
      <w:bookmarkEnd w:id="22"/>
    </w:p>
    <w:p>
      <w:pPr>
        <w:pStyle w:val="Text1"/>
        <w:rPr>
          <w:noProof/>
        </w:rPr>
      </w:pPr>
      <w:r>
        <w:rPr>
          <w:noProof/>
        </w:rPr>
        <w:t>Pentru a reduce impactul activităților sale asupra mediului, EURid a devenit primul registru certificat EMAS</w:t>
      </w:r>
      <w:r>
        <w:rPr>
          <w:rStyle w:val="FootnoteReference"/>
          <w:noProof/>
        </w:rPr>
        <w:footnoteReference w:id="27"/>
      </w:r>
      <w:r>
        <w:rPr>
          <w:noProof/>
        </w:rPr>
        <w:t xml:space="preserve"> din Europa în 2012, finalizând procesul de recertificare în 2018 pentru sediul său central din Belgia și pentru sucursalele sale din Italia și din Republica Cehă. EURid a continuat să își valideze emisiile de CO</w:t>
      </w:r>
      <w:r>
        <w:rPr>
          <w:noProof/>
          <w:vertAlign w:val="subscript"/>
        </w:rPr>
        <w:t>2</w:t>
      </w:r>
      <w:r>
        <w:rPr>
          <w:noProof/>
        </w:rPr>
        <w:t>, achiziționând, ca măsură de compensare, credite de emisii CO</w:t>
      </w:r>
      <w:r>
        <w:rPr>
          <w:noProof/>
          <w:vertAlign w:val="subscript"/>
        </w:rPr>
        <w:t>2</w:t>
      </w:r>
      <w:r>
        <w:rPr>
          <w:noProof/>
        </w:rPr>
        <w:t xml:space="preserve"> certificate, și a sprijinit proiectul Uganda Borehole</w:t>
      </w:r>
      <w:r>
        <w:rPr>
          <w:rStyle w:val="FootnoteReference"/>
          <w:noProof/>
        </w:rPr>
        <w:footnoteReference w:id="28"/>
      </w:r>
      <w:r>
        <w:rPr>
          <w:noProof/>
        </w:rPr>
        <w:t>. În 2019, EURid a sponsorizat eforturile de reîmpădurire din Monchique, Portugalia</w:t>
      </w:r>
      <w:r>
        <w:rPr>
          <w:rStyle w:val="FootnoteReference"/>
          <w:noProof/>
        </w:rPr>
        <w:footnoteReference w:id="29"/>
      </w:r>
      <w:r>
        <w:rPr>
          <w:noProof/>
        </w:rPr>
        <w:t>, o zonă afectată de incendii devastatoare în vara anului 2018.</w:t>
      </w:r>
    </w:p>
    <w:p>
      <w:pPr>
        <w:pStyle w:val="Heading1"/>
        <w:rPr>
          <w:noProof/>
        </w:rPr>
      </w:pPr>
      <w:bookmarkStart w:id="23" w:name="_Toc27400537"/>
      <w:r>
        <w:rPr>
          <w:noProof/>
        </w:rPr>
        <w:t>Concluzie</w:t>
      </w:r>
      <w:bookmarkEnd w:id="23"/>
    </w:p>
    <w:p>
      <w:pPr>
        <w:pStyle w:val="Text1"/>
        <w:rPr>
          <w:noProof/>
        </w:rPr>
      </w:pPr>
      <w:r>
        <w:rPr>
          <w:noProof/>
        </w:rPr>
        <w:t>Domeniul .eu continuă să funcționeze în mod eficace, facilitând accesul la piața unică digitală, permițând europenilor să își prezinte online identitatea europeană și sprijinind multilingvismul.</w:t>
      </w:r>
    </w:p>
    <w:p>
      <w:pPr>
        <w:pStyle w:val="Text1"/>
        <w:rPr>
          <w:noProof/>
        </w:rPr>
      </w:pPr>
      <w:r>
        <w:rPr>
          <w:noProof/>
        </w:rPr>
        <w:t>Atenția sporită acordată calității serviciilor și securității a ajutat domeniul .eu să își mențină poziția pe piață în perioada luată în considerare în raport. De asemenea, a contribuit direct la îndeplinirea obiectivelor UE legate de sporirea încrederii și a securității pe internet și pe piața unică digitală.</w:t>
      </w:r>
    </w:p>
    <w:p>
      <w:pPr>
        <w:pStyle w:val="Text1"/>
        <w:rPr>
          <w:noProof/>
        </w:rPr>
      </w:pPr>
      <w:r>
        <w:rPr>
          <w:noProof/>
        </w:rPr>
        <w:t>Domeniul .eu poate deveni un model pentru alte nume de domenii în ceea ce privește construirea unui spațiu de nume de domeniu sigur și de încredere. Va fi însă nevoie de eforturi susținute pentru a asigura adoptarea la scară largă a unor măsuri de securitate cum ar fi DNSSEC, pentru a combate înregistrările abuzive și pentru a asigura faptul că comportamentele ilegale și abuzurile vizibile în alte părți ale ecosistemului DNS nu câștigă teren și în cazul numelor de domeniu .eu. Situația financiară solidă a domeniului .eu va permite susținerea acestor eforturi.</w:t>
      </w:r>
    </w:p>
    <w:p>
      <w:pPr>
        <w:pStyle w:val="Text1"/>
        <w:rPr>
          <w:noProof/>
        </w:rPr>
      </w:pPr>
      <w:r>
        <w:rPr>
          <w:noProof/>
        </w:rPr>
        <w:t>Având în vedere baza sa solidă de clienți, relațiile strânse pe care le are cu registrarii și acțiunile orientate către piețele geografice deservite insuficient și către cetățenii UE care locuiesc în străinătate, domeniul .eu are potențialul de a-și consolida în continuare poziția ca domeniu predilect pentru cetățenii și întreprinderile din UE.</w:t>
      </w:r>
    </w:p>
    <w:p>
      <w:pPr>
        <w:pStyle w:val="TOCHeading"/>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41037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t>10</w:t>
        </w:r>
        <w:r>
          <w:fldChar w:fldCharType="end"/>
        </w:r>
      </w:p>
    </w:sdtContent>
  </w:sdt>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25938"/>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13</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21356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ab/>
        <w:t>Extensia de securitate a sistemului de nume de domenii.</w:t>
      </w:r>
    </w:p>
  </w:footnote>
  <w:footnote w:id="2">
    <w:p>
      <w:pPr>
        <w:pStyle w:val="FootnoteText"/>
      </w:pPr>
      <w:r>
        <w:rPr>
          <w:rStyle w:val="FootnoteReference"/>
        </w:rPr>
        <w:footnoteRef/>
      </w:r>
      <w:r>
        <w:t xml:space="preserve"> </w:t>
      </w:r>
      <w:r>
        <w:tab/>
        <w:t>Lansarea efectivă a secvenței .ευ din alfabetul elen a avut loc la 14 noiembrie 2019, în afara domeniului de aplicare al prezentului raport.</w:t>
      </w:r>
    </w:p>
  </w:footnote>
  <w:footnote w:id="3">
    <w:p>
      <w:pPr>
        <w:pStyle w:val="FootnoteText"/>
      </w:pPr>
      <w:r>
        <w:rPr>
          <w:rStyle w:val="FootnoteReference"/>
        </w:rPr>
        <w:footnoteRef/>
      </w:r>
      <w:r>
        <w:tab/>
        <w:t>Regulamentul (CE) nr. 1137/2008 al Parlamentului European și al Consiliului din 22 octombrie 2008.</w:t>
      </w:r>
    </w:p>
  </w:footnote>
  <w:footnote w:id="4">
    <w:p>
      <w:pPr>
        <w:pStyle w:val="FootnoteText"/>
      </w:pPr>
      <w:r>
        <w:rPr>
          <w:rStyle w:val="FootnoteReference"/>
        </w:rPr>
        <w:footnoteRef/>
      </w:r>
      <w:r>
        <w:tab/>
        <w:t>Regulamentele Parlamentului European și ale Consiliului; nr. 1654/2005 din 10 octombrie 2005; nr. 1255/2007 din 25 octombrie 2007, nr. 560/2009 din 26 iunie 2009 și nr. 516/2015 din 26 martie 2015.</w:t>
      </w:r>
    </w:p>
  </w:footnote>
  <w:footnote w:id="5">
    <w:p>
      <w:pPr>
        <w:pStyle w:val="FootnoteText"/>
      </w:pPr>
      <w:r>
        <w:rPr>
          <w:rStyle w:val="FootnoteReference"/>
        </w:rPr>
        <w:footnoteRef/>
      </w:r>
      <w:r>
        <w:tab/>
      </w:r>
      <w:hyperlink r:id="rId1" w:history="1">
        <w:r>
          <w:rPr>
            <w:rStyle w:val="Hyperlink"/>
          </w:rPr>
          <w:t>https://ec.europa.eu/info/law/better-regulation/initiatives/ares-2017-2402460_en</w:t>
        </w:r>
      </w:hyperlink>
      <w:r>
        <w:t>.</w:t>
      </w:r>
    </w:p>
  </w:footnote>
  <w:footnote w:id="6">
    <w:p>
      <w:pPr>
        <w:pStyle w:val="FootnoteText"/>
      </w:pPr>
      <w:r>
        <w:rPr>
          <w:rStyle w:val="FootnoteReference"/>
        </w:rPr>
        <w:footnoteRef/>
      </w:r>
      <w:r>
        <w:tab/>
      </w:r>
      <w:hyperlink r:id="rId2" w:history="1">
        <w:r>
          <w:rPr>
            <w:rStyle w:val="Hyperlink"/>
          </w:rPr>
          <w:t>https://ec.europa.eu/digital-single-market/en/news/new-rules-will-boost-eu-governance-and-extend-its-reach</w:t>
        </w:r>
      </w:hyperlink>
      <w:r>
        <w:t>.</w:t>
      </w:r>
    </w:p>
  </w:footnote>
  <w:footnote w:id="7">
    <w:p>
      <w:pPr>
        <w:pStyle w:val="FootnoteText"/>
      </w:pPr>
      <w:r>
        <w:rPr>
          <w:rStyle w:val="FootnoteReference"/>
        </w:rPr>
        <w:footnoteRef/>
      </w:r>
      <w:r>
        <w:tab/>
        <w:t xml:space="preserve">Raportul CENTRstats privind situația TLD la nivel mondial în T1 2019, ediția 27, </w:t>
      </w:r>
      <w:hyperlink r:id="rId3" w:history="1">
        <w:r>
          <w:rPr>
            <w:rStyle w:val="Hyperlink"/>
          </w:rPr>
          <w:t>https://www.centr.org/statistics-centr/quarterly-reports.html</w:t>
        </w:r>
      </w:hyperlink>
      <w:r>
        <w:t>.</w:t>
      </w:r>
    </w:p>
  </w:footnote>
  <w:footnote w:id="8">
    <w:p>
      <w:pPr>
        <w:pStyle w:val="FootnoteText"/>
      </w:pPr>
      <w:r>
        <w:rPr>
          <w:rStyle w:val="FootnoteReference"/>
        </w:rPr>
        <w:footnoteRef/>
      </w:r>
      <w:r>
        <w:tab/>
        <w:t xml:space="preserve">EURid et al, Middle East and Adjoining Countries DNS Marketplace Study (Studiu privind piața DNS în Orientul Mijlociu și din zona țărilor învecinate), ICANN 2016 </w:t>
      </w:r>
      <w:hyperlink r:id="rId4" w:history="1">
        <w:r>
          <w:rPr>
            <w:rStyle w:val="Hyperlink"/>
          </w:rPr>
          <w:t>https://www.icann.org/news/announcement-2016-02-26-en</w:t>
        </w:r>
      </w:hyperlink>
      <w:r>
        <w:t>.</w:t>
      </w:r>
    </w:p>
  </w:footnote>
  <w:footnote w:id="9">
    <w:p>
      <w:pPr>
        <w:pStyle w:val="FootnoteText"/>
      </w:pPr>
      <w:r>
        <w:rPr>
          <w:rStyle w:val="FootnoteReference"/>
        </w:rPr>
        <w:footnoteRef/>
      </w:r>
      <w:r>
        <w:tab/>
        <w:t xml:space="preserve">Oxford Information Labs et al, Latin American and Caribbean DNS Marketplace Study (Studiu privind piața DNS în America Latină și zona Caraibilor), 2017 </w:t>
      </w:r>
      <w:hyperlink r:id="rId5" w:history="1">
        <w:r>
          <w:rPr>
            <w:rStyle w:val="Hyperlink"/>
          </w:rPr>
          <w:t>https://www.icann.org/public-comments/lac-dns-marketplace-2016-09-22-en</w:t>
        </w:r>
      </w:hyperlink>
      <w:r>
        <w:t>.</w:t>
      </w:r>
    </w:p>
  </w:footnote>
  <w:footnote w:id="10">
    <w:p>
      <w:pPr>
        <w:pStyle w:val="FootnoteText"/>
      </w:pPr>
      <w:r>
        <w:rPr>
          <w:rStyle w:val="FootnoteReference"/>
        </w:rPr>
        <w:footnoteRef/>
      </w:r>
      <w:r>
        <w:tab/>
      </w:r>
      <w:hyperlink r:id="rId6" w:history="1">
        <w:r>
          <w:rPr>
            <w:rStyle w:val="Hyperlink"/>
          </w:rPr>
          <w:t>https://eurid.eu/ro/stiri/2017-registrar-satisfaction-survey-findings/</w:t>
        </w:r>
      </w:hyperlink>
      <w:r>
        <w:t>.</w:t>
      </w:r>
    </w:p>
  </w:footnote>
  <w:footnote w:id="11">
    <w:p>
      <w:pPr>
        <w:pStyle w:val="FootnoteText"/>
      </w:pPr>
      <w:r>
        <w:rPr>
          <w:rStyle w:val="FootnoteReference"/>
        </w:rPr>
        <w:footnoteRef/>
      </w:r>
      <w:r>
        <w:tab/>
        <w:t xml:space="preserve">Consiliul Registrelor Naționale de Domenii de Nivel Superior din Europa, </w:t>
      </w:r>
      <w:hyperlink r:id="rId7" w:history="1">
        <w:r>
          <w:rPr>
            <w:rStyle w:val="Hyperlink"/>
          </w:rPr>
          <w:t>www.centr.org</w:t>
        </w:r>
      </w:hyperlink>
      <w:r>
        <w:t>.</w:t>
      </w:r>
    </w:p>
  </w:footnote>
  <w:footnote w:id="12">
    <w:p>
      <w:pPr>
        <w:pStyle w:val="FootnoteText"/>
      </w:pPr>
      <w:r>
        <w:rPr>
          <w:rStyle w:val="FootnoteReference"/>
        </w:rPr>
        <w:footnoteRef/>
      </w:r>
      <w:r>
        <w:tab/>
        <w:t>IDN-urile sunt nume de domeniu care utilizează alte caractere decât cele latine.</w:t>
      </w:r>
    </w:p>
  </w:footnote>
  <w:footnote w:id="13">
    <w:p>
      <w:pPr>
        <w:pStyle w:val="FootnoteText"/>
      </w:pPr>
      <w:r>
        <w:rPr>
          <w:rStyle w:val="FootnoteReference"/>
        </w:rPr>
        <w:footnoteRef/>
      </w:r>
      <w:r>
        <w:t xml:space="preserve"> </w:t>
      </w:r>
      <w:r>
        <w:tab/>
      </w:r>
      <w:hyperlink r:id="rId8" w:history="1">
        <w:r>
          <w:rPr>
            <w:rStyle w:val="Hyperlink"/>
          </w:rPr>
          <w:t>https://www.icann.org</w:t>
        </w:r>
      </w:hyperlink>
    </w:p>
  </w:footnote>
  <w:footnote w:id="14">
    <w:p>
      <w:pPr>
        <w:pStyle w:val="FootnoteText"/>
      </w:pPr>
      <w:r>
        <w:rPr>
          <w:rStyle w:val="FootnoteReference"/>
        </w:rPr>
        <w:footnoteRef/>
      </w:r>
      <w:r>
        <w:t xml:space="preserve"> </w:t>
      </w:r>
      <w:r>
        <w:tab/>
        <w:t>JO C 384 I, 12.11.2019, p.1.</w:t>
      </w:r>
    </w:p>
  </w:footnote>
  <w:footnote w:id="15">
    <w:p>
      <w:pPr>
        <w:pStyle w:val="FootnoteText"/>
      </w:pPr>
      <w:r>
        <w:rPr>
          <w:rStyle w:val="FootnoteReference"/>
        </w:rPr>
        <w:footnoteRef/>
      </w:r>
      <w:r>
        <w:t xml:space="preserve"> </w:t>
      </w:r>
      <w:r>
        <w:tab/>
        <w:t>Data retragerii va fi ori data intrării în vigoare a Acordului de retragere, ori, în ipoteza unui Brexit fără acord, 1 februarie 2020 – cu excepția cazului în care perioada prevăzută la articolul 50 alineatul (3) din TUE este prelungită în continuare. A se vedea Decizia (UE) 2019/1810 a Consiliului European adoptată de comun acord cu Regatul Unit din 29 octombrie 2019 privind prelungirea termenului în temeiul articolului 50 alineatul (3) din TUE (JO L 278, 30.10.2019, p. 1).</w:t>
      </w:r>
    </w:p>
  </w:footnote>
  <w:footnote w:id="16">
    <w:p>
      <w:pPr>
        <w:pStyle w:val="FootnoteText"/>
      </w:pPr>
      <w:r>
        <w:rPr>
          <w:rStyle w:val="FootnoteReference"/>
        </w:rPr>
        <w:footnoteRef/>
      </w:r>
      <w:r>
        <w:tab/>
      </w:r>
      <w:hyperlink r:id="rId9" w:history="1">
        <w:r>
          <w:rPr>
            <w:rStyle w:val="Hyperlink"/>
          </w:rPr>
          <w:t>https://ec.europa.eu/info/sites/info/files/file_import/eu_domain_names_ro_0.pdf</w:t>
        </w:r>
      </w:hyperlink>
    </w:p>
  </w:footnote>
  <w:footnote w:id="17">
    <w:p>
      <w:pPr>
        <w:pStyle w:val="FootnoteText"/>
      </w:pPr>
      <w:r>
        <w:rPr>
          <w:rStyle w:val="FootnoteReference"/>
        </w:rPr>
        <w:footnoteRef/>
      </w:r>
      <w:r>
        <w:tab/>
      </w:r>
      <w:hyperlink r:id="rId10" w:history="1">
        <w:r>
          <w:rPr>
            <w:rStyle w:val="Hyperlink"/>
          </w:rPr>
          <w:t>https://eurid.eu/ro/register-a-eu-domain/brexit-notice/</w:t>
        </w:r>
      </w:hyperlink>
      <w:r>
        <w:t>.</w:t>
      </w:r>
    </w:p>
  </w:footnote>
  <w:footnote w:id="18">
    <w:p>
      <w:pPr>
        <w:pStyle w:val="FootnoteText"/>
      </w:pPr>
      <w:r>
        <w:rPr>
          <w:rStyle w:val="FootnoteReference"/>
        </w:rPr>
        <w:footnoteRef/>
      </w:r>
      <w:r>
        <w:tab/>
        <w:t>Extensia de securitate a sistemului de nume de domenii.</w:t>
      </w:r>
    </w:p>
  </w:footnote>
  <w:footnote w:id="19">
    <w:p>
      <w:pPr>
        <w:pStyle w:val="FootnoteText"/>
      </w:pPr>
      <w:r>
        <w:rPr>
          <w:rStyle w:val="FootnoteReference"/>
        </w:rPr>
        <w:footnoteRef/>
      </w:r>
      <w:r>
        <w:tab/>
        <w:t>Conform Regulamentului privind domeniul .eu, EURid are dreptul de a verifica validitatea unei înregistrări, iar politica de înregistrare impune registrantului obligația de a se asigura că datele sale cu caracter personal sunt complete și corecte și că adresa sa de e-mail este funcțională și permite comunicarea cu EURid.</w:t>
      </w:r>
    </w:p>
  </w:footnote>
  <w:footnote w:id="20">
    <w:p>
      <w:pPr>
        <w:pStyle w:val="FootnoteText"/>
      </w:pPr>
      <w:r>
        <w:rPr>
          <w:rStyle w:val="FootnoteReference"/>
        </w:rPr>
        <w:footnoteRef/>
      </w:r>
      <w:r>
        <w:tab/>
      </w:r>
      <w:hyperlink r:id="rId11" w:history="1">
        <w:r>
          <w:rPr>
            <w:rStyle w:val="Hyperlink"/>
          </w:rPr>
          <w:t>https://www.europol.europa.eu/newsroom/news/europol-enhances-cybercrime-and-internet-security-cooperation-signing-mou-eurid</w:t>
        </w:r>
      </w:hyperlink>
      <w:r>
        <w:t>.</w:t>
      </w:r>
    </w:p>
  </w:footnote>
  <w:footnote w:id="21">
    <w:p>
      <w:pPr>
        <w:pStyle w:val="FootnoteText"/>
      </w:pPr>
      <w:r>
        <w:rPr>
          <w:rStyle w:val="FootnoteReference"/>
        </w:rPr>
        <w:footnoteRef/>
      </w:r>
      <w:r>
        <w:tab/>
      </w:r>
      <w:hyperlink r:id="rId12" w:history="1">
        <w:r>
          <w:rPr>
            <w:rStyle w:val="Hyperlink"/>
          </w:rPr>
          <w:t>https://www.europol.europa.eu/events/eurid-europol-cross-border-collaboration-in-fighting-cybercrime-workshop</w:t>
        </w:r>
      </w:hyperlink>
      <w:r>
        <w:t>.</w:t>
      </w:r>
    </w:p>
  </w:footnote>
  <w:footnote w:id="22">
    <w:p>
      <w:pPr>
        <w:pStyle w:val="FootnoteText"/>
      </w:pPr>
      <w:r>
        <w:rPr>
          <w:rStyle w:val="FootnoteReference"/>
        </w:rPr>
        <w:footnoteRef/>
      </w:r>
      <w:r>
        <w:tab/>
        <w:t>Serverele de nume sunt elemente fundamentale ale DNS, care permit căutarea numelor de domenii prin furnizarea adreselor IP și a locației lor.</w:t>
      </w:r>
    </w:p>
  </w:footnote>
  <w:footnote w:id="23">
    <w:p>
      <w:pPr>
        <w:pStyle w:val="FootnoteText"/>
      </w:pPr>
      <w:r>
        <w:rPr>
          <w:rStyle w:val="FootnoteReference"/>
        </w:rPr>
        <w:footnoteRef/>
      </w:r>
      <w:r>
        <w:tab/>
        <w:t>Organizația Internațională de Standardizare.</w:t>
      </w:r>
    </w:p>
  </w:footnote>
  <w:footnote w:id="24">
    <w:p>
      <w:pPr>
        <w:pStyle w:val="FootnoteText"/>
      </w:pPr>
      <w:r>
        <w:rPr>
          <w:rStyle w:val="FootnoteReference"/>
        </w:rPr>
        <w:footnoteRef/>
      </w:r>
      <w:r>
        <w:tab/>
      </w:r>
      <w:hyperlink r:id="rId13" w:history="1">
        <w:r>
          <w:rPr>
            <w:rStyle w:val="Hyperlink"/>
          </w:rPr>
          <w:t>www.idnworldreport.eu</w:t>
        </w:r>
      </w:hyperlink>
      <w:r>
        <w:t>.</w:t>
      </w:r>
    </w:p>
  </w:footnote>
  <w:footnote w:id="25">
    <w:p>
      <w:pPr>
        <w:pStyle w:val="FootnoteText"/>
      </w:pPr>
      <w:r>
        <w:rPr>
          <w:rStyle w:val="FootnoteReference"/>
        </w:rPr>
        <w:footnoteRef/>
      </w:r>
      <w:r>
        <w:tab/>
      </w:r>
      <w:hyperlink r:id="rId14" w:history="1">
        <w:r>
          <w:rPr>
            <w:rStyle w:val="Hyperlink"/>
          </w:rPr>
          <w:t>https://eurid.eu/ro/despre-noi/iniiative/</w:t>
        </w:r>
      </w:hyperlink>
      <w:r>
        <w:t>.</w:t>
      </w:r>
    </w:p>
  </w:footnote>
  <w:footnote w:id="26">
    <w:p>
      <w:pPr>
        <w:pStyle w:val="FootnoteText"/>
      </w:pPr>
      <w:r>
        <w:rPr>
          <w:rStyle w:val="FootnoteReference"/>
        </w:rPr>
        <w:footnoteRef/>
      </w:r>
      <w:r>
        <w:tab/>
      </w:r>
      <w:hyperlink r:id="rId15" w:history="1">
        <w:r>
          <w:rPr>
            <w:rStyle w:val="Hyperlink"/>
          </w:rPr>
          <w:t>www.intgovforum.org</w:t>
        </w:r>
      </w:hyperlink>
      <w:r>
        <w:t>.</w:t>
      </w:r>
    </w:p>
  </w:footnote>
  <w:footnote w:id="27">
    <w:p>
      <w:pPr>
        <w:pStyle w:val="FootnoteText"/>
        <w:jc w:val="left"/>
      </w:pPr>
      <w:r>
        <w:rPr>
          <w:rStyle w:val="FootnoteReference"/>
        </w:rPr>
        <w:footnoteRef/>
      </w:r>
      <w:r>
        <w:tab/>
        <w:t xml:space="preserve">Sistemul de management ecologic și audit al UE, numărul de înregistrare BE-VL-000016, </w:t>
      </w:r>
      <w:hyperlink r:id="rId16" w:history="1">
        <w:r>
          <w:rPr>
            <w:rStyle w:val="Hyperlink"/>
          </w:rPr>
          <w:t>https://eurid.eu/en/about-us/going-green/</w:t>
        </w:r>
      </w:hyperlink>
      <w:r>
        <w:t>.</w:t>
      </w:r>
    </w:p>
  </w:footnote>
  <w:footnote w:id="28">
    <w:p>
      <w:pPr>
        <w:pStyle w:val="FootnoteText"/>
      </w:pPr>
      <w:r>
        <w:rPr>
          <w:rStyle w:val="FootnoteReference"/>
        </w:rPr>
        <w:footnoteRef/>
      </w:r>
      <w:r>
        <w:tab/>
      </w:r>
      <w:hyperlink r:id="rId17" w:history="1">
        <w:r>
          <w:rPr>
            <w:rStyle w:val="Hyperlink"/>
          </w:rPr>
          <w:t>https://www.carbonfootprint.com/gs_ver_uganda_borehole.html</w:t>
        </w:r>
      </w:hyperlink>
      <w:r>
        <w:br/>
      </w:r>
      <w:hyperlink r:id="rId18" w:history="1">
        <w:r>
          <w:rPr>
            <w:rStyle w:val="Hyperlink"/>
          </w:rPr>
          <w:t>https://eurid.eu/ro/stiri/eurid-supports-uganda-borehole-rehabilitation-project/</w:t>
        </w:r>
      </w:hyperlink>
    </w:p>
  </w:footnote>
  <w:footnote w:id="29">
    <w:p>
      <w:pPr>
        <w:pStyle w:val="FootnoteText"/>
      </w:pPr>
      <w:r>
        <w:rPr>
          <w:rStyle w:val="FootnoteReference"/>
        </w:rPr>
        <w:footnoteRef/>
      </w:r>
      <w:r>
        <w:tab/>
      </w:r>
      <w:hyperlink r:id="rId19" w:history="1">
        <w:r>
          <w:rPr>
            <w:rStyle w:val="Hyperlink"/>
          </w:rPr>
          <w:t>https://www.youtube.com/watch?v=yh-rJQL1HYE</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multilevel"/>
    <w:tmpl w:val="248C938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EFB7115"/>
    <w:multiLevelType w:val="multilevel"/>
    <w:tmpl w:val="ED0A620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120B7201"/>
    <w:multiLevelType w:val="multilevel"/>
    <w:tmpl w:val="C91CE7E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62685D"/>
    <w:multiLevelType w:val="multilevel"/>
    <w:tmpl w:val="34340C9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43D0A16"/>
    <w:multiLevelType w:val="multilevel"/>
    <w:tmpl w:val="9EC8F31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72F0AC5"/>
    <w:multiLevelType w:val="multilevel"/>
    <w:tmpl w:val="5F3267C8"/>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C7B624F"/>
    <w:multiLevelType w:val="multilevel"/>
    <w:tmpl w:val="3C7CDE2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2C8DFDF8"/>
    <w:multiLevelType w:val="multilevel"/>
    <w:tmpl w:val="257C9128"/>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D293CE3"/>
    <w:multiLevelType w:val="multilevel"/>
    <w:tmpl w:val="3BD8308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36324F1E"/>
    <w:multiLevelType w:val="multilevel"/>
    <w:tmpl w:val="8ABCC81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7CB1E1C"/>
    <w:multiLevelType w:val="multilevel"/>
    <w:tmpl w:val="45D6AF8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A7730C4"/>
    <w:multiLevelType w:val="multilevel"/>
    <w:tmpl w:val="44ACC9E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429E662A"/>
    <w:multiLevelType w:val="multilevel"/>
    <w:tmpl w:val="E1F6180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4E1A982C"/>
    <w:multiLevelType w:val="multilevel"/>
    <w:tmpl w:val="9D9E41C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5072619B"/>
    <w:multiLevelType w:val="multilevel"/>
    <w:tmpl w:val="C54A3D8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6977472E"/>
    <w:multiLevelType w:val="multilevel"/>
    <w:tmpl w:val="AD121772"/>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7C65145E"/>
    <w:multiLevelType w:val="multilevel"/>
    <w:tmpl w:val="CCAA3636"/>
    <w:name w:val="EurolookHeading"/>
    <w:lvl w:ilvl="0">
      <w:start w:val="1"/>
      <w:numFmt w:val="decimal"/>
      <w:pStyle w:val="Heading1"/>
      <w:lvlText w:val="%1."/>
      <w:lvlJc w:val="left"/>
      <w:pPr>
        <w:tabs>
          <w:tab w:val="num" w:pos="907"/>
        </w:tabs>
        <w:ind w:left="907"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7">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9"/>
  </w:num>
  <w:num w:numId="3">
    <w:abstractNumId w:val="6"/>
  </w:num>
  <w:num w:numId="4">
    <w:abstractNumId w:val="10"/>
  </w:num>
  <w:num w:numId="5">
    <w:abstractNumId w:val="14"/>
  </w:num>
  <w:num w:numId="6">
    <w:abstractNumId w:val="15"/>
  </w:num>
  <w:num w:numId="7">
    <w:abstractNumId w:val="1"/>
  </w:num>
  <w:num w:numId="8">
    <w:abstractNumId w:val="5"/>
  </w:num>
  <w:num w:numId="9">
    <w:abstractNumId w:val="12"/>
  </w:num>
  <w:num w:numId="10">
    <w:abstractNumId w:val="2"/>
  </w:num>
  <w:num w:numId="11">
    <w:abstractNumId w:val="3"/>
  </w:num>
  <w:num w:numId="12">
    <w:abstractNumId w:val="4"/>
  </w:num>
  <w:num w:numId="13">
    <w:abstractNumId w:val="7"/>
  </w:num>
  <w:num w:numId="14">
    <w:abstractNumId w:val="11"/>
  </w:num>
  <w:num w:numId="15">
    <w:abstractNumId w:val="13"/>
  </w:num>
  <w:num w:numId="16">
    <w:abstractNumId w:val="16"/>
  </w:num>
  <w:num w:numId="17">
    <w:abstractNumId w:val="8"/>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EDD24C9-FD43-4220-BDB0-59D2800DDA9F"/>
    <w:docVar w:name="LW_COVERPAGE_TYPE" w:val="1"/>
    <w:docVar w:name="LW_CROSSREFERENCE" w:val="&lt;UNUSED&gt;"/>
    <w:docVar w:name="LW_DocType" w:val="EUROLOOK"/>
    <w:docVar w:name="LW_EMISSION" w:val="19.2.2020"/>
    <w:docVar w:name="LW_EMISSION_ISODATE" w:val="2020-02-19"/>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rivind punerea în aplicare, func\u539?ionarea \u537?i eficacitatea domeniului de prim nivel .eu în perioada aprilie 2017-aprilie 2019"/>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o-RO"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annotation text" w:uiPriority="99"/>
    <w:lsdException w:name="header" w:semiHidden="0"/>
    <w:lsdException w:name="footer" w:semiHidden="0" w:uiPriority="99"/>
    <w:lsdException w:name="caption" w:semiHidden="0"/>
    <w:lsdException w:name="annotation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Table"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link w:val="TOCHeadingChar"/>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styleId="FootnoteReference">
    <w:name w:val="footnote reference"/>
    <w:basedOn w:val="DefaultParagraphFont"/>
    <w:semiHidden/>
    <w:locked/>
    <w:rPr>
      <w:vertAlign w:val="superscript"/>
    </w:rPr>
  </w:style>
  <w:style w:type="character" w:styleId="Hyperlink">
    <w:name w:val="Hyperlink"/>
    <w:basedOn w:val="DefaultParagraphFont"/>
    <w:uiPriority w:val="99"/>
    <w:locked/>
    <w:rPr>
      <w:color w:val="0563C1" w:themeColor="hyperlink"/>
      <w:u w:val="single"/>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FooterChar">
    <w:name w:val="Footer Char"/>
    <w:basedOn w:val="DefaultParagraphFont"/>
    <w:link w:val="Footer"/>
    <w:uiPriority w:val="99"/>
    <w:rPr>
      <w:sz w:val="16"/>
    </w:rPr>
  </w:style>
  <w:style w:type="character" w:styleId="FollowedHyperlink">
    <w:name w:val="FollowedHyperlink"/>
    <w:basedOn w:val="DefaultParagraphFont"/>
    <w:semiHidden/>
    <w:lock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link w:val="TOCHeading"/>
    <w:semiHidden/>
    <w:rPr>
      <w:rFonts w:ascii="Times New Roman Bold" w:hAnsi="Times New Roman Bold"/>
      <w:b/>
      <w:caps/>
    </w:rPr>
  </w:style>
  <w:style w:type="character" w:customStyle="1" w:styleId="FooterCoverPageChar">
    <w:name w:val="Footer Cover Page Char"/>
    <w:basedOn w:val="TOCHeadingChar"/>
    <w:link w:val="FooterCoverPage"/>
    <w:rPr>
      <w:rFonts w:ascii="Times New Roman Bold" w:hAnsi="Times New Roman Bold"/>
      <w:b w:val="0"/>
      <w:caps w:val="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OCHeadingChar"/>
    <w:link w:val="FooterSensitivity"/>
    <w:rPr>
      <w:rFonts w:ascii="Times New Roman Bold" w:hAnsi="Times New Roman Bold"/>
      <w:b/>
      <w:caps w:val="0"/>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HeadingChar"/>
    <w:link w:val="HeaderCoverPage"/>
    <w:rPr>
      <w:rFonts w:ascii="Times New Roman Bold" w:hAnsi="Times New Roman Bold"/>
      <w:b w:val="0"/>
      <w:caps w:val="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Bold" w:hAnsi="Times New Roman Bold"/>
      <w:b/>
      <w:caps w:val="0"/>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OCHeadingChar"/>
    <w:link w:val="HeaderSensitivityRight"/>
    <w:rPr>
      <w:rFonts w:ascii="Times New Roman Bold" w:hAnsi="Times New Roman Bold"/>
      <w:b w:val="0"/>
      <w:caps w:val="0"/>
      <w:sz w:val="28"/>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unhideWhenUsed/>
    <w:locked/>
    <w:rPr>
      <w:sz w:val="20"/>
    </w:rPr>
  </w:style>
  <w:style w:type="character" w:customStyle="1" w:styleId="CommentTextChar">
    <w:name w:val="Comment Text Char"/>
    <w:basedOn w:val="DefaultParagraphFont"/>
    <w:link w:val="CommentText"/>
    <w:uiPriority w:val="99"/>
    <w:rPr>
      <w:sz w:val="20"/>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ro-RO"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annotation text" w:uiPriority="99"/>
    <w:lsdException w:name="header" w:semiHidden="0"/>
    <w:lsdException w:name="footer" w:semiHidden="0" w:uiPriority="99"/>
    <w:lsdException w:name="caption" w:semiHidden="0"/>
    <w:lsdException w:name="annotation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Table"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link w:val="TOCHeadingChar"/>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styleId="FootnoteReference">
    <w:name w:val="footnote reference"/>
    <w:basedOn w:val="DefaultParagraphFont"/>
    <w:semiHidden/>
    <w:locked/>
    <w:rPr>
      <w:vertAlign w:val="superscript"/>
    </w:rPr>
  </w:style>
  <w:style w:type="character" w:styleId="Hyperlink">
    <w:name w:val="Hyperlink"/>
    <w:basedOn w:val="DefaultParagraphFont"/>
    <w:uiPriority w:val="99"/>
    <w:locked/>
    <w:rPr>
      <w:color w:val="0563C1" w:themeColor="hyperlink"/>
      <w:u w:val="single"/>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FooterChar">
    <w:name w:val="Footer Char"/>
    <w:basedOn w:val="DefaultParagraphFont"/>
    <w:link w:val="Footer"/>
    <w:uiPriority w:val="99"/>
    <w:rPr>
      <w:sz w:val="16"/>
    </w:rPr>
  </w:style>
  <w:style w:type="character" w:styleId="FollowedHyperlink">
    <w:name w:val="FollowedHyperlink"/>
    <w:basedOn w:val="DefaultParagraphFont"/>
    <w:semiHidden/>
    <w:lock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link w:val="TOCHeading"/>
    <w:semiHidden/>
    <w:rPr>
      <w:rFonts w:ascii="Times New Roman Bold" w:hAnsi="Times New Roman Bold"/>
      <w:b/>
      <w:caps/>
    </w:rPr>
  </w:style>
  <w:style w:type="character" w:customStyle="1" w:styleId="FooterCoverPageChar">
    <w:name w:val="Footer Cover Page Char"/>
    <w:basedOn w:val="TOCHeadingChar"/>
    <w:link w:val="FooterCoverPage"/>
    <w:rPr>
      <w:rFonts w:ascii="Times New Roman Bold" w:hAnsi="Times New Roman Bold"/>
      <w:b w:val="0"/>
      <w:caps w:val="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OCHeadingChar"/>
    <w:link w:val="FooterSensitivity"/>
    <w:rPr>
      <w:rFonts w:ascii="Times New Roman Bold" w:hAnsi="Times New Roman Bold"/>
      <w:b/>
      <w:caps w:val="0"/>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HeadingChar"/>
    <w:link w:val="HeaderCoverPage"/>
    <w:rPr>
      <w:rFonts w:ascii="Times New Roman Bold" w:hAnsi="Times New Roman Bold"/>
      <w:b w:val="0"/>
      <w:caps w:val="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Bold" w:hAnsi="Times New Roman Bold"/>
      <w:b/>
      <w:caps w:val="0"/>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OCHeadingChar"/>
    <w:link w:val="HeaderSensitivityRight"/>
    <w:rPr>
      <w:rFonts w:ascii="Times New Roman Bold" w:hAnsi="Times New Roman Bold"/>
      <w:b w:val="0"/>
      <w:caps w:val="0"/>
      <w:sz w:val="28"/>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unhideWhenUsed/>
    <w:locked/>
    <w:rPr>
      <w:sz w:val="20"/>
    </w:rPr>
  </w:style>
  <w:style w:type="character" w:customStyle="1" w:styleId="CommentTextChar">
    <w:name w:val="Comment Text Char"/>
    <w:basedOn w:val="DefaultParagraphFont"/>
    <w:link w:val="CommentText"/>
    <w:uiPriority w:val="99"/>
    <w:rPr>
      <w:sz w:val="20"/>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 TargetMode="External"/><Relationship Id="rId13" Type="http://schemas.openxmlformats.org/officeDocument/2006/relationships/hyperlink" Target="http://www.idnworldreport.eu" TargetMode="External"/><Relationship Id="rId18" Type="http://schemas.openxmlformats.org/officeDocument/2006/relationships/hyperlink" Target="https://eurid.eu/ro/stiri/eurid-supports-uganda-borehole-rehabilitation-project/" TargetMode="External"/><Relationship Id="rId3" Type="http://schemas.openxmlformats.org/officeDocument/2006/relationships/hyperlink" Target="https://www.centr.org/statistics-centr/quarterly-reports.html" TargetMode="External"/><Relationship Id="rId7" Type="http://schemas.openxmlformats.org/officeDocument/2006/relationships/hyperlink" Target="http://www.centr.org" TargetMode="External"/><Relationship Id="rId12" Type="http://schemas.openxmlformats.org/officeDocument/2006/relationships/hyperlink" Target="https://www.europol.europa.eu/events/eurid-europol-cross-border-collaboration-in-fighting-cybercrime-workshop" TargetMode="External"/><Relationship Id="rId17" Type="http://schemas.openxmlformats.org/officeDocument/2006/relationships/hyperlink" Target="https://www.carbonfootprint.com/gs_ver_uganda_borehole.html" TargetMode="External"/><Relationship Id="rId2" Type="http://schemas.openxmlformats.org/officeDocument/2006/relationships/hyperlink" Target="https://ec.europa.eu/digital-single-market/en/news/new-rules-will-boost-eu-governance-and-extend-its-reach" TargetMode="External"/><Relationship Id="rId16" Type="http://schemas.openxmlformats.org/officeDocument/2006/relationships/hyperlink" Target="https://eurid.eu/ro/despre-noi/protecia-mediului/" TargetMode="External"/><Relationship Id="rId1" Type="http://schemas.openxmlformats.org/officeDocument/2006/relationships/hyperlink" Target="https://ec.europa.eu/info/law/better-regulation/initiatives/ares-2017-2402460_en" TargetMode="External"/><Relationship Id="rId6" Type="http://schemas.openxmlformats.org/officeDocument/2006/relationships/hyperlink" Target="https://eurid.eu/ro/stiri/2017-registrar-satisfaction-survey-findings/" TargetMode="External"/><Relationship Id="rId11" Type="http://schemas.openxmlformats.org/officeDocument/2006/relationships/hyperlink" Target="https://www.europol.europa.eu/newsroom/news/europol-enhances-cybercrime-and-internet-security-cooperation-signing-mou-eurid" TargetMode="External"/><Relationship Id="rId5" Type="http://schemas.openxmlformats.org/officeDocument/2006/relationships/hyperlink" Target="https://www.icann.org/public-comments/lac-dns-marketplace-2016-09-22-en" TargetMode="External"/><Relationship Id="rId15" Type="http://schemas.openxmlformats.org/officeDocument/2006/relationships/hyperlink" Target="http://www.intgovforum.org" TargetMode="External"/><Relationship Id="rId10" Type="http://schemas.openxmlformats.org/officeDocument/2006/relationships/hyperlink" Target="https://eurid.eu/ro/register-a-eu-domain/brexit-notice/" TargetMode="External"/><Relationship Id="rId19" Type="http://schemas.openxmlformats.org/officeDocument/2006/relationships/hyperlink" Target="https://www.youtube.com/watch?v=yh-rJQL1HYE" TargetMode="External"/><Relationship Id="rId4" Type="http://schemas.openxmlformats.org/officeDocument/2006/relationships/hyperlink" Target="https://www.icann.org/news/announcement-2016-02-26-en" TargetMode="External"/><Relationship Id="rId9" Type="http://schemas.openxmlformats.org/officeDocument/2006/relationships/hyperlink" Target="https://ec.europa.eu/info/sites/info/files/file_import/eu_domain_names_ro_0.pdf" TargetMode="External"/><Relationship Id="rId14" Type="http://schemas.openxmlformats.org/officeDocument/2006/relationships/hyperlink" Target="https://eurid.eu/ro/despre-noi/ini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Cuprins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2.xml><?xml version="1.0" encoding="utf-8"?>
<EurolookProperties>
  <ProductCustomizationId>EC</ProductCustomizationId>
  <Created>
    <Version>10.0.39616.0</Version>
    <Date>2019-10-22T17:06:19</Date>
    <Language>EN</Language>
  </Created>
  <Edited>
    <Version>10.0.40183.0</Version>
    <Date>2019-12-19T10:08:33</Date>
  </Edited>
  <DocumentModel>
    <Id>6cbda13a-4db2-46c6-876a-ef72275827ef</Id>
    <Name>Report</Name>
  </DocumentModel>
  <DocumentDate>2019-10-22T17:06:19</DocumentDate>
  <DocumentVersion>0.1</DocumentVersion>
  <CompatibilityMode>Eurolook10</CompatibilityMode>
  <Address/>
  <DocumentMetadata>
    <EC_SecurityDistributionDG MetadataSerializationType="SimpleValue"/>
    <EC_SecurityDateMarking MetadataSerializationType="SimpleValue"/>
    <EC_SecurityDistributionWorkingGroup MetadataSerializationType="SimpleValue"/>
    <EC_SecurityDistributionSensitive MetadataSerializationType="SimpleValue"/>
    <EC_SecurityMarking MetadataSerializationType="SimpleValue"/>
    <EC_SecurityDateMarkingEvent MetadataSerializationType="SimpleValue"/>
    <EC_SecurityDistributionSpecialHandling MetadataSerializationType="SimpleValue"/>
    <EC_SecurityDateMarkingDate MetadataSerializationType="SimpleValue"/>
    <EC_SecurityReleasability MetadataSerializationType="SimpleValue"/>
  </DocumentMetadata>
</EurolookProperties>
</file>

<file path=customXml/item3.xml><?xml version="1.0" encoding="utf-8"?>
<Author Role="Creator">
  <Id>1ffd75cf-4524-4ed3-a0ab-832eaf3a5bb2</Id>
  <Names>
    <Latin>
      <FirstName>Mariya</FirstName>
      <LastName>Gabriel</LastName>
    </Latin>
    <Greek>
      <FirstName/>
      <LastName/>
    </Greek>
    <Cyrillic>
      <FirstName/>
      <LastName/>
    </Cyrillic>
    <DocumentScript>
      <FirstName>Mariya</FirstName>
      <LastName>Gabriel</LastName>
      <FullName>Mariya Gabriel</FullName>
    </DocumentScript>
  </Names>
  <Initials>MG</Initials>
  <Gender>f</Gender>
  <Email>Mariya.GABRIEL@ec.europa.eu</Email>
  <Service>CA.4</Service>
  <Function ShowInSignature="false" ShowInHeader="true" HeaderText="">Commissioner</Function>
  <WebAddress/>
  <InheritedWebAddress>WebAddress</InheritedWebAddress>
  <OrgaEntity1>
    <Id>98d7ceac-d627-48f2-a7dd-5956e94b0969</Id>
    <LogicalLevel>1</LogicalLevel>
    <Name>COLLÈGE</Name>
    <HeadLine1>COLLÈGE</HeadLine1>
    <HeadLine2/>
    <PrimaryAddressId>f03b5801-04c9-4931-aa17-c6d6c70bc579</PrimaryAddressId>
    <SecondaryAddressId/>
    <WebAddress>WebAddress</WebAddress>
    <InheritedWebAddress>WebAddress</InheritedWebAddress>
    <ShowInHeader>false</ShowInHeader>
  </OrgaEntity1>
  <OrgaEntity2>
    <Id>c25741eb-84a9-4955-a077-9d5186fddaa5</Id>
    <LogicalLevel>2</LogicalLevel>
    <Name>CA.4</Name>
    <HeadLine1>Mariya Gabriel</HeadLine1>
    <HeadLine2/>
    <PrimaryAddressId>f03b5801-04c9-4931-aa17-c6d6c70bc579</PrimaryAddressId>
    <SecondaryAddressId/>
    <WebAddress/>
    <InheritedWebAddress>WebAddress</InheritedWebAddress>
    <ShowInHeader>true</ShowInHeader>
  </OrgaEntity2>
  <OrgaEntity3>
    <Id>c9b6b925-a9b2-428c-a268-d657efec5997</Id>
    <LogicalLevel>3</LogicalLevel>
    <Name>CA.4</Name>
    <HeadLine1>Member of the Commission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+32 229-55960</Phone>
    <Office>BERL 09/024</Office>
  </MainWorkplace>
  <Workplaces>
    <Workplace IsMain="false">
      <AddressId>1264fb81-f6bb-475e-9f9d-a937d3be6ee2</AddressId>
      <Fax/>
      <Phone/>
      <Office/>
    </Workplace>
    <Workplace IsMain="true">
      <AddressId>f03b5801-04c9-4931-aa17-c6d6c70bc579</AddressId>
      <Fax/>
      <Phone>+32 229-55960</Phone>
      <Office>BERL 09/024</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C14AED7D-943E-434C-8143-0F644B5A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5036</Words>
  <Characters>27854</Characters>
  <Application>Microsoft Office Word</Application>
  <DocSecurity>0</DocSecurity>
  <PresentationFormat>Microsoft Word 14.0</PresentationFormat>
  <Lines>472</Lines>
  <Paragraphs>135</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26</cp:revision>
  <dcterms:created xsi:type="dcterms:W3CDTF">2019-12-16T10:58:00Z</dcterms:created>
  <dcterms:modified xsi:type="dcterms:W3CDTF">2020-02-12T13:40:00Z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_LW_INVALIDATED__LW_INVALIDATED__LW_INVALIDATED__LW_INVALIDATED_ELDocType">
    <vt:lpwstr>rep.dot</vt:lpwstr>
  </property>
</Properties>
</file>