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4" type="#_x0000_t75" alt="14F5E83F-044C-4187-86E6-2CA43D1EAEAC" style="width:450.8pt;height:379.55pt">
            <v:imagedata r:id="rId9" o:title=""/>
          </v:shape>
        </w:pict>
      </w:r>
    </w:p>
    <w:p>
      <w:pPr>
        <w:rPr>
          <w:noProof/>
        </w:rPr>
        <w:sectPr>
          <w:footerReference w:type="default" r:id="rId10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Exposdesmotifstitre"/>
        <w:rPr>
          <w:noProof/>
        </w:rPr>
      </w:pPr>
      <w:bookmarkStart w:id="0" w:name="_GoBack"/>
      <w:bookmarkEnd w:id="0"/>
      <w:r>
        <w:rPr>
          <w:noProof/>
        </w:rPr>
        <w:lastRenderedPageBreak/>
        <w:t>DŮVODOVÁ ZPRÁVA</w:t>
      </w:r>
    </w:p>
    <w:p>
      <w:pPr>
        <w:pStyle w:val="ManualHeading1"/>
        <w:rPr>
          <w:rFonts w:eastAsia="Arial Unicode MS"/>
          <w:noProof/>
        </w:rPr>
      </w:pPr>
      <w:r>
        <w:t>1.</w:t>
      </w:r>
      <w:r>
        <w:tab/>
      </w:r>
      <w:r>
        <w:rPr>
          <w:noProof/>
        </w:rPr>
        <w:t>Předmět návrhu</w:t>
      </w:r>
    </w:p>
    <w:p>
      <w:pPr>
        <w:rPr>
          <w:rFonts w:eastAsia="Arial Unicode MS"/>
          <w:noProof/>
        </w:rPr>
      </w:pPr>
      <w:r>
        <w:rPr>
          <w:noProof/>
        </w:rPr>
        <w:t>Tento návrh se týká rozhodnutí o postoji, který má být jménem Unie zaujat v Odborné komisi pro přepravu nebezpečných věcí (dále jen „Odborná komise RID“) Mezivládní organizace pro mezinárodní železniční přepravu (OTIF) v souvislosti s plánovaným přijetím určitých změn technických a správních ustanovení obsažených v příloze přípojku C k Úmluvě o mezinárodní železniční přepravě (COTIF), o nichž má zmíněná komise rozhodnout.</w:t>
      </w:r>
    </w:p>
    <w:p>
      <w:pPr>
        <w:pStyle w:val="ManualHeading1"/>
        <w:rPr>
          <w:noProof/>
        </w:rPr>
      </w:pPr>
      <w:r>
        <w:t>2.</w:t>
      </w:r>
      <w:r>
        <w:tab/>
      </w:r>
      <w:r>
        <w:rPr>
          <w:noProof/>
        </w:rPr>
        <w:t>Souvislosti návrhu</w:t>
      </w:r>
    </w:p>
    <w:p>
      <w:pPr>
        <w:pStyle w:val="ManualHeading2"/>
        <w:rPr>
          <w:noProof/>
        </w:rPr>
      </w:pPr>
      <w:r>
        <w:t>2.1.</w:t>
      </w:r>
      <w:r>
        <w:tab/>
      </w:r>
      <w:r>
        <w:rPr>
          <w:noProof/>
        </w:rPr>
        <w:t>Úmluva o mezinárodní železniční přepravě (COTIF)</w:t>
      </w:r>
    </w:p>
    <w:p>
      <w:pPr>
        <w:rPr>
          <w:rFonts w:eastAsia="Arial Unicode MS"/>
          <w:noProof/>
        </w:rPr>
      </w:pPr>
      <w:r>
        <w:rPr>
          <w:noProof/>
        </w:rPr>
        <w:t xml:space="preserve">Úmluva o mezinárodní železniční přepravě ze dne 9. května 1980 ve znění Vilniuského protokolu ze dne 3. června 1999 (dále též „úmluva COTIF“) je mezinárodní dohoda, jejímiž smluvními stranami je Unie a 26 členských států (smluvními stranami nejsou pouze Kypr a Malta). </w:t>
      </w:r>
    </w:p>
    <w:p>
      <w:pPr>
        <w:rPr>
          <w:rFonts w:eastAsia="Arial Unicode MS"/>
          <w:noProof/>
        </w:rPr>
      </w:pPr>
      <w:r>
        <w:rPr>
          <w:noProof/>
        </w:rPr>
        <w:t>Evropská unie přistoupila k úmluvě COTIF prostřednictvím rozhodnutí Rady 2013/103/EU ze dne 16. června 2011</w:t>
      </w:r>
      <w:r>
        <w:rPr>
          <w:rStyle w:val="FootnoteReference"/>
          <w:noProof/>
        </w:rPr>
        <w:footnoteReference w:id="1"/>
      </w:r>
      <w:r>
        <w:rPr>
          <w:noProof/>
        </w:rPr>
        <w:t xml:space="preserve">. V příloze III uvedeného rozhodnutí jsou stanovena interní ujednání Rady, členských států a Komise o postupech v rámci OTIF. V bodě 3.1 přílohy III rozhodnutí Rady 2013/103/EU se stanoví, že týká-li se určitý bod pořadu jednání záležitostí ve výlučné pravomoci Unie, Komise hlasuje jménem Unie. </w:t>
      </w:r>
    </w:p>
    <w:p>
      <w:pPr>
        <w:pStyle w:val="Text1"/>
        <w:ind w:left="0"/>
        <w:rPr>
          <w:noProof/>
        </w:rPr>
      </w:pPr>
    </w:p>
    <w:p>
      <w:pPr>
        <w:pStyle w:val="ManualHeading2"/>
        <w:rPr>
          <w:noProof/>
        </w:rPr>
      </w:pPr>
      <w:r>
        <w:t>2.2.</w:t>
      </w:r>
      <w:r>
        <w:tab/>
      </w:r>
      <w:r>
        <w:rPr>
          <w:noProof/>
        </w:rPr>
        <w:t xml:space="preserve">Řád pro mezinárodní železniční přepravu nebezpečných věcí (RID) </w:t>
      </w:r>
    </w:p>
    <w:p>
      <w:pPr>
        <w:rPr>
          <w:rFonts w:eastAsia="Arial Unicode MS"/>
          <w:noProof/>
        </w:rPr>
      </w:pPr>
    </w:p>
    <w:p>
      <w:pPr>
        <w:rPr>
          <w:rFonts w:eastAsia="Arial Unicode MS"/>
          <w:noProof/>
        </w:rPr>
      </w:pPr>
      <w:r>
        <w:rPr>
          <w:noProof/>
        </w:rPr>
        <w:t>Úmluva COTIF se podle článku 7 uvedené úmluvy vztahuje mimo jiné též na přípojky zmíněné v článku 6 úmluvy COTIF. Mezi nimi je uveden Řád pro mezinárodní železniční přepravu nebezpečných věcí (RID), který tvoří přípojek C k úmluvě COTIF. Řád pro mezinárodní železniční přepravu nebezpečných věcí (RID) se použije, pokud nejsou učiněna prohlášení v souladu s příslušnými ustanoveními úmluvy COTIF</w:t>
      </w:r>
      <w:r>
        <w:rPr>
          <w:rStyle w:val="FootnoteReference"/>
          <w:noProof/>
        </w:rPr>
        <w:footnoteReference w:id="2"/>
      </w:r>
      <w:r>
        <w:rPr>
          <w:noProof/>
        </w:rPr>
        <w:t xml:space="preserve">. </w:t>
      </w:r>
    </w:p>
    <w:p>
      <w:pPr>
        <w:rPr>
          <w:rFonts w:eastAsia="Arial Unicode MS"/>
          <w:noProof/>
        </w:rPr>
      </w:pPr>
      <w:r>
        <w:rPr>
          <w:noProof/>
        </w:rPr>
        <w:t>Řád pro mezinárodní železniční přepravu nebezpečných věcí (RID) upravuje mezinárodní železniční přepravu nebezpečných věcí mezi členskými státy OTIF, které používají pravidla RID (smluvní státy RID)</w:t>
      </w:r>
      <w:r>
        <w:rPr>
          <w:rStyle w:val="FootnoteReference"/>
          <w:noProof/>
        </w:rPr>
        <w:footnoteReference w:id="3"/>
      </w:r>
      <w:r>
        <w:rPr>
          <w:noProof/>
        </w:rPr>
        <w:t>.</w:t>
      </w:r>
    </w:p>
    <w:p>
      <w:pPr>
        <w:rPr>
          <w:rFonts w:eastAsia="Arial Unicode MS"/>
          <w:noProof/>
        </w:rPr>
      </w:pPr>
    </w:p>
    <w:p>
      <w:pPr>
        <w:pStyle w:val="ManualHeading2"/>
        <w:rPr>
          <w:noProof/>
        </w:rPr>
      </w:pPr>
      <w:r>
        <w:t>2.3.</w:t>
      </w:r>
      <w:r>
        <w:tab/>
      </w:r>
      <w:r>
        <w:rPr>
          <w:noProof/>
        </w:rPr>
        <w:t>Odborná komise RID</w:t>
      </w:r>
    </w:p>
    <w:p>
      <w:pPr>
        <w:rPr>
          <w:rFonts w:eastAsia="Arial Unicode MS"/>
          <w:noProof/>
        </w:rPr>
      </w:pPr>
      <w:r>
        <w:rPr>
          <w:noProof/>
        </w:rPr>
        <w:t xml:space="preserve">Odborná komise RID je subjekt ustavený čl. 13 § 1 písm. d) úmluvy COTIF. Podle článku 18 úmluvy COTIF rozhoduje Odborná komise RID o návrzích na změnu uvedené úmluvy. Tvoří ji zástupci členských států OTIF, které používají RID, a zástupci Evropské unie. </w:t>
      </w:r>
    </w:p>
    <w:p>
      <w:pPr>
        <w:pStyle w:val="ManualHeading2"/>
        <w:rPr>
          <w:noProof/>
        </w:rPr>
      </w:pPr>
      <w:r>
        <w:lastRenderedPageBreak/>
        <w:t>2.4.</w:t>
      </w:r>
      <w:r>
        <w:tab/>
      </w:r>
      <w:r>
        <w:rPr>
          <w:noProof/>
        </w:rPr>
        <w:t>Zamýšlený akt Odborné komise RID</w:t>
      </w:r>
    </w:p>
    <w:p>
      <w:pPr>
        <w:rPr>
          <w:rFonts w:eastAsia="Arial Unicode MS"/>
          <w:noProof/>
        </w:rPr>
      </w:pPr>
      <w:r>
        <w:rPr>
          <w:noProof/>
        </w:rPr>
        <w:t>Očekává se, že dne 27. května 2020 Odborná komise RID na svém 56. zasedání přijme soubor</w:t>
      </w:r>
      <w:r>
        <w:t xml:space="preserve"> </w:t>
      </w:r>
      <w:r>
        <w:rPr>
          <w:noProof/>
        </w:rPr>
        <w:t>změn, který přizpůsobí přílohu RID technickému a vědeckému pokroku (dále jen „zamýšlený akt“).</w:t>
      </w:r>
    </w:p>
    <w:p>
      <w:pPr>
        <w:rPr>
          <w:rFonts w:eastAsia="Arial Unicode MS"/>
          <w:noProof/>
        </w:rPr>
      </w:pPr>
      <w:r>
        <w:rPr>
          <w:noProof/>
        </w:rPr>
        <w:t>Účelem zamýšleného aktu je zajistit bezpečnou a zabezpečenou železniční přepravu nebezpečných věcí, a to tak, že zaktualizuje mimo jiné seznam nebezpečných věcí připuštěných k přepravě, pokyny pro balení, seznam uplatňovaných norem a rovněž technické požadavky, které se vztahují na různé prostředky pro izolaci nebezpečných věcí.</w:t>
      </w:r>
    </w:p>
    <w:p>
      <w:pPr>
        <w:rPr>
          <w:noProof/>
        </w:rPr>
      </w:pPr>
      <w:r>
        <w:rPr>
          <w:noProof/>
        </w:rPr>
        <w:t xml:space="preserve">Mezinárodní předpisy týkající se přepravy nebezpečných věcí jsou stanoveny v rámci různých organizací, jako je OTIF, ale též Evropská hospodářská komise OSN (EHK OSN) a různé specializované agentury OSN, jako je podvýbor odborníků Hospodářské a sociální rady (ECOSOC) OSN pro přepravu nebezpečných věcí. Jelikož tato pravidla musí být ve vzájemném souladu, byl mezi organizacemi, které se touto činností zabývají, vyvinut komplexní mezinárodní systém pro koordinaci a harmonizaci. Předpisy se upravují ve dvouletých cyklech. </w:t>
      </w:r>
    </w:p>
    <w:p>
      <w:pPr>
        <w:rPr>
          <w:noProof/>
        </w:rPr>
      </w:pPr>
      <w:r>
        <w:rPr>
          <w:noProof/>
        </w:rPr>
        <w:t xml:space="preserve">Při přípravě těchto změn probíhaly konzultace s celou řadou odborníků z veřejného i soukromého sektoru. Při vypracování těchto změn se uskutečnila následující technická setkání: </w:t>
      </w:r>
    </w:p>
    <w:p>
      <w:pPr>
        <w:pStyle w:val="Tiret0"/>
        <w:numPr>
          <w:ilvl w:val="0"/>
          <w:numId w:val="6"/>
        </w:numPr>
        <w:rPr>
          <w:noProof/>
        </w:rPr>
      </w:pPr>
      <w:r>
        <w:rPr>
          <w:noProof/>
        </w:rPr>
        <w:t xml:space="preserve">v rámci podvýboru odborníků ECOSOC OSN pro přepravu nebezpečných věcí na jeho: </w:t>
      </w:r>
    </w:p>
    <w:p>
      <w:pPr>
        <w:pStyle w:val="Point0"/>
        <w:rPr>
          <w:noProof/>
        </w:rPr>
      </w:pPr>
      <w:r>
        <w:rPr>
          <w:noProof/>
        </w:rPr>
        <w:t>1)</w:t>
      </w:r>
      <w:r>
        <w:rPr>
          <w:noProof/>
        </w:rPr>
        <w:tab/>
        <w:t>51. zasedání v Ženevě, ve dnech 3.–7. července 2017;</w:t>
      </w:r>
    </w:p>
    <w:p>
      <w:pPr>
        <w:pStyle w:val="Point0"/>
        <w:rPr>
          <w:noProof/>
        </w:rPr>
      </w:pPr>
      <w:r>
        <w:rPr>
          <w:noProof/>
        </w:rPr>
        <w:t>2)</w:t>
      </w:r>
      <w:r>
        <w:rPr>
          <w:noProof/>
        </w:rPr>
        <w:tab/>
        <w:t xml:space="preserve">52. zasedání v Ženevě, ve dnech 27. listopadu – 6. prosince 2017; </w:t>
      </w:r>
    </w:p>
    <w:p>
      <w:pPr>
        <w:pStyle w:val="Point0"/>
        <w:rPr>
          <w:noProof/>
        </w:rPr>
      </w:pPr>
      <w:r>
        <w:rPr>
          <w:noProof/>
        </w:rPr>
        <w:t>3)</w:t>
      </w:r>
      <w:r>
        <w:rPr>
          <w:noProof/>
        </w:rPr>
        <w:tab/>
        <w:t xml:space="preserve">53. zasedání v Ženevě, ve dnech 25. června – 4. července 2018; </w:t>
      </w:r>
    </w:p>
    <w:p>
      <w:pPr>
        <w:pStyle w:val="Point0"/>
        <w:rPr>
          <w:noProof/>
        </w:rPr>
      </w:pPr>
      <w:r>
        <w:rPr>
          <w:noProof/>
        </w:rPr>
        <w:t>4)</w:t>
      </w:r>
      <w:r>
        <w:rPr>
          <w:noProof/>
        </w:rPr>
        <w:tab/>
        <w:t xml:space="preserve">54. zasedání v Ženevě, ve dnech 26. listopadu – 4. prosince 2018; </w:t>
      </w:r>
    </w:p>
    <w:p>
      <w:pPr>
        <w:pStyle w:val="Tiret0"/>
        <w:rPr>
          <w:noProof/>
        </w:rPr>
      </w:pPr>
      <w:r>
        <w:rPr>
          <w:noProof/>
        </w:rPr>
        <w:t xml:space="preserve">v rámci společné schůze Odborné komise RID a pracovní skupiny pro přepravu nebezpečných věcí EHK OSN na jejich: </w:t>
      </w:r>
    </w:p>
    <w:p>
      <w:pPr>
        <w:pStyle w:val="Point0"/>
        <w:rPr>
          <w:noProof/>
        </w:rPr>
      </w:pPr>
      <w:r>
        <w:rPr>
          <w:noProof/>
        </w:rPr>
        <w:t>1)</w:t>
      </w:r>
      <w:r>
        <w:rPr>
          <w:noProof/>
        </w:rPr>
        <w:tab/>
        <w:t>podzimním zasedání roku 2018 v Ženevě, ve dnech 17.–21. září 2018;</w:t>
      </w:r>
    </w:p>
    <w:p>
      <w:pPr>
        <w:pStyle w:val="Point0"/>
        <w:rPr>
          <w:noProof/>
        </w:rPr>
      </w:pPr>
      <w:r>
        <w:rPr>
          <w:noProof/>
        </w:rPr>
        <w:t>2)</w:t>
      </w:r>
      <w:r>
        <w:rPr>
          <w:noProof/>
        </w:rPr>
        <w:tab/>
        <w:t xml:space="preserve">jarním zasedání roku 2019 v Bernu, ve dnech 18.–22. března 2019; </w:t>
      </w:r>
    </w:p>
    <w:p>
      <w:pPr>
        <w:pStyle w:val="Point0"/>
        <w:rPr>
          <w:noProof/>
        </w:rPr>
      </w:pPr>
      <w:r>
        <w:rPr>
          <w:noProof/>
        </w:rPr>
        <w:t>3)</w:t>
      </w:r>
      <w:r>
        <w:rPr>
          <w:noProof/>
        </w:rPr>
        <w:tab/>
        <w:t xml:space="preserve">podzimním zasedání roku 2019 v Ženevě, ve dnech 17.–26. září 2019; </w:t>
      </w:r>
    </w:p>
    <w:p>
      <w:pPr>
        <w:pStyle w:val="Point0"/>
        <w:rPr>
          <w:noProof/>
        </w:rPr>
      </w:pPr>
      <w:r>
        <w:rPr>
          <w:noProof/>
        </w:rPr>
        <w:t>4)</w:t>
      </w:r>
      <w:r>
        <w:rPr>
          <w:noProof/>
        </w:rPr>
        <w:tab/>
        <w:t>další společná schůze se bude konat v Bernu, ve dnech 16.–20. března 2020;</w:t>
      </w:r>
    </w:p>
    <w:p>
      <w:pPr>
        <w:pStyle w:val="Tiret0"/>
        <w:rPr>
          <w:noProof/>
        </w:rPr>
      </w:pPr>
      <w:r>
        <w:rPr>
          <w:noProof/>
        </w:rPr>
        <w:t xml:space="preserve">v rámci stálé pracovní skupiny Odborné komise RID na jejím: </w:t>
      </w:r>
    </w:p>
    <w:p>
      <w:pPr>
        <w:pStyle w:val="Point0"/>
        <w:rPr>
          <w:noProof/>
        </w:rPr>
      </w:pPr>
      <w:r>
        <w:rPr>
          <w:noProof/>
        </w:rPr>
        <w:t>1)</w:t>
      </w:r>
      <w:r>
        <w:rPr>
          <w:noProof/>
        </w:rPr>
        <w:tab/>
        <w:t>10. zasedání v Krakově, ve dnech 21.–23. listopadu 2018;</w:t>
      </w:r>
    </w:p>
    <w:p>
      <w:pPr>
        <w:pStyle w:val="Point0"/>
        <w:rPr>
          <w:noProof/>
        </w:rPr>
      </w:pPr>
      <w:r>
        <w:rPr>
          <w:noProof/>
        </w:rPr>
        <w:t>2)</w:t>
      </w:r>
      <w:r>
        <w:rPr>
          <w:noProof/>
        </w:rPr>
        <w:tab/>
        <w:t>11. zasedání ve Vídni, ve dnech 25.–29. listopadu 2019.</w:t>
      </w:r>
    </w:p>
    <w:p>
      <w:pPr>
        <w:rPr>
          <w:noProof/>
        </w:rPr>
      </w:pPr>
      <w:r>
        <w:rPr>
          <w:noProof/>
        </w:rPr>
        <w:t xml:space="preserve">Na těchto schůzích byly jednotlivé návrhy na změny analyzovány a zpracovávány odborníky z výše zmíněných výborů. Ve většině případů získaly doporučené kroky jednomyslnou podporu. Některé návrhy byly doporučeny většinovým stanoviskem odborníků. </w:t>
      </w:r>
    </w:p>
    <w:p>
      <w:pPr>
        <w:rPr>
          <w:noProof/>
        </w:rPr>
      </w:pPr>
      <w:r>
        <w:rPr>
          <w:noProof/>
        </w:rPr>
        <w:t>Článek 38 úmluvy COTIF stanoví, že pro účely uplatňování hlasovacího práva a práva vznášení námitky podle čl. 35 § 2 a § 4 má regionální organizace pro hospodářskou integraci jako Evropská unie tolik hlasů, kolik činí počet hlasů jejích členů, kteří jsou zároveň členskými státy organizace.</w:t>
      </w:r>
    </w:p>
    <w:p>
      <w:pPr>
        <w:rPr>
          <w:noProof/>
        </w:rPr>
      </w:pPr>
      <w:r>
        <w:rPr>
          <w:noProof/>
        </w:rPr>
        <w:t xml:space="preserve">V souladu s článkem 35 úmluvy COTIF vstoupí změny, na nichž se usnesla Odborná komise RID, v platnost pro všechny smluvní strany prvním dnem šestého měsíce po měsíci, ve </w:t>
      </w:r>
      <w:r>
        <w:rPr>
          <w:noProof/>
        </w:rPr>
        <w:lastRenderedPageBreak/>
        <w:t xml:space="preserve">kterém je generální tajemník smluvním stranám oznámil. Smluvní strana může vznést námitku ve lhůtě čtyř měsíců ode dne oznámení. Vznese-li námitku čtvrtina smluvních stran, změna nevstoupí v platnost. </w:t>
      </w:r>
    </w:p>
    <w:p>
      <w:pPr>
        <w:rPr>
          <w:noProof/>
        </w:rPr>
      </w:pPr>
      <w:r>
        <w:rPr>
          <w:noProof/>
        </w:rPr>
        <w:t xml:space="preserve">Pokud strany nevznesou dostatečný počet námitek, předpokládá se, že dotyčné změny podle tohoto návrhu vstoupí v platnost dne 1. ledna 2021, stanou se závaznými pro Unii a členské státy a stanou se nedílnou součástí </w:t>
      </w:r>
      <w:r>
        <w:rPr>
          <w:i/>
          <w:iCs/>
          <w:noProof/>
        </w:rPr>
        <w:t>acquis</w:t>
      </w:r>
      <w:r>
        <w:rPr>
          <w:noProof/>
        </w:rPr>
        <w:t xml:space="preserve"> Unie. </w:t>
      </w:r>
    </w:p>
    <w:p>
      <w:pPr>
        <w:pStyle w:val="ManualHeading1"/>
        <w:rPr>
          <w:rFonts w:eastAsia="Arial Unicode MS"/>
          <w:noProof/>
        </w:rPr>
      </w:pPr>
      <w:r>
        <w:t>3.</w:t>
      </w:r>
      <w:r>
        <w:tab/>
      </w:r>
      <w:r>
        <w:rPr>
          <w:noProof/>
        </w:rPr>
        <w:t>Postoj, který má být zaujat jménem Unie</w:t>
      </w:r>
    </w:p>
    <w:p>
      <w:pPr>
        <w:rPr>
          <w:noProof/>
        </w:rPr>
      </w:pPr>
    </w:p>
    <w:p>
      <w:pPr>
        <w:pStyle w:val="ManualHeading2"/>
        <w:rPr>
          <w:noProof/>
        </w:rPr>
      </w:pPr>
      <w:r>
        <w:t>3.1.</w:t>
      </w:r>
      <w:r>
        <w:tab/>
      </w:r>
      <w:r>
        <w:rPr>
          <w:noProof/>
        </w:rPr>
        <w:t>Výlučná pravomoc Unie</w:t>
      </w:r>
    </w:p>
    <w:p>
      <w:pPr>
        <w:rPr>
          <w:noProof/>
        </w:rPr>
      </w:pPr>
      <w:r>
        <w:rPr>
          <w:noProof/>
        </w:rPr>
        <w:t>V dodatku k příloze I rozhodnutí Rady 2013/103/EU ze dne 16. června 2011 je uveden seznam nástrojů Unie, prostřednictvím kterých Unie vykonávala svou pravomoc a které byly v platnosti v době, kdy byla uzavřena dohoda mezi EU a OTIF. Směrnice 2008/68/ES o pozemní přepravě nebezpečných věcí</w:t>
      </w:r>
      <w:r>
        <w:rPr>
          <w:rStyle w:val="FootnoteReference"/>
          <w:noProof/>
        </w:rPr>
        <w:footnoteReference w:id="4"/>
      </w:r>
      <w:r>
        <w:rPr>
          <w:noProof/>
        </w:rPr>
        <w:t xml:space="preserve"> je uvedena v tomto seznamu.</w:t>
      </w:r>
    </w:p>
    <w:p>
      <w:pPr>
        <w:rPr>
          <w:noProof/>
        </w:rPr>
      </w:pPr>
      <w:r>
        <w:rPr>
          <w:noProof/>
        </w:rPr>
        <w:t>Článek 1 směrnice 2008/68/ES stanoví, že se příloha RID vztahuje na přepravu nebezpečných věcí po železnici uvnitř členských států nebo mezi nimi s výjimkou členských států, které nemají železniční systém. Článek 4 směrnice 2008/68/ES, který se týká třetích zemí, stanoví, že „přeprava nebezpečných věcí mezi členskými státy a třetími zeměmi se povolí, jsou-li splněny požadavky ADR</w:t>
      </w:r>
      <w:r>
        <w:rPr>
          <w:rStyle w:val="FootnoteReference"/>
          <w:noProof/>
        </w:rPr>
        <w:footnoteReference w:id="5"/>
      </w:r>
      <w:r>
        <w:rPr>
          <w:noProof/>
        </w:rPr>
        <w:t>, RID nebo ADN</w:t>
      </w:r>
      <w:r>
        <w:rPr>
          <w:rStyle w:val="FootnoteReference"/>
          <w:noProof/>
        </w:rPr>
        <w:footnoteReference w:id="6"/>
      </w:r>
      <w:r>
        <w:rPr>
          <w:noProof/>
        </w:rPr>
        <w:t xml:space="preserve"> a nestanoví-li přílohy jinak“.  </w:t>
      </w:r>
    </w:p>
    <w:p>
      <w:pPr>
        <w:rPr>
          <w:noProof/>
        </w:rPr>
      </w:pPr>
      <w:r>
        <w:rPr>
          <w:noProof/>
        </w:rPr>
        <w:t xml:space="preserve">Za tímto účelem byla Komisi v souladu s článkem 8 směrnice 2008/68/ES svěřena pravomoc upravit oddíl II.1 přílohy II uvedené směrnice prostřednictvím aktu v přenesené pravomoci. </w:t>
      </w:r>
    </w:p>
    <w:p>
      <w:pPr>
        <w:pStyle w:val="ManualHeading2"/>
        <w:rPr>
          <w:noProof/>
        </w:rPr>
      </w:pPr>
      <w:r>
        <w:t>3.2.</w:t>
      </w:r>
      <w:r>
        <w:tab/>
      </w:r>
      <w:r>
        <w:rPr>
          <w:noProof/>
        </w:rPr>
        <w:t xml:space="preserve">Postoj, který má být zaujat </w:t>
      </w:r>
    </w:p>
    <w:p>
      <w:pPr>
        <w:rPr>
          <w:b/>
          <w:noProof/>
        </w:rPr>
      </w:pPr>
      <w:r>
        <w:rPr>
          <w:noProof/>
        </w:rPr>
        <w:t xml:space="preserve"> Změny RID spadají zcela do výlučné pravomoci Unie a je nezbytné stanovit, jaký postoj Unie zaujme.</w:t>
      </w:r>
    </w:p>
    <w:p>
      <w:pPr>
        <w:rPr>
          <w:noProof/>
        </w:rPr>
      </w:pPr>
      <w:r>
        <w:rPr>
          <w:noProof/>
        </w:rPr>
        <w:t xml:space="preserve">V článku 1 návrhu rozhodnutí Rady je stanoven seznam zamýšlených změn. </w:t>
      </w:r>
    </w:p>
    <w:p>
      <w:pPr>
        <w:rPr>
          <w:noProof/>
        </w:rPr>
      </w:pPr>
      <w:r>
        <w:rPr>
          <w:noProof/>
        </w:rPr>
        <w:t xml:space="preserve">Jak již bylo uvedeno, při přípravě těchto změn probíhaly konzultace s celou řadou odborníků z veřejného i soukromého sektoru. Ve většině případů byly doporučené kroky schváleny jednomyslně. </w:t>
      </w:r>
    </w:p>
    <w:p>
      <w:pPr>
        <w:rPr>
          <w:noProof/>
          <w:szCs w:val="24"/>
        </w:rPr>
      </w:pPr>
      <w:r>
        <w:rPr>
          <w:noProof/>
        </w:rPr>
        <w:t xml:space="preserve">V souladu s bodem 2.4 přílohy III rozhodnutí Rady 2013/103/EU uskutečnil Výbor pro přepravu nebezpečných věcí, který byl zřízen podle směrnice 2008/68/ES, přípravná jednání o zamýšlených změnách na schůzi dne 16. prosince 2019, během níž byl návrh změn kladně přijat všemi účastníky. </w:t>
      </w:r>
    </w:p>
    <w:p>
      <w:pPr>
        <w:rPr>
          <w:noProof/>
          <w:szCs w:val="24"/>
        </w:rPr>
      </w:pPr>
      <w:r>
        <w:rPr>
          <w:noProof/>
        </w:rPr>
        <w:t xml:space="preserve">Komise kromě toho v každé fázi vyjednávání těchto změn uspořádala koordinační schůzky EU. </w:t>
      </w:r>
    </w:p>
    <w:p>
      <w:pPr>
        <w:rPr>
          <w:noProof/>
        </w:rPr>
      </w:pPr>
      <w:r>
        <w:rPr>
          <w:noProof/>
        </w:rPr>
        <w:t xml:space="preserve">Navrhované změny jsou považovány za vhodné pro bezpečnou přepravu nebezpečných věcí nákladově efektivním způsobem s ohledem na technický pokrok, a lze je tedy podpořit.     </w:t>
      </w:r>
    </w:p>
    <w:p>
      <w:pPr>
        <w:pStyle w:val="ManualHeading1"/>
        <w:rPr>
          <w:noProof/>
        </w:rPr>
      </w:pPr>
      <w:r>
        <w:lastRenderedPageBreak/>
        <w:t>4.</w:t>
      </w:r>
      <w:r>
        <w:tab/>
      </w:r>
      <w:r>
        <w:rPr>
          <w:noProof/>
        </w:rPr>
        <w:t>Právní základ</w:t>
      </w:r>
    </w:p>
    <w:p>
      <w:pPr>
        <w:pStyle w:val="ManualHeading2"/>
        <w:rPr>
          <w:noProof/>
        </w:rPr>
      </w:pPr>
      <w:r>
        <w:t>4.1.</w:t>
      </w:r>
      <w:r>
        <w:tab/>
      </w:r>
      <w:r>
        <w:rPr>
          <w:noProof/>
        </w:rPr>
        <w:t>Procesněprávní základ</w:t>
      </w:r>
    </w:p>
    <w:p>
      <w:pPr>
        <w:pStyle w:val="ManualHeading3"/>
        <w:rPr>
          <w:noProof/>
        </w:rPr>
      </w:pPr>
      <w:r>
        <w:t>4.1.1.</w:t>
      </w:r>
      <w:r>
        <w:tab/>
      </w:r>
      <w:r>
        <w:rPr>
          <w:noProof/>
        </w:rPr>
        <w:t>Zásady</w:t>
      </w:r>
    </w:p>
    <w:p>
      <w:pPr>
        <w:rPr>
          <w:noProof/>
        </w:rPr>
      </w:pPr>
      <w:r>
        <w:rPr>
          <w:noProof/>
        </w:rPr>
        <w:t>Ustanovení čl. 218 odst. 9 Smlouvy o fungování Evropské unie (SFEU) zavádí rozhodnutí, kterými se stanoví „</w:t>
      </w:r>
      <w:r>
        <w:rPr>
          <w:i/>
          <w:iCs/>
          <w:noProof/>
        </w:rPr>
        <w:t>postoje, které má jménem Unie zaujmout orgán zřízený dohodou, má-li tento orgán přijímat akty s právními účinky, s výjimkou aktů, které doplňují nebo pozměňují institucionální rámec dohody</w:t>
      </w:r>
      <w:r>
        <w:rPr>
          <w:noProof/>
        </w:rPr>
        <w:t>“.</w:t>
      </w:r>
    </w:p>
    <w:p>
      <w:pPr>
        <w:rPr>
          <w:noProof/>
        </w:rPr>
      </w:pPr>
      <w:r>
        <w:rPr>
          <w:noProof/>
        </w:rPr>
        <w:t>Pojem „</w:t>
      </w:r>
      <w:r>
        <w:rPr>
          <w:i/>
          <w:iCs/>
          <w:noProof/>
        </w:rPr>
        <w:t>akty s právními účinky</w:t>
      </w:r>
      <w:r>
        <w:rPr>
          <w:noProof/>
        </w:rPr>
        <w:t>“ zahrnuje akty, které mají právní účinky na základě pravidel mezinárodního práva, kterým se řídí dotyčný orgán. Zahrnuje rovněž nástroje, které podle mezinárodního práva nemají závazný účinek, ale mohou „</w:t>
      </w:r>
      <w:r>
        <w:rPr>
          <w:i/>
          <w:iCs/>
          <w:noProof/>
        </w:rPr>
        <w:t>rozhodujícím způsobem ovlivnit obsah právní úpravy přijaté zákonodárcem Unie</w:t>
      </w:r>
      <w:r>
        <w:rPr>
          <w:noProof/>
        </w:rPr>
        <w:t>“</w:t>
      </w:r>
      <w:r>
        <w:rPr>
          <w:rStyle w:val="FootnoteReference"/>
          <w:noProof/>
        </w:rPr>
        <w:footnoteReference w:id="7"/>
      </w:r>
      <w:r>
        <w:rPr>
          <w:noProof/>
        </w:rPr>
        <w:t>.</w:t>
      </w:r>
    </w:p>
    <w:p>
      <w:pPr>
        <w:pStyle w:val="ManualHeading3"/>
        <w:rPr>
          <w:noProof/>
        </w:rPr>
      </w:pPr>
      <w:r>
        <w:t>4.1.2.</w:t>
      </w:r>
      <w:r>
        <w:tab/>
      </w:r>
      <w:r>
        <w:rPr>
          <w:noProof/>
        </w:rPr>
        <w:t>Uplatnění v tomto konkrétním případě</w:t>
      </w:r>
    </w:p>
    <w:p>
      <w:pPr>
        <w:rPr>
          <w:noProof/>
        </w:rPr>
      </w:pPr>
      <w:r>
        <w:rPr>
          <w:noProof/>
        </w:rPr>
        <w:t xml:space="preserve">Akt, který má Odborná komise RID přijmout, představuje akt s právními účinky. Zamýšlený akt bude pro Unii závazný podle mezinárodního práva v souladu s článkem 6 RID, podle něhož bude příloha, která bude pozměněna, tvořit nedílnou součást RID. </w:t>
      </w:r>
    </w:p>
    <w:p>
      <w:r>
        <w:rPr>
          <w:noProof/>
        </w:rPr>
        <w:t xml:space="preserve">Článek 1 směrnice 2008/68/ES dále stanoví, že se příloha RID vztahuje na přepravu nebezpečných věcí po železnici uvnitř členských států nebo mezi nimi s výjimkou členských států, které nemají železniční systém. Článek 4 směrnice 2008/68/ES, který se týká třetích zemí, stanoví, že „přeprava nebezpečných věcí mezi členskými státy a třetími zeměmi se povolí, jsou-li splněny požadavky ADR, RID nebo ADN a nestanoví-li přílohy jinak“. </w:t>
      </w:r>
    </w:p>
    <w:p>
      <w:pPr>
        <w:rPr>
          <w:noProof/>
        </w:rPr>
      </w:pPr>
      <w:r>
        <w:rPr>
          <w:noProof/>
        </w:rPr>
        <w:t xml:space="preserve">Zamýšlený akt nedoplňuje ani nepozměňuje institucionální rámec dotyčné dohody. </w:t>
      </w:r>
    </w:p>
    <w:p>
      <w:pPr>
        <w:rPr>
          <w:noProof/>
        </w:rPr>
      </w:pPr>
      <w:r>
        <w:rPr>
          <w:noProof/>
        </w:rPr>
        <w:t>Procesněprávním základem navrhovaného rozhodnutí je tudíž čl. 218 odst. 9 SFEU.</w:t>
      </w:r>
    </w:p>
    <w:p>
      <w:pPr>
        <w:pStyle w:val="ManualHeading2"/>
        <w:rPr>
          <w:noProof/>
        </w:rPr>
      </w:pPr>
      <w:r>
        <w:t>4.2.</w:t>
      </w:r>
      <w:r>
        <w:tab/>
      </w:r>
      <w:r>
        <w:rPr>
          <w:noProof/>
        </w:rPr>
        <w:t>Hmotněprávní základ</w:t>
      </w:r>
    </w:p>
    <w:p>
      <w:pPr>
        <w:pStyle w:val="ManualHeading3"/>
        <w:rPr>
          <w:noProof/>
        </w:rPr>
      </w:pPr>
      <w:r>
        <w:t>4.2.1.</w:t>
      </w:r>
      <w:r>
        <w:tab/>
      </w:r>
      <w:r>
        <w:rPr>
          <w:noProof/>
        </w:rPr>
        <w:t>Zásady</w:t>
      </w:r>
    </w:p>
    <w:p>
      <w:pPr>
        <w:rPr>
          <w:strike/>
          <w:noProof/>
        </w:rPr>
      </w:pPr>
      <w:r>
        <w:rPr>
          <w:noProof/>
        </w:rPr>
        <w:t>Hmotněprávní základ rozhodnutí podle čl. 218 odst. 9 SFEU závisí v první řadě na cíli a obsahu zamýšleného aktu, k němuž se zaujímá postoj jménem Unie.</w:t>
      </w:r>
    </w:p>
    <w:p>
      <w:pPr>
        <w:pStyle w:val="ManualHeading3"/>
        <w:rPr>
          <w:noProof/>
        </w:rPr>
      </w:pPr>
      <w:r>
        <w:t>4.2.2.</w:t>
      </w:r>
      <w:r>
        <w:tab/>
      </w:r>
      <w:r>
        <w:rPr>
          <w:noProof/>
        </w:rPr>
        <w:t>Uplatnění v tomto konkrétním případě</w:t>
      </w:r>
    </w:p>
    <w:p>
      <w:pPr>
        <w:rPr>
          <w:noProof/>
        </w:rPr>
      </w:pPr>
      <w:r>
        <w:rPr>
          <w:noProof/>
        </w:rPr>
        <w:t xml:space="preserve">Hlavní cíl a obsah rozhodnutí se týkají přepravy nebezpečných věcí po železnici. </w:t>
      </w:r>
    </w:p>
    <w:p>
      <w:pPr>
        <w:rPr>
          <w:noProof/>
        </w:rPr>
      </w:pPr>
      <w:r>
        <w:rPr>
          <w:noProof/>
        </w:rPr>
        <w:t xml:space="preserve">Hmotněprávním základem navrhovaného rozhodnutí je tudíž článek 91 SFEU. </w:t>
      </w:r>
    </w:p>
    <w:p>
      <w:pPr>
        <w:pStyle w:val="ManualHeading2"/>
        <w:rPr>
          <w:noProof/>
        </w:rPr>
      </w:pPr>
      <w:r>
        <w:t>4.3.</w:t>
      </w:r>
      <w:r>
        <w:tab/>
      </w:r>
      <w:r>
        <w:rPr>
          <w:noProof/>
        </w:rPr>
        <w:t>Závěr</w:t>
      </w:r>
    </w:p>
    <w:p>
      <w:pPr>
        <w:rPr>
          <w:noProof/>
        </w:rPr>
      </w:pPr>
      <w:r>
        <w:rPr>
          <w:noProof/>
        </w:rPr>
        <w:t>Právním základem navrhovaného rozhodnutí by měl být článek 91 ve spojení s čl. 218 odst. 9 SFEU.</w:t>
      </w:r>
    </w:p>
    <w:p>
      <w:pPr>
        <w:pStyle w:val="ManualHeading1"/>
        <w:rPr>
          <w:noProof/>
        </w:rPr>
      </w:pPr>
      <w:r>
        <w:t>5.</w:t>
      </w:r>
      <w:r>
        <w:tab/>
      </w:r>
      <w:r>
        <w:rPr>
          <w:noProof/>
        </w:rPr>
        <w:t>Zveřejnění zamýšleného aktu</w:t>
      </w:r>
    </w:p>
    <w:p>
      <w:pPr>
        <w:rPr>
          <w:noProof/>
        </w:rPr>
      </w:pPr>
      <w:r>
        <w:rPr>
          <w:noProof/>
        </w:rPr>
        <w:t xml:space="preserve">Jelikož rozhodnutí Odborné komise RID změní přílohu RID, je vhodné po jeho přijetí zveřejnit informace o výsledku zasedání v </w:t>
      </w:r>
      <w:r>
        <w:rPr>
          <w:i/>
          <w:iCs/>
          <w:noProof/>
        </w:rPr>
        <w:t>Úředním věstníku Evropské unie</w:t>
      </w:r>
      <w:r>
        <w:rPr>
          <w:noProof/>
        </w:rPr>
        <w:t xml:space="preserve">. </w:t>
      </w:r>
    </w:p>
    <w:p>
      <w:pPr>
        <w:rPr>
          <w:noProof/>
        </w:rPr>
      </w:pPr>
    </w:p>
    <w:p>
      <w:pPr>
        <w:rPr>
          <w:noProof/>
        </w:rPr>
        <w:sectPr>
          <w:footerReference w:type="default" r:id="rId11"/>
          <w:footerReference w:type="first" r:id="rId12"/>
          <w:pgSz w:w="11907" w:h="16839"/>
          <w:pgMar w:top="1134" w:right="1417" w:bottom="1134" w:left="1417" w:header="709" w:footer="709" w:gutter="0"/>
          <w:cols w:space="708"/>
          <w:docGrid w:linePitch="360"/>
        </w:sectPr>
      </w:pPr>
    </w:p>
    <w:p>
      <w:pPr>
        <w:pStyle w:val="Rfrenceinterinstitutionnelle"/>
        <w:rPr>
          <w:noProof/>
        </w:rPr>
      </w:pPr>
      <w:r>
        <w:rPr>
          <w:noProof/>
        </w:rPr>
        <w:lastRenderedPageBreak/>
        <w:t>2020/0031 (NLE)</w:t>
      </w:r>
    </w:p>
    <w:p>
      <w:pPr>
        <w:pStyle w:val="Statut"/>
        <w:rPr>
          <w:noProof/>
        </w:rPr>
      </w:pPr>
      <w:r>
        <w:rPr>
          <w:noProof/>
        </w:rPr>
        <w:t>Návrh</w:t>
      </w:r>
    </w:p>
    <w:p>
      <w:pPr>
        <w:pStyle w:val="Typedudocument"/>
        <w:rPr>
          <w:noProof/>
        </w:rPr>
      </w:pPr>
      <w:r>
        <w:rPr>
          <w:noProof/>
        </w:rPr>
        <w:t>ROZHODNUTÍ RADY</w:t>
      </w:r>
    </w:p>
    <w:p>
      <w:pPr>
        <w:pStyle w:val="Titreobjet"/>
        <w:rPr>
          <w:noProof/>
        </w:rPr>
      </w:pPr>
      <w:r>
        <w:rPr>
          <w:noProof/>
        </w:rPr>
        <w:t>o postoji, který má být jménem Evropské unie zaujat na 56. zasedání Odborné komise pro přepravu nebezpečných věcí Mezivládní organizace pro mezinárodní železniční přepravu, pokud jde o některé změny přípojku C k Úmluvě o mezinárodní železniční přepravě</w:t>
      </w:r>
    </w:p>
    <w:p>
      <w:pPr>
        <w:pStyle w:val="Institutionquiagit"/>
        <w:rPr>
          <w:b/>
          <w:noProof/>
        </w:rPr>
      </w:pPr>
      <w:r>
        <w:rPr>
          <w:b/>
          <w:noProof/>
        </w:rPr>
        <w:t>RADA EVROPSKÉ UNIE,</w:t>
      </w:r>
    </w:p>
    <w:p>
      <w:pPr>
        <w:rPr>
          <w:noProof/>
        </w:rPr>
      </w:pPr>
      <w:r>
        <w:rPr>
          <w:noProof/>
        </w:rPr>
        <w:t>s ohledem na Smlouvu o fungování Evropské unie, a zejména na článek 91 ve spojení s čl. 218 odst. 9 této smlouvy,</w:t>
      </w:r>
    </w:p>
    <w:p>
      <w:pPr>
        <w:rPr>
          <w:noProof/>
        </w:rPr>
      </w:pPr>
      <w:r>
        <w:rPr>
          <w:noProof/>
        </w:rPr>
        <w:t>s ohledem na návrh Evropské komise,</w:t>
      </w:r>
    </w:p>
    <w:p>
      <w:pPr>
        <w:rPr>
          <w:noProof/>
        </w:rPr>
      </w:pPr>
      <w:r>
        <w:rPr>
          <w:noProof/>
        </w:rPr>
        <w:t>vzhledem k těmto důvodům:</w:t>
      </w:r>
    </w:p>
    <w:p>
      <w:pPr>
        <w:pStyle w:val="ManualConsidrant"/>
        <w:rPr>
          <w:noProof/>
        </w:rPr>
      </w:pPr>
      <w:r>
        <w:t>(1)</w:t>
      </w:r>
      <w:r>
        <w:tab/>
      </w:r>
      <w:r>
        <w:rPr>
          <w:noProof/>
        </w:rPr>
        <w:t>Unie přistoupila k Úmluvě o mezinárodní železniční přepravě ze dne 9. května 1980 ve znění Vilniuského protokolu ze dne 3. června 1999 (dále též „úmluva COTIF“) na základě rozhodnutí Rady 2013/103/EU</w:t>
      </w:r>
      <w:r>
        <w:rPr>
          <w:rStyle w:val="FootnoteReference"/>
          <w:noProof/>
        </w:rPr>
        <w:footnoteReference w:customMarkFollows="1" w:id="8"/>
        <w:t>1</w:t>
      </w:r>
      <w:r>
        <w:rPr>
          <w:noProof/>
        </w:rPr>
        <w:t xml:space="preserve">. </w:t>
      </w:r>
    </w:p>
    <w:p>
      <w:pPr>
        <w:pStyle w:val="ManualConsidrant"/>
        <w:rPr>
          <w:noProof/>
        </w:rPr>
      </w:pPr>
      <w:r>
        <w:t>(2)</w:t>
      </w:r>
      <w:r>
        <w:tab/>
      </w:r>
      <w:r>
        <w:rPr>
          <w:noProof/>
        </w:rPr>
        <w:t>Stranami úmluvy COTIF jsou všechny členské státy kromě Kypru a Malty.</w:t>
      </w:r>
    </w:p>
    <w:p>
      <w:pPr>
        <w:pStyle w:val="ManualConsidrant"/>
        <w:rPr>
          <w:noProof/>
        </w:rPr>
      </w:pPr>
      <w:r>
        <w:t>(3)</w:t>
      </w:r>
      <w:r>
        <w:tab/>
      </w:r>
      <w:r>
        <w:rPr>
          <w:noProof/>
        </w:rPr>
        <w:t xml:space="preserve">Podle článku 6 úmluvy COTIF se v železniční přepravě a při technické admisi železničního materiálu v mezinárodní dopravě použijí předpisy, jejichž seznam je stanoven v uvedeném článku; zejména se jedná o Řád pro mezinárodní železniční přepravu nebezpečných věcí (RID), který tvoří přípojek C k úmluvě COTIF. </w:t>
      </w:r>
    </w:p>
    <w:p>
      <w:pPr>
        <w:pStyle w:val="ManualConsidrant"/>
        <w:rPr>
          <w:noProof/>
        </w:rPr>
      </w:pPr>
      <w:r>
        <w:t>(4)</w:t>
      </w:r>
      <w:r>
        <w:tab/>
      </w:r>
      <w:r>
        <w:rPr>
          <w:noProof/>
        </w:rPr>
        <w:t>Směrnice Evropského parlamentu a Rady 2008/68/ES</w:t>
      </w:r>
      <w:r>
        <w:rPr>
          <w:rStyle w:val="FootnoteReference"/>
          <w:noProof/>
        </w:rPr>
        <w:footnoteReference w:customMarkFollows="1" w:id="9"/>
        <w:t>2</w:t>
      </w:r>
      <w:r>
        <w:rPr>
          <w:noProof/>
        </w:rPr>
        <w:t xml:space="preserve"> stanoví požadavky pro přepravu nebezpečných věcí po silnici, železnici nebo vnitrozemských vodních cestách uvnitř členských států nebo mezi nimi s odvoláním na RID. </w:t>
      </w:r>
    </w:p>
    <w:p>
      <w:pPr>
        <w:pStyle w:val="ManualConsidrant"/>
        <w:rPr>
          <w:noProof/>
        </w:rPr>
      </w:pPr>
      <w:r>
        <w:t>(5)</w:t>
      </w:r>
      <w:r>
        <w:tab/>
      </w:r>
      <w:r>
        <w:rPr>
          <w:noProof/>
        </w:rPr>
        <w:t xml:space="preserve">Podle čl. 13 § 1 písm. d) úmluvy COTIF může změny přílohy RID přijímat Odborná komise pro přepravu nebezpečných věcí (dále též „Odborná komise RID“) Mezivládní organizace pro mezinárodní železniční přepravu (OTIF). </w:t>
      </w:r>
    </w:p>
    <w:p>
      <w:pPr>
        <w:pStyle w:val="ManualConsidrant"/>
        <w:rPr>
          <w:noProof/>
        </w:rPr>
      </w:pPr>
      <w:r>
        <w:t>(6)</w:t>
      </w:r>
      <w:r>
        <w:tab/>
      </w:r>
      <w:r>
        <w:rPr>
          <w:noProof/>
        </w:rPr>
        <w:t>Odborná komise RID má na svém 56. zasedání dne 27. května 2020 přijmout změny, které přílohu RID přizpůsobí vědeckému a technickému pokroku,</w:t>
      </w:r>
    </w:p>
    <w:p>
      <w:pPr>
        <w:pStyle w:val="ManualConsidrant"/>
        <w:rPr>
          <w:noProof/>
        </w:rPr>
      </w:pPr>
      <w:r>
        <w:t>(7)</w:t>
      </w:r>
      <w:r>
        <w:tab/>
      </w:r>
      <w:r>
        <w:rPr>
          <w:noProof/>
        </w:rPr>
        <w:t>Je vhodné stanovit postoj, který má být v Odborné komisi RID jménem Unie zaujat, neboť změny RID budou pro Unii závazné.</w:t>
      </w:r>
    </w:p>
    <w:p>
      <w:pPr>
        <w:pStyle w:val="ManualConsidrant"/>
        <w:rPr>
          <w:noProof/>
        </w:rPr>
      </w:pPr>
      <w:r>
        <w:t>(8)</w:t>
      </w:r>
      <w:r>
        <w:tab/>
      </w:r>
      <w:r>
        <w:rPr>
          <w:noProof/>
        </w:rPr>
        <w:t>Navrhované změny se týkají technických norem, jejichž cílem je zajistit bezpečnou a efektivní přepravu nebezpečných věcí s přihlédnutím k vědeckému a technickému pokroku v daném odvětví a k vývoji nových látek a předmětů, které mohou při přepravě představovat nebezpečí.</w:t>
      </w:r>
    </w:p>
    <w:p>
      <w:pPr>
        <w:pStyle w:val="ManualConsidrant"/>
        <w:rPr>
          <w:noProof/>
        </w:rPr>
      </w:pPr>
      <w:r>
        <w:lastRenderedPageBreak/>
        <w:t>(9)</w:t>
      </w:r>
      <w:r>
        <w:tab/>
      </w:r>
      <w:r>
        <w:rPr>
          <w:noProof/>
        </w:rPr>
        <w:t xml:space="preserve">Navrhované změny se považují za vhodné pro bezpečnou přepravu nebezpečných věcí nákladově efektivním způsobem a lze je tedy podpořit, </w:t>
      </w:r>
    </w:p>
    <w:p>
      <w:pPr>
        <w:rPr>
          <w:noProof/>
        </w:rPr>
      </w:pPr>
    </w:p>
    <w:p>
      <w:pPr>
        <w:pStyle w:val="Formuledadoption"/>
        <w:rPr>
          <w:noProof/>
        </w:rPr>
      </w:pPr>
      <w:r>
        <w:rPr>
          <w:noProof/>
        </w:rPr>
        <w:t>PŘIJALA TOTO ROZHODNUTÍ:</w:t>
      </w:r>
    </w:p>
    <w:p>
      <w:pPr>
        <w:pStyle w:val="Titrearticle"/>
        <w:rPr>
          <w:noProof/>
        </w:rPr>
      </w:pPr>
      <w:r>
        <w:rPr>
          <w:noProof/>
        </w:rPr>
        <w:t>Článek 1</w:t>
      </w:r>
    </w:p>
    <w:p>
      <w:pPr>
        <w:rPr>
          <w:noProof/>
        </w:rPr>
      </w:pPr>
      <w:r>
        <w:rPr>
          <w:noProof/>
        </w:rPr>
        <w:t>Postoj, který má být jménem Unie zaujat na 56. zasedání Odborné komise pro přepravu nebezpečných věcí (Odborná komise RID) Mezivládní organizace pro mezinárodní železniční přepravu (OTIF) v rámci Úmluvy o mezinárodní železniční přepravě ze dne 9. května 1980 ve znění Vilniuského protokolu ze dne 3. června 1999, je stanoven v příloze tohoto rozhodnutí.</w:t>
      </w:r>
    </w:p>
    <w:p>
      <w:pPr>
        <w:pStyle w:val="Titrearticle"/>
        <w:jc w:val="both"/>
        <w:rPr>
          <w:i w:val="0"/>
          <w:iCs/>
          <w:noProof/>
        </w:rPr>
      </w:pPr>
      <w:r>
        <w:rPr>
          <w:i w:val="0"/>
          <w:iCs/>
          <w:noProof/>
        </w:rPr>
        <w:t xml:space="preserve">Drobné změny dokumentů uvedených v příloze mohou zástupci Unie v Odborné komisi RID odsouhlasit bez dalšího rozhodnutí Rady. </w:t>
      </w:r>
    </w:p>
    <w:p>
      <w:pPr>
        <w:pStyle w:val="Titrearticle"/>
        <w:rPr>
          <w:noProof/>
        </w:rPr>
      </w:pPr>
      <w:r>
        <w:rPr>
          <w:noProof/>
        </w:rPr>
        <w:t xml:space="preserve">Článek 2 </w:t>
      </w:r>
    </w:p>
    <w:p>
      <w:pPr>
        <w:rPr>
          <w:iCs/>
          <w:noProof/>
        </w:rPr>
      </w:pPr>
      <w:r>
        <w:rPr>
          <w:noProof/>
        </w:rPr>
        <w:t>Rozhodnutí Odborné komise RID se po jejich přijetí zveřejní v </w:t>
      </w:r>
      <w:r>
        <w:rPr>
          <w:i/>
          <w:iCs/>
          <w:noProof/>
        </w:rPr>
        <w:t>Úředním věstníku Evropské unie</w:t>
      </w:r>
      <w:r>
        <w:rPr>
          <w:noProof/>
        </w:rPr>
        <w:t xml:space="preserve"> s uvedením dne jejich vstupu v platnost.</w:t>
      </w:r>
    </w:p>
    <w:p>
      <w:pPr>
        <w:rPr>
          <w:noProof/>
        </w:rPr>
      </w:pPr>
    </w:p>
    <w:p>
      <w:pPr>
        <w:jc w:val="center"/>
        <w:rPr>
          <w:noProof/>
        </w:rPr>
      </w:pPr>
      <w:r>
        <w:rPr>
          <w:i/>
          <w:noProof/>
        </w:rPr>
        <w:t>Článek 3</w:t>
      </w:r>
    </w:p>
    <w:p>
      <w:pPr>
        <w:rPr>
          <w:noProof/>
        </w:rPr>
      </w:pPr>
      <w:r>
        <w:rPr>
          <w:noProof/>
        </w:rPr>
        <w:t>Toto rozhodnutí je určeno Komisi.</w:t>
      </w:r>
    </w:p>
    <w:p>
      <w:pPr>
        <w:pStyle w:val="Fait"/>
        <w:rPr>
          <w:noProof/>
        </w:rPr>
      </w:pPr>
      <w:r>
        <w:t>V Bruselu dne</w:t>
      </w:r>
    </w:p>
    <w:p>
      <w:pPr>
        <w:pStyle w:val="Institutionquisigne"/>
        <w:rPr>
          <w:noProof/>
        </w:rPr>
      </w:pPr>
      <w:r>
        <w:rPr>
          <w:noProof/>
        </w:rPr>
        <w:tab/>
        <w:t>Za Radu</w:t>
      </w:r>
    </w:p>
    <w:p>
      <w:pPr>
        <w:pStyle w:val="Personnequisigne"/>
        <w:rPr>
          <w:noProof/>
        </w:rPr>
      </w:pPr>
      <w:r>
        <w:rPr>
          <w:noProof/>
        </w:rPr>
        <w:tab/>
        <w:t>předseda/předsedkyně</w:t>
      </w:r>
    </w:p>
    <w:sectPr>
      <w:pgSz w:w="11907" w:h="16839"/>
      <w:pgMar w:top="1134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CS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CS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CS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6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CS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id="1">
    <w:p>
      <w:pPr>
        <w:pStyle w:val="FootnoteText"/>
      </w:pPr>
      <w:r>
        <w:rPr>
          <w:rStyle w:val="FootnoteReference"/>
        </w:rPr>
        <w:footnoteRef/>
      </w:r>
      <w:r>
        <w:tab/>
        <w:t>Rozhodnutí Rady 2013/103/EU ze dne 16. června 2011 o podpisu a uzavření Dohody mezi Evropskou unií a Mezivládní organizací pro mezinárodní železniční přepravu o přistoupení Evropské unie k Úmluvě o mezinárodní železniční přepravě (COTIF) ze dne 9. května 1980 ve znění Vilniuského protokolu ze dne 3. června 1999 (Úř. věst. L 51, 23.2.2013, s. 1).</w:t>
      </w:r>
    </w:p>
  </w:footnote>
  <w:footnote w:id="2">
    <w:p>
      <w:pPr>
        <w:pStyle w:val="FootnoteText"/>
      </w:pPr>
      <w:r>
        <w:rPr>
          <w:rStyle w:val="FootnoteReference"/>
        </w:rPr>
        <w:footnoteRef/>
      </w:r>
      <w:r>
        <w:tab/>
        <w:t>Ustanovení čl. 42 § 1 úmluvy COTIF.</w:t>
      </w:r>
    </w:p>
  </w:footnote>
  <w:footnote w:id="3">
    <w:p>
      <w:pPr>
        <w:pStyle w:val="FootnoteText"/>
      </w:pPr>
      <w:r>
        <w:rPr>
          <w:rStyle w:val="FootnoteReference"/>
        </w:rPr>
        <w:footnoteRef/>
      </w:r>
      <w:r>
        <w:tab/>
        <w:t>V současné době existuje 50 členských států OTIF a 45 smluvních států RID.</w:t>
      </w:r>
    </w:p>
  </w:footnote>
  <w:footnote w:id="4">
    <w:p>
      <w:pPr>
        <w:pStyle w:val="FootnoteText"/>
      </w:pPr>
      <w:r>
        <w:rPr>
          <w:rStyle w:val="FootnoteReference"/>
        </w:rPr>
        <w:footnoteRef/>
      </w:r>
      <w:r>
        <w:tab/>
        <w:t xml:space="preserve">Směrnice Evropského parlamentu a Rady 2008/68/ES ze dne 24. září 2008 o pozemní přepravě nebezpečných věcí (Úř. věst. L 260, 30.9.2008, s. 13). </w:t>
      </w:r>
    </w:p>
  </w:footnote>
  <w:footnote w:id="5">
    <w:p>
      <w:pPr>
        <w:pStyle w:val="FootnoteText"/>
      </w:pPr>
      <w:r>
        <w:rPr>
          <w:rStyle w:val="FootnoteReference"/>
        </w:rPr>
        <w:footnoteRef/>
      </w:r>
      <w:r>
        <w:tab/>
        <w:t>Evropská dohoda o mezinárodní silniční přepravě nebezpečných věcí, uzavřená v Ženevě dne 30. září 1957.</w:t>
      </w:r>
    </w:p>
  </w:footnote>
  <w:footnote w:id="6">
    <w:p>
      <w:pPr>
        <w:pStyle w:val="FootnoteText"/>
      </w:pPr>
      <w:r>
        <w:rPr>
          <w:rStyle w:val="FootnoteReference"/>
        </w:rPr>
        <w:footnoteRef/>
      </w:r>
      <w:r>
        <w:tab/>
        <w:t>Evropská dohoda o mezinárodní přepravě nebezpečných věcí po vnitrozemských vodních cestách, uzavřená v Ženevě dne 26. května 2000.</w:t>
      </w:r>
    </w:p>
  </w:footnote>
  <w:footnote w:id="7">
    <w:p>
      <w:pPr>
        <w:pStyle w:val="FootnoteText"/>
      </w:pPr>
      <w:r>
        <w:rPr>
          <w:rStyle w:val="FootnoteReference"/>
        </w:rPr>
        <w:footnoteRef/>
      </w:r>
      <w:r>
        <w:tab/>
        <w:t xml:space="preserve">Rozsudek Soudního dvora ze dne 7. října 2014, Německo v. Rada, C-399/12, ECLI:EU:C:2014:2258, body 61 až 64. </w:t>
      </w:r>
    </w:p>
  </w:footnote>
  <w:footnote w:id="8">
    <w:p>
      <w:pPr>
        <w:pStyle w:val="FootnoteText"/>
      </w:pPr>
      <w:r>
        <w:rPr>
          <w:rStyle w:val="FootnoteReference"/>
        </w:rPr>
        <w:t>1</w:t>
      </w:r>
      <w:r>
        <w:tab/>
        <w:t>Rozhodnutí Rady 2013/103/EU ze dne 16. června 2011 o podpisu a uzavření Dohody mezi Evropskou unií a Mezivládní organizací pro mezinárodní železniční přepravu o přistoupení Evropské unie k Úmluvě o mezinárodní železniční přepravě (COTIF) ze dne 9. května 1980 ve znění Vilniuského protokolu ze dne 3. června 1999 (Úř. věst. L 51, 23.2.2013, s. 1).</w:t>
      </w:r>
    </w:p>
  </w:footnote>
  <w:footnote w:id="9">
    <w:p>
      <w:pPr>
        <w:pStyle w:val="FootnoteText"/>
      </w:pPr>
      <w:r>
        <w:rPr>
          <w:rStyle w:val="FootnoteReference"/>
        </w:rPr>
        <w:t>2</w:t>
      </w:r>
      <w:r>
        <w:t xml:space="preserve"> </w:t>
      </w:r>
      <w:r>
        <w:tab/>
        <w:t>Směrnice Evropského parlamentu a Rady 2008/68/ES ze dne 24. září 2008 o pozemní přepravě nebezpečných věcí (Úř. věst. L 260, 30.9.2008, s. 13).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ACCA31F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85C2C71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D1A4411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E8826E3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42647B9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D6F0418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96B6390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7484E6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1"/>
    <w:lvlOverride w:ilvl="0">
      <w:startOverride w:val="1"/>
    </w:lvlOverride>
  </w:num>
  <w:num w:numId="8">
    <w:abstractNumId w:val="6"/>
  </w:num>
  <w:num w:numId="9">
    <w:abstractNumId w:val="2"/>
  </w:num>
  <w:num w:numId="10">
    <w:abstractNumId w:val="1"/>
  </w:num>
  <w:num w:numId="11">
    <w:abstractNumId w:val="0"/>
  </w:num>
  <w:num w:numId="12">
    <w:abstractNumId w:val="18"/>
  </w:num>
  <w:num w:numId="13">
    <w:abstractNumId w:val="12"/>
  </w:num>
  <w:num w:numId="14">
    <w:abstractNumId w:val="20"/>
  </w:num>
  <w:num w:numId="15">
    <w:abstractNumId w:val="11"/>
  </w:num>
  <w:num w:numId="16">
    <w:abstractNumId w:val="13"/>
  </w:num>
  <w:num w:numId="17">
    <w:abstractNumId w:val="9"/>
  </w:num>
  <w:num w:numId="18">
    <w:abstractNumId w:val="19"/>
  </w:num>
  <w:num w:numId="19">
    <w:abstractNumId w:val="8"/>
  </w:num>
  <w:num w:numId="20">
    <w:abstractNumId w:val="14"/>
  </w:num>
  <w:num w:numId="21">
    <w:abstractNumId w:val="16"/>
  </w:num>
  <w:num w:numId="22">
    <w:abstractNumId w:val="17"/>
  </w:num>
  <w:num w:numId="23">
    <w:abstractNumId w:val="10"/>
  </w:num>
  <w:num w:numId="24">
    <w:abstractNumId w:val="15"/>
  </w:num>
  <w:num w:numId="25">
    <w:abstractNumId w:val="2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attachedTemplate r:id="rId1"/>
  <w:revisionView w:markup="0"/>
  <w:doNotTrackMoves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</w:compat>
  <w:docVars>
    <w:docVar w:name="CR_RefLast" w:val="0"/>
    <w:docVar w:name="DQCDateTime" w:val="2020-02-24 14:20:23"/>
    <w:docVar w:name="DQCResult_Distribution" w:val="0;1"/>
    <w:docVar w:name="DQCResult_DocumentContent" w:val="0;0"/>
    <w:docVar w:name="DQCResult_DocumentSize" w:val="0;0"/>
    <w:docVar w:name="DQCResult_DocumentVersions" w:val="0;0"/>
    <w:docVar w:name="DQCResult_InvalidFootnotes" w:val="0;2"/>
    <w:docVar w:name="DQCResult_LinkedStyles" w:val="0;0"/>
    <w:docVar w:name="DQCResult_ModifiedMargins" w:val="0;1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11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CORRIGENDUM" w:val="&lt;UNUSED&gt;"/>
    <w:docVar w:name="LW_COVERPAGE_EXISTS" w:val="True"/>
    <w:docVar w:name="LW_COVERPAGE_GUID" w:val="14F5E83F-044C-4187-86E6-2CA43D1EAEAC"/>
    <w:docVar w:name="LW_COVERPAGE_TYPE" w:val="1"/>
    <w:docVar w:name="LW_CROSSREFERENCE" w:val="&lt;UNUSED&gt;"/>
    <w:docVar w:name="LW_DocType" w:val="COM"/>
    <w:docVar w:name="LW_EMISSION" w:val="26.2.2020"/>
    <w:docVar w:name="LW_EMISSION_ISODATE" w:val="2020-02-26"/>
    <w:docVar w:name="LW_EMISSION_LOCATION" w:val="BRX"/>
    <w:docVar w:name="LW_EMISSION_PREFIX" w:val="V Bruselu dne "/>
    <w:docVar w:name="LW_EMISSION_SUFFIX" w:val=" "/>
    <w:docVar w:name="LW_ID_DOCMODEL" w:val="SJ-043"/>
    <w:docVar w:name="LW_ID_DOCSIGNATURE" w:val="SJ-019"/>
    <w:docVar w:name="LW_ID_DOCSTRUCTURE" w:val="COM/PL/ORG"/>
    <w:docVar w:name="LW_ID_DOCTYPE" w:val="SJ-043"/>
    <w:docVar w:name="LW_ID_EXP.MOTIFS.NEW" w:val="EM_PL2_"/>
    <w:docVar w:name="LW_ID_STATUT" w:val="SJ-019"/>
    <w:docVar w:name="LW_INTERETEEE.CP" w:val="&lt;UNUSED&gt;"/>
    <w:docVar w:name="LW_LANGUE" w:val="CS"/>
    <w:docVar w:name="LW_LEVEL_OF_SENSITIVITY" w:val="Standard treatment"/>
    <w:docVar w:name="LW_NOM.INST" w:val="EVROPSKÁ KOMISE"/>
    <w:docVar w:name="LW_NOM.INST_JOINTDOC" w:val="&lt;EMPTY&gt;"/>
    <w:docVar w:name="LW_PART_NBR" w:val="1"/>
    <w:docVar w:name="LW_PART_NBR_TOTAL" w:val="1"/>
    <w:docVar w:name="LW_REF.II.NEW.CP" w:val="NLE"/>
    <w:docVar w:name="LW_REF.II.NEW.CP_NUMBER" w:val="0031"/>
    <w:docVar w:name="LW_REF.II.NEW.CP_YEAR" w:val="2020"/>
    <w:docVar w:name="LW_REF.INST.NEW" w:val="COM"/>
    <w:docVar w:name="LW_REF.INST.NEW_ADOPTED" w:val="final"/>
    <w:docVar w:name="LW_REF.INST.NEW_TEXT" w:val="(2020) 71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TATUT.CP" w:val="Návrh"/>
    <w:docVar w:name="LW_SUPERTITRE" w:val="&lt;UNUSED&gt;"/>
    <w:docVar w:name="LW_TITRE.OBJ.CP" w:val="o postoji, který má být jménem Evropské unie zaujat na 56. zasedání Odborné komise pro p\u345?epravu nebezpe\u269?ných v\u283?cí Mezivládní organizace pro mezinárodní \u382?elezni\u269?ní p\u345?epravu, pokud jde o n\u283?které zm\u283?ny p\u345?ípojku C k Úmluv\u283? o mezinárodní \u382?elezni\u269?ní p\u345?eprav\u283?"/>
    <w:docVar w:name="LW_TYPE.DOC.CP" w:val="ROZHODNUTÍ RADY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cs-CZ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8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8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8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8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11"/>
      </w:numPr>
      <w:contextualSpacing/>
    </w:p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Pr>
      <w:rFonts w:ascii="Times New Roman" w:hAnsi="Times New Roman" w:cs="Times New Roman"/>
      <w:sz w:val="20"/>
      <w:szCs w:val="20"/>
      <w:lang w:val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cs-CZ"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Pr>
      <w:rFonts w:ascii="Segoe UI" w:hAnsi="Segoe UI" w:cs="Segoe UI"/>
      <w:sz w:val="18"/>
      <w:szCs w:val="18"/>
      <w:lang w:val="cs-CZ"/>
    </w:rPr>
  </w:style>
  <w:style w:type="paragraph" w:styleId="Revision">
    <w:name w:val="Revision"/>
    <w:hidden/>
    <w:uiPriority w:val="99"/>
    <w:semiHidden/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link w:val="Header"/>
    <w:uiPriority w:val="99"/>
    <w:rPr>
      <w:rFonts w:ascii="Times New Roman" w:hAnsi="Times New Roman" w:cs="Times New Roman"/>
      <w:sz w:val="24"/>
      <w:lang w:val="cs-CZ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link w:val="Footer"/>
    <w:uiPriority w:val="99"/>
    <w:rPr>
      <w:rFonts w:ascii="Times New Roman" w:hAnsi="Times New Roman" w:cs="Times New Roman"/>
      <w:sz w:val="24"/>
      <w:lang w:val="cs-CZ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2"/>
      </w:numPr>
    </w:pPr>
  </w:style>
  <w:style w:type="paragraph" w:customStyle="1" w:styleId="Tiret1">
    <w:name w:val="Tiret 1"/>
    <w:basedOn w:val="Point1"/>
    <w:pPr>
      <w:numPr>
        <w:numId w:val="13"/>
      </w:numPr>
    </w:pPr>
  </w:style>
  <w:style w:type="paragraph" w:customStyle="1" w:styleId="Tiret2">
    <w:name w:val="Tiret 2"/>
    <w:basedOn w:val="Point2"/>
    <w:pPr>
      <w:numPr>
        <w:numId w:val="14"/>
      </w:numPr>
    </w:pPr>
  </w:style>
  <w:style w:type="paragraph" w:customStyle="1" w:styleId="Tiret3">
    <w:name w:val="Tiret 3"/>
    <w:basedOn w:val="Point3"/>
    <w:pPr>
      <w:numPr>
        <w:numId w:val="15"/>
      </w:numPr>
    </w:pPr>
  </w:style>
  <w:style w:type="paragraph" w:customStyle="1" w:styleId="Tiret4">
    <w:name w:val="Tiret 4"/>
    <w:basedOn w:val="Point4"/>
    <w:pPr>
      <w:numPr>
        <w:numId w:val="16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7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7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7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7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9"/>
      </w:numPr>
    </w:pPr>
  </w:style>
  <w:style w:type="paragraph" w:customStyle="1" w:styleId="Point1number">
    <w:name w:val="Point 1 (number)"/>
    <w:basedOn w:val="Normal"/>
    <w:pPr>
      <w:numPr>
        <w:ilvl w:val="2"/>
        <w:numId w:val="19"/>
      </w:numPr>
    </w:pPr>
  </w:style>
  <w:style w:type="paragraph" w:customStyle="1" w:styleId="Point2number">
    <w:name w:val="Point 2 (number)"/>
    <w:basedOn w:val="Normal"/>
    <w:pPr>
      <w:numPr>
        <w:ilvl w:val="4"/>
        <w:numId w:val="19"/>
      </w:numPr>
    </w:pPr>
  </w:style>
  <w:style w:type="paragraph" w:customStyle="1" w:styleId="Point3number">
    <w:name w:val="Point 3 (number)"/>
    <w:basedOn w:val="Normal"/>
    <w:pPr>
      <w:numPr>
        <w:ilvl w:val="6"/>
        <w:numId w:val="19"/>
      </w:numPr>
    </w:pPr>
  </w:style>
  <w:style w:type="paragraph" w:customStyle="1" w:styleId="Point0letter">
    <w:name w:val="Point 0 (letter)"/>
    <w:basedOn w:val="Normal"/>
    <w:pPr>
      <w:numPr>
        <w:ilvl w:val="1"/>
        <w:numId w:val="19"/>
      </w:numPr>
    </w:pPr>
  </w:style>
  <w:style w:type="paragraph" w:customStyle="1" w:styleId="Point1letter">
    <w:name w:val="Point 1 (letter)"/>
    <w:basedOn w:val="Normal"/>
    <w:pPr>
      <w:numPr>
        <w:ilvl w:val="3"/>
        <w:numId w:val="19"/>
      </w:numPr>
    </w:pPr>
  </w:style>
  <w:style w:type="paragraph" w:customStyle="1" w:styleId="Point2letter">
    <w:name w:val="Point 2 (letter)"/>
    <w:basedOn w:val="Normal"/>
    <w:pPr>
      <w:numPr>
        <w:ilvl w:val="5"/>
        <w:numId w:val="19"/>
      </w:numPr>
    </w:pPr>
  </w:style>
  <w:style w:type="paragraph" w:customStyle="1" w:styleId="Point3letter">
    <w:name w:val="Point 3 (letter)"/>
    <w:basedOn w:val="Normal"/>
    <w:pPr>
      <w:numPr>
        <w:ilvl w:val="7"/>
        <w:numId w:val="19"/>
      </w:numPr>
    </w:pPr>
  </w:style>
  <w:style w:type="paragraph" w:customStyle="1" w:styleId="Point4letter">
    <w:name w:val="Point 4 (letter)"/>
    <w:basedOn w:val="Normal"/>
    <w:pPr>
      <w:numPr>
        <w:ilvl w:val="8"/>
        <w:numId w:val="19"/>
      </w:numPr>
    </w:pPr>
  </w:style>
  <w:style w:type="paragraph" w:customStyle="1" w:styleId="Bullet0">
    <w:name w:val="Bullet 0"/>
    <w:basedOn w:val="Normal"/>
    <w:pPr>
      <w:numPr>
        <w:numId w:val="20"/>
      </w:numPr>
    </w:pPr>
  </w:style>
  <w:style w:type="paragraph" w:customStyle="1" w:styleId="Bullet1">
    <w:name w:val="Bullet 1"/>
    <w:basedOn w:val="Normal"/>
    <w:pPr>
      <w:numPr>
        <w:numId w:val="21"/>
      </w:numPr>
    </w:pPr>
  </w:style>
  <w:style w:type="paragraph" w:customStyle="1" w:styleId="Bullet2">
    <w:name w:val="Bullet 2"/>
    <w:basedOn w:val="Normal"/>
    <w:pPr>
      <w:numPr>
        <w:numId w:val="22"/>
      </w:numPr>
    </w:pPr>
  </w:style>
  <w:style w:type="paragraph" w:customStyle="1" w:styleId="Bullet3">
    <w:name w:val="Bullet 3"/>
    <w:basedOn w:val="Normal"/>
    <w:pPr>
      <w:numPr>
        <w:numId w:val="23"/>
      </w:numPr>
    </w:pPr>
  </w:style>
  <w:style w:type="paragraph" w:customStyle="1" w:styleId="Bullet4">
    <w:name w:val="Bullet 4"/>
    <w:basedOn w:val="Normal"/>
    <w:pPr>
      <w:numPr>
        <w:numId w:val="24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5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454188">
          <w:marLeft w:val="288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79266">
          <w:marLeft w:val="288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4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CO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AB663C1A-DD0B-4285-9BA4-E41252EDA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COM.dotm</Template>
  <TotalTime>2</TotalTime>
  <Pages>7</Pages>
  <Words>1904</Words>
  <Characters>10724</Characters>
  <Application>Microsoft Office Word</Application>
  <DocSecurity>0</DocSecurity>
  <Lines>206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WES PDFC Administrator</cp:lastModifiedBy>
  <cp:revision>19</cp:revision>
  <dcterms:created xsi:type="dcterms:W3CDTF">2020-02-21T09:20:00Z</dcterms:created>
  <dcterms:modified xsi:type="dcterms:W3CDTF">2020-02-24T13:20:00Z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COM/PL/ORG</vt:lpwstr>
  </property>
  <property fmtid="{D5CDD505-2E9C-101B-9397-08002B2CF9AE}" pid="3" name="Version">
    <vt:lpwstr>7.0.8.0</vt:lpwstr>
  </property>
  <property fmtid="{D5CDD505-2E9C-101B-9397-08002B2CF9AE}" pid="4" name="Last edited using">
    <vt:lpwstr>LW 7.0, Build 20190717</vt:lpwstr>
  </property>
  <property fmtid="{D5CDD505-2E9C-101B-9397-08002B2CF9AE}" pid="5" name="Created using">
    <vt:lpwstr>LW 7.0, Build 20190717</vt:lpwstr>
  </property>
  <property fmtid="{D5CDD505-2E9C-101B-9397-08002B2CF9AE}" pid="6" name="Part">
    <vt:lpwstr>1</vt:lpwstr>
  </property>
  <property fmtid="{D5CDD505-2E9C-101B-9397-08002B2CF9AE}" pid="7" name="Total parts">
    <vt:lpwstr>1</vt:lpwstr>
  </property>
  <property fmtid="{D5CDD505-2E9C-101B-9397-08002B2CF9AE}" pid="8" name="Level of sensitivity">
    <vt:lpwstr>Standard treatment</vt:lpwstr>
  </property>
  <property fmtid="{D5CDD505-2E9C-101B-9397-08002B2CF9AE}" pid="9" name="LWTemplateID">
    <vt:lpwstr>SJ-043</vt:lpwstr>
  </property>
  <property fmtid="{D5CDD505-2E9C-101B-9397-08002B2CF9AE}" pid="10" name="DQCStatus">
    <vt:lpwstr>Green (DQC version 03)</vt:lpwstr>
  </property>
</Properties>
</file>