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1D10F1F-E2CA-4EA6-984D-89F26F55E93F" style="width:450.8pt;height:424.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spacing w:before="0" w:after="0"/>
        <w:rPr>
          <w:noProof/>
        </w:rPr>
      </w:pPr>
      <w:bookmarkStart w:id="0" w:name="_GoBack"/>
      <w:bookmarkEnd w:id="0"/>
      <w:r>
        <w:rPr>
          <w:noProof/>
        </w:rPr>
        <w:lastRenderedPageBreak/>
        <w:t xml:space="preserve">ANEXO </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2166"/>
        <w:gridCol w:w="2834"/>
        <w:gridCol w:w="1559"/>
        <w:gridCol w:w="1967"/>
      </w:tblGrid>
      <w:tr>
        <w:tc>
          <w:tcPr>
            <w:tcW w:w="1314" w:type="dxa"/>
            <w:shd w:val="clear" w:color="auto" w:fill="auto"/>
          </w:tcPr>
          <w:p>
            <w:pPr>
              <w:rPr>
                <w:noProof/>
              </w:rPr>
            </w:pPr>
            <w:r>
              <w:rPr>
                <w:noProof/>
              </w:rPr>
              <w:t xml:space="preserve">Propuesta </w:t>
            </w:r>
          </w:p>
        </w:tc>
        <w:tc>
          <w:tcPr>
            <w:tcW w:w="2166" w:type="dxa"/>
            <w:shd w:val="clear" w:color="auto" w:fill="auto"/>
          </w:tcPr>
          <w:p>
            <w:pPr>
              <w:rPr>
                <w:noProof/>
              </w:rPr>
            </w:pPr>
            <w:r>
              <w:rPr>
                <w:noProof/>
              </w:rPr>
              <w:t>Documento de referencia</w:t>
            </w:r>
          </w:p>
        </w:tc>
        <w:tc>
          <w:tcPr>
            <w:tcW w:w="2834" w:type="dxa"/>
            <w:shd w:val="clear" w:color="auto" w:fill="auto"/>
          </w:tcPr>
          <w:p>
            <w:pPr>
              <w:rPr>
                <w:noProof/>
              </w:rPr>
            </w:pPr>
            <w:r>
              <w:rPr>
                <w:noProof/>
              </w:rPr>
              <w:t>Asunto</w:t>
            </w:r>
          </w:p>
        </w:tc>
        <w:tc>
          <w:tcPr>
            <w:tcW w:w="1559" w:type="dxa"/>
            <w:shd w:val="clear" w:color="auto" w:fill="auto"/>
          </w:tcPr>
          <w:p>
            <w:pPr>
              <w:rPr>
                <w:noProof/>
              </w:rPr>
            </w:pPr>
            <w:r>
              <w:rPr>
                <w:noProof/>
                <w:sz w:val="22"/>
              </w:rPr>
              <w:t>Observaciones</w:t>
            </w:r>
          </w:p>
        </w:tc>
        <w:tc>
          <w:tcPr>
            <w:tcW w:w="1967" w:type="dxa"/>
            <w:shd w:val="clear" w:color="auto" w:fill="auto"/>
          </w:tcPr>
          <w:p>
            <w:pPr>
              <w:rPr>
                <w:noProof/>
              </w:rPr>
            </w:pPr>
            <w:r>
              <w:rPr>
                <w:noProof/>
              </w:rPr>
              <w:t xml:space="preserve">Posición de la UE </w:t>
            </w:r>
          </w:p>
        </w:tc>
      </w:tr>
      <w:tr>
        <w:trPr>
          <w:trHeight w:val="2288"/>
        </w:trPr>
        <w:tc>
          <w:tcPr>
            <w:tcW w:w="1314" w:type="dxa"/>
            <w:shd w:val="clear" w:color="auto" w:fill="auto"/>
          </w:tcPr>
          <w:p>
            <w:pPr>
              <w:pStyle w:val="ListParagraph"/>
              <w:numPr>
                <w:ilvl w:val="0"/>
                <w:numId w:val="9"/>
              </w:numPr>
              <w:rPr>
                <w:noProof/>
              </w:rPr>
            </w:pPr>
          </w:p>
        </w:tc>
        <w:tc>
          <w:tcPr>
            <w:tcW w:w="2166" w:type="dxa"/>
            <w:shd w:val="clear" w:color="auto" w:fill="auto"/>
          </w:tcPr>
          <w:p>
            <w:pPr>
              <w:rPr>
                <w:noProof/>
              </w:rPr>
            </w:pPr>
            <w:r>
              <w:rPr>
                <w:noProof/>
              </w:rPr>
              <w:t>OTIF/RID/CE/GTP/2019/6</w:t>
            </w:r>
          </w:p>
        </w:tc>
        <w:tc>
          <w:tcPr>
            <w:tcW w:w="2834" w:type="dxa"/>
            <w:shd w:val="clear" w:color="auto" w:fill="auto"/>
          </w:tcPr>
          <w:p>
            <w:pPr>
              <w:rPr>
                <w:noProof/>
              </w:rPr>
            </w:pPr>
            <w:r>
              <w:rPr>
                <w:noProof/>
              </w:rPr>
              <w:t>Textos consolidados adoptados por la reunión conjunta de 2018 y 2019 y por el Grupo de trabajo permanente del Comité de expertos RID en noviembre de 2018</w:t>
            </w:r>
          </w:p>
        </w:tc>
        <w:tc>
          <w:tcPr>
            <w:tcW w:w="1559" w:type="dxa"/>
            <w:shd w:val="clear" w:color="auto" w:fill="auto"/>
          </w:tcPr>
          <w:p>
            <w:pPr>
              <w:rPr>
                <w:noProof/>
              </w:rPr>
            </w:pPr>
            <w:r>
              <w:rPr>
                <w:noProof/>
              </w:rPr>
              <w:t xml:space="preserve">Consenso técnico en el Grupo de trabajo permanente de la OTIF para adoptar el texto modificado </w:t>
            </w:r>
          </w:p>
        </w:tc>
        <w:tc>
          <w:tcPr>
            <w:tcW w:w="1967" w:type="dxa"/>
            <w:shd w:val="clear" w:color="auto" w:fill="auto"/>
          </w:tcPr>
          <w:p>
            <w:pPr>
              <w:rPr>
                <w:noProof/>
              </w:rPr>
            </w:pPr>
            <w:r>
              <w:rPr>
                <w:noProof/>
              </w:rPr>
              <w:t>Acuerdo con las modificaciones revisadas en el Grupo de trabajo permanente</w:t>
            </w:r>
          </w:p>
        </w:tc>
      </w:tr>
      <w:tr>
        <w:trPr>
          <w:trHeight w:val="1016"/>
        </w:trPr>
        <w:tc>
          <w:tcPr>
            <w:tcW w:w="1314" w:type="dxa"/>
            <w:shd w:val="clear" w:color="auto" w:fill="auto"/>
          </w:tcPr>
          <w:p>
            <w:pPr>
              <w:pStyle w:val="ListParagraph"/>
              <w:numPr>
                <w:ilvl w:val="0"/>
                <w:numId w:val="9"/>
              </w:numPr>
              <w:rPr>
                <w:noProof/>
              </w:rPr>
            </w:pPr>
          </w:p>
        </w:tc>
        <w:tc>
          <w:tcPr>
            <w:tcW w:w="2166" w:type="dxa"/>
            <w:shd w:val="clear" w:color="auto" w:fill="auto"/>
          </w:tcPr>
          <w:p>
            <w:pPr>
              <w:rPr>
                <w:noProof/>
              </w:rPr>
            </w:pPr>
            <w:r>
              <w:rPr>
                <w:i/>
                <w:iCs/>
                <w:noProof/>
              </w:rPr>
              <w:t>Idem</w:t>
            </w:r>
          </w:p>
        </w:tc>
        <w:tc>
          <w:tcPr>
            <w:tcW w:w="2834" w:type="dxa"/>
            <w:shd w:val="clear" w:color="auto" w:fill="auto"/>
          </w:tcPr>
          <w:p>
            <w:pPr>
              <w:rPr>
                <w:noProof/>
              </w:rPr>
            </w:pPr>
            <w:r>
              <w:rPr>
                <w:noProof/>
              </w:rPr>
              <w:t>Modificaciones pendientes de un ulterior examen por el Grupo de trabajo permanente</w:t>
            </w:r>
          </w:p>
        </w:tc>
        <w:tc>
          <w:tcPr>
            <w:tcW w:w="1559" w:type="dxa"/>
            <w:shd w:val="clear" w:color="auto" w:fill="auto"/>
          </w:tcPr>
          <w:p>
            <w:pPr>
              <w:rPr>
                <w:noProof/>
              </w:rPr>
            </w:pPr>
            <w:r>
              <w:rPr>
                <w:noProof/>
              </w:rPr>
              <w:t>-</w:t>
            </w:r>
          </w:p>
        </w:tc>
        <w:tc>
          <w:tcPr>
            <w:tcW w:w="1967" w:type="dxa"/>
            <w:shd w:val="clear" w:color="auto" w:fill="auto"/>
          </w:tcPr>
          <w:p>
            <w:pPr>
              <w:rPr>
                <w:noProof/>
              </w:rPr>
            </w:pPr>
            <w:r>
              <w:rPr>
                <w:noProof/>
              </w:rPr>
              <w:t>-</w:t>
            </w:r>
          </w:p>
        </w:tc>
      </w:tr>
      <w:tr>
        <w:tc>
          <w:tcPr>
            <w:tcW w:w="1314" w:type="dxa"/>
            <w:shd w:val="clear" w:color="auto" w:fill="auto"/>
          </w:tcPr>
          <w:p>
            <w:pPr>
              <w:pStyle w:val="ListParagraph"/>
              <w:numPr>
                <w:ilvl w:val="0"/>
                <w:numId w:val="9"/>
              </w:numPr>
              <w:rPr>
                <w:noProof/>
              </w:rPr>
            </w:pPr>
          </w:p>
        </w:tc>
        <w:tc>
          <w:tcPr>
            <w:tcW w:w="2166" w:type="dxa"/>
            <w:shd w:val="clear" w:color="auto" w:fill="auto"/>
          </w:tcPr>
          <w:p>
            <w:pPr>
              <w:rPr>
                <w:noProof/>
              </w:rPr>
            </w:pPr>
            <w:r>
              <w:rPr>
                <w:i/>
                <w:iCs/>
                <w:noProof/>
              </w:rPr>
              <w:t>Idem</w:t>
            </w:r>
          </w:p>
        </w:tc>
        <w:tc>
          <w:tcPr>
            <w:tcW w:w="2834" w:type="dxa"/>
            <w:shd w:val="clear" w:color="auto" w:fill="auto"/>
          </w:tcPr>
          <w:p>
            <w:pPr>
              <w:rPr>
                <w:noProof/>
              </w:rPr>
            </w:pPr>
            <w:r>
              <w:rPr>
                <w:noProof/>
              </w:rPr>
              <w:t>Modificaciones que exigen una visión común en la reunión conjunta CEPE/ONU-OTIF</w:t>
            </w:r>
          </w:p>
        </w:tc>
        <w:tc>
          <w:tcPr>
            <w:tcW w:w="1559" w:type="dxa"/>
            <w:shd w:val="clear" w:color="auto" w:fill="auto"/>
          </w:tcPr>
          <w:p>
            <w:pPr>
              <w:rPr>
                <w:noProof/>
              </w:rPr>
            </w:pPr>
            <w:r>
              <w:rPr>
                <w:noProof/>
              </w:rPr>
              <w:t>Necesidad de facilitar el transporte multimodal eficiente</w:t>
            </w:r>
          </w:p>
        </w:tc>
        <w:tc>
          <w:tcPr>
            <w:tcW w:w="1967" w:type="dxa"/>
            <w:shd w:val="clear" w:color="auto" w:fill="auto"/>
          </w:tcPr>
          <w:p>
            <w:pPr>
              <w:rPr>
                <w:noProof/>
              </w:rPr>
            </w:pPr>
            <w:r>
              <w:rPr>
                <w:noProof/>
              </w:rPr>
              <w:t>Acuerdo con las modificaciones recomendadas por la reunión conjunta</w:t>
            </w:r>
          </w:p>
        </w:tc>
      </w:tr>
      <w:tr>
        <w:tc>
          <w:tcPr>
            <w:tcW w:w="1314" w:type="dxa"/>
            <w:shd w:val="clear" w:color="auto" w:fill="auto"/>
          </w:tcPr>
          <w:p>
            <w:pPr>
              <w:pStyle w:val="ListParagraph"/>
              <w:numPr>
                <w:ilvl w:val="0"/>
                <w:numId w:val="9"/>
              </w:numPr>
              <w:rPr>
                <w:noProof/>
              </w:rPr>
            </w:pPr>
          </w:p>
        </w:tc>
        <w:tc>
          <w:tcPr>
            <w:tcW w:w="2166" w:type="dxa"/>
            <w:shd w:val="clear" w:color="auto" w:fill="auto"/>
          </w:tcPr>
          <w:p>
            <w:pPr>
              <w:rPr>
                <w:noProof/>
              </w:rPr>
            </w:pPr>
            <w:r>
              <w:rPr>
                <w:noProof/>
              </w:rPr>
              <w:t>OTIF/RID/CE/GTP/2019/8</w:t>
            </w:r>
          </w:p>
        </w:tc>
        <w:tc>
          <w:tcPr>
            <w:tcW w:w="2834" w:type="dxa"/>
            <w:shd w:val="clear" w:color="auto" w:fill="auto"/>
          </w:tcPr>
          <w:p>
            <w:pPr>
              <w:rPr>
                <w:noProof/>
              </w:rPr>
            </w:pPr>
            <w:r>
              <w:rPr>
                <w:noProof/>
              </w:rPr>
              <w:t>Actualización de disposiciones transitorias</w:t>
            </w:r>
          </w:p>
        </w:tc>
        <w:tc>
          <w:tcPr>
            <w:tcW w:w="1559" w:type="dxa"/>
            <w:shd w:val="clear" w:color="auto" w:fill="auto"/>
          </w:tcPr>
          <w:p>
            <w:pPr>
              <w:rPr>
                <w:noProof/>
              </w:rPr>
            </w:pPr>
            <w:r>
              <w:rPr>
                <w:noProof/>
              </w:rPr>
              <w:t>Consenso técnico en el Grupo de trabajo permanente de la OTIF para adoptar el texto modificado</w:t>
            </w:r>
          </w:p>
        </w:tc>
        <w:tc>
          <w:tcPr>
            <w:tcW w:w="1967" w:type="dxa"/>
            <w:shd w:val="clear" w:color="auto" w:fill="auto"/>
          </w:tcPr>
          <w:p>
            <w:pPr>
              <w:rPr>
                <w:noProof/>
              </w:rPr>
            </w:pPr>
            <w:r>
              <w:rPr>
                <w:noProof/>
              </w:rPr>
              <w:t>Acuerdo con las modificaciones revisadas por el Grupo de trabajo permanente</w:t>
            </w:r>
          </w:p>
        </w:tc>
      </w:tr>
      <w:tr>
        <w:tc>
          <w:tcPr>
            <w:tcW w:w="1314" w:type="dxa"/>
            <w:shd w:val="clear" w:color="auto" w:fill="auto"/>
          </w:tcPr>
          <w:p>
            <w:pPr>
              <w:pStyle w:val="ListParagraph"/>
              <w:numPr>
                <w:ilvl w:val="0"/>
                <w:numId w:val="9"/>
              </w:numPr>
              <w:rPr>
                <w:noProof/>
              </w:rPr>
            </w:pPr>
          </w:p>
        </w:tc>
        <w:tc>
          <w:tcPr>
            <w:tcW w:w="2166" w:type="dxa"/>
            <w:shd w:val="clear" w:color="auto" w:fill="auto"/>
          </w:tcPr>
          <w:p>
            <w:pPr>
              <w:rPr>
                <w:noProof/>
              </w:rPr>
            </w:pPr>
            <w:r>
              <w:rPr>
                <w:noProof/>
              </w:rPr>
              <w:t>OTIF/RID/CE/GTP/2019/10</w:t>
            </w:r>
          </w:p>
        </w:tc>
        <w:tc>
          <w:tcPr>
            <w:tcW w:w="2834" w:type="dxa"/>
            <w:shd w:val="clear" w:color="auto" w:fill="auto"/>
          </w:tcPr>
          <w:p>
            <w:pPr>
              <w:rPr>
                <w:noProof/>
              </w:rPr>
            </w:pPr>
            <w:r>
              <w:rPr>
                <w:noProof/>
              </w:rPr>
              <w:t>107.ª sesión del WP 15 (Ginebra, del 11 al 15 de noviembre de 2019)</w:t>
            </w:r>
          </w:p>
        </w:tc>
        <w:tc>
          <w:tcPr>
            <w:tcW w:w="1559" w:type="dxa"/>
            <w:shd w:val="clear" w:color="auto" w:fill="auto"/>
          </w:tcPr>
          <w:p>
            <w:pPr>
              <w:rPr>
                <w:noProof/>
              </w:rPr>
            </w:pPr>
            <w:r>
              <w:rPr>
                <w:noProof/>
              </w:rPr>
              <w:t>Consenso técnico en el Grupo de trabajo permanente de la OTIF para adoptar el texto modificado</w:t>
            </w:r>
          </w:p>
        </w:tc>
        <w:tc>
          <w:tcPr>
            <w:tcW w:w="1967" w:type="dxa"/>
            <w:shd w:val="clear" w:color="auto" w:fill="auto"/>
          </w:tcPr>
          <w:p>
            <w:pPr>
              <w:rPr>
                <w:noProof/>
              </w:rPr>
            </w:pPr>
            <w:r>
              <w:rPr>
                <w:noProof/>
              </w:rPr>
              <w:t>Acuerdo con las modificaciones revisadas por el Grupo de trabajo permanente</w:t>
            </w:r>
          </w:p>
        </w:tc>
      </w:tr>
      <w:tr>
        <w:trPr>
          <w:trHeight w:val="2048"/>
        </w:trPr>
        <w:tc>
          <w:tcPr>
            <w:tcW w:w="1314" w:type="dxa"/>
            <w:shd w:val="clear" w:color="auto" w:fill="auto"/>
          </w:tcPr>
          <w:p>
            <w:pPr>
              <w:pStyle w:val="ListParagraph"/>
              <w:numPr>
                <w:ilvl w:val="0"/>
                <w:numId w:val="9"/>
              </w:numPr>
              <w:rPr>
                <w:noProof/>
              </w:rPr>
            </w:pPr>
          </w:p>
        </w:tc>
        <w:tc>
          <w:tcPr>
            <w:tcW w:w="2166" w:type="dxa"/>
            <w:shd w:val="clear" w:color="auto" w:fill="auto"/>
          </w:tcPr>
          <w:p>
            <w:pPr>
              <w:rPr>
                <w:noProof/>
                <w:lang w:val="en-IE"/>
              </w:rPr>
            </w:pPr>
            <w:r>
              <w:rPr>
                <w:noProof/>
                <w:lang w:val="en-IE"/>
              </w:rPr>
              <w:t>OTIF/RID/CE/GTP/2019/ INF.4 + INF.10 + INF.12</w:t>
            </w:r>
          </w:p>
        </w:tc>
        <w:tc>
          <w:tcPr>
            <w:tcW w:w="2834" w:type="dxa"/>
            <w:shd w:val="clear" w:color="auto" w:fill="auto"/>
          </w:tcPr>
          <w:p>
            <w:pPr>
              <w:spacing w:before="0" w:after="0"/>
              <w:rPr>
                <w:noProof/>
              </w:rPr>
            </w:pPr>
            <w:r>
              <w:rPr>
                <w:noProof/>
              </w:rPr>
              <w:t>Resistencia a la tensión de los vagones cisterna de acuerdo con RID 6.8.2.1.2</w:t>
            </w:r>
          </w:p>
        </w:tc>
        <w:tc>
          <w:tcPr>
            <w:tcW w:w="1559" w:type="dxa"/>
            <w:shd w:val="clear" w:color="auto" w:fill="auto"/>
          </w:tcPr>
          <w:p>
            <w:pPr>
              <w:rPr>
                <w:noProof/>
              </w:rPr>
            </w:pPr>
            <w:r>
              <w:rPr>
                <w:noProof/>
              </w:rPr>
              <w:t>Consenso técnico en el Grupo de trabajo permanente de la OTIF para adoptar el texto modificado</w:t>
            </w:r>
          </w:p>
        </w:tc>
        <w:tc>
          <w:tcPr>
            <w:tcW w:w="1967" w:type="dxa"/>
            <w:shd w:val="clear" w:color="auto" w:fill="auto"/>
          </w:tcPr>
          <w:p>
            <w:pPr>
              <w:rPr>
                <w:noProof/>
              </w:rPr>
            </w:pPr>
            <w:r>
              <w:rPr>
                <w:noProof/>
              </w:rPr>
              <w:t>Acuerdo con las modificaciones revisadas por el Grupo de trabajo permanente</w:t>
            </w:r>
          </w:p>
        </w:tc>
      </w:tr>
    </w:tbl>
    <w:p>
      <w:pPr>
        <w:rPr>
          <w:noProof/>
        </w:rPr>
      </w:pPr>
    </w:p>
    <w:sectPr>
      <w:footerReference w:type="default" r:id="rId15"/>
      <w:footerReference w:type="first" r:id="rId16"/>
      <w:pgSz w:w="11907" w:h="16839"/>
      <w:pgMar w:top="1134" w:right="1417" w:bottom="1134" w:left="1417" w:header="709" w:footer="6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1982C2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ED63E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9A7ABCD6"/>
    <w:lvl w:ilvl="0">
      <w:start w:val="1"/>
      <w:numFmt w:val="decimal"/>
      <w:pStyle w:val="ListNumber2"/>
      <w:lvlText w:val="%1."/>
      <w:lvlJc w:val="left"/>
      <w:pPr>
        <w:tabs>
          <w:tab w:val="num" w:pos="643"/>
        </w:tabs>
        <w:ind w:left="643" w:hanging="360"/>
      </w:pPr>
    </w:lvl>
  </w:abstractNum>
  <w:abstractNum w:abstractNumId="3">
    <w:nsid w:val="FFFFFF81"/>
    <w:multiLevelType w:val="singleLevel"/>
    <w:tmpl w:val="0BEEFE0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09AA6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AE41F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8C920C"/>
    <w:lvl w:ilvl="0">
      <w:start w:val="1"/>
      <w:numFmt w:val="decimal"/>
      <w:pStyle w:val="ListNumber"/>
      <w:lvlText w:val="%1."/>
      <w:lvlJc w:val="left"/>
      <w:pPr>
        <w:tabs>
          <w:tab w:val="num" w:pos="360"/>
        </w:tabs>
        <w:ind w:left="360" w:hanging="360"/>
      </w:pPr>
    </w:lvl>
  </w:abstractNum>
  <w:abstractNum w:abstractNumId="7">
    <w:nsid w:val="FFFFFF89"/>
    <w:multiLevelType w:val="singleLevel"/>
    <w:tmpl w:val="856023A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1AD5420"/>
    <w:multiLevelType w:val="hybridMultilevel"/>
    <w:tmpl w:val="1EBA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num>
  <w:num w:numId="10">
    <w:abstractNumId w:val="19"/>
  </w:num>
  <w:num w:numId="11">
    <w:abstractNumId w:val="13"/>
  </w:num>
  <w:num w:numId="12">
    <w:abstractNumId w:val="21"/>
  </w:num>
  <w:num w:numId="13">
    <w:abstractNumId w:val="11"/>
  </w:num>
  <w:num w:numId="14">
    <w:abstractNumId w:val="14"/>
  </w:num>
  <w:num w:numId="15">
    <w:abstractNumId w:val="9"/>
  </w:num>
  <w:num w:numId="16">
    <w:abstractNumId w:val="20"/>
  </w:num>
  <w:num w:numId="17">
    <w:abstractNumId w:val="8"/>
  </w:num>
  <w:num w:numId="18">
    <w:abstractNumId w:val="15"/>
  </w:num>
  <w:num w:numId="19">
    <w:abstractNumId w:val="17"/>
  </w:num>
  <w:num w:numId="20">
    <w:abstractNumId w:val="18"/>
  </w:num>
  <w:num w:numId="21">
    <w:abstractNumId w:val="10"/>
  </w:num>
  <w:num w:numId="22">
    <w:abstractNumId w:val="16"/>
  </w:num>
  <w:num w:numId="23">
    <w:abstractNumId w:val="22"/>
  </w:num>
  <w:num w:numId="24">
    <w:abstractNumId w:val="19"/>
  </w:num>
  <w:num w:numId="25">
    <w:abstractNumId w:val="13"/>
  </w:num>
  <w:num w:numId="26">
    <w:abstractNumId w:val="21"/>
  </w:num>
  <w:num w:numId="27">
    <w:abstractNumId w:val="11"/>
  </w:num>
  <w:num w:numId="28">
    <w:abstractNumId w:val="14"/>
  </w:num>
  <w:num w:numId="29">
    <w:abstractNumId w:val="9"/>
  </w:num>
  <w:num w:numId="30">
    <w:abstractNumId w:val="20"/>
  </w:num>
  <w:num w:numId="31">
    <w:abstractNumId w:val="8"/>
  </w:num>
  <w:num w:numId="32">
    <w:abstractNumId w:val="15"/>
  </w:num>
  <w:num w:numId="33">
    <w:abstractNumId w:val="17"/>
  </w:num>
  <w:num w:numId="34">
    <w:abstractNumId w:val="18"/>
  </w:num>
  <w:num w:numId="35">
    <w:abstractNumId w:val="10"/>
  </w:num>
  <w:num w:numId="36">
    <w:abstractNumId w:val="16"/>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oNotTrackMoves/>
  <w:defaultTabStop w:val="720"/>
  <w:hyphenationZone w:val="425"/>
  <w:characterSpacingControl w:val="doNotCompress"/>
  <w:hdrShapeDefaults>
    <o:shapedefaults v:ext="edit" spidmax="317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R_RefLast" w:val="0"/>
    <w:docVar w:name="DQCDateTime" w:val="2020-02-24 14:20:0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1"/>
    <w:docVar w:name="LW_CORRIGENDUM" w:val="&lt;UNUSED&gt;"/>
    <w:docVar w:name="LW_COVERPAGE_EXISTS" w:val="True"/>
    <w:docVar w:name="LW_COVERPAGE_GUID" w:val="A1D10F1F-E2CA-4EA6-984D-89F26F55E93F"/>
    <w:docVar w:name="LW_COVERPAGE_TYPE" w:val="1"/>
    <w:docVar w:name="LW_CROSSREFERENCE" w:val="&lt;UNUSED&gt;"/>
    <w:docVar w:name="LW_DocType" w:val="ANNEX"/>
    <w:docVar w:name="LW_EMISSION" w:val="26.2.2020"/>
    <w:docVar w:name="LW_EMISSION_ISODATE" w:val="2020-02-26"/>
    <w:docVar w:name="LW_EMISSION_LOCATION" w:val="BRX"/>
    <w:docVar w:name="LW_EMISSION_PREFIX" w:val="Bruselas, "/>
    <w:docVar w:name="LW_EMISSION_SUFFIX" w:val=" "/>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relativa a la posición que debe adoptarse, en nombre de la Unión Europea, en la 56.ª sesión del Comité de expertos en transporte de mercancías peligrosas de la Organización Intergubernamental para los Transportes Internacionales por Ferrocarril en lo que se refiere a determinadas modificaciones del apéndice C del Convenio relativo a los transportes internacionales por ferrocarril"/>
    <w:docVar w:name="LW_OBJETACTEPRINCIPAL.CP" w:val="relativa a la posición que debe adoptarse, en nombre de la Unión Europea, en la 56.ª sesión del Comité de expertos en transporte de mercancías peligrosas de la Organización Intergubernamental para los Transportes Internacionales por Ferrocarril en lo que se refiere a determinadas modificaciones del apéndice C del Convenio relativo a los transportes internacionales por ferrocarril"/>
    <w:docVar w:name="LW_PART_NBR" w:val="1"/>
    <w:docVar w:name="LW_PART_NBR_TOTAL" w:val="1"/>
    <w:docVar w:name="LW_REF.INST.NEW" w:val="COM"/>
    <w:docVar w:name="LW_REF.INST.NEW_ADOPTED" w:val="final"/>
    <w:docVar w:name="LW_REF.INST.NEW_TEXT" w:val="(2020)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
    <w:docVar w:name="LW_TYPE.DOC.CP" w:val="ANEXO"/>
    <w:docVar w:name="LW_TYPEACTEPRINCIPAL" w:val="Decisión del Consejo"/>
    <w:docVar w:name="LW_TYPEACTEPRINCIPAL.CP" w:val="Decisión del Consejo"/>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s-ES"/>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ANNEX.dotm</Template>
  <TotalTime>1</TotalTime>
  <Pages>3</Pages>
  <Words>235</Words>
  <Characters>1311</Characters>
  <Application>Microsoft Office Word</Application>
  <DocSecurity>0</DocSecurity>
  <Lines>119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STANCIU Monica (MOVE)</dc:creator>
  <cp:keywords/>
  <dc:description/>
  <cp:lastModifiedBy>WES PDFC Administrator</cp:lastModifiedBy>
  <cp:revision>9</cp:revision>
  <cp:lastPrinted>2020-02-20T08:51:00Z</cp:lastPrinted>
  <dcterms:created xsi:type="dcterms:W3CDTF">2020-02-20T13:55:00Z</dcterms:created>
  <dcterms:modified xsi:type="dcterms:W3CDTF">2020-02-24T13:20:00Z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