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3216" w:rsidRDefault="00733A38" w:rsidP="00733A38"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532B28C9-8359-4DE7-BA18-A464E76AAD81" style="width:450.85pt;height:374.55pt">
            <v:imagedata r:id="rId8" o:title=""/>
          </v:shape>
        </w:pict>
      </w:r>
    </w:p>
    <w:bookmarkEnd w:id="0"/>
    <w:p w:rsidR="00CC3216" w:rsidRDefault="00CC3216">
      <w:pPr>
        <w:rPr>
          <w:noProof/>
        </w:rPr>
        <w:sectPr w:rsidR="00CC3216" w:rsidSect="00733A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600" w:charSpace="32768"/>
        </w:sectPr>
      </w:pPr>
    </w:p>
    <w:p w:rsidR="00CC3216" w:rsidRDefault="00733A38">
      <w:pPr>
        <w:numPr>
          <w:ilvl w:val="0"/>
          <w:numId w:val="6"/>
        </w:numPr>
        <w:spacing w:before="360" w:after="120" w:line="100" w:lineRule="atLeast"/>
        <w:jc w:val="both"/>
        <w:rPr>
          <w:b/>
          <w:noProof/>
        </w:rPr>
      </w:pPr>
      <w:bookmarkStart w:id="1" w:name="_GoBack"/>
      <w:bookmarkEnd w:id="1"/>
      <w:r>
        <w:rPr>
          <w:rFonts w:ascii="Times New Roman Bold" w:hAnsi="Times New Roman Bold"/>
          <w:b/>
          <w:smallCaps/>
          <w:noProof/>
          <w:sz w:val="26"/>
        </w:rPr>
        <w:lastRenderedPageBreak/>
        <w:t xml:space="preserve">Bevezetés </w:t>
      </w:r>
    </w:p>
    <w:p w:rsidR="00CC3216" w:rsidRDefault="00733A38">
      <w:pPr>
        <w:jc w:val="both"/>
        <w:rPr>
          <w:b/>
          <w:noProof/>
        </w:rPr>
      </w:pPr>
      <w:r>
        <w:rPr>
          <w:b/>
          <w:noProof/>
        </w:rPr>
        <w:t>Európának komoly szándéka, hogy élen járjon a versenyképes fenntarthatóság felé vezető úton.</w:t>
      </w:r>
      <w:r>
        <w:rPr>
          <w:noProof/>
        </w:rPr>
        <w:t xml:space="preserve"> Uniónk és polgáraink jóléte végső soron attól függ, hogy az elkövetkező években milyen szakpolitikai intézkedéseket hozunk a gazdaságunkat és társadalmunkat átalakító hosszú távú kihívások kezelése érdekében. </w:t>
      </w:r>
    </w:p>
    <w:p w:rsidR="00CC3216" w:rsidRDefault="00733A38">
      <w:pPr>
        <w:jc w:val="both"/>
        <w:rPr>
          <w:noProof/>
        </w:rPr>
      </w:pPr>
      <w:r>
        <w:rPr>
          <w:b/>
          <w:noProof/>
        </w:rPr>
        <w:t>A 2020. évi éves fenntartható növekedési stra</w:t>
      </w:r>
      <w:r>
        <w:rPr>
          <w:b/>
          <w:noProof/>
        </w:rPr>
        <w:t xml:space="preserve">tégia új gazdasági programot mutatott be, és egyértelmű prioritásokat határozott meg az uniós gazdaság- és foglalkoztatáspolitikák összehangolására vonatkozóan. </w:t>
      </w:r>
      <w:r>
        <w:rPr>
          <w:noProof/>
        </w:rPr>
        <w:t>Versenyképes fenntarthatóságra irányuló célja teljes mértékben tükrözi az európai zöld megállap</w:t>
      </w:r>
      <w:r>
        <w:rPr>
          <w:noProof/>
        </w:rPr>
        <w:t>odás törekvéseit, és a következő négy dimenzióra terjed ki: környezeti fenntarthatóság, termelékenységnövekedés, méltányosság és makrogazdasági stabilitás. Az e négy dimenzióra összpontosító megközelítéssel elérhető szinergiák, kompromisszumok és megoldáso</w:t>
      </w:r>
      <w:r>
        <w:rPr>
          <w:noProof/>
        </w:rPr>
        <w:t>k lehetővé teszik egy ember- és bolygóközpontú gazdaság kialakítását. A mai országjelentésekben bemutatott értékelés segíteni fog annak biztosításában, hogy e célkitűzésekből tagállami szinten konkrét szakpolitikák szülessenek.</w:t>
      </w:r>
    </w:p>
    <w:p w:rsidR="00CC3216" w:rsidRDefault="00733A38">
      <w:pPr>
        <w:jc w:val="both"/>
        <w:rPr>
          <w:iCs/>
          <w:noProof/>
        </w:rPr>
      </w:pPr>
      <w:r>
        <w:rPr>
          <w:b/>
          <w:noProof/>
        </w:rPr>
        <w:t xml:space="preserve">Jövőbeli jólétünk alapjának </w:t>
      </w:r>
      <w:r>
        <w:rPr>
          <w:b/>
          <w:noProof/>
        </w:rPr>
        <w:t xml:space="preserve">megteremtésével rövid távú kihívásokra és a gazdasági növekedés jelenlegi lassulására is választ adhatunk. </w:t>
      </w:r>
      <w:r>
        <w:rPr>
          <w:noProof/>
        </w:rPr>
        <w:t xml:space="preserve">A jelenlegi alacsony növekedés által jellemzett környezetben kiemelten fontosak a strukturális reformok, amelyek fokozzák potenciális növekedésünket </w:t>
      </w:r>
      <w:r>
        <w:rPr>
          <w:noProof/>
        </w:rPr>
        <w:t>és gazdaságaink termelékenységét. Az európai gazdaság fenntartható módon mozgósítani tudja a magán- és állami beruházásokhoz szükséges pénzügyi forrásokat. A nagy adóssággal rendelkező tagállamoknak elsősorban az államadósság csökkentésére kell ugyan törek</w:t>
      </w:r>
      <w:r>
        <w:rPr>
          <w:noProof/>
        </w:rPr>
        <w:t>edniük, de a kedvező költségvetési helyzetben lévő tagállamok a gazdasági növekedés gyorsítása és a zöldebb és digitális gazdaságra való átállás támogatása érdekében fokozni tudják beruházásaikat. Végül, a külső és a belső makrogazdasági egyensúlyhiányok f</w:t>
      </w:r>
      <w:r>
        <w:rPr>
          <w:noProof/>
        </w:rPr>
        <w:t>olytatódó csökkentése növelni fogja gazdaságaink ellenálló képességét.</w:t>
      </w:r>
    </w:p>
    <w:p w:rsidR="00CC3216" w:rsidRDefault="00733A38">
      <w:pPr>
        <w:jc w:val="both"/>
        <w:rPr>
          <w:noProof/>
        </w:rPr>
      </w:pPr>
      <w:r>
        <w:rPr>
          <w:b/>
          <w:noProof/>
        </w:rPr>
        <w:t>Kontinensünk csak akkor lehet sikeres, ha az Unió és tagállamai közös irányt szabnak szakpolitikáinknak, és a fenntartható fejlődést helyezik gazdaságpolitikánk és fellépéseink középpon</w:t>
      </w:r>
      <w:r>
        <w:rPr>
          <w:b/>
          <w:noProof/>
        </w:rPr>
        <w:t>tjába.</w:t>
      </w:r>
      <w:r>
        <w:rPr>
          <w:noProof/>
        </w:rPr>
        <w:t xml:space="preserve"> Az új gazdasági programot minden tagállamnak be kell emelnie saját gazdasági, szociál- és költségvetési politikájába, ezzel segítve Európát az ENSZ fenntartható fejlődési céljainak elérésében. Európa így az egész világ számára demonstrálni tudja, ho</w:t>
      </w:r>
      <w:r>
        <w:rPr>
          <w:noProof/>
        </w:rPr>
        <w:t>gy határozott szakpolitikai fellépéssel miként teremthetünk fenntarthatóbb, virágzóbb, méltányosabb és biztonságosabb jövőt mindenki számára.</w:t>
      </w:r>
    </w:p>
    <w:p w:rsidR="00CC3216" w:rsidRDefault="00CC3216">
      <w:pPr>
        <w:jc w:val="both"/>
        <w:rPr>
          <w:noProof/>
        </w:rPr>
      </w:pPr>
    </w:p>
    <w:p w:rsidR="00CC3216" w:rsidRDefault="00CC3216">
      <w:pPr>
        <w:jc w:val="both"/>
        <w:rPr>
          <w:noProof/>
        </w:rPr>
      </w:pPr>
    </w:p>
    <w:p w:rsidR="00CC3216" w:rsidRDefault="00CC3216">
      <w:pPr>
        <w:jc w:val="both"/>
        <w:rPr>
          <w:noProof/>
        </w:rPr>
      </w:pPr>
    </w:p>
    <w:p w:rsidR="00CC3216" w:rsidRDefault="00CC3216">
      <w:pPr>
        <w:jc w:val="both"/>
        <w:rPr>
          <w:noProof/>
        </w:rPr>
      </w:pPr>
    </w:p>
    <w:p w:rsidR="00CC3216" w:rsidRDefault="00CC3216">
      <w:pPr>
        <w:jc w:val="both"/>
        <w:rPr>
          <w:noProof/>
        </w:rPr>
      </w:pPr>
    </w:p>
    <w:p w:rsidR="00CC3216" w:rsidRDefault="00CC3216">
      <w:pPr>
        <w:jc w:val="both"/>
        <w:rPr>
          <w:noProof/>
        </w:rPr>
      </w:pPr>
    </w:p>
    <w:p w:rsidR="00CC3216" w:rsidRDefault="00CC3216">
      <w:pPr>
        <w:jc w:val="both"/>
        <w:rPr>
          <w:b/>
          <w:noProof/>
        </w:rPr>
      </w:pPr>
    </w:p>
    <w:p w:rsidR="00CC3216" w:rsidRDefault="00733A38">
      <w:pPr>
        <w:numPr>
          <w:ilvl w:val="0"/>
          <w:numId w:val="6"/>
        </w:numPr>
        <w:spacing w:before="360" w:after="120" w:line="100" w:lineRule="atLeast"/>
        <w:jc w:val="both"/>
        <w:rPr>
          <w:b/>
          <w:noProof/>
        </w:rPr>
      </w:pPr>
      <w:r>
        <w:rPr>
          <w:rFonts w:ascii="Times New Roman Bold" w:hAnsi="Times New Roman Bold"/>
          <w:b/>
          <w:smallCaps/>
          <w:noProof/>
          <w:sz w:val="26"/>
        </w:rPr>
        <w:t>Az európai szemeszter legfontosabb új elemei</w:t>
      </w:r>
    </w:p>
    <w:p w:rsidR="00CC3216" w:rsidRDefault="00733A38">
      <w:pPr>
        <w:jc w:val="both"/>
        <w:rPr>
          <w:b/>
          <w:noProof/>
        </w:rPr>
      </w:pPr>
      <w:r>
        <w:rPr>
          <w:b/>
          <w:noProof/>
        </w:rPr>
        <w:t xml:space="preserve">A siker eléréséhez az új gazdasági programból olyan konkrét </w:t>
      </w:r>
      <w:r>
        <w:rPr>
          <w:b/>
          <w:noProof/>
        </w:rPr>
        <w:t>szakpolitikákat – például beruházási stratégiákat, felelős költségvetési politikákat és strukturális reformokat – kell alkotni, amelyek a versenyképes fenntarthatóságot és annak minden dimenzióját előmozdítják.</w:t>
      </w:r>
      <w:r>
        <w:rPr>
          <w:noProof/>
        </w:rPr>
        <w:t xml:space="preserve"> Az európai szemeszternek kulcsszerepet kell j</w:t>
      </w:r>
      <w:r>
        <w:rPr>
          <w:noProof/>
        </w:rPr>
        <w:t>átszania a hosszú távú fenntartható és inkluzív növekedés érdekében tett nemzeti erőfeszítések koordinálásában és irányításában. A ma közzétett országjelentések részletesen elemzik az egyes tagállamoknak a versenyképes fenntarthatóság négy dimenziójával ka</w:t>
      </w:r>
      <w:r>
        <w:rPr>
          <w:noProof/>
        </w:rPr>
        <w:t>pcsolatos, makrogazdasági relevanciával bíró, kulcsfontosságú társadalmi-gazdasági kihívásait. Bemutatják továbbá az e kihívások megválaszolásához szükséges gazdasági és foglalkoztatáspolitikákat, és így a jövőbeli szakpolitikai ajánlások alapjául szolgáln</w:t>
      </w:r>
      <w:r>
        <w:rPr>
          <w:noProof/>
        </w:rPr>
        <w:t xml:space="preserve">ak. </w:t>
      </w:r>
    </w:p>
    <w:p w:rsidR="00CC3216" w:rsidRDefault="00733A38">
      <w:pPr>
        <w:jc w:val="both"/>
        <w:rPr>
          <w:noProof/>
        </w:rPr>
      </w:pPr>
      <w:r>
        <w:rPr>
          <w:b/>
          <w:noProof/>
        </w:rPr>
        <w:t xml:space="preserve">A 2020. évi országjelentések nagy hangsúlyt helyeznek a gazdaság zöld átalakulásából eredő kihívások és lehetőségek bemutatására. </w:t>
      </w:r>
      <w:r>
        <w:rPr>
          <w:noProof/>
        </w:rPr>
        <w:t>E kihívásokat és lehetőségeket a környezeti fenntarthatóságról szóló új szakasz elemzi. A tagállamoknak nemrégiben be kel</w:t>
      </w:r>
      <w:r>
        <w:rPr>
          <w:noProof/>
        </w:rPr>
        <w:t>lett nyújtaniuk nemzeti energia- és klímaterveiket, vagyis éghajlat- és energiapolitikájuk alapvető referenciadokumentumait, amelyek makrogazdasági vonatkozású elemeit a Bizottság az európai szemeszter keretében követi nyomon. A tervek értékelésére 2020-ba</w:t>
      </w:r>
      <w:r>
        <w:rPr>
          <w:noProof/>
        </w:rPr>
        <w:t>n kerül sor. Az országjelentések a fenntartható fejlődési célok nyomon követéséhez is hozzájárulnak, és felhívják a figyelmet a célok megvalósítását segítő makrogazdasági és foglalkoztatáspolitikákra. Minden országjelentés tartalmaz egy összefoglaló értéke</w:t>
      </w:r>
      <w:r>
        <w:rPr>
          <w:noProof/>
        </w:rPr>
        <w:t xml:space="preserve">lést a tagállamok fenntartható fejlődési célok felé tett előrehaladásáról és egy külön mellékletet a különböző konkrét célok tekintetében nyújtott teljesítményről. </w:t>
      </w:r>
    </w:p>
    <w:p w:rsidR="00CC3216" w:rsidRDefault="00733A38">
      <w:pPr>
        <w:jc w:val="both"/>
        <w:rPr>
          <w:b/>
          <w:noProof/>
        </w:rPr>
      </w:pPr>
      <w:r>
        <w:rPr>
          <w:b/>
          <w:noProof/>
        </w:rPr>
        <w:t xml:space="preserve">A jelentések azokat a régiókat és ágazatokat is elemzik, amelyek a klímasemlegességre való </w:t>
      </w:r>
      <w:r>
        <w:rPr>
          <w:b/>
          <w:noProof/>
        </w:rPr>
        <w:t>átállás kapcsán a legnagyobb kihívásokkal szembesülnek.</w:t>
      </w:r>
      <w:r>
        <w:rPr>
          <w:noProof/>
        </w:rPr>
        <w:t xml:space="preserve"> Az elemzés egyúttal iránymutatást is ad az újonnan javasolt Méltányos Átállást Támogató Alap igénybevételéhez. De ez csak a kezdet: a kohéziós politikai alapok programozásához használt megközelítést a</w:t>
      </w:r>
      <w:r>
        <w:rPr>
          <w:noProof/>
        </w:rPr>
        <w:t xml:space="preserve">lkalmazva további munkára és a tagállamok bevonására van szükség. </w:t>
      </w:r>
    </w:p>
    <w:p w:rsidR="00CC3216" w:rsidRDefault="00733A38">
      <w:pPr>
        <w:jc w:val="both"/>
        <w:rPr>
          <w:b/>
          <w:noProof/>
        </w:rPr>
      </w:pPr>
      <w:r>
        <w:rPr>
          <w:b/>
          <w:noProof/>
        </w:rPr>
        <w:t xml:space="preserve">A ma és a holnap sürgető társadalmi-gazdasági és környezeti kihívásainak sikeres megválaszolása érdekében tovább kell fejleszteni a gazdaságpolitikai koordináció európai szemeszterét. </w:t>
      </w:r>
      <w:r>
        <w:rPr>
          <w:noProof/>
        </w:rPr>
        <w:t>Az el</w:t>
      </w:r>
      <w:r>
        <w:rPr>
          <w:noProof/>
        </w:rPr>
        <w:t>következő években folytatni kell a munkát annak biztosítása érdekében, hogy a fenntartható fejlődési menetrend különböző makrogazdasági vonatkozású dimenziói megfelelően beépüljenek az európai szemeszterbe (lásd az 1. háttérmagyarázatot).</w:t>
      </w:r>
    </w:p>
    <w:p w:rsidR="00CC3216" w:rsidRDefault="00733A38">
      <w:pPr>
        <w:jc w:val="both"/>
        <w:rPr>
          <w:noProof/>
        </w:rPr>
      </w:pPr>
      <w:r>
        <w:rPr>
          <w:b/>
          <w:noProof/>
        </w:rPr>
        <w:t xml:space="preserve"> </w:t>
      </w:r>
    </w:p>
    <w:p w:rsidR="00CC3216" w:rsidRDefault="00CC3216">
      <w:pPr>
        <w:jc w:val="both"/>
        <w:rPr>
          <w:noProof/>
        </w:rPr>
      </w:pPr>
    </w:p>
    <w:p w:rsidR="00CC3216" w:rsidRDefault="00CC3216">
      <w:pPr>
        <w:jc w:val="both"/>
        <w:rPr>
          <w:noProof/>
        </w:rPr>
      </w:pPr>
    </w:p>
    <w:p w:rsidR="00CC3216" w:rsidRDefault="00CC3216">
      <w:pPr>
        <w:jc w:val="both"/>
        <w:rPr>
          <w:noProof/>
        </w:rPr>
      </w:pPr>
    </w:p>
    <w:p w:rsidR="00CC3216" w:rsidRDefault="00CC3216">
      <w:pPr>
        <w:jc w:val="both"/>
        <w:rPr>
          <w:noProof/>
        </w:rPr>
      </w:pPr>
    </w:p>
    <w:p w:rsidR="00CC3216" w:rsidRDefault="00CC3216">
      <w:pPr>
        <w:jc w:val="both"/>
        <w:rPr>
          <w:noProof/>
        </w:rPr>
      </w:pPr>
    </w:p>
    <w:p w:rsidR="00CC3216" w:rsidRDefault="00733A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left="360"/>
        <w:jc w:val="both"/>
        <w:rPr>
          <w:b/>
          <w:bCs/>
          <w:noProof/>
        </w:rPr>
      </w:pPr>
      <w:r>
        <w:rPr>
          <w:b/>
          <w:bCs/>
          <w:noProof/>
        </w:rPr>
        <w:t>1. háttérm</w:t>
      </w:r>
      <w:r>
        <w:rPr>
          <w:b/>
          <w:bCs/>
          <w:noProof/>
        </w:rPr>
        <w:t>agyarázat: A fenntartható fejlődési célok és környezeti fenntarthatósági szempontok integrálása az európai szemeszterbe</w:t>
      </w:r>
    </w:p>
    <w:p w:rsidR="00CC3216" w:rsidRDefault="00733A38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b/>
          <w:noProof/>
          <w:color w:val="auto"/>
        </w:rPr>
      </w:pPr>
      <w:r>
        <w:rPr>
          <w:b/>
          <w:noProof/>
        </w:rPr>
        <w:t>Az európai szemeszter jogi hatályával összhangban a fenntartható fejlődési célok integrálása a makrogazdasági dimenzióra</w:t>
      </w:r>
      <w:r>
        <w:rPr>
          <w:noProof/>
        </w:rPr>
        <w:t>, illetve a gazd</w:t>
      </w:r>
      <w:r>
        <w:rPr>
          <w:noProof/>
        </w:rPr>
        <w:t>asági, foglalkoztatás- és szociálpolitikákkal való megvalósítás mikéntjére összpontosít. A fenntartható gazdasággá való átalakulás olyan meghatározó kihívás, amely a növekedést és a foglalkoztatást is befolyásolja. A makrogazdasági dimenziót ezért tágabban</w:t>
      </w:r>
      <w:r>
        <w:rPr>
          <w:noProof/>
        </w:rPr>
        <w:t xml:space="preserve"> kell értelmezni, és így az országjelentések a fenntartható fejlődési célokkal kapcsolatos szakpolitikákat és kihívásokat a zöld megállapodás és az éves fenntartható növekedési stratégia összefüggésében jelenítik meg. Ez a fajta megjelenítés figyelembe ves</w:t>
      </w:r>
      <w:r>
        <w:rPr>
          <w:noProof/>
        </w:rPr>
        <w:t xml:space="preserve">zi a szociális jogok európai pillérét – amely az uniós munka- és életkörülmények javítását célzó megújuló konvergencia iránytűjeként szolgál –, illetve az annak végrehajtását nyomon követő szociális eredménytáblát is. </w:t>
      </w:r>
    </w:p>
    <w:p w:rsidR="00CC3216" w:rsidRDefault="00733A38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b/>
          <w:noProof/>
          <w:color w:val="auto"/>
        </w:rPr>
      </w:pPr>
      <w:r>
        <w:rPr>
          <w:b/>
          <w:noProof/>
        </w:rPr>
        <w:t xml:space="preserve">A környezeti fenntarthatóság témaköre a zöld megállapodásnak és az éves fenntartható növekedési stratégiának megfelelően teljes mértékben a szemeszter részévé válik. </w:t>
      </w:r>
      <w:r>
        <w:rPr>
          <w:noProof/>
        </w:rPr>
        <w:t>A 2020. évi országjelentések e témakörrel egy új, külön szakaszban foglalkoznak, ami tovább erősíti a fenntartható fejlődési célok szemeszterbeli integrációját. A környezeti fenntarthatóságról szóló új szakasz átfogóbban elemzi a tagállamok környezetvédelm</w:t>
      </w:r>
      <w:r>
        <w:rPr>
          <w:noProof/>
        </w:rPr>
        <w:t xml:space="preserve">i és éghajlattal kapcsolatos kihívásait. Az elemzés középpontjában e kihívások gazdaság- és foglalkoztatáspolitikai összefüggései, illetve társadalmi hatásai állnak. </w:t>
      </w:r>
    </w:p>
    <w:p w:rsidR="00CC3216" w:rsidRDefault="00733A38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b/>
          <w:bCs/>
          <w:noProof/>
          <w:color w:val="auto"/>
        </w:rPr>
      </w:pPr>
      <w:r>
        <w:rPr>
          <w:b/>
          <w:noProof/>
        </w:rPr>
        <w:t>Minden országjelentés tartalmaz továbbá egy új mellékletet, amely bemutatja az egyes tagá</w:t>
      </w:r>
      <w:r>
        <w:rPr>
          <w:b/>
          <w:noProof/>
        </w:rPr>
        <w:t>llamok fenntartható fejlődési célokkal kapcsolatos teljesítményét és az elmúlt öt év tendenciáit.</w:t>
      </w:r>
      <w:r>
        <w:rPr>
          <w:noProof/>
        </w:rPr>
        <w:t xml:space="preserve"> Az országjelentések e tekintetben a fenntartható fejlődéssel foglalkozó legfontosabb éves Eurostat-kiadvány (</w:t>
      </w:r>
      <w:r>
        <w:rPr>
          <w:i/>
          <w:noProof/>
        </w:rPr>
        <w:t xml:space="preserve">Nyomonkövetési jelentés a fenntartható fejlődési </w:t>
      </w:r>
      <w:r>
        <w:rPr>
          <w:i/>
          <w:noProof/>
        </w:rPr>
        <w:t>célok megvalósítása terén az Unió által elért eredményekről – 2019. évi kiadás</w:t>
      </w:r>
      <w:r>
        <w:rPr>
          <w:noProof/>
        </w:rPr>
        <w:t xml:space="preserve">) felhasználásával a tagállamok legfrissebb teljesítménystatisztikáira támaszkodnak. </w:t>
      </w:r>
    </w:p>
    <w:p w:rsidR="00CC3216" w:rsidRDefault="00733A38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both"/>
        <w:rPr>
          <w:rFonts w:ascii="Times New Roman Bold" w:hAnsi="Times New Roman Bold" w:cs="Times New Roman Bold"/>
          <w:b/>
          <w:smallCaps/>
          <w:noProof/>
          <w:color w:val="auto"/>
          <w:sz w:val="26"/>
        </w:rPr>
      </w:pPr>
      <w:r>
        <w:rPr>
          <w:b/>
          <w:noProof/>
        </w:rPr>
        <w:t>Az elemzés a jövőben a fenntartható fejlődési célok végrehajtásának további részletes nyomon</w:t>
      </w:r>
      <w:r>
        <w:rPr>
          <w:b/>
          <w:noProof/>
        </w:rPr>
        <w:t xml:space="preserve"> követésére, illetve a klímasemleges és erőforrás-hatékony gazdaságra való átállás feltérképezésére fog összpontosítani. </w:t>
      </w:r>
      <w:r>
        <w:rPr>
          <w:noProof/>
        </w:rPr>
        <w:t>Ehhez első lépésben előre kell hozni a fenntartható fejlődéssel foglalkozó legfontosabb éves Eurostat-kiadvány elkészítését, hogy az má</w:t>
      </w:r>
      <w:r>
        <w:rPr>
          <w:noProof/>
        </w:rPr>
        <w:t>r az európai szemeszter következő ciklusának kezdetekor rendelkezésre álljon. Az elért eredmények értékelése ki fog egészülni a fenntartható fejlődési célok szempontjából releváns információkkal, amelyeket a tagállamoknak 2020-tól kell ismertetniük nemzeti</w:t>
      </w:r>
      <w:r>
        <w:rPr>
          <w:noProof/>
        </w:rPr>
        <w:t xml:space="preserve"> reformprogramjukban. A Bizottság emellett a szemeszter jövőbeli ciklusai tekintetében az eszköztár bővítésével javítani </w:t>
      </w:r>
      <w:r>
        <w:rPr>
          <w:noProof/>
        </w:rPr>
        <w:lastRenderedPageBreak/>
        <w:t>kívánja az ökológiai átállás makrogazdasági és társadalmi hatásainak elemzését. E célból már zajlik azon kulcsfontosságú mutatók kidolg</w:t>
      </w:r>
      <w:r>
        <w:rPr>
          <w:noProof/>
        </w:rPr>
        <w:t xml:space="preserve">ozása, amelyek már a szemeszter következő ciklusától alkalmazhatók lesznek. A Bizottság e mutatók kidolgozásában szorosan együttműködik a tagállamokkal és más érdekelt felekkel. </w:t>
      </w:r>
    </w:p>
    <w:p w:rsidR="00CC3216" w:rsidRDefault="00CC3216">
      <w:pPr>
        <w:jc w:val="both"/>
        <w:rPr>
          <w:noProof/>
        </w:rPr>
      </w:pPr>
    </w:p>
    <w:p w:rsidR="00CC3216" w:rsidRDefault="00733A38">
      <w:pPr>
        <w:jc w:val="both"/>
        <w:rPr>
          <w:b/>
          <w:noProof/>
        </w:rPr>
      </w:pPr>
      <w:r>
        <w:rPr>
          <w:b/>
          <w:noProof/>
        </w:rPr>
        <w:t xml:space="preserve">A Bizottság nyílt vitát indított a gazdasági kormányzás keretéről is. </w:t>
      </w:r>
      <w:r>
        <w:rPr>
          <w:noProof/>
        </w:rPr>
        <w:t>A gazd</w:t>
      </w:r>
      <w:r>
        <w:rPr>
          <w:noProof/>
        </w:rPr>
        <w:t>asági kormányzás nemrégiben közzétett felülvizsgálatában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 Bizottság a jelenlegi keret eddigi működését értékelte. Ennek során azt is figyelembe vette, hogy a gazdasági környezet lényegesen megváltozott a hatos, illetve a kettes csomag 2011-es és 2013-as </w:t>
      </w:r>
      <w:r>
        <w:rPr>
          <w:noProof/>
        </w:rPr>
        <w:t>elfogadása óta. A Bizottság arra is tekintettel volt, hogy az európai zöld megállapodás célkitűzéseivel összefüggésben sokkal ambiciózusabbá váltak az Európa zöld és digitális átalakítására irányuló törekvések. A Bizottság ezért több kérdés nyilvános megvi</w:t>
      </w:r>
      <w:r>
        <w:rPr>
          <w:noProof/>
        </w:rPr>
        <w:t>tatásával össze kívánja gyűjteni a különböző véleményeket a felügyelet eddigi működéséről, valamint arról, hogy miként lehetne javítani a keret hatékonyságát a kulcsfontosságú célkitűzések megvalósítása terén.</w:t>
      </w:r>
    </w:p>
    <w:p w:rsidR="00CC3216" w:rsidRDefault="00733A38">
      <w:pPr>
        <w:jc w:val="both"/>
        <w:rPr>
          <w:noProof/>
        </w:rPr>
      </w:pPr>
      <w:r>
        <w:rPr>
          <w:b/>
          <w:noProof/>
        </w:rPr>
        <w:t>Az európai szemeszter jövőbeli ciklusaiban már</w:t>
      </w:r>
      <w:r>
        <w:rPr>
          <w:b/>
          <w:noProof/>
        </w:rPr>
        <w:t xml:space="preserve"> érvényesülni fog a konvergenciát és versenyképességet szolgáló költségvetési eszköz, valamint a konvergencia- és reformtámogató eszköz létrehozásának a hatása.</w:t>
      </w:r>
      <w:r>
        <w:rPr>
          <w:noProof/>
        </w:rPr>
        <w:t xml:space="preserve">  Például a konvergenciát és versenyképességet szolgáló költségvetési eszköz által ösztönzött re</w:t>
      </w:r>
      <w:r>
        <w:rPr>
          <w:noProof/>
        </w:rPr>
        <w:t xml:space="preserve">formok és beruházások elő fogják segíteni az euróövezeti ajánlásban előterjesztett stratégiai szakpolitikai prioritások megvalósulását. </w:t>
      </w:r>
    </w:p>
    <w:p w:rsidR="00CC3216" w:rsidRDefault="00733A38">
      <w:pPr>
        <w:jc w:val="both"/>
        <w:rPr>
          <w:b/>
          <w:noProof/>
        </w:rPr>
      </w:pPr>
      <w:r>
        <w:rPr>
          <w:b/>
          <w:noProof/>
        </w:rPr>
        <w:t>A Bizottság továbbá a jogállamiság kultúrájának erősítése céljából létre fog hozni egy új jogállamisági mechanizmust, a</w:t>
      </w:r>
      <w:r>
        <w:rPr>
          <w:b/>
          <w:noProof/>
        </w:rPr>
        <w:t xml:space="preserve">melynek keretében minden tagállamról éves jelentést fog készíteni. </w:t>
      </w:r>
      <w:r>
        <w:rPr>
          <w:noProof/>
        </w:rPr>
        <w:t>A kormányzás minősége, az intézmények hatékonysága, az igazságszolgáltatási rendszerek függetlensége és hatékonysága, a közigazgatás minősége és a fizetésképtelenségi keretek eredményessége</w:t>
      </w:r>
      <w:r>
        <w:rPr>
          <w:noProof/>
        </w:rPr>
        <w:t xml:space="preserve"> meghatározó tényezője a tagállamok üzleti környezetének, és a beruházási döntéseket is befolyásolhatja. A belső piac megfelelő működését a szilárd korrupcióellenes keretek is elősegíthetik. Az európai szemeszter keretében ezért továbbra is sor fog kerülni</w:t>
      </w:r>
      <w:r>
        <w:rPr>
          <w:noProof/>
        </w:rPr>
        <w:t xml:space="preserve"> a tagállamok intézményi és igazgatási teljesítményének vizsgálatára, ideértve a jogállamisággal kapcsolatos azon problémák vizsgálatát is, amelyek megoldatlanságuk esetén makrogazdasági kockázatokat teremthetnek. E vizsgálat a makrogazdasági értékelés ala</w:t>
      </w:r>
      <w:r>
        <w:rPr>
          <w:noProof/>
        </w:rPr>
        <w:t xml:space="preserve">pjául fog szolgálni. </w:t>
      </w:r>
    </w:p>
    <w:p w:rsidR="00CC3216" w:rsidRDefault="00733A38">
      <w:pPr>
        <w:pageBreakBefore/>
        <w:numPr>
          <w:ilvl w:val="0"/>
          <w:numId w:val="6"/>
        </w:numPr>
        <w:spacing w:before="360" w:after="120"/>
        <w:jc w:val="both"/>
        <w:rPr>
          <w:b/>
          <w:noProof/>
        </w:rPr>
      </w:pPr>
      <w:r>
        <w:rPr>
          <w:rFonts w:ascii="Times New Roman Bold" w:hAnsi="Times New Roman Bold"/>
          <w:b/>
          <w:smallCaps/>
          <w:noProof/>
          <w:sz w:val="26"/>
        </w:rPr>
        <w:lastRenderedPageBreak/>
        <w:t xml:space="preserve">Tagállami szakpolitikák </w:t>
      </w:r>
    </w:p>
    <w:p w:rsidR="00CC3216" w:rsidRDefault="00733A38">
      <w:pPr>
        <w:jc w:val="both"/>
        <w:rPr>
          <w:b/>
          <w:i/>
          <w:noProof/>
        </w:rPr>
      </w:pPr>
      <w:r>
        <w:rPr>
          <w:noProof/>
        </w:rPr>
        <w:t>Az idei országjelentésekben adott elemzés utat mutat a tagállamok számára a versenyképes fenntarthatóság megvalósításához, továbbá rávilágít a szükséges strukturális reformokra és a fontos beruházási igényekre</w:t>
      </w:r>
      <w:r>
        <w:rPr>
          <w:noProof/>
        </w:rPr>
        <w:t xml:space="preserve">. </w:t>
      </w:r>
    </w:p>
    <w:p w:rsidR="00CC3216" w:rsidRDefault="00733A38">
      <w:pPr>
        <w:keepNext/>
        <w:keepLines/>
        <w:spacing w:before="360" w:after="120"/>
        <w:jc w:val="both"/>
        <w:rPr>
          <w:rFonts w:cs="Calibri"/>
          <w:b/>
          <w:noProof/>
        </w:rPr>
      </w:pPr>
      <w:r>
        <w:rPr>
          <w:b/>
          <w:i/>
          <w:noProof/>
        </w:rPr>
        <w:t xml:space="preserve">3.1. Környezeti fenntarthatóság </w:t>
      </w:r>
    </w:p>
    <w:p w:rsidR="00CC3216" w:rsidRDefault="00733A38">
      <w:pPr>
        <w:spacing w:before="100" w:beforeAutospacing="1" w:after="0"/>
        <w:jc w:val="both"/>
        <w:rPr>
          <w:rFonts w:cs="Calibri"/>
          <w:noProof/>
        </w:rPr>
      </w:pPr>
      <w:r>
        <w:rPr>
          <w:b/>
          <w:noProof/>
        </w:rPr>
        <w:t>Az európai zöld megállapodás célja, hogy az erőforrás-hatékony növekedés előmozdításával Európa a kontinensek közül elsőként 2050-ig klímasemlegessé váljon.</w:t>
      </w:r>
      <w:r>
        <w:rPr>
          <w:noProof/>
        </w:rPr>
        <w:t xml:space="preserve"> Átfogó megközelítést javasol minden környezetvédelmi és éghajla</w:t>
      </w:r>
      <w:r>
        <w:rPr>
          <w:noProof/>
        </w:rPr>
        <w:t>t-politikai kérdéssel kapcsolatban – különösen az éghajlatváltozás, az energetikai átállás, a biológiai sokféleség, a szennyezés és a körforgásos gazdaság területén jelentkező kihívásokkal összefüggésben –, illetve ágazatokon átívelően is, ideértve a mobil</w:t>
      </w:r>
      <w:r>
        <w:rPr>
          <w:noProof/>
        </w:rPr>
        <w:t>itást, az ipart és az élelmiszerrendszereket is. A cél elérése egyaránt múlik az EU-n és a tagállamokon. A nemzeti és az uniós gazdaságpolitikáknak figyelembe kell venniük a jelenlegi termelési és fogyasztási modellek környezeti hatását, és megfelelő ösztö</w:t>
      </w:r>
      <w:r>
        <w:rPr>
          <w:noProof/>
        </w:rPr>
        <w:t>nzők révén javítaniuk kell azok fenntarthatóságát. A Bizottság 2019 júniusában</w:t>
      </w:r>
      <w:r>
        <w:rPr>
          <w:rStyle w:val="FootnoteCharacters"/>
          <w:rFonts w:cs="Calibri"/>
          <w:noProof/>
        </w:rPr>
        <w:footnoteReference w:id="3"/>
      </w:r>
      <w:r>
        <w:rPr>
          <w:noProof/>
        </w:rPr>
        <w:t xml:space="preserve"> rámutatott arra, hogy a tagállamok által benyújtott előzetes tervekben szereplő nemzeti hozzájárulások összességükben elmaradnak a jogszabályokban meghatározott uniós szintű cé</w:t>
      </w:r>
      <w:r>
        <w:rPr>
          <w:noProof/>
        </w:rPr>
        <w:t>loktól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. </w:t>
      </w:r>
    </w:p>
    <w:p w:rsidR="00CC3216" w:rsidRDefault="00733A38">
      <w:pPr>
        <w:spacing w:before="100" w:beforeAutospacing="1" w:after="0"/>
        <w:jc w:val="both"/>
        <w:rPr>
          <w:b/>
          <w:noProof/>
        </w:rPr>
      </w:pPr>
      <w:r>
        <w:rPr>
          <w:b/>
          <w:bCs/>
          <w:noProof/>
        </w:rPr>
        <w:t xml:space="preserve">A zöld átalakuláshoz egyrészt jelentős és célzott beruházások szükségesek – mind a magán-, mind a közszektorban –, másrészt mély strukturális reformok. </w:t>
      </w:r>
      <w:r>
        <w:rPr>
          <w:noProof/>
        </w:rPr>
        <w:t>E célkitűzés megvalósításához kulcsfontosságú lesz a fő beruházási igények azonosítása, a nagy</w:t>
      </w:r>
      <w:r>
        <w:rPr>
          <w:noProof/>
        </w:rPr>
        <w:t xml:space="preserve"> hatású beruházási projektek előkészítése, a projektek és a rendelkezésre álló finanszírozási források összehangolása, valamint a projekteknek megfelelő szabályozási környezet biztosítása. Az országjelentésekben bemutatott elemzés – amely az energia, a köz</w:t>
      </w:r>
      <w:r>
        <w:rPr>
          <w:noProof/>
        </w:rPr>
        <w:t>lekedés és az épületek (energiahatékonyság) területén szükséges strukturális reformokra és legfontosabb beruházásokra összpontosít – iránymutatásként szolgálhat a tagállamok e prioritással összefüggő, uniós szinten elfogadott szakpolitikai intézkedéseihez.</w:t>
      </w:r>
      <w:r>
        <w:rPr>
          <w:noProof/>
        </w:rPr>
        <w:t xml:space="preserve"> Az országjelentések az uniós finanszírozási források felhasználásáról is beszámolnak. </w:t>
      </w:r>
    </w:p>
    <w:p w:rsidR="00CC3216" w:rsidRDefault="00733A38">
      <w:pPr>
        <w:spacing w:before="100" w:beforeAutospacing="1" w:after="0"/>
        <w:jc w:val="both"/>
        <w:rPr>
          <w:b/>
          <w:noProof/>
        </w:rPr>
      </w:pPr>
      <w:r>
        <w:rPr>
          <w:b/>
          <w:noProof/>
        </w:rPr>
        <w:t>A közforrásokból – többek között az európai zöld megállapodáshoz kapcsolódó beruházási tervből – származó pénzügyi támogatások a magánforrások mozgósításával növelhetik</w:t>
      </w:r>
      <w:r>
        <w:rPr>
          <w:b/>
          <w:noProof/>
        </w:rPr>
        <w:t xml:space="preserve"> a fenntartható beruházások volumenét.</w:t>
      </w:r>
      <w:r>
        <w:rPr>
          <w:noProof/>
        </w:rPr>
        <w:t xml:space="preserve"> A fenntartható energiára, éghajlat-politikára és környezetvédelemre fordított kiadások – amelyek aránya minden eddiginél nagyobb az uniós költségvetésben – vonzani fogják a magánforrásokat is, amiben az Európai Beruhá</w:t>
      </w:r>
      <w:r>
        <w:rPr>
          <w:noProof/>
        </w:rPr>
        <w:t>zási Banknak kulcsszerepet kell majd játszania. Az Európai Parlament és a Tanács decemberben politikai megállapodásra jutott a környezeti szempontból fenntartható befektetések uniós osztályozási rendszeréről (taxonómiájáról), ami fontos lépés az éghajlatvá</w:t>
      </w:r>
      <w:r>
        <w:rPr>
          <w:noProof/>
        </w:rPr>
        <w:t>ltozás kezelése felé, mivel lehetővé teszi a zöld befektetések forgalmazását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</w:t>
      </w:r>
    </w:p>
    <w:p w:rsidR="00CC3216" w:rsidRDefault="00733A38">
      <w:pPr>
        <w:spacing w:before="100" w:beforeAutospacing="1" w:after="0"/>
        <w:jc w:val="both"/>
        <w:rPr>
          <w:b/>
          <w:noProof/>
        </w:rPr>
      </w:pPr>
      <w:r>
        <w:rPr>
          <w:b/>
          <w:noProof/>
        </w:rPr>
        <w:t xml:space="preserve">A zöld költségvetés-tervezés fontos eszköz annak nyomon követéséhez, hogy az államháztartások milyen mértékben járulnak hozzá az európai zöld megállapodáshoz. </w:t>
      </w:r>
      <w:r>
        <w:rPr>
          <w:noProof/>
        </w:rPr>
        <w:t>Ha a költségvetési dokumentumokban kifejezetten nevesítve vannak az éghajlat-politikához és más környezetvédelmi célokhoz hozzájáruló kiadási és bevételi politikák, az növelheti a költségvetési politikák zöld átalakuláshoz való hozzájárulását, és egyszerűs</w:t>
      </w:r>
      <w:r>
        <w:rPr>
          <w:noProof/>
        </w:rPr>
        <w:t>ítheti a szakpolitikai célok nyomon követését. Zöld költségvetés-tervezést jelenleg csak néhány tagállam (Franciaország, Finnország, Írország és Olaszország) alkalmaz költségvetési folyamataiban. Alkalmazott megközelítéseik azonban jelentősen eltérnek egym</w:t>
      </w:r>
      <w:r>
        <w:rPr>
          <w:noProof/>
        </w:rPr>
        <w:t xml:space="preserve">ástól, és az olasz gyakorlatot leszámítva meglehetősen új keletűek. A zöld költségvetés-tervezéssel kapcsolatos információk egyes esetekben kiegészítő elemeket is tartalmaznak, például környezeti hatásvizsgálatokat, a káros támogatások jegyzékét, valamint </w:t>
      </w:r>
      <w:r>
        <w:rPr>
          <w:noProof/>
        </w:rPr>
        <w:t>az üvegházhatásúgáz-kibocsátásra és a jóléti mutatókra vonatkozó információkat. Minden tagállamban további fejlesztések szükségesek ahhoz, hogy az államháztartások nagyobb szerepet kapjanak a klímasemleges, zöld, versenyképes és inkluzív gazdaságra való át</w:t>
      </w:r>
      <w:r>
        <w:rPr>
          <w:noProof/>
        </w:rPr>
        <w:t xml:space="preserve">állásban. A Bizottság a tagállamokkal együttműködve át fogja világítani a zöld költségvetési gyakorlatokat, és azok teljesítményét referenciamutatókhoz fogja viszonyítani. </w:t>
      </w:r>
    </w:p>
    <w:p w:rsidR="00CC3216" w:rsidRDefault="00733A38">
      <w:pPr>
        <w:spacing w:before="100" w:beforeAutospacing="1" w:after="0"/>
        <w:jc w:val="both"/>
        <w:rPr>
          <w:noProof/>
        </w:rPr>
      </w:pPr>
      <w:r>
        <w:rPr>
          <w:b/>
          <w:noProof/>
        </w:rPr>
        <w:t>A zöldadóknak továbbra sincs jelentős magatartásformáló vagy bevételgeneráló szerep</w:t>
      </w:r>
      <w:r>
        <w:rPr>
          <w:b/>
          <w:noProof/>
        </w:rPr>
        <w:t>ük.</w:t>
      </w:r>
      <w:r>
        <w:rPr>
          <w:noProof/>
        </w:rPr>
        <w:t xml:space="preserve"> A környezetvédelmi adók és a szén-dioxid-árazás különböző formái fontos szakpolitikai eszközök a tervezett átállás megvalósításához. A svéd éghajlat-politika például már 2001 óta erősen megadóztatja a szén-dioxid-kibocsátást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– jelenleg az üvegházhatás</w:t>
      </w:r>
      <w:r>
        <w:rPr>
          <w:noProof/>
        </w:rPr>
        <w:t>t okozó gázok svéd kibocsátásának mintegy 40 %-át lefedve –, aminek köszönhetően Svédország az üvegházhatást okozó gázok kibocsátását az uniós kibocsátáskereskedelmi rendszer hatálya alá nem tartozó ágazatokban is csökkenteni tudja anélkül, hogy ez visszav</w:t>
      </w:r>
      <w:r>
        <w:rPr>
          <w:noProof/>
        </w:rPr>
        <w:t>etné a gazdaság növekedését. Több más tagállam, így Írország, Dánia, Franciaország, Finnország, Szlovénia, Észtország, Lettország, Lengyelország és Portugália szintén bevezette a szén-dioxid-adót. Írország a szén-dioxid-adó közelmúltbeli emeléséből származ</w:t>
      </w:r>
      <w:r>
        <w:rPr>
          <w:noProof/>
        </w:rPr>
        <w:t>ó összes bevételét (2020-ban mintegy 90 millió EUR-t) az éghajlatváltozással kapcsolatos kiadásokra fogja fordítani. Az összeg egy részét (6 millió EUR-t) egy méltányos átállást támogató ír alap létrehozására fordítják. A Midland régiót célzó alap átképzés</w:t>
      </w:r>
      <w:r>
        <w:rPr>
          <w:noProof/>
        </w:rPr>
        <w:t xml:space="preserve">re irányuló beruházásokat fedez, illetve a helyi közösségek és vállalkozások alkalmazkodását segíti a karbonszegény gazdaságra való átálláshoz. </w:t>
      </w:r>
    </w:p>
    <w:p w:rsidR="00CC3216" w:rsidRDefault="00733A38">
      <w:pPr>
        <w:spacing w:before="100" w:beforeAutospacing="1" w:after="0"/>
        <w:jc w:val="both"/>
        <w:rPr>
          <w:rFonts w:cs="Calibri"/>
          <w:noProof/>
        </w:rPr>
      </w:pPr>
      <w:r>
        <w:rPr>
          <w:b/>
          <w:noProof/>
        </w:rPr>
        <w:t>A fenntartható és klímasemleges gazdaságra való átállásnak méltányosnak és társadalmilag igazságosnak kell lenn</w:t>
      </w:r>
      <w:r>
        <w:rPr>
          <w:b/>
          <w:noProof/>
        </w:rPr>
        <w:t>ie, ami rendszeres nyomon követést igényel.</w:t>
      </w:r>
      <w:r>
        <w:rPr>
          <w:noProof/>
        </w:rPr>
        <w:t xml:space="preserve"> Az éghajlatváltozás és a környezetkárosodás elleni küzdelem hosszú távon mindenki számára hasznos, sőt, már középtávon is mindenki számára lehetőségeket biztosít, de rövid távon nem minden népességcsoport, régió </w:t>
      </w:r>
      <w:r>
        <w:rPr>
          <w:noProof/>
        </w:rPr>
        <w:t>és tagállam rendelkezik azonos reagáló képességgel. Az egyes csoportokra és ágazatokra gyakorolt negatív hatások mérséklése és a méltányosság érdekében elengedhetetlenek a nemzeti szintű intézkedések. Az uniós költségvetés a zöld átalakulás szempontjából k</w:t>
      </w:r>
      <w:r>
        <w:rPr>
          <w:noProof/>
        </w:rPr>
        <w:t>özvetlenül releváns eszközei révén szintén jelentős hozzájárulást fog nyújtani. A Bizottság által javasolt méltányos átállási mechanizmus biztosítani fogja, hogy senki ne maradjon ki: további támogatást fog adni az átállás által leginkább érintett régiók é</w:t>
      </w:r>
      <w:r>
        <w:rPr>
          <w:noProof/>
        </w:rPr>
        <w:t>s emberek számára, ideértve különösen a szilárd fosszilis tüzelőanyagok (szén, lignit, tőzeg és olajpala) kitermeléséből és energetikai hasznosításából élőket, illetve a nagy kibocsátásintenzitású iparágakat. A mai országjelentésekben a Bizottság szolgálat</w:t>
      </w:r>
      <w:r>
        <w:rPr>
          <w:noProof/>
        </w:rPr>
        <w:t>ai elemzik az átállással kapcsolatos kihívásokat, továbbá ismertetik a Méltányos Átállást Támogató Alapból nyújtandó támogatások prioritásaira vonatkozó előzetes véleményüket. Ez segíteni fogja a tagállamokat a méltányos átállásra vonatkozó területi tervek</w:t>
      </w:r>
      <w:r>
        <w:rPr>
          <w:noProof/>
        </w:rPr>
        <w:t xml:space="preserve"> elkészítésében. E tervek célja a támogatásra jogosult területek azonosítása, illetve a gazdasági diverzifikációra, a munkahelyteremtésre, a készségkihasználásra, a helyi innovációra és a környezeti rehabilitációra irányuló igények részletezése. A Bizottsá</w:t>
      </w:r>
      <w:r>
        <w:rPr>
          <w:noProof/>
        </w:rPr>
        <w:t xml:space="preserve">g célzott technikai támogatást is fog nyújtani a tagállamoknak az átállásra vonatkozó tervek kidolgozásához. A tagállamok a terveket a Bizottsággal folytatott párbeszéd keretében fogják kidolgozni, nemzeti energia- és klímaterveikkel összhangban. </w:t>
      </w:r>
    </w:p>
    <w:p w:rsidR="00CC3216" w:rsidRDefault="00CC3216">
      <w:pPr>
        <w:spacing w:before="60" w:after="60"/>
        <w:jc w:val="both"/>
        <w:rPr>
          <w:noProof/>
        </w:rPr>
      </w:pPr>
    </w:p>
    <w:p w:rsidR="00CC3216" w:rsidRDefault="00733A38">
      <w:pPr>
        <w:spacing w:before="60" w:after="60"/>
        <w:jc w:val="both"/>
        <w:rPr>
          <w:rFonts w:cs="Calibri"/>
          <w:b/>
          <w:noProof/>
        </w:rPr>
      </w:pPr>
      <w:r>
        <w:rPr>
          <w:b/>
          <w:i/>
          <w:noProof/>
        </w:rPr>
        <w:t>3.2. Te</w:t>
      </w:r>
      <w:r>
        <w:rPr>
          <w:b/>
          <w:i/>
          <w:noProof/>
        </w:rPr>
        <w:t xml:space="preserve">rmelékenységnövekedés </w:t>
      </w:r>
    </w:p>
    <w:p w:rsidR="00CC3216" w:rsidRDefault="00733A38">
      <w:pPr>
        <w:spacing w:before="100" w:beforeAutospacing="1" w:after="0"/>
        <w:jc w:val="both"/>
        <w:rPr>
          <w:rFonts w:cs="Calibri"/>
          <w:b/>
          <w:noProof/>
        </w:rPr>
      </w:pPr>
      <w:r>
        <w:rPr>
          <w:b/>
          <w:noProof/>
        </w:rPr>
        <w:t xml:space="preserve">A termelékenység növelése kihívás marad, amit a demográfiai változások is nehezítenek. </w:t>
      </w:r>
      <w:r>
        <w:rPr>
          <w:noProof/>
        </w:rPr>
        <w:t>A munkatermelékenység növekedése továbbra is lassul, és jelentős különbségek vannak a tagállamok között, illetve a tagállamokon belül is. 2018-ban</w:t>
      </w:r>
      <w:r>
        <w:rPr>
          <w:noProof/>
        </w:rPr>
        <w:t xml:space="preserve"> a munkatermelékenység növekedése a lengyelországi 6 %-tól a luxemburgi –1,1 %-ig terjedő sávban mozgott. Regionális szinten még markánsabbak a különbségek, és a nagyobb cégek termelékenysége általában gyorsabban nőtt, mint a kkv-ké.</w:t>
      </w:r>
    </w:p>
    <w:p w:rsidR="00CC3216" w:rsidRDefault="00733A38">
      <w:pPr>
        <w:spacing w:before="100" w:beforeAutospacing="1" w:after="0"/>
        <w:jc w:val="both"/>
        <w:rPr>
          <w:b/>
          <w:noProof/>
          <w:color w:val="auto"/>
        </w:rPr>
      </w:pPr>
      <w:r>
        <w:rPr>
          <w:b/>
          <w:noProof/>
        </w:rPr>
        <w:t>Ennek a gyenge teljesí</w:t>
      </w:r>
      <w:r>
        <w:rPr>
          <w:b/>
          <w:noProof/>
        </w:rPr>
        <w:t>tménynek több oka van.</w:t>
      </w:r>
      <w:r>
        <w:rPr>
          <w:noProof/>
        </w:rPr>
        <w:t xml:space="preserve"> Az egyik fontos tényező a termelési inputok rendelkezésre állása és minősége. Az állóeszközökbe, illetve az oktatásba és képzésbe történő beruházások elégtelensége, a viszonylag elavult termelési technológiák, a gazdaságilag aktív né</w:t>
      </w:r>
      <w:r>
        <w:rPr>
          <w:noProof/>
        </w:rPr>
        <w:t xml:space="preserve">pesség elöregedése, a nők és a migráns háttérrel rendelkezők elégtelen munkaerőpiaci integrációja, továbbá a szakemberhiány és a strukturális munkaerőhiány mind visszafogja a potenciális növekedést. Csehországban például a foglalkoztatási ráta elérte a 80 </w:t>
      </w:r>
      <w:r>
        <w:rPr>
          <w:noProof/>
        </w:rPr>
        <w:t>%-ot, és a munkaerőhiány komoly aggodalomra ad okot. Bulgáriában a beruházások jó része a jelentősen elavult termelőeszköz-állomány pótlására irányul. Emellett az új technológiák csak lassan jutnak el a nem a technológiai élvonalba tartozó vállalkozásokhoz</w:t>
      </w:r>
      <w:r>
        <w:rPr>
          <w:noProof/>
        </w:rPr>
        <w:t>, ami rontja a legtöbb vállalkozás, és különösen a kkv-k általános hatékonyságát.</w:t>
      </w:r>
    </w:p>
    <w:p w:rsidR="00CC3216" w:rsidRDefault="00733A38">
      <w:pPr>
        <w:spacing w:before="100" w:beforeAutospacing="1" w:after="0"/>
        <w:jc w:val="both"/>
        <w:rPr>
          <w:rFonts w:cs="Calibri"/>
          <w:b/>
          <w:noProof/>
          <w:color w:val="auto"/>
        </w:rPr>
      </w:pPr>
      <w:r>
        <w:rPr>
          <w:b/>
          <w:noProof/>
        </w:rPr>
        <w:t xml:space="preserve">A zöld és digitális átalakítás a kihívások mellett lehetőségeket is kínál: Európa gazdasága esetében a növekedéshez, vállalkozásai esetében pedig új üzleti modellek, továbbá </w:t>
      </w:r>
      <w:r>
        <w:rPr>
          <w:b/>
          <w:noProof/>
        </w:rPr>
        <w:t xml:space="preserve">jobb termékek és szolgáltatások kifejlesztéséhez. </w:t>
      </w:r>
      <w:r>
        <w:rPr>
          <w:noProof/>
        </w:rPr>
        <w:t>Az európai gazdaság digitális átalakulását jelenleg akadályozza, hogy számos tagállamban elégtelenek a kulcsfontosságú keretfeltételek. A digitális gazdaság ökoszisztémájának szilárdságát és fenntarthatóság</w:t>
      </w:r>
      <w:r>
        <w:rPr>
          <w:noProof/>
        </w:rPr>
        <w:t>át számos feltétel határozza meg. Idetartoznak a digitális készségek és infrastruktúrák, az innováció finanszírozása, az adatok rendelkezésre állása, a kiberbiztonság és a digitális kornak megfelelő közszolgáltatások. Németország, Görögország, Magyarország</w:t>
      </w:r>
      <w:r>
        <w:rPr>
          <w:noProof/>
        </w:rPr>
        <w:t>, Románia és Olaszország például lemaradt az e-kormányzat területén, Portugália és Csehország viszont jelentősen javult. A digitális készségek terén egyes nagy gazdaságok, például Franciaország, Spanyolország, Lengyelország és Olaszország nem javulnak a te</w:t>
      </w:r>
      <w:r>
        <w:rPr>
          <w:noProof/>
        </w:rPr>
        <w:t>chnológiai változások által megkívánt ütemben. Nagy fokú digitális intenzitás csak Dánia és Svédország vállalataira jellemző, a többi tagállamban a vállalatoknak csupán kevesebb mint 10 %-a magas szinten digitalizált. A Bizottság a nemzeti szintű intézkedé</w:t>
      </w:r>
      <w:r>
        <w:rPr>
          <w:noProof/>
        </w:rPr>
        <w:t>sek kiegészítése céljából megalkotta a mindenki számára működőképes digitális társadalom vízióját.</w:t>
      </w:r>
    </w:p>
    <w:p w:rsidR="00CC3216" w:rsidRDefault="00733A38">
      <w:pPr>
        <w:spacing w:before="100" w:beforeAutospacing="1" w:after="0"/>
        <w:jc w:val="both"/>
        <w:rPr>
          <w:rFonts w:cs="Calibri"/>
          <w:b/>
          <w:noProof/>
        </w:rPr>
      </w:pPr>
      <w:r>
        <w:rPr>
          <w:b/>
          <w:noProof/>
        </w:rPr>
        <w:t xml:space="preserve">Az európai zöld megállapodás céljainak megvalósítása szempontjából kritikus jelentősége van az innovációnak és az új technológiáknak. </w:t>
      </w:r>
      <w:r>
        <w:rPr>
          <w:noProof/>
        </w:rPr>
        <w:t>Az EU részesedése a vil</w:t>
      </w:r>
      <w:r>
        <w:rPr>
          <w:noProof/>
        </w:rPr>
        <w:t>ág K+F beruházásaiban csökken. Kína mára mind relatív, mind abszolút értelemben megelőzte az EU-t. A Tanács a 2019. évi országspecifikus ajánlásaiban minden tagállamot felkért a kutatással és az innovációval kapcsolatos szempontok figyelembevételére. A ter</w:t>
      </w:r>
      <w:r>
        <w:rPr>
          <w:noProof/>
        </w:rPr>
        <w:t>melékenység növelése a versenyképes fenntarthatóság megvalósítása céljából csak úgy lehetséges, ha a kutatás és az innováció kulcsszerepet kap Európa társadalmi-gazdasági rendszereinek átalakításában, többek között az egységes áru- és szolgáltatáspiac tová</w:t>
      </w:r>
      <w:r>
        <w:rPr>
          <w:noProof/>
        </w:rPr>
        <w:t>bbi integrációját szolgáló intézkedések meghozatala révén. Európa készülőben lévő, új ipari stratégiája hozzá fog járulni az ilyen innovációhoz szükséges környezet megteremtéséhez. Az Európai Kutatási Térség továbbfejlesztésére irányuló új kezdeményezés sz</w:t>
      </w:r>
      <w:r>
        <w:rPr>
          <w:noProof/>
        </w:rPr>
        <w:t>intén fontos hozzájárulást jelent majd. A klímasemleges gazdaságra való átálláshoz technológiai és szociális innováción alapuló új termelési és fogyasztási modellekre lesz szükség. E tekintetben kulcsfontosságú az erőforrás-termelékenység növelése, továbbá</w:t>
      </w:r>
      <w:r>
        <w:rPr>
          <w:noProof/>
        </w:rPr>
        <w:t xml:space="preserve"> az európai kutatási és innovációs rendszerek megfelelő működése. </w:t>
      </w:r>
    </w:p>
    <w:p w:rsidR="00CC3216" w:rsidRDefault="00733A38">
      <w:pPr>
        <w:spacing w:before="100" w:beforeAutospacing="1" w:after="0"/>
        <w:jc w:val="both"/>
        <w:rPr>
          <w:b/>
          <w:noProof/>
        </w:rPr>
      </w:pPr>
      <w:r>
        <w:rPr>
          <w:b/>
          <w:noProof/>
        </w:rPr>
        <w:t>A magánszektorbeli kutatás és innováció ösztönzése alapvető kihívás Európában.</w:t>
      </w:r>
      <w:r>
        <w:rPr>
          <w:noProof/>
        </w:rPr>
        <w:t xml:space="preserve"> Több tagállamra jellemző, hogy a K+F tevékenységet végző cégek köre egyre korlátozottabb, és a kkv-k innováció</w:t>
      </w:r>
      <w:r>
        <w:rPr>
          <w:noProof/>
        </w:rPr>
        <w:t xml:space="preserve">s kiadásai is csökkennek. E tendencia hatására tovább szélesedik a technológiai vezető vállalatok és a többi vállalkozás közötti termelékenységi szakadék. Az országjelentések rámutatnak, hogy a tagállamokra fontos szerep hárul e tekintetben. Svédországban </w:t>
      </w:r>
      <w:r>
        <w:rPr>
          <w:noProof/>
        </w:rPr>
        <w:t>például egy induló innovatív vállalkozás a jó technológiai alapnak és a kedvező üzleti környezetnek köszönhetően – az Európai Stratégiai Beruházási Alap segítségével – fel tudta futtatni termelését, és Európa egyik vezető gyártójává vált az elektromos járm</w:t>
      </w:r>
      <w:r>
        <w:rPr>
          <w:noProof/>
        </w:rPr>
        <w:t>űvekbe való akkumulátorok piacán. Csehország autógyárai fejlett digitális technológiákat bevezető automatizációs beruházások révén növelték termelékenységüket. Sajnos az üzleti környezet csak lassan javul, különösen a K+F és az innováció finanszírozása tek</w:t>
      </w:r>
      <w:r>
        <w:rPr>
          <w:noProof/>
        </w:rPr>
        <w:t xml:space="preserve">intetében. A tőkepiaci unió létrehozása nagyban megkönnyítheti az innovatív vállalkozások külső finanszírozáshoz való hozzáférését. A kkv-k forráshoz jutásának javításával a Bizottság hamarosan elkészülő kkv-stratégiája is foglalkozni fog. </w:t>
      </w:r>
    </w:p>
    <w:p w:rsidR="00CC3216" w:rsidRDefault="00733A38">
      <w:pPr>
        <w:spacing w:before="100" w:beforeAutospacing="1" w:after="0"/>
        <w:jc w:val="both"/>
        <w:rPr>
          <w:b/>
          <w:noProof/>
          <w:color w:val="auto"/>
        </w:rPr>
      </w:pPr>
      <w:r>
        <w:rPr>
          <w:b/>
          <w:noProof/>
        </w:rPr>
        <w:t>Európa gazdaság</w:t>
      </w:r>
      <w:r>
        <w:rPr>
          <w:b/>
          <w:noProof/>
        </w:rPr>
        <w:t xml:space="preserve">a a digitális szolgáltatások terén a tagállamok közötti jelentős különbségek miatt nem tudja kihasználni teljes potenciálját. </w:t>
      </w:r>
      <w:r>
        <w:rPr>
          <w:noProof/>
        </w:rPr>
        <w:t>A tagállamok jelentősen eltérő ütemben haladnak gazdaságaik digitalizálása terén.</w:t>
      </w:r>
      <w:r>
        <w:rPr>
          <w:b/>
          <w:noProof/>
        </w:rPr>
        <w:t xml:space="preserve"> </w:t>
      </w:r>
      <w:r>
        <w:rPr>
          <w:noProof/>
        </w:rPr>
        <w:t>Ez arra kényszerítheti a kereskedelmi és ipari f</w:t>
      </w:r>
      <w:r>
        <w:rPr>
          <w:noProof/>
        </w:rPr>
        <w:t>elhasználókat, hogy várjanak a digitális technológiák bevezetésével és terjesztésével. Az 5G hálózatok széles körű kiépítését ezért késedelem nélkül meg kell kezdeni, mivel ez segíteni fogja Európát a zöld és digitális forradalom kínálta lehetőségek kiakná</w:t>
      </w:r>
      <w:r>
        <w:rPr>
          <w:noProof/>
        </w:rPr>
        <w:t>zásában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</w:t>
      </w:r>
    </w:p>
    <w:p w:rsidR="00CC3216" w:rsidRDefault="00733A38">
      <w:pPr>
        <w:spacing w:before="100" w:beforeAutospacing="1" w:after="0"/>
        <w:jc w:val="both"/>
        <w:rPr>
          <w:noProof/>
        </w:rPr>
      </w:pPr>
      <w:r>
        <w:rPr>
          <w:b/>
          <w:noProof/>
        </w:rPr>
        <w:t>A termelékenység növekedése erősen függ az emberi tőkétől.</w:t>
      </w:r>
      <w:r>
        <w:rPr>
          <w:noProof/>
        </w:rPr>
        <w:t xml:space="preserve"> Az emberi tőke biztosításához olyan, magas színvonalú oktatási és képzési rendszerekre – többek között szakoktatásra – van szükség, amelyek minden tanulót felruháznak a gyorsan változó m</w:t>
      </w:r>
      <w:r>
        <w:rPr>
          <w:noProof/>
        </w:rPr>
        <w:t>unkaerőpiacon szükséges kulcskompetenciákkal és szakmai készségekkel. Ugyanakkor az alapkészségek terén gyengén teljesítők tartósan magas aránya – amit a legutóbbi PISA-felmérések is kiemeltek – jelentős szűk keresztmetszetet képez a készségfejlesztés és a</w:t>
      </w:r>
      <w:r>
        <w:rPr>
          <w:noProof/>
        </w:rPr>
        <w:t xml:space="preserve"> későbbi foglalkoztathatóság szempontjából. Országspecifikus ajánlásaiban a Tanács több alkalommal is felkérte a tagállamokat, hogy a képzett munkaerő iránti igény kielégítése érdekében növeljék a készségfejlesztési beruházásokat. </w:t>
      </w:r>
    </w:p>
    <w:p w:rsidR="00CC3216" w:rsidRDefault="00733A38">
      <w:pPr>
        <w:spacing w:before="100" w:beforeAutospacing="1" w:after="0"/>
        <w:jc w:val="both"/>
        <w:rPr>
          <w:noProof/>
        </w:rPr>
      </w:pPr>
      <w:r>
        <w:rPr>
          <w:b/>
          <w:bCs/>
          <w:noProof/>
        </w:rPr>
        <w:t>A termelékenység előmozd</w:t>
      </w:r>
      <w:r>
        <w:rPr>
          <w:b/>
          <w:bCs/>
          <w:noProof/>
        </w:rPr>
        <w:t>ítását célzó politikákat a nemzeti körülményekhez kell igazítani, amihez a nemzeti termelékenységi testületek szolgáltathatnak országspecifikus információkat.</w:t>
      </w:r>
      <w:r>
        <w:rPr>
          <w:noProof/>
        </w:rPr>
        <w:t xml:space="preserve"> A meglévő termelékenységi testületek nagy részét csak a közelmúltban jelölték ki, ezért még túl k</w:t>
      </w:r>
      <w:r>
        <w:rPr>
          <w:noProof/>
        </w:rPr>
        <w:t>orai lenne átfogó értékelést adni a hatásukról. Biztató, hogy az euróövezeti tagállamok többségében már létrejöttek nemzeti termelékenységi testületek, amelyek száma folyamatosan nő. Eddig tizennégy euróövezeti és négy euróövezeten kívüli tagállam hozta lé</w:t>
      </w:r>
      <w:r>
        <w:rPr>
          <w:noProof/>
        </w:rPr>
        <w:t>tre saját termelékenységi testületét.</w:t>
      </w:r>
    </w:p>
    <w:p w:rsidR="00CC3216" w:rsidRDefault="00733A38">
      <w:pPr>
        <w:spacing w:before="360" w:after="120"/>
        <w:jc w:val="both"/>
        <w:rPr>
          <w:b/>
          <w:noProof/>
        </w:rPr>
      </w:pPr>
      <w:r>
        <w:rPr>
          <w:b/>
          <w:i/>
          <w:noProof/>
        </w:rPr>
        <w:t>3.3. Méltányosság</w:t>
      </w:r>
    </w:p>
    <w:p w:rsidR="00CC3216" w:rsidRDefault="00733A38">
      <w:pPr>
        <w:pStyle w:val="CommentText"/>
        <w:spacing w:after="240" w:line="276" w:lineRule="auto"/>
        <w:jc w:val="both"/>
        <w:rPr>
          <w:b/>
          <w:noProof/>
        </w:rPr>
      </w:pPr>
      <w:r>
        <w:rPr>
          <w:b/>
          <w:noProof/>
          <w:sz w:val="24"/>
        </w:rPr>
        <w:t xml:space="preserve">A zöld és digitális átállás és a demográfiai változások miatt meg kell reformálni a szociális védelmi rendszereket és a munkaerőpiacokat, ugyanakkor méltányos munkafeltételeket és megfelelő szociális </w:t>
      </w:r>
      <w:r>
        <w:rPr>
          <w:b/>
          <w:noProof/>
          <w:sz w:val="24"/>
        </w:rPr>
        <w:t>védelmet kell biztosítani.</w:t>
      </w:r>
      <w:r>
        <w:rPr>
          <w:noProof/>
          <w:sz w:val="24"/>
        </w:rPr>
        <w:t xml:space="preserve"> </w:t>
      </w:r>
      <w:r>
        <w:rPr>
          <w:noProof/>
          <w:sz w:val="24"/>
          <w:szCs w:val="24"/>
        </w:rPr>
        <w:t>A reformokra annak biztosítása érdekében van szükség, hogy Európa továbbra is a világ legfejlettebb jóléti rendszereinek adjon otthont, befektessen humán tőkéjébe, és támogassa az innovációt és a versenyképes vállalkozószellemet.</w:t>
      </w:r>
      <w:r>
        <w:rPr>
          <w:noProof/>
          <w:sz w:val="24"/>
          <w:szCs w:val="24"/>
        </w:rPr>
        <w:t xml:space="preserve"> A méltányos átállási mechanizmus az Európai Szociális Alap Plusszal együtt kulcsfontosságú lesz annak biztosításában, hogy senki se maradjon ki.</w:t>
      </w:r>
    </w:p>
    <w:p w:rsidR="00CC3216" w:rsidRDefault="00733A38">
      <w:pPr>
        <w:jc w:val="both"/>
        <w:rPr>
          <w:b/>
          <w:noProof/>
        </w:rPr>
      </w:pPr>
      <w:r>
        <w:rPr>
          <w:b/>
          <w:noProof/>
        </w:rPr>
        <w:t>Európa ezen alapvető ambíciókat a szociális jogok európai pillére</w:t>
      </w:r>
      <w:r>
        <w:rPr>
          <w:rStyle w:val="FootnoteReference"/>
          <w:b/>
          <w:noProof/>
        </w:rPr>
        <w:footnoteReference w:id="8"/>
      </w:r>
      <w:r>
        <w:rPr>
          <w:b/>
          <w:noProof/>
        </w:rPr>
        <w:t xml:space="preserve"> révén elégíti ki.</w:t>
      </w:r>
      <w:r>
        <w:rPr>
          <w:noProof/>
        </w:rPr>
        <w:t xml:space="preserve"> A pillér – vagyis az átál</w:t>
      </w:r>
      <w:r>
        <w:rPr>
          <w:noProof/>
        </w:rPr>
        <w:t>lás méltányos és társadalmilag igazságos voltának biztosítására irányuló stratégia – megvalósítása azért is fontos, mert a kilátások szerint az uniós gazdaság várhatóan huzamosabb ideig lassabban fog nőni, jóllehet a foglalkoztatási és szociális helyzet to</w:t>
      </w:r>
      <w:r>
        <w:rPr>
          <w:noProof/>
        </w:rPr>
        <w:t>vább javult, amint azt a szociális eredménytábla is jelzi</w:t>
      </w:r>
      <w:r>
        <w:rPr>
          <w:rStyle w:val="FootnoteReference"/>
          <w:noProof/>
        </w:rPr>
        <w:footnoteReference w:id="9"/>
      </w:r>
      <w:r>
        <w:rPr>
          <w:noProof/>
        </w:rPr>
        <w:t>.</w:t>
      </w:r>
    </w:p>
    <w:p w:rsidR="00CC3216" w:rsidRDefault="00733A38">
      <w:pPr>
        <w:jc w:val="both"/>
        <w:rPr>
          <w:noProof/>
        </w:rPr>
      </w:pPr>
      <w:r>
        <w:rPr>
          <w:b/>
          <w:noProof/>
        </w:rPr>
        <w:t>A Bizottság nemrégiben meghatározta a szociális jogok európai pillérének végrehajtására vonatkozó cselekvési terv kidolgozásának főbb lépéseit</w:t>
      </w:r>
      <w:r>
        <w:rPr>
          <w:rStyle w:val="FootnoteReference"/>
          <w:b/>
          <w:noProof/>
        </w:rPr>
        <w:footnoteReference w:id="10"/>
      </w:r>
      <w:r>
        <w:rPr>
          <w:b/>
          <w:noProof/>
        </w:rPr>
        <w:t xml:space="preserve">, és megkezdte a szociális partnerekkel a méltányos </w:t>
      </w:r>
      <w:r>
        <w:rPr>
          <w:b/>
          <w:noProof/>
        </w:rPr>
        <w:t>minimálbérekről folytatott konzultáció első szakaszát</w:t>
      </w:r>
      <w:r>
        <w:rPr>
          <w:rStyle w:val="FootnoteReference"/>
          <w:b/>
          <w:noProof/>
        </w:rPr>
        <w:footnoteReference w:id="11"/>
      </w:r>
      <w:r>
        <w:rPr>
          <w:b/>
          <w:noProof/>
        </w:rPr>
        <w:t>.</w:t>
      </w:r>
      <w:r>
        <w:rPr>
          <w:noProof/>
        </w:rPr>
        <w:t xml:space="preserve"> Bár egyenmegoldás nem létezik, a társadalmi igazságosság és a társadalmi fejlődés az európai szociális piacgazdaság alapját képezi. 2019-ben szinte minden olyan tagállamban nőtt a minimálbér, amelyben</w:t>
      </w:r>
      <w:r>
        <w:rPr>
          <w:noProof/>
        </w:rPr>
        <w:t xml:space="preserve"> azt jogszabály rögzíti. Olaszország és Ciprus jelenleg a minimálbér jogszabályi bevezetéséről szóló előterjesztéseket tárgyalja. Noha az elmúlt évtizedekben egyes tagállamokban mérsékelt bérnövekedés volt tapasztalható, az alacsony bérű munkavállalók hely</w:t>
      </w:r>
      <w:r>
        <w:rPr>
          <w:noProof/>
        </w:rPr>
        <w:t>zete romlott, a bérkülönbségek pedig növekedtek. Az EU-ban minden hatodik munkavállaló alacsony bért kap. Az ilyen munkavállalók aránya növekedő tendenciát mutat</w:t>
      </w:r>
      <w:r>
        <w:rPr>
          <w:rStyle w:val="FootnoteReference"/>
          <w:noProof/>
        </w:rPr>
        <w:footnoteReference w:id="12"/>
      </w:r>
      <w:r>
        <w:rPr>
          <w:noProof/>
        </w:rPr>
        <w:t>. A dolgozói szegénység aránya is nőtt, 2005 és 2018 között 8,1 %-ról 9,6 %-ra.</w:t>
      </w:r>
    </w:p>
    <w:p w:rsidR="00CC3216" w:rsidRDefault="00733A38">
      <w:pPr>
        <w:jc w:val="both"/>
        <w:rPr>
          <w:noProof/>
        </w:rPr>
      </w:pPr>
      <w:r>
        <w:rPr>
          <w:b/>
          <w:noProof/>
        </w:rPr>
        <w:t>A munkanélküli</w:t>
      </w:r>
      <w:r>
        <w:rPr>
          <w:b/>
          <w:noProof/>
        </w:rPr>
        <w:t>ség mértéke továbbra is jelentősen eltér az egyes uniós tagállamok között.</w:t>
      </w:r>
      <w:r>
        <w:rPr>
          <w:noProof/>
        </w:rPr>
        <w:t xml:space="preserve"> A munkaerőpiac szegmentációja több tagállamban kihívást jelent, ami gyakran rontja a munkakörülményeket, és növeli a bizonytalanság érzését. A határozott idejű szerződéssel rendelke</w:t>
      </w:r>
      <w:r>
        <w:rPr>
          <w:noProof/>
        </w:rPr>
        <w:t xml:space="preserve">ző munkavállalók sokkal nagyobb mértékben vannak kitéve a szegénység kockázatának, mint a határozatlan idejű szerződéssel rendelkezők (2018-ban 16,2 %, illetve 6,1 %). Egyes csoportok, például a fiatalok, az alacsony képzettségűek, a fogyatékossággal élők </w:t>
      </w:r>
      <w:r>
        <w:rPr>
          <w:noProof/>
        </w:rPr>
        <w:t xml:space="preserve">és a migráns háttérrel rendelkezők továbbra is hátrányos helyzetben vannak a munkaerőpiacon. </w:t>
      </w:r>
    </w:p>
    <w:p w:rsidR="00CC3216" w:rsidRDefault="00733A38">
      <w:pPr>
        <w:jc w:val="both"/>
        <w:rPr>
          <w:b/>
          <w:noProof/>
        </w:rPr>
      </w:pPr>
      <w:r>
        <w:rPr>
          <w:b/>
          <w:noProof/>
        </w:rPr>
        <w:t>Számos tagállam intézkedéseket hoz a munkakörülmények javítása és a kiszolgáltatott csoportok munkaerőpiaci integrációjának előmozdítása érdekében.</w:t>
      </w:r>
      <w:r>
        <w:rPr>
          <w:noProof/>
        </w:rPr>
        <w:t xml:space="preserve"> Portugália pél</w:t>
      </w:r>
      <w:r>
        <w:rPr>
          <w:noProof/>
        </w:rPr>
        <w:t>dául a szociális partnerek megállapodását követően intézkedéseket fogadott el a munkaerőpiaci szegmentáció kezelésére és a határozatlan idejű munkaviszony előmozdítására. Szlovénia intézkedéseket hozott a munkanélküliek aktivizálásának elősegítése és szoci</w:t>
      </w:r>
      <w:r>
        <w:rPr>
          <w:noProof/>
        </w:rPr>
        <w:t>ális biztonságának javítása érdekében. Ciprus a munkaügyi felügyelőség reformjával és egy cselekvési tervvel a formális gazdaság keretei közé kívánja terelni a be nem jelentett munkavégzést, amihez visszatartó és megelőző intézkedéseket egyaránt bevezetett</w:t>
      </w:r>
      <w:r>
        <w:rPr>
          <w:noProof/>
        </w:rPr>
        <w:t xml:space="preserve">. </w:t>
      </w:r>
    </w:p>
    <w:p w:rsidR="00CC3216" w:rsidRDefault="00733A38">
      <w:pPr>
        <w:jc w:val="both"/>
        <w:rPr>
          <w:b/>
          <w:noProof/>
        </w:rPr>
      </w:pPr>
      <w:r>
        <w:rPr>
          <w:b/>
          <w:noProof/>
        </w:rPr>
        <w:t>Az elmúlt években a férfiak és a nők közötti foglalkoztatási és bérkülönbségek magas szinten stabilak maradtak</w:t>
      </w:r>
      <w:r>
        <w:rPr>
          <w:rStyle w:val="FootnoteReference"/>
          <w:b/>
          <w:noProof/>
        </w:rPr>
        <w:footnoteReference w:id="13"/>
      </w:r>
      <w:r>
        <w:rPr>
          <w:b/>
          <w:noProof/>
        </w:rPr>
        <w:t>.</w:t>
      </w:r>
      <w:r>
        <w:rPr>
          <w:noProof/>
        </w:rPr>
        <w:t xml:space="preserve"> A nők továbbra is kisebb arányban, kevesebb ideig, alacsonyabb fizetésért dolgoznak, és karrierjüket több megszakítás jellemzi. Emiatt nyugd</w:t>
      </w:r>
      <w:r>
        <w:rPr>
          <w:noProof/>
        </w:rPr>
        <w:t>íjjogosultságaik is kisebbek. Spanyolország minden szülő számára bevezette a 16 hetes szülői szabadság intézményét, amely 2021-től lép az anyasági és az apasági szabadság helyébe. Írország 2020. évi költségvetése egy olyan programot is finanszíroz, amely a</w:t>
      </w:r>
      <w:r>
        <w:rPr>
          <w:noProof/>
        </w:rPr>
        <w:t xml:space="preserve"> gondozási feladatok miatt inaktív nőket segíti a munkaerőpiaci visszatérésben. A gyermekvállalás a legtöbb tagállamban rontja a nők foglalkoztatási esélyeit, míg a férfiakét növeli. Több tagállamban bővülnek ugyan a megfizethető és jó minőségű gondozási k</w:t>
      </w:r>
      <w:r>
        <w:rPr>
          <w:noProof/>
        </w:rPr>
        <w:t>apacitások, de a kihívások továbbra is fennállnak.</w:t>
      </w:r>
    </w:p>
    <w:p w:rsidR="00CC3216" w:rsidRDefault="00733A38">
      <w:pPr>
        <w:jc w:val="both"/>
        <w:rPr>
          <w:b/>
          <w:noProof/>
        </w:rPr>
      </w:pPr>
      <w:r>
        <w:rPr>
          <w:b/>
          <w:noProof/>
        </w:rPr>
        <w:t>A strukturális változásokhoz való alkalmazkodás – különösen a zöld és digitális átállás, illetve a demográfiai változások összefüggésében – nem valósulhat meg az oktatásba és a készségekbe történő beruházá</w:t>
      </w:r>
      <w:r>
        <w:rPr>
          <w:b/>
          <w:noProof/>
        </w:rPr>
        <w:t>sok nélkül.</w:t>
      </w:r>
      <w:r>
        <w:rPr>
          <w:noProof/>
        </w:rPr>
        <w:t xml:space="preserve"> A magas színvonalú oktatáshoz és képzéshez való egyenlő hozzáférés már kisgyermekkortól kezdve alapvető fontosságú az esélyegyenlőség és a befogadás előmozdítása szempontjából, többek között az olyan alulreprezentált csoportok esetében, mint a </w:t>
      </w:r>
      <w:r>
        <w:rPr>
          <w:noProof/>
        </w:rPr>
        <w:t>romák, a migráns háttérrel rendelkezők és a fogyatékossággal élők. A fiatalok oktatási eredményeit azonban még mindig a társadalmi-gazdasági háttér határozza meg a leginkább. Több tagállam intézkedéseket hajt végre az oktatás és képzés inkluzivitásának fok</w:t>
      </w:r>
      <w:r>
        <w:rPr>
          <w:noProof/>
        </w:rPr>
        <w:t>ozása és a kutatóintézetek modernizálása érdekében. Szlovénia intézkedéseket vezetett be többek között a felnőttoktatás megerősítése céljából, Írország pedig a nemzeti képzési alap felülvizsgálata keretében növelte a készséghiányok felmérésére szánt forrás</w:t>
      </w:r>
      <w:r>
        <w:rPr>
          <w:noProof/>
        </w:rPr>
        <w:t>okat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. Finnország 2020-tól kezdődő folyamatos tanulási reformot indított, amely növelni fogja a munka és a tanulás rugalmas összeegyeztetésének esélyeit, és támogatja a munkahelyi tanulást. </w:t>
      </w:r>
    </w:p>
    <w:p w:rsidR="00CC3216" w:rsidRDefault="00733A38">
      <w:pPr>
        <w:jc w:val="both"/>
        <w:rPr>
          <w:b/>
          <w:noProof/>
        </w:rPr>
      </w:pPr>
      <w:r>
        <w:rPr>
          <w:b/>
          <w:noProof/>
        </w:rPr>
        <w:t>A szegénység és a társadalmi kirekesztődés a kedvező munkaerőpiac</w:t>
      </w:r>
      <w:r>
        <w:rPr>
          <w:b/>
          <w:noProof/>
        </w:rPr>
        <w:t>i viszonyok miatt tovább csökken.</w:t>
      </w:r>
      <w:r>
        <w:rPr>
          <w:noProof/>
        </w:rPr>
        <w:t xml:space="preserve"> A jövedelmi egyenlőtlenségek viszont az elmúlt években is növekedtek, és történelmileg magas szinten stabilizálódtak, ami a növekedést és a társadalmi kohéziót is veszélyeztetheti. A munka gyorsan változó világában mindenk</w:t>
      </w:r>
      <w:r>
        <w:rPr>
          <w:noProof/>
        </w:rPr>
        <w:t>i számára megfelelő szociális védelmet kell biztosítani. Írországban tavaly óta az önálló vállalkozók is jogosultak a rokkantsági járadékokra és a munkanélküli ellátásokra. Olaszország a védelem minimumszintjének bevezetésével szabályozta a digitális platf</w:t>
      </w:r>
      <w:r>
        <w:rPr>
          <w:noProof/>
        </w:rPr>
        <w:t>ormokon dolgozók munkakörülményeit és szociális védelmét. A demográfiai változások összefüggésében egyre fontosabb feladat a színvonalas egészségügyi ellátáshoz való egyenlő hozzáférés biztosítása, valamint a tartós ápolás-gondozás fejlesztése. Több tagáll</w:t>
      </w:r>
      <w:r>
        <w:rPr>
          <w:noProof/>
        </w:rPr>
        <w:t xml:space="preserve">am vizsgálja a megelőzési szolgáltatások megerősítésének, valamint a hozzáférhető, hatékony és költséghatékony gondozás előmozdításának lehetőségeit. </w:t>
      </w:r>
    </w:p>
    <w:p w:rsidR="00CC3216" w:rsidRDefault="00733A38">
      <w:pPr>
        <w:spacing w:before="120" w:after="120"/>
        <w:jc w:val="both"/>
        <w:rPr>
          <w:noProof/>
        </w:rPr>
      </w:pPr>
      <w:r>
        <w:rPr>
          <w:b/>
          <w:noProof/>
        </w:rPr>
        <w:t>Az adórendszerek és a szociális ellátórendszerek reformja hozzájárulhat a fenntartható és inkluzív növeke</w:t>
      </w:r>
      <w:r>
        <w:rPr>
          <w:b/>
          <w:noProof/>
        </w:rPr>
        <w:t>déshez.</w:t>
      </w:r>
      <w:r>
        <w:rPr>
          <w:noProof/>
        </w:rPr>
        <w:t xml:space="preserve"> Az adószerkezet kiigazítása – többek között a munkát terhelő adókról a kevésbé torzító hatású adók, például a környezetvédelmi adók felé való elmozdulással – előmozdíthatja a gazdaság növekedését és a foglalkoztatást, csökkentheti az egyenlőtlenség</w:t>
      </w:r>
      <w:r>
        <w:rPr>
          <w:noProof/>
        </w:rPr>
        <w:t>eket, és hozzájárulhat a gazdaság környezeti fenntarthatóságához. Az adórendszer reformja és különösen a munkát terhelő adók csökkentése már több tagállamban zajlik. Franciaország, Olaszország, Hollandia, Görögország és Szlovénia a személyi jövedelemadók v</w:t>
      </w:r>
      <w:r>
        <w:rPr>
          <w:noProof/>
        </w:rPr>
        <w:t>agy a társadalombiztosítási járulékok csökkentésével enyhíti a munka adóterhét. A munkát terhelő adók csökkentését részben a kevésbé káros adók előtérbe helyezésével finanszírozzák.</w:t>
      </w:r>
    </w:p>
    <w:p w:rsidR="00CC3216" w:rsidRDefault="00733A38">
      <w:pPr>
        <w:spacing w:before="120" w:after="120"/>
        <w:jc w:val="both"/>
        <w:rPr>
          <w:noProof/>
          <w:shd w:val="clear" w:color="auto" w:fill="FFFF00"/>
        </w:rPr>
      </w:pPr>
      <w:r>
        <w:rPr>
          <w:b/>
          <w:noProof/>
        </w:rPr>
        <w:t xml:space="preserve">A tagállamok eltérő mértékben haladtak előre az egészségügyi ellátás és a </w:t>
      </w:r>
      <w:r>
        <w:rPr>
          <w:b/>
          <w:noProof/>
        </w:rPr>
        <w:t>tartós ápolási-gondozási rendszerek reformja terén.</w:t>
      </w:r>
      <w:r>
        <w:rPr>
          <w:noProof/>
        </w:rPr>
        <w:t xml:space="preserve"> A színvonalas egészségügyi szolgáltatások költségvetési szempontból fenntartható, hatékony, megfizethető és hozzáférhető biztosítása mindenki számára hozzájárul a jó egészség megőrzéséhez vagy helyreállít</w:t>
      </w:r>
      <w:r>
        <w:rPr>
          <w:noProof/>
        </w:rPr>
        <w:t>ásához, és ezáltal a munkaerő-állomány termelékenységéhez és ellenálló képességéhez. Mindazonáltal a költségvetési szempontból fenntartható, hatékony és megfelelő tartós ápolás-gondozás biztosítása terén akad még tennivaló. Az országspecifikus ajánlások tö</w:t>
      </w:r>
      <w:r>
        <w:rPr>
          <w:noProof/>
        </w:rPr>
        <w:t>bb tagállam vonatkozásában kiemelt figyelmet igénylő területként azonosították az egészségügyi és/vagy a tartós ápolás-gondozási rendszert. Ciprus, Litvánia, Lettország és Szlovákia elért némi előrehaladást az ajánlások megvalósításában. Belgium, Bulgária,</w:t>
      </w:r>
      <w:r>
        <w:rPr>
          <w:noProof/>
        </w:rPr>
        <w:t xml:space="preserve"> Írország, Magyarország, Málta, Ausztria, Portugália, Románia és Finnország esetében csak korlátozott előrelépés történt, Csehország és Szlovénia esetében pedig nem történt előrelépés.</w:t>
      </w:r>
    </w:p>
    <w:p w:rsidR="00CC3216" w:rsidRDefault="00733A38">
      <w:pPr>
        <w:jc w:val="both"/>
        <w:rPr>
          <w:noProof/>
        </w:rPr>
      </w:pPr>
      <w:r>
        <w:rPr>
          <w:b/>
          <w:noProof/>
        </w:rPr>
        <w:t>A szociális párbeszéd kulcsszerepet játszik a reformok megfelelő kialak</w:t>
      </w:r>
      <w:r>
        <w:rPr>
          <w:b/>
          <w:noProof/>
        </w:rPr>
        <w:t>ításában és végrehajtásában.</w:t>
      </w:r>
      <w:r>
        <w:rPr>
          <w:noProof/>
        </w:rPr>
        <w:t xml:space="preserve"> A kollektív tárgyalás, valamint a szociális partnerek és a civil társadalom szélesebb körű bevonása különösen fontos most, amikor a szakpolitikai döntéshozók átfogó stratégiákat dolgoznak ki a méltányos és igazságos zöld és dig</w:t>
      </w:r>
      <w:r>
        <w:rPr>
          <w:noProof/>
        </w:rPr>
        <w:t>itális átállás megvalósítása, valamint a demográfiai változások kezelése érdekében. Az elmúlt években főként Észtországban, Lettországban, Portugáliában, Szlovéniában és Spanyolországban történt némi előrelépés a szociális partnerek politikai döntéshozatal</w:t>
      </w:r>
      <w:r>
        <w:rPr>
          <w:noProof/>
        </w:rPr>
        <w:t xml:space="preserve">ba való bevonásában. </w:t>
      </w:r>
    </w:p>
    <w:p w:rsidR="00CC3216" w:rsidRDefault="00733A38">
      <w:pPr>
        <w:spacing w:before="360" w:after="120"/>
        <w:jc w:val="both"/>
        <w:rPr>
          <w:b/>
          <w:noProof/>
        </w:rPr>
      </w:pPr>
      <w:r>
        <w:rPr>
          <w:b/>
          <w:i/>
          <w:noProof/>
        </w:rPr>
        <w:t>3.4. Gazdasági stabilitás</w:t>
      </w:r>
    </w:p>
    <w:p w:rsidR="00CC3216" w:rsidRDefault="00733A38">
      <w:pPr>
        <w:jc w:val="both"/>
        <w:rPr>
          <w:noProof/>
        </w:rPr>
      </w:pPr>
      <w:r>
        <w:rPr>
          <w:b/>
          <w:noProof/>
        </w:rPr>
        <w:t>A jelenlegi alacsony kamatkörnyezetben a tagállamok továbbra is nagyon eltérő államadóssági és fenntarthatósági kihívásokkal szembesülnek.</w:t>
      </w:r>
      <w:r>
        <w:rPr>
          <w:noProof/>
        </w:rPr>
        <w:t xml:space="preserve"> Az uniós tagállamok költségvetési hiánya átlagosan ismét emelkedni ke</w:t>
      </w:r>
      <w:r>
        <w:rPr>
          <w:noProof/>
        </w:rPr>
        <w:t>zdett, megfordítva az elmúlt évek csökkenő tendenciáját. A nemzeti költségvetési politikák továbbra sem eléggé differenciáltak. Az államadósság jelenlegi magas szintje miatt egyes tagállamok sebezhetők, ami adott esetben korlátozhatja szükséges makrogazdas</w:t>
      </w:r>
      <w:r>
        <w:rPr>
          <w:noProof/>
        </w:rPr>
        <w:t>ági stabilizációjukat. Olaszországban, Belgiumban, Spanyolországban és Franciaországban az adósságráta az elmúlt évek kedvező gazdasági és finanszírozási feltételei ellenére sem csökkent. A magas államadóssággal rendelkező tagállamoknak gyorsan csökkenteni</w:t>
      </w:r>
      <w:r>
        <w:rPr>
          <w:noProof/>
        </w:rPr>
        <w:t>ük kell adósságukat, és elsőbbséget kell biztosítaniuk a beruházások növelését szolgáló kiadásoknak. Ez visszaesés esetén lehetőséget adhatna anticiklikus költségvetési politika alkalmazására. Másrészről a kedvező költségvetési helyzetben lévő tagállamokba</w:t>
      </w:r>
      <w:r>
        <w:rPr>
          <w:noProof/>
        </w:rPr>
        <w:t>n a beruházások és egyéb produktív kiadások további élénkítése rövid és középtávon nemcsak a növekedést, hanem az euróövezeti gazdaság egyensúlyának helyreállítását is támogatná. Egyes tagállamok bő költségvetési mozgástérrel rendelkeznek, néhányuk részben</w:t>
      </w:r>
      <w:r>
        <w:rPr>
          <w:noProof/>
        </w:rPr>
        <w:t xml:space="preserve"> már ki is használja azt. Konkrétabban, Hollandia és Németország a beruházások növelését tervezi a gazdasági növekedés fokozása érdekében, további támogatást nyújtva a zöldebb gazdaságra való átálláshoz. </w:t>
      </w:r>
    </w:p>
    <w:p w:rsidR="00CC3216" w:rsidRDefault="00733A38">
      <w:pPr>
        <w:jc w:val="both"/>
        <w:rPr>
          <w:b/>
          <w:noProof/>
        </w:rPr>
      </w:pPr>
      <w:r>
        <w:rPr>
          <w:b/>
          <w:noProof/>
        </w:rPr>
        <w:t xml:space="preserve">Az EU-ban a tagállamok rendezett államháztartása a </w:t>
      </w:r>
      <w:r>
        <w:rPr>
          <w:b/>
          <w:noProof/>
        </w:rPr>
        <w:t>jól kialakított és jól működő nemzeti költségvetési kereteken alapul.</w:t>
      </w:r>
      <w:r>
        <w:rPr>
          <w:noProof/>
        </w:rPr>
        <w:t xml:space="preserve"> A tagállamok az elmúlt években megerősítették nemzeti költségvetési keretüket, leginkább az uniós jogi előírásokra és ajánlásokra válaszul. Litvánia és Lengyelország például folytatta a </w:t>
      </w:r>
      <w:r>
        <w:rPr>
          <w:noProof/>
        </w:rPr>
        <w:t>költségvetési kiadások kezelésének javítására irányuló reformot. Magyarország egyszerűsítette számszerű nemzeti fiskális szabályait, és harmonizálta az adósságráta kiszámítását. Több tagállam a keret további javításának lehetőségeit is vizsgálja, Franciaor</w:t>
      </w:r>
      <w:r>
        <w:rPr>
          <w:noProof/>
        </w:rPr>
        <w:t>szágban például a nemzetgyűlés ajánlásokat fogalmazott meg a középtávú költségvetési keret kialakításával kapcsolatban. A keretek kialakítását mindamellett még jobban lehetne javítani, amint azt az Európai Számvevőszék is javasolta</w:t>
      </w:r>
      <w:r>
        <w:rPr>
          <w:rStyle w:val="FootnoteReference"/>
          <w:noProof/>
          <w:sz w:val="20"/>
        </w:rPr>
        <w:footnoteReference w:id="15"/>
      </w:r>
      <w:r>
        <w:rPr>
          <w:noProof/>
        </w:rPr>
        <w:t xml:space="preserve">. </w:t>
      </w:r>
    </w:p>
    <w:p w:rsidR="00CC3216" w:rsidRDefault="00733A38">
      <w:pPr>
        <w:autoSpaceDE w:val="0"/>
        <w:spacing w:after="0"/>
        <w:jc w:val="both"/>
        <w:rPr>
          <w:b/>
          <w:noProof/>
        </w:rPr>
      </w:pPr>
      <w:r>
        <w:rPr>
          <w:b/>
          <w:noProof/>
        </w:rPr>
        <w:t xml:space="preserve">A tagállamok </w:t>
      </w:r>
      <w:r>
        <w:rPr>
          <w:b/>
          <w:noProof/>
        </w:rPr>
        <w:t>közberuházásai az erőfeszítések ellenére sem érték még el a válság előtti szintet.</w:t>
      </w:r>
      <w:r>
        <w:rPr>
          <w:noProof/>
        </w:rPr>
        <w:t xml:space="preserve"> A tagállamok többségénél a költségvetés összetétele a válságot megelőzően vagy annak kezdetekor a jelenleginél jobban támogatta a növekedést. A közberuházási kiadások szintj</w:t>
      </w:r>
      <w:r>
        <w:rPr>
          <w:noProof/>
        </w:rPr>
        <w:t>e még mindig a történelmi mélyponton van, és – különösen ami az euróövezetet illeti – a közberuházások GDP-hez viszonyított aránya az előrejelzések szerint csak kismértékben fog növekedni. A növekedési potenciál fokozásához a fenntartható növekedést előmoz</w:t>
      </w:r>
      <w:r>
        <w:rPr>
          <w:noProof/>
        </w:rPr>
        <w:t>dító strukturális reformokra, valamint a materiális és az immateriális tőkébe való termelékenységnövelő beruházásokra van szükség. Ez különösen azon tagállamok számára lenne fontos, amelyek növekedési potenciálja egyértelműen elmarad az euróövezeti átlagtó</w:t>
      </w:r>
      <w:r>
        <w:rPr>
          <w:noProof/>
        </w:rPr>
        <w:t>l. A külkereskedelem gyengesége és a kereskedelempolitikával kapcsolatos fokozott bizonytalanság ellenére az Európai Unió folyó fizetési mérlege továbbra is többletet mutat. Ez azt jelenti, hogy Európa megtakarításai elegendők a gazdasági átalakulás finans</w:t>
      </w:r>
      <w:r>
        <w:rPr>
          <w:noProof/>
        </w:rPr>
        <w:t xml:space="preserve">zírozására, de ehhez a tagállamoknak a megfelelő beruházásokra kell fordítaniuk a megtakarításokat. </w:t>
      </w:r>
    </w:p>
    <w:p w:rsidR="00CC3216" w:rsidRDefault="00733A38">
      <w:pPr>
        <w:spacing w:before="120" w:after="120"/>
        <w:jc w:val="both"/>
        <w:rPr>
          <w:b/>
          <w:noProof/>
        </w:rPr>
      </w:pPr>
      <w:r>
        <w:rPr>
          <w:b/>
          <w:noProof/>
        </w:rPr>
        <w:t>A kiadások felülvizsgálata egyre inkább rendszeres gyakorlattá válik az EU-ban, és fontos eszköz lehet az államháztartás minőségének javításában.</w:t>
      </w:r>
      <w:r>
        <w:rPr>
          <w:noProof/>
        </w:rPr>
        <w:t xml:space="preserve"> E felülvi</w:t>
      </w:r>
      <w:r>
        <w:rPr>
          <w:noProof/>
        </w:rPr>
        <w:t>zsgálatokra egyes országokban (például Németországban) évente, másutt (például Finnországban, Franciaországban, Írországban és Portugáliában) több évente kerül sor. A vizsgált kiadások köre is eltérő. Egyes felülvizsgálatok átfogóak, mások (például Lettors</w:t>
      </w:r>
      <w:r>
        <w:rPr>
          <w:noProof/>
        </w:rPr>
        <w:t>zágban, Litvániában és Szlovákiában) olyan kulcsfontosságú ágazati politikákat céloznak meg, mint az oktatás és az egészségügy, vagy pedig igen konkrét kérdésekre összpontosítanak (Máltán a rendőrségre, Németországban az üzleti ösztönzőkre, Spanyolországba</w:t>
      </w:r>
      <w:r>
        <w:rPr>
          <w:noProof/>
        </w:rPr>
        <w:t>n pedig a kormányzati támogatásokra). A felülvizsgálatok több esetben megtakarításokat eredményeztek, de a hatékonyságnövekedés tekintetében elért eredményeik nem mindig egyértelműek. A kiadások felülvizsgálatának hasznossága növelhető – ehhez rendszeres é</w:t>
      </w:r>
      <w:r>
        <w:rPr>
          <w:noProof/>
        </w:rPr>
        <w:t xml:space="preserve">s független értékelések készítésére, a költségvetési tervezéssel való kapcsolat javítására és a szubnacionális kiadások figyelembevételére lenne szükség. A közkiadások minőségének javításához a közbeszerzési verseny fokozása is hozzájárulhat. </w:t>
      </w:r>
    </w:p>
    <w:p w:rsidR="00CC3216" w:rsidRDefault="00733A38">
      <w:pPr>
        <w:spacing w:before="120" w:after="120"/>
        <w:jc w:val="both"/>
        <w:rPr>
          <w:b/>
          <w:noProof/>
        </w:rPr>
      </w:pPr>
      <w:r>
        <w:rPr>
          <w:b/>
          <w:noProof/>
        </w:rPr>
        <w:t>Az adókijáts</w:t>
      </w:r>
      <w:r>
        <w:rPr>
          <w:b/>
          <w:noProof/>
        </w:rPr>
        <w:t>zás és az agresszív adótervezés elleni küzdelem elengedhetetlen a rendezett államháztartás fenntartásához, valamint a vállalkozások közötti és a tagállamok közötti verseny torzulásának elkerüléséhez.</w:t>
      </w:r>
      <w:r>
        <w:rPr>
          <w:noProof/>
        </w:rPr>
        <w:t xml:space="preserve"> Az agresszív adótervezést folytató vállalkozások kihaszn</w:t>
      </w:r>
      <w:r>
        <w:rPr>
          <w:noProof/>
        </w:rPr>
        <w:t>álhatják néhány tagállam (Írország, Ciprus, Luxemburg, Magyarország, Málta és Hollandia) adórendszereinek bizonyos jellemzőit. Az általuk valamelyik tagállamban alkalmazott agresszív adótervezési gyakorlatok hatásai – ideértve az adóbevételek kiesését és a</w:t>
      </w:r>
      <w:r>
        <w:rPr>
          <w:noProof/>
        </w:rPr>
        <w:t xml:space="preserve"> vállalatok közötti versenyfeltételek torzulását is – átgyűrűzhetnek más vállalatokra és tagállamokra. Azoknak a tagállamoknak, amelyek adóalapja erodálódott, növelniük kell az egyéb adókból származó bevételeiket, mert különben kevesebb forrást tudnak csak</w:t>
      </w:r>
      <w:r>
        <w:rPr>
          <w:noProof/>
        </w:rPr>
        <w:t xml:space="preserve"> fordítani a növekedést, az újraelosztást és a beruházásokat szolgáló reformok céljára.</w:t>
      </w:r>
    </w:p>
    <w:p w:rsidR="00CC3216" w:rsidRDefault="00733A38">
      <w:pPr>
        <w:spacing w:before="120" w:after="120"/>
        <w:jc w:val="both"/>
        <w:rPr>
          <w:b/>
          <w:noProof/>
        </w:rPr>
      </w:pPr>
      <w:r>
        <w:rPr>
          <w:b/>
          <w:noProof/>
        </w:rPr>
        <w:t>A demográfiai változások és a magas államadósság jelentős kihívást jelentenek az államháztartás minőségének és fenntarthatóságának biztosítása szempontjából.</w:t>
      </w:r>
      <w:r>
        <w:rPr>
          <w:noProof/>
        </w:rPr>
        <w:t xml:space="preserve"> Közép- és </w:t>
      </w:r>
      <w:r>
        <w:rPr>
          <w:noProof/>
        </w:rPr>
        <w:t>hosszú távon a tagállamok több mint fele közepes vagy magas fenntarthatósági kockázatokkal szembesül. Több ország – különösen Belgium, Spanyolország, Franciaország, Olaszország és Portugália – esetében a kockázatok az államadósság jelentős előre jelzett ál</w:t>
      </w:r>
      <w:r>
        <w:rPr>
          <w:noProof/>
        </w:rPr>
        <w:t>lományának tudhatók be. A kihívások emellett az idős korral összefüggő közkiadások előre jelzett növekedésével kapcsolatosak. Néhány tagállam visszavonta a fenntarthatóságot fokozó nyugdíjreformokat, ami Olaszország és Románia esetében tovább súlyosbítja a</w:t>
      </w:r>
      <w:r>
        <w:rPr>
          <w:noProof/>
        </w:rPr>
        <w:t xml:space="preserve"> költségvetés jövőbeli kihívásait. A nyugdíjrendszerek reformja terén csak visszafogott előrehaladást értek el azok a tagállamok, amelyek tekintetében a Tanács 2019-ben nyugdíjra vonatkozó országspecifikus ajánlásokat fogadott el. Ezért Belgium, Csehország</w:t>
      </w:r>
      <w:r>
        <w:rPr>
          <w:noProof/>
        </w:rPr>
        <w:t xml:space="preserve">, Németország, Írország, Spanyolország, Franciaország, Olaszország, Luxemburg, Málta, Ausztria, Lengyelország, Románia, Szlovénia és Szlovákia esetében továbbra is szakpolitikai kihívások állnak fenn. </w:t>
      </w:r>
    </w:p>
    <w:p w:rsidR="00CC3216" w:rsidRDefault="00733A38">
      <w:pPr>
        <w:spacing w:before="120" w:after="240"/>
        <w:jc w:val="both"/>
        <w:rPr>
          <w:b/>
          <w:noProof/>
        </w:rPr>
      </w:pPr>
      <w:r>
        <w:rPr>
          <w:b/>
          <w:noProof/>
        </w:rPr>
        <w:t>2019-ben megerősödött a bankszektor ellenálló képesség</w:t>
      </w:r>
      <w:r>
        <w:rPr>
          <w:b/>
          <w:noProof/>
        </w:rPr>
        <w:t>e, amit a gazdasági feltételek és a fennmaradó kihívások enyhítését célzó intézkedések is elősegítettek.</w:t>
      </w:r>
      <w:r>
        <w:rPr>
          <w:noProof/>
        </w:rPr>
        <w:t xml:space="preserve"> A bankszektor tőkeellátottsága összességében stabil maradt, az átlagos uniós szintű tőkemegfelelési mutató 2019 második negyedévében 18,8 % volt. A ban</w:t>
      </w:r>
      <w:r>
        <w:rPr>
          <w:noProof/>
        </w:rPr>
        <w:t>ki üzleti modellek kiigazításának szükségessége, az alacsony kamatkörnyezet és az egyéb finanszírozási formák térnyeréséből eredően növekvő verseny sok tagállamban (például Görögországban, Németországban, Írországban, Portugáliában és Luxemburgban) nyomást</w:t>
      </w:r>
      <w:r>
        <w:rPr>
          <w:noProof/>
        </w:rPr>
        <w:t xml:space="preserve"> gyakorol a bankok versenyképességére és nyereségességére. A nemteljesítő hitelek korábbról fennmaradt állományának tartós csökkenésével viszont tovább tisztultak a bankok mérlegei. A nemteljesítő hitelek aránya uniós szinten 2019 második negyedévében 2,9 </w:t>
      </w:r>
      <w:r>
        <w:rPr>
          <w:noProof/>
        </w:rPr>
        <w:t>% volt, ami fél százalékpontos csökkenést jelent az egy évvel korábbi értékhez képest. Bár az eszközök minősége minden tagállamban javult, különösen azokban a tagállamokban, ahol a legmagasabb a nemteljesítő hitelek aránya, az arány Görögországban, Cipruso</w:t>
      </w:r>
      <w:r>
        <w:rPr>
          <w:noProof/>
        </w:rPr>
        <w:t>n, Portugáliában, Olaszországban, Bulgáriában és Horvátországban még mindig meghaladja a 7 %-ot. A bankoknak nyereségességük fokozása érdekében diverzifikálniuk kellene bevételi forrásaikat, ez azonban továbbra is kihívást jelent, különösen a kisebb hiteli</w:t>
      </w:r>
      <w:r>
        <w:rPr>
          <w:noProof/>
        </w:rPr>
        <w:t xml:space="preserve">ntézetek számára. </w:t>
      </w:r>
    </w:p>
    <w:p w:rsidR="00CC3216" w:rsidRDefault="00733A38">
      <w:pPr>
        <w:spacing w:before="120" w:after="240"/>
        <w:jc w:val="both"/>
        <w:rPr>
          <w:b/>
          <w:noProof/>
        </w:rPr>
      </w:pPr>
      <w:r>
        <w:rPr>
          <w:b/>
          <w:noProof/>
        </w:rPr>
        <w:t>A pénzmosás és a terrorizmus finanszírozása elleni küzdelem elengedhetetlen az EU gazdasági és pénzügyi rendszerének védelméhez.</w:t>
      </w:r>
      <w:r>
        <w:rPr>
          <w:noProof/>
        </w:rPr>
        <w:t xml:space="preserve"> A pénzmosás elleni keret alkalmazásának EU-szerte tapasztalható hiányosságai kiskapukat biztosítanak az ille</w:t>
      </w:r>
      <w:r>
        <w:rPr>
          <w:noProof/>
        </w:rPr>
        <w:t>gális tevékenységekből származó bevételek tisztára mosásához. Azok a tagállamok, ahol a jogszabályok nem igazodnak megfelelően az uniós normákhoz, ahol a felügyeleti rendszer nem kielégítő, ahol a pénzügyi hírszerzés kihasználatlan, és ahol a bűnüldözés ne</w:t>
      </w:r>
      <w:r>
        <w:rPr>
          <w:noProof/>
        </w:rPr>
        <w:t>m elég intenzív, gyenge láncszemnek minősülnek az uniós keret szempontjából. A közelmúlt pénzmosási botrányai rámutattak a szabályok szigorú alkalmazásának fontosságára.</w:t>
      </w:r>
    </w:p>
    <w:p w:rsidR="00CC3216" w:rsidRDefault="00733A38">
      <w:pPr>
        <w:numPr>
          <w:ilvl w:val="0"/>
          <w:numId w:val="6"/>
        </w:numPr>
        <w:spacing w:before="360" w:after="120"/>
        <w:jc w:val="both"/>
        <w:rPr>
          <w:b/>
          <w:noProof/>
        </w:rPr>
      </w:pPr>
      <w:r>
        <w:rPr>
          <w:rFonts w:ascii="Times New Roman Bold" w:hAnsi="Times New Roman Bold"/>
          <w:b/>
          <w:smallCaps/>
          <w:noProof/>
          <w:sz w:val="26"/>
        </w:rPr>
        <w:t xml:space="preserve">A makrogazdasági egyensúlyhiányok kezelése </w:t>
      </w:r>
    </w:p>
    <w:p w:rsidR="00CC3216" w:rsidRDefault="00733A38">
      <w:pPr>
        <w:spacing w:before="120" w:after="240"/>
        <w:jc w:val="both"/>
        <w:rPr>
          <w:b/>
          <w:noProof/>
        </w:rPr>
      </w:pPr>
      <w:r>
        <w:rPr>
          <w:b/>
          <w:noProof/>
        </w:rPr>
        <w:t xml:space="preserve">A makrogazdasági egyensúlyhiány </w:t>
      </w:r>
      <w:r>
        <w:rPr>
          <w:b/>
          <w:noProof/>
        </w:rPr>
        <w:t>kedvezőtlen hatással lehet egy adott tagállam, az euróövezet vagy az Unió egészének gazdaságára</w:t>
      </w:r>
      <w:r>
        <w:rPr>
          <w:rStyle w:val="FootnoteReference"/>
          <w:b/>
          <w:noProof/>
        </w:rPr>
        <w:footnoteReference w:id="16"/>
      </w:r>
      <w:r>
        <w:rPr>
          <w:b/>
          <w:noProof/>
        </w:rPr>
        <w:t>.</w:t>
      </w:r>
      <w:r>
        <w:rPr>
          <w:noProof/>
        </w:rPr>
        <w:t xml:space="preserve"> A makrogazdasági egyensúlyhiány kezelésére szolgáló eljárás célja, hogy már korai szakaszban felderítse és megelőzze az egyensúlyhiány kialakulását, vagy bizt</w:t>
      </w:r>
      <w:r>
        <w:rPr>
          <w:noProof/>
        </w:rPr>
        <w:t xml:space="preserve">osítsa, hogy az érintett tagállamok megtegyék a megfelelő lépéseket annak orvoslására. </w:t>
      </w:r>
    </w:p>
    <w:p w:rsidR="00CC3216" w:rsidRDefault="00733A38">
      <w:pPr>
        <w:spacing w:before="120" w:after="240"/>
        <w:jc w:val="both"/>
        <w:rPr>
          <w:noProof/>
        </w:rPr>
      </w:pPr>
      <w:r>
        <w:rPr>
          <w:b/>
          <w:noProof/>
        </w:rPr>
        <w:t>A riasztási mechanizmus keretében készült 2019. évi jelentés 13 tagállam esetében írt elő részletes vizsgálatot annak értékelése céljából, hogy az érintett tagállamokba</w:t>
      </w:r>
      <w:r>
        <w:rPr>
          <w:b/>
          <w:noProof/>
        </w:rPr>
        <w:t>n fennáll-e makrogazdasági egyensúlyhiány vagy annak kockázata</w:t>
      </w:r>
      <w:r>
        <w:rPr>
          <w:rStyle w:val="FootnoteCharacters"/>
          <w:noProof/>
        </w:rPr>
        <w:footnoteReference w:id="17"/>
      </w:r>
      <w:r>
        <w:rPr>
          <w:b/>
          <w:noProof/>
        </w:rPr>
        <w:t>.</w:t>
      </w:r>
      <w:r>
        <w:rPr>
          <w:noProof/>
        </w:rPr>
        <w:t xml:space="preserve"> E 13 ország esetében a Bizottság már egy évvel ezelőtt is megállapította az egyensúlyhiány vagy a túlzott egyensúlyhiány fennállását. Az aktuális ciklusban végzett részletes vizsgálat eredmén</w:t>
      </w:r>
      <w:r>
        <w:rPr>
          <w:noProof/>
        </w:rPr>
        <w:t>yeinek elemzését az érintett tagállamokra vonatkozó országjelentések tartalmazzák. Az elemzés az egyensúlyhiányok súlyosságát, alakulását és a rájuk adott szakpolitikai válaszokat vizsgálja. Figyelembe veszi továbbá az egyensúlyhiány releváns továbbgyűrűző</w:t>
      </w:r>
      <w:r>
        <w:rPr>
          <w:noProof/>
        </w:rPr>
        <w:t xml:space="preserve"> hatásait és határon átnyúló rendszerszintű következményeit is.</w:t>
      </w:r>
    </w:p>
    <w:p w:rsidR="00CC3216" w:rsidRDefault="00733A38">
      <w:pPr>
        <w:pStyle w:val="Heading2"/>
        <w:numPr>
          <w:ilvl w:val="0"/>
          <w:numId w:val="0"/>
        </w:numPr>
        <w:spacing w:line="276" w:lineRule="auto"/>
        <w:ind w:left="850" w:right="535" w:hanging="850"/>
        <w:rPr>
          <w:noProof/>
        </w:rPr>
      </w:pPr>
      <w:r>
        <w:rPr>
          <w:noProof/>
        </w:rPr>
        <w:t xml:space="preserve">4.1. </w:t>
      </w:r>
      <w:r>
        <w:rPr>
          <w:noProof/>
        </w:rPr>
        <w:tab/>
        <w:t>A makrogazdasági egyensúlyhiány kiigazítása terén elért eredmények az EU-ban és az euróövezetben</w:t>
      </w:r>
    </w:p>
    <w:p w:rsidR="00CC3216" w:rsidRDefault="00733A38">
      <w:pPr>
        <w:spacing w:before="120" w:after="240"/>
        <w:jc w:val="both"/>
        <w:rPr>
          <w:noProof/>
        </w:rPr>
      </w:pPr>
      <w:r>
        <w:rPr>
          <w:b/>
          <w:noProof/>
          <w:color w:val="444444"/>
        </w:rPr>
        <w:t>A makrogazdasági egyensúlyhiányok a kedvező gazdasági feltételek közepette fokozatosan ja</w:t>
      </w:r>
      <w:r>
        <w:rPr>
          <w:b/>
          <w:noProof/>
          <w:color w:val="444444"/>
        </w:rPr>
        <w:t>vulnak.</w:t>
      </w:r>
      <w:r>
        <w:rPr>
          <w:noProof/>
          <w:color w:val="444444"/>
        </w:rPr>
        <w:t xml:space="preserve"> A válságot követő széles körű hitelállomány-leépítés után számos egyensúlyhiányt és fenntarthatatlan tendenciát korrigáltak, nevezetesen a nagy folyófizetésimérleg-hiányokat, a lakásárakat felfelé hajtó túlzott hitelnövekedést és – általánosságban </w:t>
      </w:r>
      <w:r>
        <w:rPr>
          <w:noProof/>
          <w:color w:val="444444"/>
        </w:rPr>
        <w:t xml:space="preserve">– a költségalapú versenyképesség ellen ható magas fajlagos munkaköltséget. </w:t>
      </w:r>
      <w:r>
        <w:rPr>
          <w:noProof/>
        </w:rPr>
        <w:t xml:space="preserve">A hitelállomány-leépítés terén elért eredmények ellenére a magán, az állami és a külső adósságállomány továbbra is magas, így korrekciójához több időre lesz szükség. Emellett egyes </w:t>
      </w:r>
      <w:r>
        <w:rPr>
          <w:noProof/>
        </w:rPr>
        <w:t xml:space="preserve">esetekben még mindig fennállnak a pénzügyi szektor sebezhető pontjai. </w:t>
      </w:r>
    </w:p>
    <w:p w:rsidR="00CC3216" w:rsidRDefault="00733A38">
      <w:pPr>
        <w:spacing w:before="120" w:after="240"/>
        <w:jc w:val="both"/>
        <w:rPr>
          <w:b/>
          <w:noProof/>
        </w:rPr>
      </w:pPr>
      <w:r>
        <w:rPr>
          <w:b/>
          <w:noProof/>
        </w:rPr>
        <w:t>A külső pozíciók egyensúlyának helyreállítása továbbra sem valósult meg maradéktalanul.</w:t>
      </w:r>
      <w:r>
        <w:rPr>
          <w:noProof/>
        </w:rPr>
        <w:t xml:space="preserve"> Jelenleg csak kevés tagállam rendelkezik folyófizetésimérleg-hiánnyal, de több, jelentős külső ad</w:t>
      </w:r>
      <w:r>
        <w:rPr>
          <w:noProof/>
        </w:rPr>
        <w:t>ósságállománnyal rendelkező tagállamnak prudens folyófizetésimérleg-pozíciót kell fenntartania, és el kell kerülnie a versenyképesség romlását. Ugyanakkor egyes tagállamok (például Németország és Hollandia) még mindig jelentős folyófizetésimérleg-többlette</w:t>
      </w:r>
      <w:r>
        <w:rPr>
          <w:noProof/>
        </w:rPr>
        <w:t>l rendelkeznek, így az euróövezet a GDP 3,3 %-ának megfelelő többletet ért el. Ez azt jelenti, hogy az európai gazdaságok az elmúlt években mindig többet takarítottak meg annál, mint amennyit beruháztak, vagyis eszközöket halmoztak fel a világ többi részév</w:t>
      </w:r>
      <w:r>
        <w:rPr>
          <w:noProof/>
        </w:rPr>
        <w:t xml:space="preserve">el szemben. A gyenge exportkereslet a közelmúltban némileg szűkítette a folyó fizetési mérlegek többletét, illetve egyes esetekben növelte a folyó fizetési mérleg hiányát. Az alacsony inflációs és kamatkörnyezet ellensúlyozásához és a külföldi kereslettől </w:t>
      </w:r>
      <w:r>
        <w:rPr>
          <w:noProof/>
        </w:rPr>
        <w:t>való függőség csökkentéséhez a folyó fizetési mérlegek hiányait és többleteit is egyensúlyba kell hozni. Sok nettó adós országnak reformokat kell végrehajtania a versenyképesség fokozása és a külső adósság csökkentése érdekében. A nettó hitelező országokna</w:t>
      </w:r>
      <w:r>
        <w:rPr>
          <w:noProof/>
        </w:rPr>
        <w:t>k ki kell használniuk azt a lehetőséget, hogy most alacsony kamatlábak mellett további köz- és magánberuházásokat tudnak finanszírozni. Az egyensúly helyreállítását az is segítené, ha szigorítanák a bérnövekedést támogató feltételeket.</w:t>
      </w:r>
    </w:p>
    <w:p w:rsidR="00CC3216" w:rsidRDefault="00733A38">
      <w:pPr>
        <w:spacing w:before="120" w:after="240"/>
        <w:jc w:val="both"/>
        <w:rPr>
          <w:b/>
          <w:noProof/>
        </w:rPr>
      </w:pPr>
      <w:r>
        <w:rPr>
          <w:b/>
          <w:noProof/>
        </w:rPr>
        <w:t>Az uniós bankszektor</w:t>
      </w:r>
      <w:r>
        <w:rPr>
          <w:b/>
          <w:noProof/>
        </w:rPr>
        <w:t xml:space="preserve"> ellenálló képessége javult, de bizonyos kihívások továbbra is fennállnak.</w:t>
      </w:r>
      <w:r>
        <w:rPr>
          <w:noProof/>
        </w:rPr>
        <w:t xml:space="preserve"> A tőkemutatóknak a kötelezően előírt szint feletti növekedése megállt. A bankszektor nyereségessége számottevően javult az elmúlt években. A nemteljesítő hitelek aránya az elmúlt né</w:t>
      </w:r>
      <w:r>
        <w:rPr>
          <w:noProof/>
        </w:rPr>
        <w:t>hány évben észrevehetően csökkent, különösen azokban az országokban, ahol korábban még jelentősen nőtt a nemteljesítő hitelek állománya (például Cipruson, Olaszországban és Portugáliában). Továbbra is kihívásokkal néz szembe több olyan tagállam, ahol még m</w:t>
      </w:r>
      <w:r>
        <w:rPr>
          <w:noProof/>
        </w:rPr>
        <w:t xml:space="preserve">indig viszonylag alacsony a tőkeellátottság és a nyereségesség, ugyanakkor magas a nemteljesítő hitelek aránya. A tartósan alacsony kamatlábak és a lassuló gazdasági növekedés perspektívája tovább súlyosbítja ezeket a kihívásokat. </w:t>
      </w:r>
    </w:p>
    <w:p w:rsidR="00CC3216" w:rsidRDefault="00733A38">
      <w:pPr>
        <w:spacing w:before="120" w:after="240"/>
        <w:jc w:val="both"/>
        <w:rPr>
          <w:noProof/>
        </w:rPr>
      </w:pPr>
      <w:r>
        <w:rPr>
          <w:b/>
          <w:noProof/>
        </w:rPr>
        <w:t xml:space="preserve">A lakásárak továbbra is </w:t>
      </w:r>
      <w:r>
        <w:rPr>
          <w:b/>
          <w:noProof/>
        </w:rPr>
        <w:t>tartós ütemben növekednek – lassulás csak azokban a tagállamokban figyelhető meg, ahol már erősebbek a túlértékelésre utaló jelek.</w:t>
      </w:r>
      <w:r>
        <w:rPr>
          <w:noProof/>
        </w:rPr>
        <w:t xml:space="preserve"> Az ingatlanárak a 2000-es évek közepe óta egyre több országban meghaladják a csúcsértékeket, és valószínűleg túlértékeltek. A</w:t>
      </w:r>
      <w:r>
        <w:rPr>
          <w:noProof/>
        </w:rPr>
        <w:t>z ingatlanárak növekedése a közelmúltban azokban az uniós országokban mérséklődött, amelyekben eddig az igen jelentős ingatlanár-növekedés ellenére is csak korlátozottan mutatkoztak a túlértékelésre utaló jelek (így Magyarországon, Írországban és Portugáli</w:t>
      </w:r>
      <w:r>
        <w:rPr>
          <w:noProof/>
        </w:rPr>
        <w:t>ában).Ezzel szemben az árak növekedése gyakran gyorsult az olyan országokban, amelyekben erősebbek a túlértékeléssel kapcsolatos aggályok és a háztartások adósságállománya is magas, ideértve Svédországot is. Egyes országokban az ingatlanárak erőteljes növe</w:t>
      </w:r>
      <w:r>
        <w:rPr>
          <w:noProof/>
        </w:rPr>
        <w:t xml:space="preserve">kedését az új jelzáloghitelek számának stabil növekedése kíséri. </w:t>
      </w:r>
    </w:p>
    <w:p w:rsidR="00CC3216" w:rsidRDefault="00733A38">
      <w:pPr>
        <w:spacing w:before="120" w:after="240"/>
        <w:jc w:val="both"/>
        <w:rPr>
          <w:noProof/>
        </w:rPr>
      </w:pPr>
      <w:r>
        <w:rPr>
          <w:b/>
          <w:noProof/>
        </w:rPr>
        <w:t>A költségalapú versenyképesség feltételei számos tagállamban egyre kevésbé kedvezőek.</w:t>
      </w:r>
      <w:r>
        <w:rPr>
          <w:noProof/>
        </w:rPr>
        <w:t> A fajlagos munkaköltségek néhány tagállamban gyors ütemben nőnek a magas bérek és az alacsony termeléken</w:t>
      </w:r>
      <w:r>
        <w:rPr>
          <w:noProof/>
        </w:rPr>
        <w:t>ységnövekedés miatt. Egyes közép- és kelet-európai, illetve balti országokban a fajlagos munkaköltségek tartósan erőteljes növekedése a szűk munkaerőpiacokra és a készséghiányra vezethető vissza. Az euróövezet sok nettó hitelező országában a fajlagos munka</w:t>
      </w:r>
      <w:r>
        <w:rPr>
          <w:noProof/>
        </w:rPr>
        <w:t>költség jellemzően gyorsabban nő, mint az euróövezet nettó adós országaiban, de e növekedési ráták különbsége 2016 óta csökken, vagyis kevésbé támogatja az egyensúly szimmetrikus helyreállítását.</w:t>
      </w:r>
    </w:p>
    <w:p w:rsidR="00CC3216" w:rsidRDefault="00733A38">
      <w:pPr>
        <w:tabs>
          <w:tab w:val="left" w:pos="6524"/>
        </w:tabs>
        <w:spacing w:before="360" w:after="120" w:line="240" w:lineRule="auto"/>
        <w:jc w:val="both"/>
        <w:rPr>
          <w:i/>
          <w:noProof/>
        </w:rPr>
      </w:pPr>
      <w:r>
        <w:rPr>
          <w:b/>
          <w:noProof/>
        </w:rPr>
        <w:t>4.2. A makrogazdasági egyensúlyhiány kezelésére szolgáló elj</w:t>
      </w:r>
      <w:r>
        <w:rPr>
          <w:b/>
          <w:noProof/>
        </w:rPr>
        <w:t>árás végrehajtása</w:t>
      </w:r>
      <w:r>
        <w:rPr>
          <w:b/>
          <w:noProof/>
        </w:rPr>
        <w:tab/>
      </w:r>
    </w:p>
    <w:p w:rsidR="00CC3216" w:rsidRDefault="00733A38">
      <w:pPr>
        <w:spacing w:before="120" w:after="120"/>
        <w:jc w:val="both"/>
        <w:rPr>
          <w:b/>
          <w:noProof/>
        </w:rPr>
      </w:pPr>
      <w:r>
        <w:rPr>
          <w:b/>
          <w:noProof/>
        </w:rPr>
        <w:t>A Bizottság a részletes vizsgálatra kijelölt 13 tagállamból 12 esetében makrogazdasági egyensúlyhiányt vagy túlzott makrogazdasági egyensúlyhiányt állapított meg, amelyek súlyossága azonban több esetben kisebb volt a korábbinál.</w:t>
      </w:r>
      <w:r>
        <w:rPr>
          <w:noProof/>
        </w:rPr>
        <w:t xml:space="preserve"> A 2020. </w:t>
      </w:r>
      <w:r>
        <w:rPr>
          <w:noProof/>
        </w:rPr>
        <w:t xml:space="preserve">évi részletes vizsgálatok során megállapítást nyert, hogy 9 tagállamban </w:t>
      </w:r>
      <w:r>
        <w:rPr>
          <w:i/>
          <w:noProof/>
        </w:rPr>
        <w:t>egyensúlyhiány</w:t>
      </w:r>
      <w:r>
        <w:rPr>
          <w:noProof/>
        </w:rPr>
        <w:t xml:space="preserve">, három tagállamban pedig </w:t>
      </w:r>
      <w:r>
        <w:rPr>
          <w:i/>
          <w:noProof/>
        </w:rPr>
        <w:t>túlzott egyensúlyhiány</w:t>
      </w:r>
      <w:r>
        <w:rPr>
          <w:noProof/>
        </w:rPr>
        <w:t xml:space="preserve"> áll fenn. Egy tagállam esetében, amelynél tavaly még egyensúlyhiányt állapított meg a Bizottság, a gazdasági eredmények é</w:t>
      </w:r>
      <w:r>
        <w:rPr>
          <w:noProof/>
        </w:rPr>
        <w:t>s a szakpolitikai intézkedések megfelelő alakulása lehetővé teszi a makrogazdasági egyensúlyhiány kezelésére szolgáló eljárás lezárását. A többi érintett tagállam többségénél némi előrehaladás volt tapasztalható a makrogazdasági egyensúlyhiány korrekciójáb</w:t>
      </w:r>
      <w:r>
        <w:rPr>
          <w:noProof/>
        </w:rPr>
        <w:t>an. Ennek mértéke azonban még nem indokolja a korábban megállapított egyensúlyhiányok értékelésének módosítását. A 3. függelék tagállamok szerint összegzi a részletes vizsgálatok megállapításait.</w:t>
      </w:r>
    </w:p>
    <w:p w:rsidR="00CC3216" w:rsidRDefault="00733A38">
      <w:pPr>
        <w:spacing w:before="120" w:after="120"/>
        <w:jc w:val="both"/>
        <w:rPr>
          <w:noProof/>
          <w:color w:val="auto"/>
          <w:sz w:val="22"/>
          <w:szCs w:val="22"/>
        </w:rPr>
      </w:pPr>
      <w:r>
        <w:rPr>
          <w:b/>
          <w:bCs/>
          <w:noProof/>
        </w:rPr>
        <w:t>Bulgáriában</w:t>
      </w:r>
      <w:r>
        <w:rPr>
          <w:noProof/>
        </w:rPr>
        <w:t xml:space="preserve">, ahol 2019-ben </w:t>
      </w:r>
      <w:r>
        <w:rPr>
          <w:i/>
          <w:iCs/>
          <w:noProof/>
        </w:rPr>
        <w:t>egyensúlyhiányt</w:t>
      </w:r>
      <w:r>
        <w:rPr>
          <w:noProof/>
        </w:rPr>
        <w:t xml:space="preserve"> állapítottak meg,</w:t>
      </w:r>
      <w:r>
        <w:rPr>
          <w:noProof/>
        </w:rPr>
        <w:t xml:space="preserve"> ma már </w:t>
      </w:r>
      <w:r>
        <w:rPr>
          <w:i/>
          <w:iCs/>
          <w:noProof/>
        </w:rPr>
        <w:t>nincs egyensúlyhiány</w:t>
      </w:r>
      <w:r>
        <w:rPr>
          <w:noProof/>
        </w:rPr>
        <w:t>. Az ország jelentős előrehaladást ért el a pénzügyi szektor irányításának szigorításában és a fennálló szabályozási kérdések megválaszolásában. A vállalatok adósságállománya visszaesett, és a nemteljesítő hitelek aránya is csök</w:t>
      </w:r>
      <w:r>
        <w:rPr>
          <w:noProof/>
        </w:rPr>
        <w:t>kent, noha utóbbi a vállalatok esetében még mindig magas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. </w:t>
      </w:r>
    </w:p>
    <w:p w:rsidR="00CC3216" w:rsidRDefault="00733A38">
      <w:pPr>
        <w:spacing w:before="120" w:after="240"/>
        <w:jc w:val="both"/>
        <w:rPr>
          <w:noProof/>
        </w:rPr>
      </w:pPr>
      <w:r>
        <w:rPr>
          <w:noProof/>
        </w:rPr>
        <w:t>A 2019-ben egyensúlyhiánnyal azonosított többi tagállam többségének sebezhetősége továbbra is fokozatosan mérséklődik, de a gazdasági és a szakpolitikai kilátások továbbra is kihívásokat mutatnak:</w:t>
      </w:r>
    </w:p>
    <w:p w:rsidR="00CC3216" w:rsidRDefault="00733A38">
      <w:pPr>
        <w:numPr>
          <w:ilvl w:val="0"/>
          <w:numId w:val="7"/>
        </w:numPr>
        <w:spacing w:before="120" w:after="240"/>
        <w:jc w:val="both"/>
        <w:rPr>
          <w:noProof/>
        </w:rPr>
      </w:pPr>
      <w:r>
        <w:rPr>
          <w:b/>
          <w:noProof/>
        </w:rPr>
        <w:t>Németországban</w:t>
      </w:r>
      <w:r>
        <w:rPr>
          <w:noProof/>
        </w:rPr>
        <w:t xml:space="preserve"> és </w:t>
      </w:r>
      <w:r>
        <w:rPr>
          <w:b/>
          <w:noProof/>
        </w:rPr>
        <w:t>Hollandiában</w:t>
      </w:r>
      <w:r>
        <w:rPr>
          <w:noProof/>
        </w:rPr>
        <w:t xml:space="preserve"> történt némi korrekció és némi szakpolitikai előrehaladás, de a folyó fizetési mérleg nagy többlete továbbra is fennáll. </w:t>
      </w:r>
      <w:r>
        <w:rPr>
          <w:b/>
          <w:noProof/>
        </w:rPr>
        <w:t>Spanyolország</w:t>
      </w:r>
      <w:r>
        <w:rPr>
          <w:noProof/>
        </w:rPr>
        <w:t xml:space="preserve">, </w:t>
      </w:r>
      <w:r>
        <w:rPr>
          <w:b/>
          <w:noProof/>
        </w:rPr>
        <w:t>Portugália, Írország</w:t>
      </w:r>
      <w:r>
        <w:rPr>
          <w:noProof/>
        </w:rPr>
        <w:t xml:space="preserve"> és </w:t>
      </w:r>
      <w:r>
        <w:rPr>
          <w:b/>
          <w:noProof/>
        </w:rPr>
        <w:t>Horvátország</w:t>
      </w:r>
      <w:r>
        <w:rPr>
          <w:noProof/>
        </w:rPr>
        <w:t xml:space="preserve"> a magán, az állami és a külső adósságállomány magas szintjéhez kötődő sebezhetőségek kombinációjával jellemezhető. Ezek az állományi egyensúlyhiányok a gazdaság élénkülésével csökkenni kezdtek, különösen Írországban, ahol határozott szakpolitikai intézked</w:t>
      </w:r>
      <w:r>
        <w:rPr>
          <w:noProof/>
        </w:rPr>
        <w:t xml:space="preserve">ések történtek. A szakpolitikai intézkedések Horvátországban és Spanyolországban némileg akadoznak. </w:t>
      </w:r>
      <w:r>
        <w:rPr>
          <w:b/>
          <w:noProof/>
        </w:rPr>
        <w:t>Franciaországban</w:t>
      </w:r>
      <w:r>
        <w:rPr>
          <w:noProof/>
        </w:rPr>
        <w:t xml:space="preserve"> még nem csökken az államadósság, és a szakpolitika némi javulása ellenére a termelékenységnövekedés visszafogott maradt. </w:t>
      </w:r>
      <w:r>
        <w:rPr>
          <w:b/>
          <w:noProof/>
        </w:rPr>
        <w:t>Svédországban</w:t>
      </w:r>
      <w:r>
        <w:rPr>
          <w:noProof/>
        </w:rPr>
        <w:t xml:space="preserve"> a közelmúltbeli korrekció ellenére a lakásárak a történelmi csúcsponton maradtak, a háztartások adósságállománya pedig folyamatosan nő; az előrehaladás ellenére továbbra is fennállnak a szakpolitikai hiányosságok. </w:t>
      </w:r>
      <w:r>
        <w:rPr>
          <w:b/>
          <w:noProof/>
        </w:rPr>
        <w:t>Romániában</w:t>
      </w:r>
      <w:r>
        <w:rPr>
          <w:noProof/>
        </w:rPr>
        <w:t xml:space="preserve"> az erősen expanzív költségveté</w:t>
      </w:r>
      <w:r>
        <w:rPr>
          <w:noProof/>
        </w:rPr>
        <w:t>si politika mellett továbbra is fennállnak a költségalapú versenyképesség elvesztéséhez és a folyó fizetési mérleg növekvő hiányához kötődő sebezhetőségek, amelyek a jelenlegi tendenciák visszafordítása nélkül még súlyosabbak lesznek.</w:t>
      </w:r>
    </w:p>
    <w:p w:rsidR="00CC3216" w:rsidRDefault="00733A38">
      <w:pPr>
        <w:numPr>
          <w:ilvl w:val="0"/>
          <w:numId w:val="7"/>
        </w:numPr>
        <w:spacing w:before="120" w:after="240"/>
        <w:jc w:val="both"/>
        <w:rPr>
          <w:noProof/>
        </w:rPr>
      </w:pPr>
      <w:r>
        <w:rPr>
          <w:noProof/>
        </w:rPr>
        <w:t>A Bizottság Ciprus, G</w:t>
      </w:r>
      <w:r>
        <w:rPr>
          <w:noProof/>
        </w:rPr>
        <w:t xml:space="preserve">örögország és Olaszország esetében 2019-hez hasonlóan </w:t>
      </w:r>
      <w:r>
        <w:rPr>
          <w:b/>
          <w:bCs/>
          <w:iCs/>
          <w:noProof/>
        </w:rPr>
        <w:t>túlzott egyensúlyhiány</w:t>
      </w:r>
      <w:r>
        <w:rPr>
          <w:noProof/>
        </w:rPr>
        <w:t xml:space="preserve"> fennállását állapította meg. </w:t>
      </w:r>
      <w:r>
        <w:rPr>
          <w:b/>
          <w:noProof/>
        </w:rPr>
        <w:t>Ciprus</w:t>
      </w:r>
      <w:r>
        <w:rPr>
          <w:noProof/>
        </w:rPr>
        <w:t xml:space="preserve"> sebezhetősége az elmúlt évek előrelépései ellenére továbbra is jelentős. A nemteljesítő hitelek 2018-ban még jelentősen csökkentek, de csökkené</w:t>
      </w:r>
      <w:r>
        <w:rPr>
          <w:noProof/>
        </w:rPr>
        <w:t xml:space="preserve">sük azóta lassul. Az államadósság és a magánszektor adóssága csökken, és várhatóan továbbra is csökkenni fog. A már most is igen negatív </w:t>
      </w:r>
      <w:r>
        <w:rPr>
          <w:noProof/>
          <w:color w:val="666666"/>
        </w:rPr>
        <w:t>nettó nemzetközi befektetési pozícióval</w:t>
      </w:r>
      <w:r>
        <w:rPr>
          <w:noProof/>
        </w:rPr>
        <w:t xml:space="preserve"> a háttérben azonban tovább nőtt a folyó fizetési mérleg hiánya. A szakpolitikai</w:t>
      </w:r>
      <w:r>
        <w:rPr>
          <w:noProof/>
        </w:rPr>
        <w:t xml:space="preserve"> előrelépés vegyes képet mutat, néhány reform még függőben van. </w:t>
      </w:r>
      <w:r>
        <w:rPr>
          <w:b/>
          <w:noProof/>
        </w:rPr>
        <w:t>Görögországban</w:t>
      </w:r>
      <w:r>
        <w:rPr>
          <w:noProof/>
        </w:rPr>
        <w:t xml:space="preserve"> még mindig igen jelentős sebezhetőségek állnak fenn az államadósság, a nemteljesítő hitelek és a külső szektor kapcsán, miközben a növekedési potenciál továbbra is alacsony, a m</w:t>
      </w:r>
      <w:r>
        <w:rPr>
          <w:noProof/>
        </w:rPr>
        <w:t xml:space="preserve">unkanélküliség pedig magas. Ugyanakkor több területen már láthatók az előrelépés jelei. A megerősített felügyeleti program keretében nyomon követett szakpolitikai kötelezettségvállalások teljesítése nagyjából jó úton halad. </w:t>
      </w:r>
      <w:r>
        <w:rPr>
          <w:b/>
          <w:noProof/>
        </w:rPr>
        <w:t>Olaszország</w:t>
      </w:r>
      <w:r>
        <w:rPr>
          <w:noProof/>
        </w:rPr>
        <w:t xml:space="preserve"> GDP-arányos államadó</w:t>
      </w:r>
      <w:r>
        <w:rPr>
          <w:noProof/>
        </w:rPr>
        <w:t>ssága még mindig emelkedőben van, de a kormány a tervek szintjén már jobban ügyel az adósság csökkentésére. A potenciális növekedés a javulása ellenére továbbra sem elegendő mértékű az adósság gyors csökkentéséhez. A reformprogram végrehajtása újból megind</w:t>
      </w:r>
      <w:r>
        <w:rPr>
          <w:noProof/>
        </w:rPr>
        <w:t>ult. Az egyensúlyhiány megszüntetéséhez mindhárom országban tartós reformokra van szükség. A Bizottság ezeket szoros figyelemmel fogja kísérni.</w:t>
      </w:r>
    </w:p>
    <w:p w:rsidR="00CC3216" w:rsidRDefault="00733A38">
      <w:pPr>
        <w:spacing w:before="120" w:after="120"/>
        <w:jc w:val="both"/>
        <w:rPr>
          <w:noProof/>
        </w:rPr>
      </w:pPr>
      <w:r>
        <w:rPr>
          <w:b/>
          <w:noProof/>
        </w:rPr>
        <w:t>A Bizottság egyedi nyomon követés keretében a továbbiakban is vizsgálni fogja az összes egyensúlyhiánnyal vagy t</w:t>
      </w:r>
      <w:r>
        <w:rPr>
          <w:b/>
          <w:noProof/>
        </w:rPr>
        <w:t>úlzott egyensúlyhiánnyal küzdő tagállam helyzetének alakulását és az általuk hozott szakpolitikai intézkedéseket.</w:t>
      </w:r>
      <w:r>
        <w:rPr>
          <w:noProof/>
        </w:rPr>
        <w:t xml:space="preserve"> A Tanács részt vesz ezekben a vizsgálatokban, és támogatta az egyedi nyomonkövetési jelentések következtetéseit</w:t>
      </w:r>
      <w:r>
        <w:rPr>
          <w:rStyle w:val="FootnoteReference"/>
          <w:noProof/>
        </w:rPr>
        <w:footnoteReference w:id="19"/>
      </w:r>
      <w:r>
        <w:rPr>
          <w:noProof/>
        </w:rPr>
        <w:t>.</w:t>
      </w:r>
    </w:p>
    <w:p w:rsidR="00CC3216" w:rsidRDefault="00733A38">
      <w:pPr>
        <w:numPr>
          <w:ilvl w:val="0"/>
          <w:numId w:val="6"/>
        </w:numPr>
        <w:spacing w:before="360" w:after="120"/>
        <w:jc w:val="both"/>
        <w:rPr>
          <w:b/>
          <w:noProof/>
        </w:rPr>
      </w:pPr>
      <w:r>
        <w:rPr>
          <w:rFonts w:ascii="Times New Roman Bold" w:hAnsi="Times New Roman Bold"/>
          <w:b/>
          <w:smallCaps/>
          <w:noProof/>
          <w:sz w:val="26"/>
        </w:rPr>
        <w:t>Az országspecifikus ajánláso</w:t>
      </w:r>
      <w:r>
        <w:rPr>
          <w:rFonts w:ascii="Times New Roman Bold" w:hAnsi="Times New Roman Bold"/>
          <w:b/>
          <w:smallCaps/>
          <w:noProof/>
          <w:sz w:val="26"/>
        </w:rPr>
        <w:t xml:space="preserve">k terén elért eredmények – a kohéziós politikai alapok programozása </w:t>
      </w:r>
    </w:p>
    <w:p w:rsidR="00CC3216" w:rsidRDefault="00733A38">
      <w:pPr>
        <w:spacing w:before="120" w:after="120"/>
        <w:jc w:val="both"/>
        <w:rPr>
          <w:b/>
          <w:noProof/>
        </w:rPr>
      </w:pPr>
      <w:r>
        <w:rPr>
          <w:b/>
          <w:noProof/>
        </w:rPr>
        <w:t>A tagállamok további eredményeket értek el az országspecifikus ajánlások végrehajtása terén, de a reformok végrehajtásának szintje tagállamonként eltér.</w:t>
      </w:r>
      <w:r>
        <w:rPr>
          <w:noProof/>
        </w:rPr>
        <w:t xml:space="preserve"> Több évre visszatekintve a végreha</w:t>
      </w:r>
      <w:r>
        <w:rPr>
          <w:noProof/>
        </w:rPr>
        <w:t>jtás szintje az elmúlt években nagyjából stabil maradt. Konkrétabban, a tagállamok az európai szemeszter 2011. évi kezdete óta megfogalmazott országspecifikus ajánlások több mint kétharmada esetében legalább némi haladást elértek. Ami a szakpolitikai terül</w:t>
      </w:r>
      <w:r>
        <w:rPr>
          <w:noProof/>
        </w:rPr>
        <w:t>eteket illeti, a tagállamok a legtöbb eredményt a pénzügyi szolgáltatások terén érték el, ezt követte a jogalkotás, a munkajog és a foglalkoztatásvédelem. Kifejezetten lassú ugyanakkor az előrelépés az adóalap szélesítése, valamint az egészségügy és a tart</w:t>
      </w:r>
      <w:r>
        <w:rPr>
          <w:noProof/>
        </w:rPr>
        <w:t>ós ápolás-gondozás reformja terén.</w:t>
      </w:r>
    </w:p>
    <w:p w:rsidR="00CC3216" w:rsidRDefault="00733A38">
      <w:pPr>
        <w:spacing w:before="120" w:after="120"/>
        <w:jc w:val="both"/>
        <w:rPr>
          <w:b/>
          <w:noProof/>
          <w:color w:val="auto"/>
        </w:rPr>
      </w:pPr>
      <w:r>
        <w:rPr>
          <w:b/>
          <w:noProof/>
        </w:rPr>
        <w:t>A gazdasági kilátásokat övező nagy fokú bizonytalanság közepette a növekedésösztönző reformok időben történő és hatékony végrehajtása elengedhetetlen a gazdaság hosszú távú kihívásainak kezeléséhez.</w:t>
      </w:r>
      <w:r>
        <w:rPr>
          <w:noProof/>
        </w:rPr>
        <w:t xml:space="preserve"> Ami a 2019-ben elfogad</w:t>
      </w:r>
      <w:r>
        <w:rPr>
          <w:noProof/>
        </w:rPr>
        <w:t>ott tanácsi ajánlásokat illeti, a pénzügyi szolgáltatások és az aktív munkaerőpiaci intézkedések terén erőteljes volt a reformok végrehajtása. A végrehajtás azonban egyes – például a szolgáltatások terén folyó versenyre és az államháztartás hosszú távú fen</w:t>
      </w:r>
      <w:r>
        <w:rPr>
          <w:noProof/>
        </w:rPr>
        <w:t xml:space="preserve">ntarthatóságára vonatkozó – ajánlások tekintetében továbbra is lassú. A Bizottság intézkedéseket hozott annak érdekében, hogy átláthatóbbá tegye az országspecifikus ajánlások végrehajtásának értékelési folyamatát, és előmozdítsa az ajánlásokról folytatott </w:t>
      </w:r>
      <w:r>
        <w:rPr>
          <w:noProof/>
        </w:rPr>
        <w:t>többoldalú felülvizsgálati megbeszéléseket. Összességében megállapítható, hogy a bizonytalan gazdasági kilátások miatt fel kell gyorsítani a reformok végrehajtását.</w:t>
      </w:r>
    </w:p>
    <w:p w:rsidR="00CC3216" w:rsidRDefault="00733A38">
      <w:pPr>
        <w:suppressAutoHyphens w:val="0"/>
        <w:spacing w:after="120"/>
        <w:jc w:val="both"/>
        <w:rPr>
          <w:noProof/>
          <w:color w:val="auto"/>
        </w:rPr>
      </w:pPr>
      <w:r>
        <w:rPr>
          <w:b/>
          <w:noProof/>
        </w:rPr>
        <w:t>A beruházással kapcsolatos gazdaságpolitikai intézkedések végrehajtása időigényes.</w:t>
      </w:r>
      <w:r>
        <w:rPr>
          <w:noProof/>
        </w:rPr>
        <w:t xml:space="preserve"> A beruhá</w:t>
      </w:r>
      <w:r>
        <w:rPr>
          <w:noProof/>
        </w:rPr>
        <w:t>zásokkal kapcsolatos gazdaságpolitika tekintetében tavaly első alkalommal adtak ki országspecifikus ajánlásokat. A tagállamoknak az ajánlás értelmében szakpolitikáikat meghatározott területekre kell összpontosítaniuk, a nemzeti köz- és magánforrások, valam</w:t>
      </w:r>
      <w:r>
        <w:rPr>
          <w:noProof/>
        </w:rPr>
        <w:t>int az uniós források felhasználásával. A végrehajtás terén elért eredményeket hosszú távú perspektívából kell elemezni. A tagállamoknak a szakpolitikáikat meghatározott területekre kell összpontosítaniuk, a nemzeti köz- és magánforrások, valamint az uniós</w:t>
      </w:r>
      <w:r>
        <w:rPr>
          <w:noProof/>
        </w:rPr>
        <w:t xml:space="preserve"> források felhasználásával. Az uniós források felhasználását illetően a jelek pozitívak: a Bizottság a 2014–2020-as aktuális programozási időszakhoz tartozó európai strukturális és beruházási alapok 2019. évi teljesítményértékelését követően 21,4 milliárd </w:t>
      </w:r>
      <w:r>
        <w:rPr>
          <w:noProof/>
        </w:rPr>
        <w:t>EUR-t szabadított fel az eredményességi tartalékból</w:t>
      </w:r>
      <w:r>
        <w:rPr>
          <w:rStyle w:val="FootnoteReference"/>
          <w:noProof/>
        </w:rPr>
        <w:footnoteReference w:id="20"/>
      </w:r>
      <w:r>
        <w:rPr>
          <w:noProof/>
        </w:rPr>
        <w:t>. A teljesítményértékelés kötött struktúrája ellenére a kohéziós politika eredményességi tartalékából felszabadított összeg mintegy háromnegyedét, 15,9 milliárd EUR-t az országspecifikus beruházási ajánlá</w:t>
      </w:r>
      <w:r>
        <w:rPr>
          <w:noProof/>
        </w:rPr>
        <w:t>sokhoz kapcsolódó területek kapták. A teljesítménycéljukat el nem érő programokhoz és prioritásokhoz kapcsolódó összegek tekintetében a Bizottság szolgálatai arra kérték a tagállamokat, hogy átcsoportosítási javaslataikban kellően vegyék figyelembe az orsz</w:t>
      </w:r>
      <w:r>
        <w:rPr>
          <w:noProof/>
        </w:rPr>
        <w:t xml:space="preserve">ágspecifikus beruházási ajánlásokat. A tagállamok 2019 őszén kezdték benyújtani ennek megfelelő átprogramozási javaslataikat a Bizottsághoz értékelésre és jóváhagyásra. </w:t>
      </w:r>
    </w:p>
    <w:p w:rsidR="00CC3216" w:rsidRDefault="00733A38">
      <w:pPr>
        <w:suppressAutoHyphens w:val="0"/>
        <w:spacing w:after="120"/>
        <w:jc w:val="both"/>
        <w:rPr>
          <w:noProof/>
          <w:color w:val="auto"/>
        </w:rPr>
      </w:pPr>
      <w:r>
        <w:rPr>
          <w:b/>
          <w:noProof/>
        </w:rPr>
        <w:t xml:space="preserve">2. háttérmagyarázat: A kohéziós politikai alapok programozásának jelenlegi állása </w:t>
      </w:r>
    </w:p>
    <w:p w:rsidR="00CC3216" w:rsidRDefault="00733A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120" w:line="240" w:lineRule="auto"/>
        <w:jc w:val="both"/>
        <w:rPr>
          <w:noProof/>
          <w:color w:val="auto"/>
        </w:rPr>
      </w:pPr>
      <w:r>
        <w:rPr>
          <w:noProof/>
        </w:rPr>
        <w:t>A k</w:t>
      </w:r>
      <w:r>
        <w:rPr>
          <w:noProof/>
        </w:rPr>
        <w:t>özberuházások sok tagállamban nagymértékben függnek az uniós forrásoktól. A 2014–2020-as programozási időszak kohéziós politikai alapjainak programozásakor figyelembe vették a beruházásokkal kapcsolatos országspecifikus ajánlásokat is. Ezek az országspecif</w:t>
      </w:r>
      <w:r>
        <w:rPr>
          <w:noProof/>
        </w:rPr>
        <w:t>ikus ajánlások az európai szempontból stratégiai jelentőségű területekre irányulnak. A 2021–2027-es kohéziós politika programozása tekintetében a Bizottság azt javasolta, hogy az még szorosabban kapcsolódjon az európai szemeszterhez. A Bizottság a szemeszt</w:t>
      </w:r>
      <w:r>
        <w:rPr>
          <w:noProof/>
        </w:rPr>
        <w:t>er 2019. évi ciklusa keretében előterjesztette a kohéziós politikai alapokra vonatkozó beruházási iránymutatást, illetve az egyes tagállamok beruházásokkal összefüggő szakpolitikáira vonatkozó országspecifikus ajánlásokat, amelyeket a Tanács el is fogadott</w:t>
      </w:r>
      <w:r>
        <w:rPr>
          <w:noProof/>
        </w:rPr>
        <w:t xml:space="preserve">. </w:t>
      </w:r>
    </w:p>
    <w:p w:rsidR="00CC3216" w:rsidRDefault="00733A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120" w:line="240" w:lineRule="auto"/>
        <w:jc w:val="both"/>
        <w:rPr>
          <w:rFonts w:ascii="Times New Roman Bold" w:hAnsi="Times New Roman Bold" w:cs="Times New Roman Bold"/>
          <w:b/>
          <w:smallCaps/>
          <w:noProof/>
          <w:sz w:val="26"/>
        </w:rPr>
      </w:pPr>
      <w:r>
        <w:rPr>
          <w:noProof/>
        </w:rPr>
        <w:t>2019 tavaszán, az országjelentések 2019. februári közzétételét követően tartott tagállami rendezvényekkel megkezdődött a 2021–2027-es időszak programozásáról szóló informális párbeszéd. A Bizottság a vonatkozó jogszabályok hatálybalépésekor minden progr</w:t>
      </w:r>
      <w:r>
        <w:rPr>
          <w:noProof/>
        </w:rPr>
        <w:t>amot azonnal el akar fogadni. Megosztott irányítás esetén ez attól is függ, hogy a tagállamok készek-e időben előkészíteni és megvitatni programtervezeteiket.</w:t>
      </w:r>
    </w:p>
    <w:p w:rsidR="00CC3216" w:rsidRDefault="00733A38">
      <w:pPr>
        <w:numPr>
          <w:ilvl w:val="0"/>
          <w:numId w:val="6"/>
        </w:numPr>
        <w:spacing w:before="360" w:after="120"/>
        <w:jc w:val="both"/>
        <w:rPr>
          <w:b/>
          <w:noProof/>
        </w:rPr>
      </w:pPr>
      <w:r>
        <w:rPr>
          <w:rFonts w:ascii="Times New Roman Bold" w:hAnsi="Times New Roman Bold"/>
          <w:b/>
          <w:smallCaps/>
          <w:noProof/>
          <w:sz w:val="26"/>
        </w:rPr>
        <w:t>A tagállamokkal és az Európai Parlamenttel folytatott együttműködés</w:t>
      </w:r>
    </w:p>
    <w:p w:rsidR="00CC3216" w:rsidRDefault="00733A38">
      <w:pPr>
        <w:jc w:val="both"/>
        <w:rPr>
          <w:b/>
          <w:noProof/>
        </w:rPr>
      </w:pPr>
      <w:r>
        <w:rPr>
          <w:b/>
          <w:noProof/>
        </w:rPr>
        <w:t>Az európai szemeszter eredmén</w:t>
      </w:r>
      <w:r>
        <w:rPr>
          <w:b/>
          <w:noProof/>
        </w:rPr>
        <w:t>yességéhez elengedhetetlen a Bizottság, a Tanács és a tagállamok közötti bizalom és együttműködés.</w:t>
      </w:r>
      <w:r>
        <w:rPr>
          <w:noProof/>
        </w:rPr>
        <w:t xml:space="preserve"> A Bizottság számos lehetőséget biztosít az érdekelt feleknek az eszmecserére, például rendszeres találkozókon vesz részt a szociális partnerekkel, a civil tá</w:t>
      </w:r>
      <w:r>
        <w:rPr>
          <w:noProof/>
        </w:rPr>
        <w:t xml:space="preserve">rsadalommal, az Európai Parlamenttel és a nemzeti parlamentekkel. Az Európai Parlament esetében a Bizottság tagjai készen állnak arra, hogy az európai szemeszter ciklusának minden egyes kulcsfontosságú szakasza előtt megjelenjenek az Európai Parlamentben. </w:t>
      </w:r>
      <w:r>
        <w:rPr>
          <w:noProof/>
        </w:rPr>
        <w:t>A Bizottság tagjai a mai csomag elfogadása előtt részt vettek a Parlament Foglalkoztatási és Szociális Bizottságának, illetve Gazdasági és Monetáris Bizottságának ülésein. A Bizottság Brüsszelben és a tagállamokban is rendszeres találkozókat tart a szociál</w:t>
      </w:r>
      <w:r>
        <w:rPr>
          <w:noProof/>
        </w:rPr>
        <w:t xml:space="preserve">is partnerekkel és a civil társadalmi szervezetekkel. Az ezen erőfeszítésekkel létrehozott nyílt és gyümölcsöző párbeszéd az évek során fokozatosan növelte az európai és a nemzeti szakpolitikai kihívásokkal és válaszokkal kapcsolatos egyetértést. </w:t>
      </w:r>
    </w:p>
    <w:p w:rsidR="00CC3216" w:rsidRDefault="00733A38">
      <w:pPr>
        <w:jc w:val="both"/>
        <w:rPr>
          <w:noProof/>
        </w:rPr>
      </w:pPr>
      <w:r>
        <w:rPr>
          <w:b/>
          <w:noProof/>
        </w:rPr>
        <w:t>A Bizott</w:t>
      </w:r>
      <w:r>
        <w:rPr>
          <w:b/>
          <w:noProof/>
        </w:rPr>
        <w:t>ság az eddigi erőfeszítéseivel összhangban továbbra is valódi szakpolitikai párbeszédet kíván folytatni a tagállamokkal, és – többek között a nemzeti parlamentek és a szociális partnerek nemzeti szintű bevonásának erősítése révén – azt is biztosítani kíván</w:t>
      </w:r>
      <w:r>
        <w:rPr>
          <w:b/>
          <w:noProof/>
        </w:rPr>
        <w:t>ja, hogy szakpolitikai ajánlásai beépüljenek a nemzeti szakpolitikai folyamatokba.</w:t>
      </w:r>
      <w:r>
        <w:rPr>
          <w:noProof/>
        </w:rPr>
        <w:t xml:space="preserve"> A párbeszédre az egyes tagállamokba küldött szakértői és politikai missziók, valamint félévente tartott kétoldalú brüsszeli találkozók keretében kerül sor. A Bizottság továb</w:t>
      </w:r>
      <w:r>
        <w:rPr>
          <w:noProof/>
        </w:rPr>
        <w:t>bá az országjelentések közzététele előtt is konzultál a nemzeti hatóságokkal a jelentésekben szereplő elemzések tartalmáról. Emellett új elemként idén arra is felkérte a nemzeti hatóságokat, hogy válasszanak ki egy olyan közös érdeklődésre számot tartó tém</w:t>
      </w:r>
      <w:r>
        <w:rPr>
          <w:noProof/>
        </w:rPr>
        <w:t>át, amelyet az országjelentésekben alaposabban elemezni kell. A legtöbb nemzeti hatóság a zöld és a digitális átállással, valamint ezeknek a gazdaságra, az iparra és a munkaerőre gyakorolt hatásával kapcsolatos témák iránt érdeklődött, ami egyértelműen jel</w:t>
      </w:r>
      <w:r>
        <w:rPr>
          <w:noProof/>
        </w:rPr>
        <w:t>zi, hogy érdekeik és prioritásaik a Bizottság új gazdasági programjához igazodnak. A Bizottság ezenkívül a reformok fokozásában is segíteni kívánja a tagállamokat: a strukturálisreform-támogató program keretében minden olyan uniós tagállamnak technikai tám</w:t>
      </w:r>
      <w:r>
        <w:rPr>
          <w:noProof/>
        </w:rPr>
        <w:t>ogatást nyújt a növekedésösztönző reformok kidolgozásához és végrehajtásához, amely azt kéri. A segítségnyújtás az országspecifikus ajánlásokban kifejezetten ajánlott reformokra is kiterjed.</w:t>
      </w:r>
    </w:p>
    <w:p w:rsidR="00CC3216" w:rsidRDefault="00733A38">
      <w:pPr>
        <w:numPr>
          <w:ilvl w:val="0"/>
          <w:numId w:val="6"/>
        </w:numPr>
        <w:rPr>
          <w:b/>
          <w:noProof/>
        </w:rPr>
      </w:pPr>
      <w:r>
        <w:rPr>
          <w:rFonts w:ascii="Times New Roman Bold" w:hAnsi="Times New Roman Bold"/>
          <w:b/>
          <w:smallCaps/>
          <w:noProof/>
          <w:sz w:val="26"/>
        </w:rPr>
        <w:t>Következő lépések</w:t>
      </w:r>
    </w:p>
    <w:p w:rsidR="00CC3216" w:rsidRDefault="00733A38">
      <w:pPr>
        <w:pStyle w:val="PlainText"/>
        <w:spacing w:line="276" w:lineRule="auto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4"/>
        </w:rPr>
        <w:t>Az európai szemeszter lehetőséget biztosít a Bi</w:t>
      </w:r>
      <w:r>
        <w:rPr>
          <w:rFonts w:ascii="Times New Roman" w:hAnsi="Times New Roman"/>
          <w:b/>
          <w:noProof/>
          <w:sz w:val="24"/>
        </w:rPr>
        <w:t>zottság, a tagállamok, a szociális partnerek és az érdekelt felek számára, hogy az egész év folyamán állandó párbeszédet folytassanak egymással.</w:t>
      </w:r>
      <w:r>
        <w:rPr>
          <w:rFonts w:ascii="Times New Roman" w:hAnsi="Times New Roman"/>
          <w:noProof/>
          <w:sz w:val="24"/>
        </w:rPr>
        <w:t xml:space="preserve"> A ma közzétett országjelentések figyelembe vették a kormányokkal, a nemzeti hatóságokkal és az érdekelt felekkel folytatott technikai és politikai szintű részletes eszmecserék – többek között a 2019 decemberében tartott kétoldalú találkozók – megállapítás</w:t>
      </w:r>
      <w:r>
        <w:rPr>
          <w:rFonts w:ascii="Times New Roman" w:hAnsi="Times New Roman"/>
          <w:noProof/>
          <w:sz w:val="24"/>
        </w:rPr>
        <w:t>ait. Az országjelentésekben foglalt megállapításokról a Bizottság tájékoztatókat fog tartani a tagállamok fővárosaiban, amit további két- és többoldalú találkozók követnek majd. Az év során az európai szemeszterrel foglalkozó tisztviselők folytatják az egy</w:t>
      </w:r>
      <w:r>
        <w:rPr>
          <w:rFonts w:ascii="Times New Roman" w:hAnsi="Times New Roman"/>
          <w:noProof/>
          <w:sz w:val="24"/>
        </w:rPr>
        <w:t>üttműködést a legfontosabb érdekelt felekkel a tagállamokban. A Bizottság alelnökei és a biztosok látogatást fognak tenni a tagállamokban, hogy megismerjék a szociális partnerek, a parlamentek, a kormányok és más érdekelt felek véleményét az országjelentés</w:t>
      </w:r>
      <w:r>
        <w:rPr>
          <w:rFonts w:ascii="Times New Roman" w:hAnsi="Times New Roman"/>
          <w:noProof/>
          <w:sz w:val="24"/>
        </w:rPr>
        <w:t>ek elemzéséről és következtetéseiről. A Bizottság az Európai Parlamenttel is meg fogja tárgyalni az országjelentések összefoglaló megállapításait.</w:t>
      </w:r>
    </w:p>
    <w:p w:rsidR="00CC3216" w:rsidRDefault="00CC3216">
      <w:pPr>
        <w:pStyle w:val="PlainText"/>
        <w:spacing w:line="276" w:lineRule="auto"/>
        <w:jc w:val="both"/>
        <w:rPr>
          <w:rFonts w:ascii="Times New Roman" w:hAnsi="Times New Roman"/>
          <w:noProof/>
          <w:sz w:val="28"/>
          <w:szCs w:val="24"/>
        </w:rPr>
      </w:pPr>
    </w:p>
    <w:p w:rsidR="00CC3216" w:rsidRDefault="00733A38">
      <w:pPr>
        <w:pStyle w:val="PlainText"/>
        <w:spacing w:line="276" w:lineRule="auto"/>
        <w:jc w:val="both"/>
        <w:rPr>
          <w:b/>
          <w:smallCaps/>
          <w:noProof/>
          <w:szCs w:val="20"/>
        </w:rPr>
      </w:pPr>
      <w:r>
        <w:rPr>
          <w:rFonts w:ascii="Times New Roman" w:hAnsi="Times New Roman"/>
          <w:b/>
          <w:noProof/>
          <w:sz w:val="24"/>
        </w:rPr>
        <w:t>Az azonosított kihívások fényében a tagállamok április közepéig nemzeti reformprogramjaikban előterjesztik g</w:t>
      </w:r>
      <w:r>
        <w:rPr>
          <w:rFonts w:ascii="Times New Roman" w:hAnsi="Times New Roman"/>
          <w:b/>
          <w:noProof/>
          <w:sz w:val="24"/>
        </w:rPr>
        <w:t>azdasági és társadalmi prioritásaikat.</w:t>
      </w:r>
      <w:r>
        <w:rPr>
          <w:rFonts w:ascii="Times New Roman" w:hAnsi="Times New Roman"/>
          <w:noProof/>
          <w:sz w:val="24"/>
        </w:rPr>
        <w:t xml:space="preserve"> Bemutatják továbbá a rendezett államháztartásra vonatkozó többéves stratégiájukat is, (az euróövezeti tagállamok esetében) stabilitási programok, illetve (a nem euróövezeti tagállamok esetében) konvergenciaprogramok f</w:t>
      </w:r>
      <w:r>
        <w:rPr>
          <w:rFonts w:ascii="Times New Roman" w:hAnsi="Times New Roman"/>
          <w:noProof/>
          <w:sz w:val="24"/>
        </w:rPr>
        <w:t>ormájában. Az energiaunió irányításáról szóló rendelet alapján benyújtott végleges nemzeti energia- és klímaterveikben a tagállamok ismertetik, hogyan kívánják elérni energia- és éghajlat-politikai célkitűzéseiket. Ahhoz, hogy megfelelő és fenntartható int</w:t>
      </w:r>
      <w:r>
        <w:rPr>
          <w:rFonts w:ascii="Times New Roman" w:hAnsi="Times New Roman"/>
          <w:noProof/>
          <w:sz w:val="24"/>
        </w:rPr>
        <w:t>ézkedéseket lehessen tenni a kihívások kezelése érdekében, a Bizottság azt javasolja, hogy az említett programok kidolgozása során a tagállamok vegyék igénybe az összes érdekelt fél, így adott esetben a szociális partnerek, a regionális és helyi önkormányz</w:t>
      </w:r>
      <w:r>
        <w:rPr>
          <w:rFonts w:ascii="Times New Roman" w:hAnsi="Times New Roman"/>
          <w:noProof/>
          <w:sz w:val="24"/>
        </w:rPr>
        <w:t>atok, valamint a civil szervezetek támogatását.</w:t>
      </w:r>
    </w:p>
    <w:p w:rsidR="00CC3216" w:rsidRDefault="00733A38">
      <w:pPr>
        <w:keepNext/>
        <w:pageBreakBefore/>
        <w:tabs>
          <w:tab w:val="left" w:pos="0"/>
        </w:tabs>
        <w:spacing w:after="0" w:line="100" w:lineRule="atLeast"/>
        <w:jc w:val="both"/>
        <w:rPr>
          <w:b/>
          <w:noProof/>
          <w:sz w:val="18"/>
          <w:szCs w:val="18"/>
        </w:rPr>
      </w:pPr>
      <w:r>
        <w:rPr>
          <w:b/>
          <w:smallCaps/>
          <w:noProof/>
          <w:sz w:val="20"/>
          <w:szCs w:val="20"/>
        </w:rPr>
        <w:t xml:space="preserve">1. függelék – A makrogazdasági és költségvetési egyensúlyhiányok integrált felügyelete </w:t>
      </w:r>
      <w:r>
        <w:rPr>
          <w:b/>
          <w:smallCaps/>
          <w:noProof/>
          <w:sz w:val="20"/>
          <w:szCs w:val="20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5"/>
        <w:gridCol w:w="2330"/>
        <w:gridCol w:w="3445"/>
        <w:gridCol w:w="2698"/>
      </w:tblGrid>
      <w:tr w:rsidR="00CC3216">
        <w:trPr>
          <w:trHeight w:val="263"/>
        </w:trPr>
        <w:tc>
          <w:tcPr>
            <w:tcW w:w="50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216" w:rsidRDefault="00CC3216">
            <w:pPr>
              <w:snapToGrid w:val="0"/>
              <w:spacing w:before="60" w:after="60" w:line="100" w:lineRule="atLeast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216" w:rsidRDefault="00733A38">
            <w:pPr>
              <w:spacing w:before="60" w:after="60" w:line="100" w:lineRule="atLeast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A makrogazdasági egyensúlyhiány kezelésére szolgáló eljárás</w:t>
            </w:r>
            <w:r>
              <w:rPr>
                <w:rStyle w:val="FootnoteReference"/>
                <w:b/>
                <w:noProof/>
                <w:sz w:val="18"/>
                <w:szCs w:val="18"/>
              </w:rPr>
              <w:footnoteReference w:id="21"/>
            </w:r>
          </w:p>
        </w:tc>
        <w:tc>
          <w:tcPr>
            <w:tcW w:w="3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216" w:rsidRDefault="00733A38">
            <w:pPr>
              <w:spacing w:before="60" w:after="60" w:line="100" w:lineRule="atLeast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Stabilitási és Növekedési Paktum</w:t>
            </w:r>
            <w:r>
              <w:rPr>
                <w:rStyle w:val="FootnoteReference"/>
                <w:b/>
                <w:noProof/>
                <w:sz w:val="18"/>
                <w:szCs w:val="18"/>
              </w:rPr>
              <w:footnoteReference w:id="22"/>
            </w:r>
          </w:p>
          <w:p w:rsidR="00CC3216" w:rsidRDefault="00733A38">
            <w:pPr>
              <w:spacing w:before="60" w:after="60" w:line="100" w:lineRule="atLeast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(MTO: középtávú költségvetési cél / </w:t>
            </w:r>
            <w:r>
              <w:rPr>
                <w:b/>
                <w:noProof/>
                <w:sz w:val="18"/>
                <w:szCs w:val="18"/>
              </w:rPr>
              <w:br/>
              <w:t>EDP: túlzotthiány-eljárás)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216" w:rsidRDefault="00733A38">
            <w:pPr>
              <w:spacing w:before="60" w:after="60" w:line="100" w:lineRule="atLeast"/>
              <w:jc w:val="center"/>
              <w:rPr>
                <w:noProof/>
              </w:rPr>
            </w:pPr>
            <w:r>
              <w:rPr>
                <w:b/>
                <w:noProof/>
                <w:sz w:val="18"/>
                <w:szCs w:val="18"/>
              </w:rPr>
              <w:t>Megjegyzések</w:t>
            </w:r>
          </w:p>
        </w:tc>
      </w:tr>
      <w:tr w:rsidR="00CC3216">
        <w:trPr>
          <w:trHeight w:val="454"/>
        </w:trPr>
        <w:tc>
          <w:tcPr>
            <w:tcW w:w="50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AT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Az MTO megvalósult; az adósságszabály hatálya alá tartozik</w:t>
            </w:r>
            <w:r>
              <w:rPr>
                <w:rStyle w:val="FootnoteReference"/>
                <w:noProof/>
                <w:sz w:val="18"/>
                <w:szCs w:val="18"/>
              </w:rPr>
              <w:footnoteReference w:id="23"/>
            </w:r>
          </w:p>
        </w:tc>
        <w:tc>
          <w:tcPr>
            <w:tcW w:w="26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  <w:u w:val="single"/>
              </w:rPr>
            </w:pPr>
            <w:r>
              <w:rPr>
                <w:b/>
                <w:noProof/>
                <w:sz w:val="18"/>
                <w:szCs w:val="18"/>
              </w:rPr>
              <w:t>BE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  <w:u w:val="single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Az MTO nem valósult meg; az adósságszabály hatálya alá tartozik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b/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BG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</w:t>
            </w:r>
            <w:r>
              <w:rPr>
                <w:noProof/>
                <w:sz w:val="18"/>
                <w:szCs w:val="18"/>
              </w:rPr>
              <w:t xml:space="preserve">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megvalósult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CY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Túlzott egyensúlyhiány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megvalósult; az adósságszabály hatálya alá tartozik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CZ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megvalósult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DE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Egyensúlyhiány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megvalósult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both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DK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megvalósult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ind w:left="-51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EE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nem valósult meg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ind w:left="-51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EL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Túlzott egyensúlyhiány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Az átmeneti adósságszabály hatálya alá tartozik</w:t>
            </w:r>
            <w:r>
              <w:rPr>
                <w:rStyle w:val="FootnoteReference"/>
                <w:noProof/>
                <w:sz w:val="18"/>
                <w:szCs w:val="18"/>
              </w:rPr>
              <w:footnoteReference w:id="24"/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ind w:left="-51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Mivel Görögországnak a rá vonatkozó program időtartama alatt nem kellett benyújtania stabilitási programot, a 2019. év értékelése nem terjedt ki a középtávú költségvetési célra. </w:t>
            </w: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IE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Egyensúlyhiány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nem valósult meg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ind w:left="-51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ES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Egyensúlyhiány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nem valósult meg; az átmeneti adósságszabály hatálya alá tartozik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FR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Egyensúlyhiány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nem valósult meg; az átmeneti adósságszabály hatálya alá tartozik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HR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Egyensúlyhiány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 xml:space="preserve">Az MTO megvalósult; az </w:t>
            </w:r>
            <w:r>
              <w:rPr>
                <w:noProof/>
                <w:sz w:val="18"/>
                <w:szCs w:val="18"/>
              </w:rPr>
              <w:t>adósságszabály hatálya alá tartozik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HU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 (SDP</w:t>
            </w:r>
            <w:r>
              <w:rPr>
                <w:rStyle w:val="FootnoteReference"/>
                <w:noProof/>
                <w:sz w:val="18"/>
                <w:szCs w:val="18"/>
              </w:rPr>
              <w:footnoteReference w:id="25"/>
            </w:r>
            <w:r>
              <w:rPr>
                <w:noProof/>
                <w:sz w:val="18"/>
                <w:szCs w:val="18"/>
              </w:rPr>
              <w:t xml:space="preserve">) 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nem valósult meg; az adósságszabály hatálya alá tartozik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IT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Túlzott egyensúlyhiány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nem valósult meg; az adósságszabály hatálya alá tartozik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LT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</w:t>
            </w:r>
            <w:r>
              <w:rPr>
                <w:noProof/>
                <w:sz w:val="18"/>
                <w:szCs w:val="18"/>
              </w:rPr>
              <w:t xml:space="preserve"> MTO nem valósult meg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LU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megvalósult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LV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nem valósult meg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ind w:right="-29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MT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megvalósult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NL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Egyensúlyhiány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megvalósult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both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PL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nem valósult meg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PT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Egyensúlyhiány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nem valósult meg; az átmeneti adósságszabály hatálya alá tartozik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SI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nem valósult meg; az adósságszabály hatálya alá tartozik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SE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Egyensúlyhiány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megvalósult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SK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Prevenciós </w:t>
            </w:r>
            <w:r>
              <w:rPr>
                <w:noProof/>
                <w:sz w:val="18"/>
                <w:szCs w:val="18"/>
              </w:rPr>
              <w:t>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nem valósult meg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RO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Egyensúlyhiány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 (SDP)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nem valósult meg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FI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nem valósult meg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  <w:tr w:rsidR="00CC3216">
        <w:tc>
          <w:tcPr>
            <w:tcW w:w="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  <w:r>
              <w:rPr>
                <w:b/>
                <w:noProof/>
                <w:sz w:val="18"/>
                <w:szCs w:val="18"/>
              </w:rPr>
              <w:t>UK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Prevenciós ág</w:t>
            </w:r>
          </w:p>
          <w:p w:rsidR="00CC3216" w:rsidRDefault="00733A38">
            <w:pPr>
              <w:snapToGrid w:val="0"/>
              <w:spacing w:before="80" w:after="80" w:line="100" w:lineRule="atLeast"/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8"/>
                <w:szCs w:val="18"/>
              </w:rPr>
              <w:t>Az MTO nem valósult meg; az átmeneti adósságszabály hatálya alá tartozik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3216" w:rsidRDefault="00CC3216">
            <w:pPr>
              <w:snapToGrid w:val="0"/>
              <w:spacing w:before="80" w:after="80" w:line="100" w:lineRule="atLeast"/>
              <w:jc w:val="center"/>
              <w:rPr>
                <w:noProof/>
                <w:sz w:val="14"/>
                <w:szCs w:val="14"/>
              </w:rPr>
            </w:pPr>
          </w:p>
        </w:tc>
      </w:tr>
    </w:tbl>
    <w:p w:rsidR="00CC3216" w:rsidRDefault="00CC3216">
      <w:pPr>
        <w:spacing w:before="120" w:after="120" w:line="100" w:lineRule="atLeast"/>
        <w:rPr>
          <w:noProof/>
        </w:rPr>
      </w:pPr>
    </w:p>
    <w:p w:rsidR="00CC3216" w:rsidRDefault="00CC3216">
      <w:pPr>
        <w:keepNext/>
        <w:pageBreakBefore/>
        <w:tabs>
          <w:tab w:val="left" w:pos="0"/>
        </w:tabs>
        <w:spacing w:after="0" w:line="100" w:lineRule="atLeast"/>
        <w:jc w:val="both"/>
        <w:rPr>
          <w:b/>
          <w:noProof/>
          <w:sz w:val="18"/>
          <w:szCs w:val="18"/>
        </w:rPr>
      </w:pPr>
    </w:p>
    <w:p w:rsidR="00CC3216" w:rsidRDefault="00CC3216">
      <w:pPr>
        <w:spacing w:before="120" w:after="120" w:line="100" w:lineRule="atLeast"/>
        <w:rPr>
          <w:noProof/>
        </w:rPr>
      </w:pPr>
    </w:p>
    <w:p w:rsidR="00CC3216" w:rsidRDefault="00733A38">
      <w:pPr>
        <w:spacing w:after="0" w:line="100" w:lineRule="atLeast"/>
        <w:rPr>
          <w:b/>
          <w:smallCaps/>
          <w:noProof/>
          <w:sz w:val="20"/>
          <w:szCs w:val="20"/>
        </w:rPr>
      </w:pPr>
      <w:r>
        <w:rPr>
          <w:b/>
          <w:smallCaps/>
          <w:noProof/>
          <w:sz w:val="20"/>
          <w:szCs w:val="20"/>
        </w:rPr>
        <w:t xml:space="preserve">2. függelék: Az Európa </w:t>
      </w:r>
      <w:r>
        <w:rPr>
          <w:b/>
          <w:smallCaps/>
          <w:noProof/>
          <w:sz w:val="20"/>
          <w:szCs w:val="20"/>
        </w:rPr>
        <w:t>2020 stratégia célkitűzéseinek elérése</w:t>
      </w:r>
    </w:p>
    <w:p w:rsidR="00CC3216" w:rsidRDefault="00CC3216">
      <w:pPr>
        <w:spacing w:after="0" w:line="100" w:lineRule="atLeast"/>
        <w:rPr>
          <w:b/>
          <w:smallCaps/>
          <w:noProof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1"/>
        <w:gridCol w:w="2269"/>
        <w:gridCol w:w="1700"/>
        <w:gridCol w:w="2517"/>
      </w:tblGrid>
      <w:tr w:rsidR="00CC3216">
        <w:tc>
          <w:tcPr>
            <w:tcW w:w="28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CC3216" w:rsidRDefault="00733A38">
            <w:pPr>
              <w:spacing w:after="0" w:line="100" w:lineRule="atLeast"/>
              <w:rPr>
                <w:b/>
                <w:bCs/>
                <w:noProof/>
                <w:color w:val="00000A"/>
                <w:sz w:val="20"/>
                <w:szCs w:val="20"/>
              </w:rPr>
            </w:pPr>
            <w:r>
              <w:rPr>
                <w:b/>
                <w:bCs/>
                <w:noProof/>
                <w:color w:val="00000A"/>
                <w:sz w:val="20"/>
                <w:szCs w:val="20"/>
              </w:rPr>
              <w:t xml:space="preserve">Az Európa 2020 stratégia </w:t>
            </w:r>
            <w:r>
              <w:rPr>
                <w:b/>
                <w:bCs/>
                <w:noProof/>
                <w:color w:val="00000A"/>
                <w:sz w:val="20"/>
                <w:szCs w:val="20"/>
              </w:rPr>
              <w:br/>
              <w:t>EU-ra vonatkozó célkitűzései</w:t>
            </w:r>
          </w:p>
        </w:tc>
        <w:tc>
          <w:tcPr>
            <w:tcW w:w="22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CC3216" w:rsidRDefault="00733A38">
            <w:pPr>
              <w:spacing w:after="0" w:line="100" w:lineRule="atLeast"/>
              <w:jc w:val="center"/>
              <w:rPr>
                <w:b/>
                <w:bCs/>
                <w:noProof/>
                <w:color w:val="00000A"/>
                <w:sz w:val="20"/>
                <w:szCs w:val="20"/>
              </w:rPr>
            </w:pPr>
            <w:r>
              <w:rPr>
                <w:b/>
                <w:bCs/>
                <w:noProof/>
                <w:color w:val="00000A"/>
                <w:sz w:val="20"/>
                <w:szCs w:val="20"/>
              </w:rPr>
              <w:t>2010. évi adat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CC3216" w:rsidRDefault="00733A38">
            <w:pPr>
              <w:spacing w:after="0" w:line="100" w:lineRule="atLeast"/>
              <w:jc w:val="center"/>
              <w:rPr>
                <w:b/>
                <w:bCs/>
                <w:noProof/>
                <w:color w:val="00000A"/>
                <w:sz w:val="20"/>
                <w:szCs w:val="20"/>
              </w:rPr>
            </w:pPr>
            <w:r>
              <w:rPr>
                <w:b/>
                <w:bCs/>
                <w:noProof/>
                <w:color w:val="00000A"/>
                <w:sz w:val="20"/>
                <w:szCs w:val="20"/>
              </w:rPr>
              <w:t>A legfrissebb adat</w:t>
            </w:r>
          </w:p>
        </w:tc>
        <w:tc>
          <w:tcPr>
            <w:tcW w:w="2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CC3216" w:rsidRDefault="00733A38">
            <w:pPr>
              <w:spacing w:after="0" w:line="100" w:lineRule="atLeast"/>
              <w:jc w:val="center"/>
              <w:rPr>
                <w:noProof/>
              </w:rPr>
            </w:pPr>
            <w:r>
              <w:rPr>
                <w:b/>
                <w:bCs/>
                <w:noProof/>
                <w:color w:val="00000A"/>
                <w:sz w:val="20"/>
                <w:szCs w:val="20"/>
              </w:rPr>
              <w:t>2020. évi helyzet a jelenlegi tendenciák alapján</w:t>
            </w:r>
          </w:p>
        </w:tc>
      </w:tr>
      <w:tr w:rsidR="00CC3216">
        <w:tc>
          <w:tcPr>
            <w:tcW w:w="2801" w:type="dxa"/>
            <w:tcBorders>
              <w:top w:val="single" w:sz="8" w:space="0" w:color="000000"/>
            </w:tcBorders>
            <w:shd w:val="clear" w:color="auto" w:fill="FFFFFF"/>
          </w:tcPr>
          <w:p w:rsidR="00CC3216" w:rsidRDefault="00733A38">
            <w:pPr>
              <w:rPr>
                <w:noProof/>
                <w:sz w:val="20"/>
                <w:szCs w:val="20"/>
              </w:rPr>
            </w:pPr>
            <w:r>
              <w:rPr>
                <w:bCs/>
                <w:noProof/>
                <w:color w:val="00000A"/>
                <w:sz w:val="20"/>
                <w:szCs w:val="20"/>
              </w:rPr>
              <w:t xml:space="preserve">1. A 20–64 év közötti lakosság foglalkoztatási rátájának legalább 75 %-ra </w:t>
            </w:r>
            <w:r>
              <w:rPr>
                <w:bCs/>
                <w:noProof/>
                <w:color w:val="00000A"/>
                <w:sz w:val="20"/>
                <w:szCs w:val="20"/>
              </w:rPr>
              <w:t>való növelése</w:t>
            </w:r>
          </w:p>
        </w:tc>
        <w:tc>
          <w:tcPr>
            <w:tcW w:w="226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68,6 %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73,8 % (2019. III. negyedév)</w:t>
            </w:r>
          </w:p>
        </w:tc>
        <w:tc>
          <w:tcPr>
            <w:tcW w:w="251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cél valószínűleg nem teljesül</w:t>
            </w:r>
          </w:p>
        </w:tc>
      </w:tr>
      <w:tr w:rsidR="00CC3216">
        <w:tc>
          <w:tcPr>
            <w:tcW w:w="2801" w:type="dxa"/>
            <w:shd w:val="clear" w:color="auto" w:fill="FFFFFF"/>
          </w:tcPr>
          <w:p w:rsidR="00CC3216" w:rsidRDefault="00733A38">
            <w:pPr>
              <w:rPr>
                <w:noProof/>
                <w:sz w:val="20"/>
                <w:szCs w:val="20"/>
              </w:rPr>
            </w:pPr>
            <w:r>
              <w:rPr>
                <w:bCs/>
                <w:noProof/>
                <w:color w:val="00000A"/>
                <w:sz w:val="20"/>
                <w:szCs w:val="20"/>
              </w:rPr>
              <w:t>2. A köz- és magánszektorbeli K+F beruházásoknak a GDP 3 %-ára való növelése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1,93 %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2,12 % (2018)</w:t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cél valószínűleg nem teljesül</w:t>
            </w:r>
          </w:p>
        </w:tc>
      </w:tr>
      <w:tr w:rsidR="00CC3216">
        <w:tc>
          <w:tcPr>
            <w:tcW w:w="2801" w:type="dxa"/>
            <w:shd w:val="clear" w:color="auto" w:fill="FFFFFF"/>
          </w:tcPr>
          <w:p w:rsidR="00CC3216" w:rsidRDefault="00733A38">
            <w:pPr>
              <w:rPr>
                <w:noProof/>
                <w:sz w:val="20"/>
                <w:szCs w:val="20"/>
              </w:rPr>
            </w:pPr>
            <w:r>
              <w:rPr>
                <w:bCs/>
                <w:noProof/>
                <w:color w:val="00000A"/>
                <w:sz w:val="20"/>
                <w:szCs w:val="20"/>
              </w:rPr>
              <w:t xml:space="preserve">3a. Az ÜHG-kibocsátás legalább 20 %-os </w:t>
            </w:r>
            <w:r>
              <w:rPr>
                <w:bCs/>
                <w:noProof/>
                <w:color w:val="00000A"/>
                <w:sz w:val="20"/>
                <w:szCs w:val="20"/>
              </w:rPr>
              <w:t>csökkentése az 1990-es szinthez képest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14,3 %-os csökkentés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23 %-os csökkentés (2018)</w:t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cél valószínűleg teljesül</w:t>
            </w:r>
          </w:p>
        </w:tc>
      </w:tr>
      <w:tr w:rsidR="00CC3216">
        <w:tc>
          <w:tcPr>
            <w:tcW w:w="2801" w:type="dxa"/>
            <w:shd w:val="clear" w:color="auto" w:fill="FFFFFF"/>
          </w:tcPr>
          <w:p w:rsidR="00CC3216" w:rsidRDefault="00733A38">
            <w:pPr>
              <w:rPr>
                <w:noProof/>
                <w:sz w:val="20"/>
                <w:szCs w:val="20"/>
              </w:rPr>
            </w:pPr>
            <w:r>
              <w:rPr>
                <w:bCs/>
                <w:noProof/>
                <w:color w:val="00000A"/>
                <w:sz w:val="20"/>
                <w:szCs w:val="20"/>
              </w:rPr>
              <w:t>3b. A végsőenergia-fogyasztáson belül a megújuló energiaforrások arányának 20 %-ra történő növelése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12,5 %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18 % (2018)</w:t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cél valószínűleg tel</w:t>
            </w:r>
            <w:r>
              <w:rPr>
                <w:noProof/>
                <w:sz w:val="20"/>
                <w:szCs w:val="20"/>
              </w:rPr>
              <w:t>jesül</w:t>
            </w:r>
          </w:p>
        </w:tc>
      </w:tr>
      <w:tr w:rsidR="00CC3216">
        <w:tc>
          <w:tcPr>
            <w:tcW w:w="2801" w:type="dxa"/>
            <w:shd w:val="clear" w:color="auto" w:fill="FFFFFF"/>
          </w:tcPr>
          <w:p w:rsidR="00CC3216" w:rsidRDefault="00733A38">
            <w:pPr>
              <w:rPr>
                <w:noProof/>
                <w:sz w:val="20"/>
                <w:szCs w:val="20"/>
              </w:rPr>
            </w:pPr>
            <w:r>
              <w:rPr>
                <w:bCs/>
                <w:noProof/>
                <w:color w:val="00000A"/>
                <w:sz w:val="20"/>
                <w:szCs w:val="20"/>
              </w:rPr>
              <w:t>3c. Elmozdulás az energiahatékonyság 20 %-os javulása felé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5,7 % (a primerenergia-fogyasztást tekintve)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4,6 % (távolság a 2020. évi primerenergia-fogyasztásra vonatkozó céltól)</w:t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cél valószínűleg nem teljesül</w:t>
            </w:r>
          </w:p>
        </w:tc>
      </w:tr>
      <w:tr w:rsidR="00CC3216">
        <w:tc>
          <w:tcPr>
            <w:tcW w:w="2801" w:type="dxa"/>
            <w:shd w:val="clear" w:color="auto" w:fill="FFFFFF"/>
          </w:tcPr>
          <w:p w:rsidR="00CC3216" w:rsidRDefault="00733A38">
            <w:pPr>
              <w:rPr>
                <w:noProof/>
                <w:sz w:val="20"/>
                <w:szCs w:val="20"/>
              </w:rPr>
            </w:pPr>
            <w:r>
              <w:rPr>
                <w:bCs/>
                <w:noProof/>
                <w:color w:val="00000A"/>
                <w:sz w:val="20"/>
                <w:szCs w:val="20"/>
              </w:rPr>
              <w:t>4a. A korai iskolaelhagyók arányának 10</w:t>
            </w:r>
            <w:r>
              <w:rPr>
                <w:bCs/>
                <w:noProof/>
                <w:color w:val="00000A"/>
                <w:sz w:val="20"/>
                <w:szCs w:val="20"/>
              </w:rPr>
              <w:t> % alá szorítása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13,9 %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10,6 % (2018)</w:t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cél valószínűleg teljesül</w:t>
            </w:r>
          </w:p>
        </w:tc>
      </w:tr>
      <w:tr w:rsidR="00CC3216">
        <w:tc>
          <w:tcPr>
            <w:tcW w:w="2801" w:type="dxa"/>
            <w:tcBorders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rPr>
                <w:noProof/>
                <w:sz w:val="20"/>
                <w:szCs w:val="20"/>
              </w:rPr>
            </w:pPr>
            <w:r>
              <w:rPr>
                <w:bCs/>
                <w:noProof/>
                <w:color w:val="00000A"/>
                <w:sz w:val="20"/>
                <w:szCs w:val="20"/>
              </w:rPr>
              <w:t>4b. A felsőfokú végzettséggel rendelkezők arányának legalább 40 %-ra növelése a 30–34 éves korosztály körében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33,8 %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40,7 %</w:t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C3216" w:rsidRDefault="00733A38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cél valószínűleg teljesül</w:t>
            </w:r>
          </w:p>
        </w:tc>
      </w:tr>
      <w:tr w:rsidR="00CC3216">
        <w:tc>
          <w:tcPr>
            <w:tcW w:w="2801" w:type="dxa"/>
            <w:tcBorders>
              <w:bottom w:val="single" w:sz="8" w:space="0" w:color="000000"/>
            </w:tcBorders>
            <w:shd w:val="clear" w:color="auto" w:fill="FFFFFF"/>
          </w:tcPr>
          <w:p w:rsidR="00CC3216" w:rsidRDefault="00733A38">
            <w:pPr>
              <w:rPr>
                <w:noProof/>
                <w:sz w:val="20"/>
                <w:szCs w:val="20"/>
              </w:rPr>
            </w:pPr>
            <w:r>
              <w:rPr>
                <w:bCs/>
                <w:noProof/>
                <w:color w:val="00000A"/>
                <w:sz w:val="20"/>
                <w:szCs w:val="20"/>
              </w:rPr>
              <w:t xml:space="preserve">5. Legalább 20 millió ember </w:t>
            </w:r>
            <w:r>
              <w:rPr>
                <w:bCs/>
                <w:noProof/>
                <w:color w:val="00000A"/>
                <w:sz w:val="20"/>
                <w:szCs w:val="20"/>
              </w:rPr>
              <w:t>kiemelése a szegénység vagy a társadalmi kirekesztődés kockázatának kitettek köréből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</w:tcPr>
          <w:p w:rsidR="00CC3216" w:rsidRDefault="00733A3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1,4 millió fős növekedés (a 2008-as bázisévhez képest)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</w:tcPr>
          <w:p w:rsidR="00CC3216" w:rsidRDefault="00733A38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7,1 millió fős csökkenés (a 2008-as bázisévhez képest) 2018-ban</w:t>
            </w:r>
          </w:p>
        </w:tc>
        <w:tc>
          <w:tcPr>
            <w:tcW w:w="251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</w:tcPr>
          <w:p w:rsidR="00CC3216" w:rsidRDefault="00733A38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cél valószínűleg nem teljesül</w:t>
            </w:r>
          </w:p>
        </w:tc>
      </w:tr>
    </w:tbl>
    <w:p w:rsidR="00CC3216" w:rsidRDefault="00CC3216">
      <w:pPr>
        <w:rPr>
          <w:b/>
          <w:noProof/>
        </w:rPr>
      </w:pPr>
    </w:p>
    <w:p w:rsidR="00CC3216" w:rsidRDefault="00CC3216">
      <w:pPr>
        <w:rPr>
          <w:noProof/>
        </w:rPr>
      </w:pPr>
    </w:p>
    <w:p w:rsidR="00CC3216" w:rsidRDefault="00733A38">
      <w:pPr>
        <w:pageBreakBefore/>
        <w:spacing w:before="120" w:after="120" w:line="100" w:lineRule="atLeast"/>
        <w:rPr>
          <w:b/>
          <w:smallCaps/>
          <w:noProof/>
          <w:szCs w:val="20"/>
        </w:rPr>
      </w:pPr>
      <w:r>
        <w:rPr>
          <w:b/>
          <w:smallCaps/>
          <w:noProof/>
          <w:szCs w:val="20"/>
        </w:rPr>
        <w:t xml:space="preserve">3. függelék – A </w:t>
      </w:r>
      <w:r>
        <w:rPr>
          <w:b/>
          <w:smallCaps/>
          <w:noProof/>
          <w:szCs w:val="20"/>
        </w:rPr>
        <w:t>részletes vizsgálatok megállapításai tagállamok szerint</w:t>
      </w:r>
    </w:p>
    <w:p w:rsidR="00CC3216" w:rsidRDefault="00CC3216">
      <w:pPr>
        <w:spacing w:before="120" w:after="120" w:line="100" w:lineRule="atLeast"/>
        <w:rPr>
          <w:noProof/>
        </w:rPr>
      </w:pPr>
    </w:p>
    <w:tbl>
      <w:tblPr>
        <w:tblW w:w="9446" w:type="dxa"/>
        <w:jc w:val="center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3567"/>
        <w:gridCol w:w="3728"/>
      </w:tblGrid>
      <w:tr w:rsidR="00CC3216">
        <w:trPr>
          <w:trHeight w:val="494"/>
          <w:jc w:val="center"/>
        </w:trPr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3216" w:rsidRDefault="00CC3216">
            <w:pPr>
              <w:ind w:left="122" w:right="-1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3216" w:rsidRDefault="00733A38">
            <w:pPr>
              <w:ind w:left="-5" w:right="-1" w:firstLine="5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2019. évi részletes vizsgálatok eredményei</w:t>
            </w: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3216" w:rsidRDefault="00733A38">
            <w:pPr>
              <w:ind w:right="-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 2020. évi részletes vizsgálatok eredményei</w:t>
            </w:r>
          </w:p>
        </w:tc>
      </w:tr>
      <w:tr w:rsidR="00CC3216">
        <w:trPr>
          <w:trHeight w:val="484"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216" w:rsidRDefault="00CC3216">
            <w:pPr>
              <w:ind w:left="122" w:right="-1"/>
              <w:rPr>
                <w:rFonts w:eastAsia="Calibri"/>
                <w:noProof/>
                <w:sz w:val="20"/>
                <w:szCs w:val="20"/>
              </w:rPr>
            </w:pPr>
          </w:p>
          <w:p w:rsidR="00CC3216" w:rsidRDefault="00733A38">
            <w:pPr>
              <w:ind w:left="122" w:right="-1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Nincs egyensúlyhiány</w:t>
            </w:r>
          </w:p>
          <w:p w:rsidR="00CC3216" w:rsidRDefault="00733A38">
            <w:pPr>
              <w:ind w:left="122" w:right="-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Egyensúlyhiány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216" w:rsidRDefault="00CC3216">
            <w:pPr>
              <w:ind w:left="-5" w:right="-1" w:firstLine="5"/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  <w:p w:rsidR="00CC3216" w:rsidRDefault="00733A38">
            <w:pPr>
              <w:ind w:left="-5" w:right="-1" w:firstLine="5"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–</w:t>
            </w:r>
          </w:p>
          <w:p w:rsidR="00CC3216" w:rsidRDefault="00733A38">
            <w:pPr>
              <w:ind w:left="-5" w:right="-1" w:firstLine="5"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BG, DE, ES, FR, HR, IE, NL, PT, RO, SE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216" w:rsidRDefault="00CC3216">
            <w:pPr>
              <w:ind w:right="-1"/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  <w:p w:rsidR="00CC3216" w:rsidRDefault="00733A38">
            <w:pPr>
              <w:ind w:right="-1"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BG</w:t>
            </w:r>
          </w:p>
          <w:p w:rsidR="00CC3216" w:rsidRDefault="00733A38">
            <w:pPr>
              <w:ind w:right="-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DE, ES, FR, HR, IE, NL,</w:t>
            </w:r>
            <w:r>
              <w:rPr>
                <w:noProof/>
                <w:sz w:val="20"/>
                <w:szCs w:val="20"/>
              </w:rPr>
              <w:t xml:space="preserve"> PT, RO, SE</w:t>
            </w:r>
          </w:p>
        </w:tc>
      </w:tr>
      <w:tr w:rsidR="00CC3216">
        <w:trPr>
          <w:trHeight w:val="470"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216" w:rsidRDefault="00733A38">
            <w:pPr>
              <w:ind w:left="122" w:right="-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Túlzott egyensúlyhiány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216" w:rsidRDefault="00733A38">
            <w:pPr>
              <w:ind w:left="-5" w:right="-1" w:firstLine="5"/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CY, EL, IT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216" w:rsidRDefault="00733A38">
            <w:pPr>
              <w:ind w:right="-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CY, EL, IT</w:t>
            </w:r>
          </w:p>
        </w:tc>
      </w:tr>
    </w:tbl>
    <w:p w:rsidR="00CC3216" w:rsidRDefault="00CC3216">
      <w:pPr>
        <w:pageBreakBefore/>
        <w:spacing w:before="120" w:after="120" w:line="100" w:lineRule="atLeast"/>
        <w:rPr>
          <w:noProof/>
        </w:rPr>
      </w:pPr>
    </w:p>
    <w:sectPr w:rsidR="00CC32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9" w:footer="709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16" w:rsidRDefault="00733A38">
      <w:pPr>
        <w:spacing w:after="0" w:line="240" w:lineRule="auto"/>
      </w:pPr>
      <w:r>
        <w:separator/>
      </w:r>
    </w:p>
  </w:endnote>
  <w:endnote w:type="continuationSeparator" w:id="0">
    <w:p w:rsidR="00CC3216" w:rsidRDefault="00733A38">
      <w:pPr>
        <w:spacing w:after="0" w:line="240" w:lineRule="auto"/>
      </w:pPr>
      <w:r>
        <w:continuationSeparator/>
      </w:r>
    </w:p>
  </w:endnote>
  <w:endnote w:type="continuationNotice" w:id="1">
    <w:p w:rsidR="00CC3216" w:rsidRDefault="00CC32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38" w:rsidRPr="00733A38" w:rsidRDefault="00733A38" w:rsidP="00733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38" w:rsidRPr="00733A38" w:rsidRDefault="00733A38" w:rsidP="00733A38">
    <w:pPr>
      <w:pStyle w:val="FooterCoverPage"/>
      <w:rPr>
        <w:rFonts w:ascii="Arial" w:hAnsi="Arial" w:cs="Arial"/>
        <w:b/>
        <w:sz w:val="48"/>
      </w:rPr>
    </w:pPr>
    <w:r w:rsidRPr="00733A38">
      <w:rPr>
        <w:rFonts w:ascii="Arial" w:hAnsi="Arial" w:cs="Arial"/>
        <w:b/>
        <w:sz w:val="48"/>
      </w:rPr>
      <w:t>HU</w:t>
    </w:r>
    <w:r w:rsidRPr="00733A38">
      <w:rPr>
        <w:rFonts w:ascii="Arial" w:hAnsi="Arial" w:cs="Arial"/>
        <w:b/>
        <w:sz w:val="48"/>
      </w:rPr>
      <w:tab/>
    </w:r>
    <w:r w:rsidRPr="00733A38">
      <w:rPr>
        <w:rFonts w:ascii="Arial" w:hAnsi="Arial" w:cs="Arial"/>
        <w:b/>
        <w:sz w:val="48"/>
      </w:rPr>
      <w:tab/>
    </w:r>
    <w:r w:rsidRPr="00733A38">
      <w:tab/>
    </w:r>
    <w:r w:rsidRPr="00733A38"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38" w:rsidRPr="00733A38" w:rsidRDefault="00733A38" w:rsidP="00733A38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6" w:rsidRDefault="00733A3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20</w:t>
    </w:r>
    <w:r>
      <w:fldChar w:fldCharType="end"/>
    </w:r>
  </w:p>
  <w:p w:rsidR="00CC3216" w:rsidRDefault="00CC321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6" w:rsidRDefault="00733A3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6" w:rsidRDefault="00CC3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16" w:rsidRDefault="00733A38">
      <w:pPr>
        <w:spacing w:after="0" w:line="240" w:lineRule="auto"/>
      </w:pPr>
      <w:r>
        <w:separator/>
      </w:r>
    </w:p>
  </w:footnote>
  <w:footnote w:type="continuationSeparator" w:id="0">
    <w:p w:rsidR="00CC3216" w:rsidRDefault="00733A38">
      <w:pPr>
        <w:spacing w:after="0" w:line="240" w:lineRule="auto"/>
      </w:pPr>
      <w:r>
        <w:continuationSeparator/>
      </w:r>
    </w:p>
  </w:footnote>
  <w:footnote w:type="continuationNotice" w:id="1">
    <w:p w:rsidR="00CC3216" w:rsidRDefault="00CC3216">
      <w:pPr>
        <w:spacing w:after="0" w:line="240" w:lineRule="auto"/>
      </w:pPr>
    </w:p>
  </w:footnote>
  <w:footnote w:id="2">
    <w:p w:rsidR="00CC3216" w:rsidRDefault="00733A38">
      <w:pPr>
        <w:pStyle w:val="FootnoteText"/>
      </w:pPr>
      <w:r>
        <w:rPr>
          <w:rStyle w:val="FootnoteCharacters"/>
        </w:rPr>
        <w:footnoteRef/>
      </w:r>
      <w:r>
        <w:tab/>
        <w:t>COM(2020) 55 final, 2020.2.5.</w:t>
      </w:r>
    </w:p>
  </w:footnote>
  <w:footnote w:id="3">
    <w:p w:rsidR="00CC3216" w:rsidRDefault="00733A38">
      <w:pPr>
        <w:pStyle w:val="FootnoteText"/>
      </w:pPr>
      <w:r>
        <w:rPr>
          <w:rStyle w:val="FootnoteCharacters"/>
        </w:rPr>
        <w:footnoteRef/>
      </w:r>
      <w:r>
        <w:tab/>
        <w:t xml:space="preserve">A Bizottság uniós szintű értékelése az integrált nemzeti energia- és klímatervek tervezetéről, 2019. június 18. (COM(2019) 285 </w:t>
      </w:r>
      <w:r>
        <w:t>final).</w:t>
      </w:r>
    </w:p>
  </w:footnote>
  <w:footnote w:id="4">
    <w:p w:rsidR="00CC3216" w:rsidRDefault="00733A38">
      <w:pPr>
        <w:spacing w:before="60" w:after="60" w:line="240" w:lineRule="auto"/>
        <w:ind w:left="720" w:hanging="720"/>
        <w:jc w:val="both"/>
      </w:pPr>
      <w:r>
        <w:rPr>
          <w:rStyle w:val="FootnoteCharacters"/>
        </w:rPr>
        <w:footnoteRef/>
      </w:r>
      <w:r>
        <w:tab/>
      </w:r>
      <w:r>
        <w:rPr>
          <w:sz w:val="20"/>
          <w:szCs w:val="20"/>
        </w:rPr>
        <w:t xml:space="preserve">Az értékelés szerint a nemzeti tervek előzetesen előirányzottnak megfelelő végrehajtása összesítve azt eredményezné, hogy a hatékonyabb energiafogyasztáshoz való hozzájárulás mind a primerenergia-fogyasztás, mind a végsőenergia-fogyasztás </w:t>
      </w:r>
      <w:r>
        <w:rPr>
          <w:sz w:val="20"/>
          <w:szCs w:val="20"/>
        </w:rPr>
        <w:t>tekintetében jelentősen elmaradna az uniós célkitűzésektől. A Bizottság felszólította a tagállamokat, hogy a 2019. december 31-ig benyújtandó végleges integrált nemzeti energia- és klímaterveikben szüntessék meg ezeket az ambícióbeli elmaradásokat. A terve</w:t>
      </w:r>
      <w:r>
        <w:rPr>
          <w:sz w:val="20"/>
          <w:szCs w:val="20"/>
        </w:rPr>
        <w:t>k tartalmát a lehetőségekhez mérten már a mai országjelentések is tükrözik.</w:t>
      </w:r>
    </w:p>
    <w:p w:rsidR="00CC3216" w:rsidRDefault="00CC3216">
      <w:pPr>
        <w:pStyle w:val="FootnoteText"/>
      </w:pPr>
    </w:p>
  </w:footnote>
  <w:footnote w:id="5">
    <w:p w:rsidR="00CC3216" w:rsidRDefault="00733A38">
      <w:pPr>
        <w:pStyle w:val="FootnoteText"/>
      </w:pPr>
      <w:r>
        <w:rPr>
          <w:rStyle w:val="FootnoteCharacters"/>
        </w:rPr>
        <w:footnoteRef/>
      </w:r>
      <w:r>
        <w:tab/>
        <w:t xml:space="preserve">A Bizottság cselekvési terve: </w:t>
      </w:r>
      <w:hyperlink r:id="rId1" w:history="1">
        <w:r>
          <w:rPr>
            <w:rStyle w:val="Hyperlink"/>
          </w:rPr>
          <w:t>A fenntartható növekedés finanszírozása</w:t>
        </w:r>
      </w:hyperlink>
      <w:r>
        <w:rPr>
          <w:color w:val="444444"/>
          <w:shd w:val="clear" w:color="auto" w:fill="FFFFFF"/>
        </w:rPr>
        <w:t xml:space="preserve"> (COM(2018)097 </w:t>
      </w:r>
      <w:r>
        <w:rPr>
          <w:color w:val="444444"/>
          <w:shd w:val="clear" w:color="auto" w:fill="FFFFFF"/>
        </w:rPr>
        <w:t>final).</w:t>
      </w:r>
    </w:p>
  </w:footnote>
  <w:footnote w:id="6">
    <w:p w:rsidR="00CC3216" w:rsidRDefault="00733A38">
      <w:pPr>
        <w:pStyle w:val="FootnoteText"/>
      </w:pPr>
      <w:r>
        <w:rPr>
          <w:rStyle w:val="FootnoteCharacters"/>
        </w:rPr>
        <w:footnoteRef/>
      </w:r>
      <w:r>
        <w:tab/>
        <w:t>A Svédország által bevezetett szén-dioxid-adó mértéke kezdetben tonnánként 250 SEK (mintegy 23,50 EUR) volt. Ez 2017-ig 1 180 SEK-ra (mintegy 110 EUR-ra) emelkedett.</w:t>
      </w:r>
    </w:p>
  </w:footnote>
  <w:footnote w:id="7">
    <w:p w:rsidR="00CC3216" w:rsidRDefault="00733A38">
      <w:pPr>
        <w:pStyle w:val="FootnoteText"/>
      </w:pPr>
      <w:r>
        <w:rPr>
          <w:rStyle w:val="FootnoteReference"/>
        </w:rPr>
        <w:footnoteRef/>
      </w:r>
      <w:r>
        <w:tab/>
        <w:t xml:space="preserve">Várhatóan több tagállamban is be fognak fejeződni a legelső 5G sávok </w:t>
      </w:r>
      <w:r>
        <w:t>frekvenciaelosztására vonatkozó nemzeti eljárások, mivel ezen sávok használatának engedélyezését az év végétől jogi kötelezettség írja elő.</w:t>
      </w:r>
    </w:p>
  </w:footnote>
  <w:footnote w:id="8">
    <w:p w:rsidR="00CC3216" w:rsidRDefault="00733A38">
      <w:pPr>
        <w:pStyle w:val="FootnoteText"/>
      </w:pPr>
      <w:r>
        <w:rPr>
          <w:rStyle w:val="FootnoteReference"/>
        </w:rPr>
        <w:footnoteRef/>
      </w:r>
      <w:r>
        <w:tab/>
        <w:t>A szociális jogok európai pillérének kihirdetéséről szóló intézményközi nyilatkozat (2017/C 428/09).</w:t>
      </w:r>
    </w:p>
  </w:footnote>
  <w:footnote w:id="9">
    <w:p w:rsidR="00CC3216" w:rsidRDefault="00733A38">
      <w:pPr>
        <w:pStyle w:val="FootnoteText"/>
      </w:pPr>
      <w:r>
        <w:rPr>
          <w:rStyle w:val="FootnoteCharacters"/>
        </w:rPr>
        <w:footnoteRef/>
      </w:r>
      <w:r>
        <w:tab/>
        <w:t>Lásd a 2020</w:t>
      </w:r>
      <w:r>
        <w:t>. évi együttes foglalkoztatási jelentésre vonatkozó bizottsági javaslatot (COM(2019) 653 final).</w:t>
      </w:r>
    </w:p>
  </w:footnote>
  <w:footnote w:id="10">
    <w:p w:rsidR="00CC3216" w:rsidRDefault="00733A38">
      <w:pPr>
        <w:pStyle w:val="FootnoteText"/>
      </w:pPr>
      <w:r>
        <w:rPr>
          <w:rStyle w:val="FootnoteCharacters"/>
        </w:rPr>
        <w:footnoteRef/>
      </w:r>
      <w:r>
        <w:tab/>
        <w:t>A méltányos átállást szolgáló erős szociális Európa (COM(2020) 14 final).</w:t>
      </w:r>
    </w:p>
  </w:footnote>
  <w:footnote w:id="11">
    <w:p w:rsidR="00CC3216" w:rsidRDefault="00733A38">
      <w:pPr>
        <w:pStyle w:val="WW-Default"/>
        <w:ind w:left="720" w:hanging="720"/>
      </w:pPr>
      <w:r>
        <w:rPr>
          <w:rStyle w:val="FootnoteCharacters"/>
        </w:rPr>
        <w:footnoteRef/>
      </w:r>
      <w:r>
        <w:rPr>
          <w:sz w:val="20"/>
          <w:szCs w:val="20"/>
        </w:rPr>
        <w:tab/>
        <w:t>Az EUMSZ 154. cikke szerinti konzultáció a szociális partnerekkel a méltányos min</w:t>
      </w:r>
      <w:r>
        <w:rPr>
          <w:sz w:val="20"/>
          <w:szCs w:val="20"/>
        </w:rPr>
        <w:t>imálbérekkel kapcsolatos kihívások kezelésére irányuló lehetséges fellépésről (első szakasz) (C(2020) 83 final).</w:t>
      </w:r>
    </w:p>
  </w:footnote>
  <w:footnote w:id="12">
    <w:p w:rsidR="00CC3216" w:rsidRDefault="00733A38">
      <w:pPr>
        <w:pStyle w:val="FootnoteText"/>
      </w:pPr>
      <w:r>
        <w:rPr>
          <w:rStyle w:val="FootnoteReference"/>
        </w:rPr>
        <w:footnoteRef/>
      </w:r>
      <w:r>
        <w:tab/>
        <w:t>2006 és 2014 között uniós átlagban 16,7 %-ról 17,2 %-ra nőtt, egyes tagállamokban azonban a növekedés jelentősebb mértékű volt.</w:t>
      </w:r>
    </w:p>
  </w:footnote>
  <w:footnote w:id="13">
    <w:p w:rsidR="00CC3216" w:rsidRDefault="00733A38">
      <w:pPr>
        <w:pStyle w:val="FootnoteText"/>
      </w:pPr>
      <w:r>
        <w:rPr>
          <w:rStyle w:val="FootnoteReference"/>
        </w:rPr>
        <w:footnoteRef/>
      </w:r>
      <w:r>
        <w:tab/>
        <w:t>A Bizottság</w:t>
      </w:r>
      <w:r>
        <w:t xml:space="preserve"> 2020 márciusában nemi esélyegyenlőségi stratégiát fog bevezetni, a bérkülönbség kérdését pedig a bérátláthatóságról szóló, 2020 későbbi szakaszában előterjesztendő jogalkotási javaslattal kívánja kezelni.</w:t>
      </w:r>
    </w:p>
  </w:footnote>
  <w:footnote w:id="14">
    <w:p w:rsidR="00CC3216" w:rsidRDefault="00733A38">
      <w:pPr>
        <w:pStyle w:val="FootnoteText"/>
      </w:pPr>
      <w:r>
        <w:rPr>
          <w:rStyle w:val="FootnoteReference"/>
        </w:rPr>
        <w:footnoteRef/>
      </w:r>
      <w:r>
        <w:tab/>
        <w:t>A Bizottság 2020 márciusában elő fogja terjeszte</w:t>
      </w:r>
      <w:r>
        <w:t>ni készségfejlesztési programját, amely célszámokkal és kezdeményezésekkel kezeli majd a kettős átállás során felmerülő kihívásokat.</w:t>
      </w:r>
    </w:p>
  </w:footnote>
  <w:footnote w:id="15">
    <w:p w:rsidR="00CC3216" w:rsidRDefault="00733A38">
      <w:pPr>
        <w:pStyle w:val="FootnoteText"/>
      </w:pPr>
      <w:r>
        <w:rPr>
          <w:rStyle w:val="FootnoteCharacters"/>
        </w:rPr>
        <w:footnoteRef/>
      </w:r>
      <w:r>
        <w:tab/>
        <w:t>Az Európai Számvevőszék 22/2019. sz. különjelentése (2019), „A nemzeti költségvetési keretekkel kapcsolatos uniós előírás</w:t>
      </w:r>
      <w:r>
        <w:t>okat tovább kell erősíteni és javítani kell alkalmazásuk nyomon követését”.</w:t>
      </w:r>
    </w:p>
  </w:footnote>
  <w:footnote w:id="16">
    <w:p w:rsidR="00CC3216" w:rsidRDefault="00733A38">
      <w:pPr>
        <w:pStyle w:val="FootnoteText"/>
        <w:ind w:left="142" w:hanging="142"/>
      </w:pPr>
      <w:r>
        <w:rPr>
          <w:rStyle w:val="FootnoteCharacters"/>
        </w:rPr>
        <w:footnoteRef/>
      </w:r>
      <w:r>
        <w:tab/>
        <w:t>Az 1176/2011/EU rendelet 2. cikke.</w:t>
      </w:r>
    </w:p>
  </w:footnote>
  <w:footnote w:id="17">
    <w:p w:rsidR="00CC3216" w:rsidRDefault="00733A38">
      <w:pPr>
        <w:pStyle w:val="FootnoteText"/>
      </w:pPr>
      <w:r>
        <w:rPr>
          <w:rStyle w:val="FootnoteCharacters"/>
        </w:rPr>
        <w:footnoteRef/>
      </w:r>
      <w:r>
        <w:tab/>
        <w:t>COM(2019) 651 final.</w:t>
      </w:r>
    </w:p>
  </w:footnote>
  <w:footnote w:id="18">
    <w:p w:rsidR="00CC3216" w:rsidRDefault="00733A38">
      <w:pPr>
        <w:pStyle w:val="FootnoteText"/>
        <w:rPr>
          <w:sz w:val="18"/>
          <w:szCs w:val="18"/>
        </w:rPr>
      </w:pPr>
      <w:r>
        <w:rPr>
          <w:rStyle w:val="FootnoteReference"/>
          <w:szCs w:val="18"/>
        </w:rPr>
        <w:footnoteRef/>
      </w:r>
      <w:r>
        <w:tab/>
        <w:t>Bulgáriának az ERM II-vel kapcsolatos kötelezettségvállalásait a Bizottság és az EKB a saját felelősségi körében kellő</w:t>
      </w:r>
      <w:r>
        <w:t xml:space="preserve"> időben értékelni fogja.</w:t>
      </w:r>
    </w:p>
  </w:footnote>
  <w:footnote w:id="19">
    <w:p w:rsidR="00CC3216" w:rsidRDefault="00733A38">
      <w:pPr>
        <w:pStyle w:val="FootnoteText"/>
      </w:pPr>
      <w:r>
        <w:rPr>
          <w:rStyle w:val="FootnoteReference"/>
        </w:rPr>
        <w:footnoteRef/>
      </w:r>
      <w:r>
        <w:tab/>
        <w:t>A Tanács következtetései a riasztási mechanizmus keretében készült 2020. évi jelentésről, 2020. február 18. (ST 6145/20).</w:t>
      </w:r>
    </w:p>
  </w:footnote>
  <w:footnote w:id="20">
    <w:p w:rsidR="00CC3216" w:rsidRDefault="00733A38">
      <w:pPr>
        <w:pStyle w:val="FootnoteText"/>
      </w:pPr>
      <w:r>
        <w:rPr>
          <w:rStyle w:val="FootnoteReference"/>
        </w:rPr>
        <w:footnoteRef/>
      </w:r>
      <w:r>
        <w:tab/>
        <w:t>Az európai strukturális és beruházási alapok teljes allokációjában elkülönített eredményességi tartalékot</w:t>
      </w:r>
      <w:r>
        <w:t xml:space="preserve"> (a költségvetés 6 %-át, vagyis mintegy 26 milliárd EUR-t) azokra a prioritásokra szabadítják fel, amelyek elérték a teljesítménymérési keretben meghatározott 2018. évi céljaikat.</w:t>
      </w:r>
    </w:p>
  </w:footnote>
  <w:footnote w:id="21">
    <w:p w:rsidR="00CC3216" w:rsidRDefault="00733A38"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A Bizottság mind az „egyensúlyhiány”, mind a „túlzott egyensúlyhiány” kate</w:t>
      </w:r>
      <w:r>
        <w:t>góriába sorolt tagállamok tekintetében a kihívások súlyosságának megfelelő egyedi nyomon követést fog alkalmazni.</w:t>
      </w:r>
    </w:p>
  </w:footnote>
  <w:footnote w:id="22">
    <w:p w:rsidR="00CC3216" w:rsidRDefault="00733A38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Az MTO megvalósítása és az (átmeneti) adósságszabály alkalmazhatósága 2019-re vonatkozik, és a Bizottság 2019. őszi előrejelzésén alapul.</w:t>
      </w:r>
    </w:p>
  </w:footnote>
  <w:footnote w:id="23">
    <w:p w:rsidR="00CC3216" w:rsidRDefault="00733A38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</w:t>
      </w:r>
      <w:r>
        <w:t>Adósságszabály: Amennyiben egy tagállam túllépi a GDP-arányos államadósságra vonatkozó 60 %-os referenciaszintet, és a túllépés mértéke évente kevesebb mint 1/20-dal csökken (egy hároméves időszak átlagát tekintve), úgy valamennyi releváns tényezőt és a ga</w:t>
      </w:r>
      <w:r>
        <w:t>zdasági ciklus hatását figyelembe véve túlzotthiány-eljárás indul az érintett tagállam ellen.</w:t>
      </w:r>
    </w:p>
  </w:footnote>
  <w:footnote w:id="24">
    <w:p w:rsidR="00CC3216" w:rsidRDefault="00733A38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Átmeneti adósságszabály: a túlzotthiány-eljárás hatálya alá tartozó valamennyi tagállamnak a túlzott hiány kiigazítása után három év áll rendelkezésére az adóss</w:t>
      </w:r>
      <w:r>
        <w:t>ágszabály teljesítésére. Ez nem azt jelenti, hogy ebben az időszakban az adósságszabály egyáltalán nem vonatkozik rájuk, hiszen a tagállamoknak az átmeneti időszakban is kielégítő előrelépést kell tenniük a megfelelés felé. Az államadósságra vonatkozó refe</w:t>
      </w:r>
      <w:r>
        <w:t>renciaértéknek való megfelelés felé az átmeneti időszakban tett előrelépés kedvezőtlen értékelése túlzotthiány-eljárás indítását vonhatja maga után.</w:t>
      </w:r>
    </w:p>
  </w:footnote>
  <w:footnote w:id="25">
    <w:p w:rsidR="00CC3216" w:rsidRDefault="00733A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666666"/>
        </w:rPr>
        <w:t xml:space="preserve">A </w:t>
      </w:r>
      <w:r>
        <w:rPr>
          <w:rStyle w:val="Strong"/>
          <w:b w:val="0"/>
          <w:color w:val="767676"/>
        </w:rPr>
        <w:t>jelentős eltérési eljárás</w:t>
      </w:r>
      <w:r>
        <w:rPr>
          <w:color w:val="666666"/>
        </w:rPr>
        <w:t xml:space="preserve"> (SDP) lehetőséget ad az érintett tagállamnak arra, hogy korrigálja a középtáv</w:t>
      </w:r>
      <w:r>
        <w:rPr>
          <w:color w:val="666666"/>
        </w:rPr>
        <w:t>ú költségvetési céltól (MTO) vagy az MTO megvalósításához vezető kiigazítási pályától való eltérését</w:t>
      </w:r>
      <w:r>
        <w:rPr>
          <w:rFonts w:ascii="Arial" w:hAnsi="Arial"/>
          <w:color w:val="66666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38" w:rsidRPr="00733A38" w:rsidRDefault="00733A38" w:rsidP="00733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38" w:rsidRPr="00733A38" w:rsidRDefault="00733A38" w:rsidP="00733A38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38" w:rsidRPr="00733A38" w:rsidRDefault="00733A38" w:rsidP="00733A38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6" w:rsidRDefault="00CC321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6" w:rsidRDefault="00CC321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16" w:rsidRDefault="00CC3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ascii="Symbol" w:hAnsi="Symbol" w:cs="Symbol"/>
        <w:smallCaps/>
        <w:sz w:val="26"/>
        <w:szCs w:val="20"/>
        <w:lang w:val="en-I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Heading1"/>
      <w:lvlText w:val="(%1)"/>
      <w:lvlJc w:val="left"/>
      <w:pPr>
        <w:tabs>
          <w:tab w:val="num" w:pos="709"/>
        </w:tabs>
        <w:ind w:left="709" w:hanging="709"/>
      </w:pPr>
      <w:rPr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Heading2"/>
      <w:lvlText w:val="(%1)"/>
      <w:lvlJc w:val="left"/>
      <w:pPr>
        <w:tabs>
          <w:tab w:val="num" w:pos="709"/>
        </w:tabs>
        <w:ind w:left="709" w:hanging="709"/>
      </w:pPr>
      <w:rPr>
        <w:rFonts w:ascii="Symbol" w:hAnsi="Symbol" w:cs="Symbol"/>
        <w:smallCaps/>
        <w:sz w:val="26"/>
        <w:szCs w:val="20"/>
        <w:lang w:val="en-IE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  <w:rPr>
        <w:rFonts w:ascii="Courier New" w:hAnsi="Courier New" w:cs="Courier New"/>
      </w:rPr>
    </w:lvl>
    <w:lvl w:ilvl="2">
      <w:start w:val="1"/>
      <w:numFmt w:val="decimal"/>
      <w:lvlText w:val="(%2.%3)"/>
      <w:lvlJc w:val="left"/>
      <w:pPr>
        <w:tabs>
          <w:tab w:val="num" w:pos="1417"/>
        </w:tabs>
        <w:ind w:left="1417" w:hanging="567"/>
      </w:pPr>
      <w:rPr>
        <w:rFonts w:ascii="Wingdings" w:hAnsi="Wingdings" w:cs="Wingdings"/>
      </w:rPr>
    </w:lvl>
    <w:lvl w:ilvl="3">
      <w:start w:val="1"/>
      <w:numFmt w:val="lowerLetter"/>
      <w:lvlText w:val="(%2.%3.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2.%3.%4.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2.%3.%4.%5.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2.%3.%4.%5.%6.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2.%3.%4.%5.%6.%7.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2.%3.%4.%5.%6.%7.%8.%9)"/>
      <w:lvlJc w:val="left"/>
      <w:pPr>
        <w:tabs>
          <w:tab w:val="num" w:pos="3118"/>
        </w:tabs>
        <w:ind w:left="3118" w:hanging="567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 Bold" w:hint="default"/>
        <w:b/>
        <w:smallCaps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 Bold" w:hint="default"/>
        <w:b/>
        <w:smallCaps/>
        <w:sz w:val="2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 Bold" w:hint="default"/>
        <w:b/>
        <w:smallCaps/>
        <w:sz w:val="2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b/>
        <w:smallCaps/>
        <w:color w:val="auto"/>
        <w:sz w:val="26"/>
        <w:shd w:val="clear" w:color="auto" w:fill="FFFF00"/>
      </w:rPr>
    </w:lvl>
  </w:abstractNum>
  <w:abstractNum w:abstractNumId="5" w15:restartNumberingAfterBreak="0">
    <w:nsid w:val="26583B82"/>
    <w:multiLevelType w:val="hybridMultilevel"/>
    <w:tmpl w:val="4C24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300E6"/>
    <w:multiLevelType w:val="hybridMultilevel"/>
    <w:tmpl w:val="9F725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oNotTrackMoves/>
  <w:documentProtection w:edit="trackedChanges" w:enforcement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DocStatus" w:val="Green"/>
    <w:docVar w:name="LW_CORRIGENDUM" w:val="&lt;UNUSED&gt;"/>
    <w:docVar w:name="LW_COVERPAGE_EXISTS" w:val="True"/>
    <w:docVar w:name="LW_COVERPAGE_GUID" w:val="532B28C9-8359-4DE7-BA18-A464E76AAD81"/>
    <w:docVar w:name="LW_COVERPAGE_TYPE" w:val="1"/>
    <w:docVar w:name="LW_CROSSREFERENCE" w:val="{SWD(2020) 500-527 final}"/>
    <w:docVar w:name="LW_DocType" w:val="NORMAL"/>
    <w:docVar w:name="LW_EMISSION" w:val="2020.2.26."/>
    <w:docVar w:name="LW_EMISSION_ISODATE" w:val="2020-02-26"/>
    <w:docVar w:name="LW_EMISSION_LOCATION" w:val="BRX"/>
    <w:docVar w:name="LW_EMISSION_PREFIX" w:val="Brüsszel, "/>
    <w:docVar w:name="LW_EMISSION_SUFFIX" w:val=" "/>
    <w:docVar w:name="LW_ID_DOCTYPE_NONLW" w:val="CP-009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1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FMT:Font=Times New Roman Bold,Bold&gt;2020. évi európai szemeszter: Az 1176/2011/EU rendelet szerinti értékelés a strukturális reformok terén elért haladásról, a makrogazdasági egyensúlyhiány megel\u337?zésér\u337?l és korrekciójáról, továbbá a részletes vizsgálat eredményeir\u337?l&lt;/FMT&gt;"/>
    <w:docVar w:name="LW_TYPE.DOC.CP" w:val="A BIZOTTSÁG KÖZLEMÉNYE"/>
    <w:docVar w:name="LW_TYPE.DOC.CP.USERTEXT" w:val="AZ EURÓPAI PARLAMENTNEK, AZ EURÓPAI TANÁCSNAK, A TANÁCSNAK, AZ EURÓPAI KÖZPONTI BANKNAK ÉS AZ EURÓCSOPORTNAK_x000b_"/>
  </w:docVars>
  <w:rsids>
    <w:rsidRoot w:val="00CC3216"/>
    <w:rsid w:val="00733A38"/>
    <w:rsid w:val="00C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EB9294F8-1B95-45D2-AB1B-7E291A64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2"/>
      </w:numPr>
      <w:spacing w:before="360" w:after="120" w:line="100" w:lineRule="atLeast"/>
      <w:jc w:val="both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BodyText"/>
    <w:qFormat/>
    <w:pPr>
      <w:keepNext/>
      <w:numPr>
        <w:numId w:val="3"/>
      </w:numPr>
      <w:spacing w:before="120" w:after="120" w:line="100" w:lineRule="atLeast"/>
      <w:jc w:val="both"/>
      <w:outlineLvl w:val="1"/>
    </w:pPr>
    <w:rPr>
      <w:b/>
      <w:bCs/>
      <w:szCs w:val="26"/>
    </w:rPr>
  </w:style>
  <w:style w:type="paragraph" w:styleId="Heading3">
    <w:name w:val="heading 3"/>
    <w:basedOn w:val="Normal"/>
    <w:next w:val="BodyText"/>
    <w:qFormat/>
    <w:pPr>
      <w:keepNext/>
      <w:tabs>
        <w:tab w:val="num" w:pos="709"/>
      </w:tabs>
      <w:spacing w:before="120" w:after="120" w:line="100" w:lineRule="atLeast"/>
      <w:ind w:left="709" w:hanging="709"/>
      <w:jc w:val="both"/>
      <w:outlineLvl w:val="2"/>
    </w:pPr>
    <w:rPr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tabs>
        <w:tab w:val="num" w:pos="709"/>
      </w:tabs>
      <w:spacing w:before="120" w:after="120" w:line="100" w:lineRule="atLeast"/>
      <w:ind w:left="709" w:hanging="709"/>
      <w:jc w:val="both"/>
      <w:outlineLvl w:val="3"/>
    </w:pPr>
    <w:rPr>
      <w:bCs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lang w:val="hu-H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mallCaps/>
      <w:sz w:val="26"/>
      <w:szCs w:val="20"/>
      <w:lang w:val="hu-HU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 Bold" w:hAnsi="Times New Roman Bold" w:cs="Times New Roman Bold" w:hint="default"/>
      <w:b/>
      <w:smallCaps/>
      <w:sz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Symbol" w:hAnsi="Symbol" w:cs="Symbol" w:hint="default"/>
      <w:b/>
      <w:smallCaps/>
      <w:color w:val="auto"/>
      <w:sz w:val="26"/>
      <w:shd w:val="clear" w:color="auto" w:fill="FFFF00"/>
    </w:rPr>
  </w:style>
  <w:style w:type="character" w:customStyle="1" w:styleId="WW8Num5z0">
    <w:name w:val="WW8Num5z0"/>
    <w:rPr>
      <w:rFonts w:ascii="Symbol" w:hAnsi="Symbol" w:cs="Symbol" w:hint="default"/>
      <w:color w:val="auto"/>
      <w:shd w:val="clear" w:color="auto" w:fill="FFFF0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smallCaps/>
      <w:sz w:val="24"/>
      <w:szCs w:val="28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Cs/>
      <w:i/>
      <w:sz w:val="24"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Cs/>
      <w:iCs/>
      <w:sz w:val="24"/>
      <w:szCs w:val="20"/>
    </w:rPr>
  </w:style>
  <w:style w:type="character" w:customStyle="1" w:styleId="Marker">
    <w:name w:val="Marker"/>
    <w:rPr>
      <w:color w:val="0000FF"/>
    </w:rPr>
  </w:style>
  <w:style w:type="character" w:customStyle="1" w:styleId="HeaderChar">
    <w:name w:val="Header Char"/>
    <w:uiPriority w:val="99"/>
    <w:rPr>
      <w:rFonts w:ascii="Calibri" w:eastAsia="Calibri" w:hAnsi="Calibri" w:cs="Times New Roman"/>
      <w:lang w:val="hu-HU"/>
    </w:rPr>
  </w:style>
  <w:style w:type="character" w:customStyle="1" w:styleId="FooterChar">
    <w:name w:val="Footer Char"/>
    <w:rPr>
      <w:rFonts w:ascii="Calibri" w:eastAsia="Calibri" w:hAnsi="Calibri" w:cs="Times New Roman"/>
      <w:lang w:val="hu-HU"/>
    </w:rPr>
  </w:style>
  <w:style w:type="character" w:customStyle="1" w:styleId="FooterCoverPageChar">
    <w:name w:val="Footer Cover Page Char"/>
    <w:rPr>
      <w:rFonts w:ascii="Times New Roman" w:hAnsi="Times New Roman" w:cs="Times New Roman"/>
      <w:sz w:val="24"/>
      <w:lang w:val="hu-HU"/>
    </w:rPr>
  </w:style>
  <w:style w:type="character" w:customStyle="1" w:styleId="HeaderCoverPageChar">
    <w:name w:val="Header Cover Page Char"/>
    <w:rPr>
      <w:rFonts w:ascii="Times New Roman" w:hAnsi="Times New Roman" w:cs="Times New Roman"/>
      <w:sz w:val="24"/>
      <w:lang w:val="hu-HU"/>
    </w:rPr>
  </w:style>
  <w:style w:type="character" w:customStyle="1" w:styleId="CommentReference1">
    <w:name w:val="Comment Reference1"/>
    <w:rPr>
      <w:sz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Marker1">
    <w:name w:val="Marker1"/>
    <w:rPr>
      <w:color w:val="008000"/>
    </w:rPr>
  </w:style>
  <w:style w:type="character" w:customStyle="1" w:styleId="Marker2">
    <w:name w:val="Marker2"/>
    <w:rPr>
      <w:color w:val="FF0000"/>
    </w:rPr>
  </w:style>
  <w:style w:type="character" w:customStyle="1" w:styleId="Added">
    <w:name w:val="Added"/>
    <w:rPr>
      <w:b/>
      <w:u w:val="single"/>
    </w:rPr>
  </w:style>
  <w:style w:type="character" w:customStyle="1" w:styleId="Deleted">
    <w:name w:val="Deleted"/>
    <w:rPr>
      <w:strike w:val="0"/>
      <w:dstrike w:val="0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EndnoteTextChar">
    <w:name w:val="Endnote Text Char"/>
  </w:style>
  <w:style w:type="character" w:customStyle="1" w:styleId="EndnoteReference1">
    <w:name w:val="Endnote Reference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SimSun" w:cs="Times New Roman"/>
    </w:rPr>
  </w:style>
  <w:style w:type="character" w:customStyle="1" w:styleId="NumberingSymbols">
    <w:name w:val="Numbering Symbols"/>
  </w:style>
  <w:style w:type="character" w:customStyle="1" w:styleId="CommentTextChar1">
    <w:name w:val="Comment Text Char1"/>
    <w:rPr>
      <w:color w:val="000000"/>
      <w:lang w:val="hu-HU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FootnoteTextChar1">
    <w:name w:val="Footnote Text Char1"/>
    <w:rPr>
      <w:color w:val="000000"/>
      <w:lang w:val="hu-HU"/>
    </w:rPr>
  </w:style>
  <w:style w:type="character" w:customStyle="1" w:styleId="FootnoteCharacters">
    <w:name w:val="Footnote Characters"/>
    <w:rPr>
      <w:color w:val="000000"/>
      <w:sz w:val="24"/>
      <w:szCs w:val="24"/>
      <w:vertAlign w:val="superscript"/>
      <w:lang w:val="hu-HU"/>
    </w:rPr>
  </w:style>
  <w:style w:type="character" w:styleId="FootnoteReference">
    <w:name w:val="footnote reference"/>
    <w:aliases w:val="Footnote symbol,Footnote reference number,note TESI,BVI fnr,Appel note de bas de p,Nota,SUPERS,Footnote number,Footnote Reference Superscript,EN Footnote Reference,-E Fußnotenzeichen,number Char Char,number,Ref,styl,styli,de nota al p"/>
    <w:qFormat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CommentTextChar2">
    <w:name w:val="Comment Text Char2"/>
    <w:rPr>
      <w:lang w:val="hu-HU"/>
    </w:rPr>
  </w:style>
  <w:style w:type="character" w:customStyle="1" w:styleId="CommentSubjectChar1">
    <w:name w:val="Comment Subject Char1"/>
    <w:rPr>
      <w:b/>
      <w:bCs/>
      <w:color w:val="000000"/>
      <w:lang w:val="hu-HU"/>
    </w:rPr>
  </w:style>
  <w:style w:type="character" w:customStyle="1" w:styleId="PlainTextChar">
    <w:name w:val="Plain Text Char"/>
    <w:rPr>
      <w:rFonts w:ascii="Calibri" w:eastAsia="Calibri" w:hAnsi="Calibri" w:cs="Calibri"/>
      <w:sz w:val="22"/>
      <w:szCs w:val="21"/>
      <w:lang w:val="hu-HU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agedecouverture">
    <w:name w:val="Page de couverture"/>
    <w:basedOn w:val="Normal"/>
    <w:pPr>
      <w:spacing w:after="0" w:line="100" w:lineRule="atLeast"/>
      <w:jc w:val="both"/>
    </w:pPr>
  </w:style>
  <w:style w:type="paragraph" w:styleId="Header">
    <w:name w:val="head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FooterCoverPage">
    <w:name w:val="Footer Cover Page"/>
    <w:basedOn w:val="Normal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</w:style>
  <w:style w:type="paragraph" w:customStyle="1" w:styleId="HeaderCoverPage">
    <w:name w:val="Header Cover Page"/>
    <w:basedOn w:val="Normal"/>
    <w:pPr>
      <w:tabs>
        <w:tab w:val="center" w:pos="4535"/>
        <w:tab w:val="right" w:pos="9071"/>
      </w:tabs>
      <w:spacing w:after="120" w:line="240" w:lineRule="auto"/>
      <w:jc w:val="both"/>
    </w:pPr>
  </w:style>
  <w:style w:type="paragraph" w:styleId="ListBullet">
    <w:name w:val="List Bullet"/>
    <w:basedOn w:val="Normal"/>
    <w:pPr>
      <w:spacing w:before="120" w:after="120" w:line="100" w:lineRule="atLeast"/>
      <w:jc w:val="both"/>
    </w:pPr>
  </w:style>
  <w:style w:type="paragraph" w:styleId="ListBullet2">
    <w:name w:val="List Bullet 2"/>
    <w:basedOn w:val="Normal"/>
    <w:pPr>
      <w:spacing w:before="120" w:after="120" w:line="100" w:lineRule="atLeast"/>
      <w:jc w:val="both"/>
    </w:pPr>
    <w:rPr>
      <w:szCs w:val="20"/>
    </w:rPr>
  </w:style>
  <w:style w:type="paragraph" w:styleId="ListBullet3">
    <w:name w:val="List Bullet 3"/>
    <w:basedOn w:val="Normal"/>
    <w:pPr>
      <w:spacing w:before="120" w:after="120" w:line="100" w:lineRule="atLeast"/>
      <w:jc w:val="both"/>
    </w:pPr>
    <w:rPr>
      <w:szCs w:val="20"/>
    </w:rPr>
  </w:style>
  <w:style w:type="paragraph" w:styleId="ListBullet4">
    <w:name w:val="List Bullet 4"/>
    <w:basedOn w:val="Normal"/>
    <w:pPr>
      <w:spacing w:before="120" w:after="120" w:line="100" w:lineRule="atLeast"/>
      <w:jc w:val="both"/>
    </w:pPr>
    <w:rPr>
      <w:szCs w:val="20"/>
    </w:rPr>
  </w:style>
  <w:style w:type="paragraph" w:styleId="BalloonText">
    <w:name w:val="Balloon Text"/>
    <w:basedOn w:val="Normal"/>
    <w:pPr>
      <w:spacing w:after="0" w:line="100" w:lineRule="atLeast"/>
      <w:jc w:val="both"/>
    </w:pPr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pPr>
      <w:spacing w:before="120" w:after="120" w:line="100" w:lineRule="atLeast"/>
      <w:jc w:val="both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HeaderTitleRight30">
    <w:name w:val="Header Title Right (30)"/>
    <w:basedOn w:val="Normal"/>
    <w:pPr>
      <w:spacing w:before="100" w:after="40" w:line="100" w:lineRule="atLeast"/>
      <w:ind w:right="-850"/>
      <w:jc w:val="right"/>
    </w:pPr>
    <w:rPr>
      <w:rFonts w:ascii="Century Gothic" w:hAnsi="Century Gothic" w:cs="Century Gothic"/>
      <w:color w:val="333399"/>
      <w:sz w:val="14"/>
    </w:rPr>
  </w:style>
  <w:style w:type="paragraph" w:customStyle="1" w:styleId="Caption1">
    <w:name w:val="Caption1"/>
    <w:basedOn w:val="Normal"/>
    <w:pPr>
      <w:spacing w:before="120" w:after="120" w:line="100" w:lineRule="atLeast"/>
      <w:jc w:val="both"/>
    </w:pPr>
    <w:rPr>
      <w:b/>
      <w:bCs/>
      <w:sz w:val="20"/>
      <w:szCs w:val="20"/>
    </w:rPr>
  </w:style>
  <w:style w:type="paragraph" w:customStyle="1" w:styleId="TableofFigures1">
    <w:name w:val="Table of Figures1"/>
    <w:basedOn w:val="Normal"/>
    <w:pPr>
      <w:spacing w:before="120" w:after="120" w:line="100" w:lineRule="atLeast"/>
      <w:jc w:val="both"/>
    </w:pPr>
    <w:rPr>
      <w:szCs w:val="20"/>
    </w:rPr>
  </w:style>
  <w:style w:type="paragraph" w:styleId="ListNumber">
    <w:name w:val="List Number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styleId="ListNumber2">
    <w:name w:val="List Number 2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styleId="ListNumber3">
    <w:name w:val="List Number 3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styleId="ListNumber4">
    <w:name w:val="List Number 4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customStyle="1" w:styleId="FootnoteText1">
    <w:name w:val="Footnote Text1"/>
    <w:basedOn w:val="Normal"/>
    <w:pPr>
      <w:spacing w:after="0" w:line="100" w:lineRule="atLeast"/>
      <w:ind w:left="720" w:hanging="720"/>
      <w:jc w:val="both"/>
    </w:pPr>
    <w:rPr>
      <w:sz w:val="20"/>
      <w:szCs w:val="20"/>
    </w:rPr>
  </w:style>
  <w:style w:type="paragraph" w:customStyle="1" w:styleId="En-ttedetabledesmatires">
    <w:name w:val="En-tête de table des matières"/>
    <w:basedOn w:val="Normal"/>
    <w:pPr>
      <w:spacing w:before="120" w:after="240" w:line="100" w:lineRule="atLeast"/>
      <w:jc w:val="center"/>
    </w:pPr>
    <w:rPr>
      <w:b/>
      <w:sz w:val="28"/>
      <w:szCs w:val="20"/>
    </w:rPr>
  </w:style>
  <w:style w:type="paragraph" w:styleId="TOC1">
    <w:name w:val="toc 1"/>
    <w:basedOn w:val="Normal"/>
    <w:pPr>
      <w:tabs>
        <w:tab w:val="right" w:leader="dot" w:pos="9071"/>
      </w:tabs>
      <w:spacing w:before="60" w:after="120" w:line="100" w:lineRule="atLeast"/>
      <w:ind w:left="850" w:hanging="850"/>
    </w:pPr>
    <w:rPr>
      <w:szCs w:val="20"/>
    </w:rPr>
  </w:style>
  <w:style w:type="paragraph" w:styleId="TOC2">
    <w:name w:val="toc 2"/>
    <w:basedOn w:val="Normal"/>
    <w:pPr>
      <w:tabs>
        <w:tab w:val="right" w:leader="dot" w:pos="9071"/>
      </w:tabs>
      <w:spacing w:before="60" w:after="120" w:line="100" w:lineRule="atLeast"/>
      <w:ind w:left="850" w:hanging="850"/>
    </w:pPr>
    <w:rPr>
      <w:szCs w:val="20"/>
    </w:rPr>
  </w:style>
  <w:style w:type="paragraph" w:styleId="TOC3">
    <w:name w:val="toc 3"/>
    <w:basedOn w:val="Normal"/>
    <w:pPr>
      <w:tabs>
        <w:tab w:val="right" w:leader="dot" w:pos="9071"/>
      </w:tabs>
      <w:spacing w:before="60" w:after="120" w:line="100" w:lineRule="atLeast"/>
      <w:ind w:left="850" w:hanging="850"/>
    </w:pPr>
    <w:rPr>
      <w:szCs w:val="20"/>
    </w:rPr>
  </w:style>
  <w:style w:type="paragraph" w:styleId="TOC4">
    <w:name w:val="toc 4"/>
    <w:basedOn w:val="Normal"/>
    <w:pPr>
      <w:tabs>
        <w:tab w:val="right" w:leader="dot" w:pos="9071"/>
      </w:tabs>
      <w:spacing w:before="60" w:after="120" w:line="100" w:lineRule="atLeast"/>
      <w:ind w:left="850" w:hanging="850"/>
    </w:pPr>
    <w:rPr>
      <w:szCs w:val="20"/>
    </w:rPr>
  </w:style>
  <w:style w:type="paragraph" w:styleId="TOC5">
    <w:name w:val="toc 5"/>
    <w:basedOn w:val="Normal"/>
    <w:pPr>
      <w:tabs>
        <w:tab w:val="right" w:leader="dot" w:pos="9071"/>
      </w:tabs>
      <w:spacing w:before="300" w:after="120" w:line="100" w:lineRule="atLeast"/>
      <w:ind w:left="1132"/>
    </w:pPr>
    <w:rPr>
      <w:szCs w:val="20"/>
    </w:rPr>
  </w:style>
  <w:style w:type="paragraph" w:styleId="TOC6">
    <w:name w:val="toc 6"/>
    <w:basedOn w:val="Normal"/>
    <w:pPr>
      <w:tabs>
        <w:tab w:val="right" w:leader="dot" w:pos="9071"/>
      </w:tabs>
      <w:spacing w:before="240" w:after="120" w:line="100" w:lineRule="atLeast"/>
      <w:ind w:left="1415"/>
    </w:pPr>
    <w:rPr>
      <w:szCs w:val="20"/>
    </w:rPr>
  </w:style>
  <w:style w:type="paragraph" w:styleId="TOC7">
    <w:name w:val="toc 7"/>
    <w:basedOn w:val="Normal"/>
    <w:pPr>
      <w:tabs>
        <w:tab w:val="right" w:leader="dot" w:pos="9071"/>
      </w:tabs>
      <w:spacing w:before="180" w:after="120" w:line="100" w:lineRule="atLeast"/>
      <w:ind w:left="1698"/>
    </w:pPr>
    <w:rPr>
      <w:szCs w:val="20"/>
    </w:rPr>
  </w:style>
  <w:style w:type="paragraph" w:styleId="TOC8">
    <w:name w:val="toc 8"/>
    <w:basedOn w:val="Normal"/>
    <w:pPr>
      <w:tabs>
        <w:tab w:val="right" w:leader="dot" w:pos="9071"/>
      </w:tabs>
      <w:spacing w:before="120" w:after="120" w:line="100" w:lineRule="atLeast"/>
      <w:ind w:left="1981"/>
    </w:pPr>
    <w:rPr>
      <w:szCs w:val="20"/>
    </w:rPr>
  </w:style>
  <w:style w:type="paragraph" w:styleId="TOC9">
    <w:name w:val="toc 9"/>
    <w:basedOn w:val="Normal"/>
    <w:pPr>
      <w:tabs>
        <w:tab w:val="right" w:leader="dot" w:pos="9071"/>
      </w:tabs>
      <w:spacing w:before="120" w:after="120" w:line="100" w:lineRule="atLeast"/>
      <w:ind w:left="2264"/>
      <w:jc w:val="both"/>
    </w:pPr>
    <w:rPr>
      <w:szCs w:val="20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100" w:lineRule="atLeast"/>
      <w:jc w:val="both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100" w:lineRule="atLeast"/>
      <w:ind w:left="-567" w:right="-567"/>
    </w:pPr>
    <w:rPr>
      <w:szCs w:val="20"/>
    </w:rPr>
  </w:style>
  <w:style w:type="paragraph" w:customStyle="1" w:styleId="Text1">
    <w:name w:val="Text 1"/>
    <w:basedOn w:val="Normal"/>
    <w:pPr>
      <w:spacing w:before="120" w:after="120" w:line="100" w:lineRule="atLeast"/>
      <w:ind w:left="850"/>
      <w:jc w:val="both"/>
    </w:pPr>
    <w:rPr>
      <w:szCs w:val="20"/>
    </w:rPr>
  </w:style>
  <w:style w:type="paragraph" w:customStyle="1" w:styleId="Text2">
    <w:name w:val="Text 2"/>
    <w:basedOn w:val="Normal"/>
    <w:pPr>
      <w:spacing w:before="120" w:after="120" w:line="100" w:lineRule="atLeast"/>
      <w:ind w:left="1417"/>
      <w:jc w:val="both"/>
    </w:pPr>
    <w:rPr>
      <w:szCs w:val="20"/>
    </w:rPr>
  </w:style>
  <w:style w:type="paragraph" w:customStyle="1" w:styleId="Text3">
    <w:name w:val="Text 3"/>
    <w:basedOn w:val="Normal"/>
    <w:pPr>
      <w:spacing w:before="120" w:after="120" w:line="100" w:lineRule="atLeast"/>
      <w:ind w:left="1984"/>
      <w:jc w:val="both"/>
    </w:pPr>
    <w:rPr>
      <w:szCs w:val="20"/>
    </w:rPr>
  </w:style>
  <w:style w:type="paragraph" w:customStyle="1" w:styleId="Text4">
    <w:name w:val="Text 4"/>
    <w:basedOn w:val="Normal"/>
    <w:pPr>
      <w:spacing w:before="120" w:after="120" w:line="100" w:lineRule="atLeast"/>
      <w:ind w:left="2551"/>
      <w:jc w:val="both"/>
    </w:pPr>
    <w:rPr>
      <w:szCs w:val="20"/>
    </w:rPr>
  </w:style>
  <w:style w:type="paragraph" w:customStyle="1" w:styleId="NormalCentered">
    <w:name w:val="Normal Centered"/>
    <w:basedOn w:val="Normal"/>
    <w:pPr>
      <w:spacing w:before="120" w:after="120" w:line="100" w:lineRule="atLeast"/>
      <w:jc w:val="center"/>
    </w:pPr>
    <w:rPr>
      <w:szCs w:val="20"/>
    </w:rPr>
  </w:style>
  <w:style w:type="paragraph" w:customStyle="1" w:styleId="NormalLeft">
    <w:name w:val="Normal Left"/>
    <w:basedOn w:val="Normal"/>
    <w:pPr>
      <w:spacing w:before="120" w:after="120" w:line="100" w:lineRule="atLeast"/>
    </w:pPr>
    <w:rPr>
      <w:szCs w:val="20"/>
    </w:rPr>
  </w:style>
  <w:style w:type="paragraph" w:customStyle="1" w:styleId="NormalRight">
    <w:name w:val="Normal Right"/>
    <w:basedOn w:val="Normal"/>
    <w:pPr>
      <w:spacing w:before="120" w:after="120" w:line="100" w:lineRule="atLeast"/>
      <w:jc w:val="right"/>
    </w:pPr>
    <w:rPr>
      <w:szCs w:val="20"/>
    </w:rPr>
  </w:style>
  <w:style w:type="paragraph" w:customStyle="1" w:styleId="QuotedText">
    <w:name w:val="Quoted Text"/>
    <w:basedOn w:val="Normal"/>
    <w:pPr>
      <w:spacing w:before="120" w:after="120" w:line="100" w:lineRule="atLeast"/>
      <w:ind w:left="1417"/>
      <w:jc w:val="both"/>
    </w:pPr>
    <w:rPr>
      <w:szCs w:val="20"/>
    </w:rPr>
  </w:style>
  <w:style w:type="paragraph" w:customStyle="1" w:styleId="Point0">
    <w:name w:val="Point 0"/>
    <w:basedOn w:val="Normal"/>
    <w:pPr>
      <w:spacing w:before="120" w:after="120" w:line="100" w:lineRule="atLeast"/>
      <w:ind w:left="850" w:hanging="850"/>
      <w:jc w:val="both"/>
    </w:pPr>
    <w:rPr>
      <w:szCs w:val="20"/>
    </w:rPr>
  </w:style>
  <w:style w:type="paragraph" w:customStyle="1" w:styleId="Point1">
    <w:name w:val="Point 1"/>
    <w:basedOn w:val="Normal"/>
    <w:pPr>
      <w:spacing w:before="120" w:after="120" w:line="100" w:lineRule="atLeast"/>
      <w:ind w:left="1417" w:hanging="567"/>
      <w:jc w:val="both"/>
    </w:pPr>
    <w:rPr>
      <w:szCs w:val="20"/>
    </w:rPr>
  </w:style>
  <w:style w:type="paragraph" w:customStyle="1" w:styleId="Point2">
    <w:name w:val="Point 2"/>
    <w:basedOn w:val="Normal"/>
    <w:pPr>
      <w:spacing w:before="120" w:after="120" w:line="100" w:lineRule="atLeast"/>
      <w:ind w:left="1984" w:hanging="567"/>
      <w:jc w:val="both"/>
    </w:pPr>
    <w:rPr>
      <w:szCs w:val="20"/>
    </w:rPr>
  </w:style>
  <w:style w:type="paragraph" w:customStyle="1" w:styleId="Point3">
    <w:name w:val="Point 3"/>
    <w:basedOn w:val="Normal"/>
    <w:pPr>
      <w:spacing w:before="120" w:after="120" w:line="100" w:lineRule="atLeast"/>
      <w:ind w:left="2551" w:hanging="567"/>
      <w:jc w:val="both"/>
    </w:pPr>
    <w:rPr>
      <w:szCs w:val="20"/>
    </w:rPr>
  </w:style>
  <w:style w:type="paragraph" w:customStyle="1" w:styleId="Point4">
    <w:name w:val="Point 4"/>
    <w:basedOn w:val="Normal"/>
    <w:pPr>
      <w:spacing w:before="120" w:after="120" w:line="100" w:lineRule="atLeast"/>
      <w:ind w:left="3118" w:hanging="567"/>
      <w:jc w:val="both"/>
    </w:pPr>
    <w:rPr>
      <w:szCs w:val="20"/>
    </w:rPr>
  </w:style>
  <w:style w:type="paragraph" w:customStyle="1" w:styleId="Tiret0">
    <w:name w:val="Tiret 0"/>
    <w:basedOn w:val="Point0"/>
  </w:style>
  <w:style w:type="paragraph" w:customStyle="1" w:styleId="Tiret1">
    <w:name w:val="Tiret 1"/>
    <w:basedOn w:val="Point1"/>
  </w:style>
  <w:style w:type="paragraph" w:customStyle="1" w:styleId="Tiret2">
    <w:name w:val="Tiret 2"/>
    <w:basedOn w:val="Point2"/>
  </w:style>
  <w:style w:type="paragraph" w:customStyle="1" w:styleId="Tiret3">
    <w:name w:val="Tiret 3"/>
    <w:basedOn w:val="Point3"/>
  </w:style>
  <w:style w:type="paragraph" w:customStyle="1" w:styleId="Tiret4">
    <w:name w:val="Tiret 4"/>
    <w:basedOn w:val="Point4"/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100" w:lineRule="atLeast"/>
      <w:ind w:left="1417" w:hanging="1417"/>
      <w:jc w:val="both"/>
    </w:pPr>
    <w:rPr>
      <w:szCs w:val="20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100" w:lineRule="atLeast"/>
      <w:ind w:left="1984" w:hanging="1134"/>
      <w:jc w:val="both"/>
    </w:pPr>
    <w:rPr>
      <w:szCs w:val="20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100" w:lineRule="atLeast"/>
      <w:ind w:left="2551" w:hanging="1134"/>
      <w:jc w:val="both"/>
    </w:pPr>
    <w:rPr>
      <w:szCs w:val="20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100" w:lineRule="atLeast"/>
      <w:ind w:left="3118" w:hanging="1134"/>
      <w:jc w:val="both"/>
    </w:pPr>
    <w:rPr>
      <w:szCs w:val="20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100" w:lineRule="atLeast"/>
      <w:ind w:left="3685" w:hanging="1134"/>
      <w:jc w:val="both"/>
    </w:pPr>
    <w:rPr>
      <w:szCs w:val="20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100" w:lineRule="atLeast"/>
      <w:ind w:left="1984" w:hanging="1984"/>
      <w:jc w:val="both"/>
    </w:pPr>
    <w:rPr>
      <w:szCs w:val="20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100" w:lineRule="atLeast"/>
      <w:ind w:left="2551" w:hanging="1701"/>
      <w:jc w:val="both"/>
    </w:pPr>
    <w:rPr>
      <w:szCs w:val="20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100" w:lineRule="atLeast"/>
      <w:ind w:left="3118" w:hanging="1701"/>
      <w:jc w:val="both"/>
    </w:pPr>
    <w:rPr>
      <w:szCs w:val="20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100" w:lineRule="atLeast"/>
      <w:ind w:left="3685" w:hanging="1701"/>
      <w:jc w:val="both"/>
    </w:pPr>
    <w:rPr>
      <w:szCs w:val="20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100" w:lineRule="atLeast"/>
      <w:ind w:left="4252" w:hanging="1701"/>
      <w:jc w:val="both"/>
    </w:pPr>
    <w:rPr>
      <w:szCs w:val="20"/>
    </w:rPr>
  </w:style>
  <w:style w:type="paragraph" w:customStyle="1" w:styleId="NumPar1">
    <w:name w:val="NumPar 1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customStyle="1" w:styleId="NumPar2">
    <w:name w:val="NumPar 2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customStyle="1" w:styleId="NumPar3">
    <w:name w:val="NumPar 3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customStyle="1" w:styleId="NumPar4">
    <w:name w:val="NumPar 4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customStyle="1" w:styleId="ManualNumPar1">
    <w:name w:val="Manual NumPar 1"/>
    <w:basedOn w:val="Normal"/>
    <w:pPr>
      <w:spacing w:before="120" w:after="120" w:line="100" w:lineRule="atLeast"/>
      <w:ind w:left="850" w:hanging="850"/>
      <w:jc w:val="both"/>
    </w:pPr>
    <w:rPr>
      <w:szCs w:val="20"/>
    </w:rPr>
  </w:style>
  <w:style w:type="paragraph" w:customStyle="1" w:styleId="ManualNumPar2">
    <w:name w:val="Manual NumPar 2"/>
    <w:basedOn w:val="Normal"/>
    <w:pPr>
      <w:spacing w:before="120" w:after="120" w:line="100" w:lineRule="atLeast"/>
      <w:ind w:left="850" w:hanging="850"/>
      <w:jc w:val="both"/>
    </w:pPr>
    <w:rPr>
      <w:szCs w:val="20"/>
    </w:rPr>
  </w:style>
  <w:style w:type="paragraph" w:customStyle="1" w:styleId="ManualNumPar3">
    <w:name w:val="Manual NumPar 3"/>
    <w:basedOn w:val="Normal"/>
    <w:pPr>
      <w:spacing w:before="120" w:after="120" w:line="100" w:lineRule="atLeast"/>
      <w:ind w:left="850" w:hanging="850"/>
      <w:jc w:val="both"/>
    </w:pPr>
    <w:rPr>
      <w:szCs w:val="20"/>
    </w:rPr>
  </w:style>
  <w:style w:type="paragraph" w:customStyle="1" w:styleId="ManualNumPar4">
    <w:name w:val="Manual NumPar 4"/>
    <w:basedOn w:val="Normal"/>
    <w:pPr>
      <w:spacing w:before="120" w:after="120" w:line="100" w:lineRule="atLeast"/>
      <w:ind w:left="850" w:hanging="850"/>
      <w:jc w:val="both"/>
    </w:pPr>
    <w:rPr>
      <w:szCs w:val="20"/>
    </w:rPr>
  </w:style>
  <w:style w:type="paragraph" w:customStyle="1" w:styleId="QuotedNumPar">
    <w:name w:val="Quoted NumPar"/>
    <w:basedOn w:val="Normal"/>
    <w:pPr>
      <w:spacing w:before="120" w:after="120" w:line="100" w:lineRule="atLeast"/>
      <w:ind w:left="1417" w:hanging="567"/>
      <w:jc w:val="both"/>
    </w:pPr>
    <w:rPr>
      <w:szCs w:val="20"/>
    </w:rPr>
  </w:style>
  <w:style w:type="paragraph" w:customStyle="1" w:styleId="ManualHeading1">
    <w:name w:val="Manual Heading 1"/>
    <w:basedOn w:val="Normal"/>
    <w:pPr>
      <w:keepNext/>
      <w:tabs>
        <w:tab w:val="left" w:pos="850"/>
      </w:tabs>
      <w:spacing w:before="360" w:after="120" w:line="100" w:lineRule="atLeast"/>
      <w:ind w:left="850" w:hanging="850"/>
      <w:jc w:val="both"/>
    </w:pPr>
    <w:rPr>
      <w:b/>
      <w:smallCaps/>
      <w:szCs w:val="20"/>
    </w:rPr>
  </w:style>
  <w:style w:type="paragraph" w:customStyle="1" w:styleId="ManualHeading2">
    <w:name w:val="Manual Heading 2"/>
    <w:basedOn w:val="Normal"/>
    <w:pPr>
      <w:keepNext/>
      <w:tabs>
        <w:tab w:val="left" w:pos="850"/>
      </w:tabs>
      <w:spacing w:before="120" w:after="120" w:line="100" w:lineRule="atLeast"/>
      <w:ind w:left="850" w:hanging="850"/>
      <w:jc w:val="both"/>
    </w:pPr>
    <w:rPr>
      <w:b/>
      <w:szCs w:val="20"/>
    </w:rPr>
  </w:style>
  <w:style w:type="paragraph" w:customStyle="1" w:styleId="ManualHeading3">
    <w:name w:val="Manual Heading 3"/>
    <w:basedOn w:val="Normal"/>
    <w:pPr>
      <w:keepNext/>
      <w:tabs>
        <w:tab w:val="left" w:pos="850"/>
      </w:tabs>
      <w:spacing w:before="120" w:after="120" w:line="100" w:lineRule="atLeast"/>
      <w:ind w:left="850" w:hanging="850"/>
      <w:jc w:val="both"/>
    </w:pPr>
    <w:rPr>
      <w:i/>
      <w:szCs w:val="20"/>
    </w:rPr>
  </w:style>
  <w:style w:type="paragraph" w:customStyle="1" w:styleId="ManualHeading4">
    <w:name w:val="Manual Heading 4"/>
    <w:basedOn w:val="Normal"/>
    <w:pPr>
      <w:keepNext/>
      <w:tabs>
        <w:tab w:val="left" w:pos="850"/>
      </w:tabs>
      <w:spacing w:before="120" w:after="120" w:line="100" w:lineRule="atLeast"/>
      <w:ind w:left="850" w:hanging="850"/>
      <w:jc w:val="both"/>
    </w:pPr>
    <w:rPr>
      <w:szCs w:val="20"/>
    </w:rPr>
  </w:style>
  <w:style w:type="paragraph" w:customStyle="1" w:styleId="ChapterTitle">
    <w:name w:val="ChapterTitle"/>
    <w:basedOn w:val="Normal"/>
    <w:pPr>
      <w:keepNext/>
      <w:spacing w:before="120" w:after="360" w:line="100" w:lineRule="atLeast"/>
      <w:jc w:val="center"/>
    </w:pPr>
    <w:rPr>
      <w:b/>
      <w:sz w:val="32"/>
      <w:szCs w:val="20"/>
    </w:rPr>
  </w:style>
  <w:style w:type="paragraph" w:customStyle="1" w:styleId="PartTitle">
    <w:name w:val="PartTitle"/>
    <w:basedOn w:val="Normal"/>
    <w:pPr>
      <w:keepNext/>
      <w:pageBreakBefore/>
      <w:spacing w:before="120" w:after="360" w:line="100" w:lineRule="atLeast"/>
      <w:jc w:val="center"/>
    </w:pPr>
    <w:rPr>
      <w:b/>
      <w:sz w:val="36"/>
      <w:szCs w:val="20"/>
    </w:rPr>
  </w:style>
  <w:style w:type="paragraph" w:customStyle="1" w:styleId="SectionTitle">
    <w:name w:val="SectionTitle"/>
    <w:basedOn w:val="Normal"/>
    <w:pPr>
      <w:keepNext/>
      <w:spacing w:before="120" w:after="360" w:line="100" w:lineRule="atLeast"/>
      <w:jc w:val="center"/>
    </w:pPr>
    <w:rPr>
      <w:b/>
      <w:smallCaps/>
      <w:sz w:val="28"/>
      <w:szCs w:val="20"/>
    </w:rPr>
  </w:style>
  <w:style w:type="paragraph" w:customStyle="1" w:styleId="TableTitle">
    <w:name w:val="Table Title"/>
    <w:basedOn w:val="Normal"/>
    <w:pPr>
      <w:spacing w:before="120" w:after="120" w:line="100" w:lineRule="atLeast"/>
      <w:jc w:val="center"/>
    </w:pPr>
    <w:rPr>
      <w:b/>
      <w:szCs w:val="20"/>
    </w:rPr>
  </w:style>
  <w:style w:type="paragraph" w:customStyle="1" w:styleId="Point0number">
    <w:name w:val="Point 0 (number)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customStyle="1" w:styleId="Point1number">
    <w:name w:val="Point 1 (number)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customStyle="1" w:styleId="Point2number">
    <w:name w:val="Point 2 (number)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customStyle="1" w:styleId="Point3number">
    <w:name w:val="Point 3 (number)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customStyle="1" w:styleId="Point0letter">
    <w:name w:val="Point 0 (letter)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customStyle="1" w:styleId="Point1letter">
    <w:name w:val="Point 1 (letter)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customStyle="1" w:styleId="Point2letter">
    <w:name w:val="Point 2 (letter)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customStyle="1" w:styleId="Point3letter">
    <w:name w:val="Point 3 (letter)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customStyle="1" w:styleId="Point4letter">
    <w:name w:val="Point 4 (letter)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customStyle="1" w:styleId="Bullet0">
    <w:name w:val="Bullet 0"/>
    <w:basedOn w:val="Normal"/>
    <w:pPr>
      <w:spacing w:before="120" w:after="120" w:line="100" w:lineRule="atLeast"/>
      <w:jc w:val="both"/>
    </w:pPr>
    <w:rPr>
      <w:szCs w:val="20"/>
    </w:rPr>
  </w:style>
  <w:style w:type="paragraph" w:customStyle="1" w:styleId="Bullet1">
    <w:name w:val="Bullet 1"/>
    <w:basedOn w:val="Normal"/>
    <w:pPr>
      <w:spacing w:before="120" w:after="120" w:line="100" w:lineRule="atLeast"/>
      <w:jc w:val="both"/>
    </w:pPr>
    <w:rPr>
      <w:szCs w:val="20"/>
    </w:rPr>
  </w:style>
  <w:style w:type="paragraph" w:customStyle="1" w:styleId="Bullet2">
    <w:name w:val="Bullet 2"/>
    <w:basedOn w:val="Normal"/>
    <w:pPr>
      <w:spacing w:before="120" w:after="120" w:line="100" w:lineRule="atLeast"/>
      <w:jc w:val="both"/>
    </w:pPr>
    <w:rPr>
      <w:szCs w:val="20"/>
    </w:rPr>
  </w:style>
  <w:style w:type="paragraph" w:customStyle="1" w:styleId="Bullet3">
    <w:name w:val="Bullet 3"/>
    <w:basedOn w:val="Normal"/>
    <w:pPr>
      <w:spacing w:before="120" w:after="120" w:line="100" w:lineRule="atLeast"/>
      <w:jc w:val="both"/>
    </w:pPr>
    <w:rPr>
      <w:szCs w:val="20"/>
    </w:rPr>
  </w:style>
  <w:style w:type="paragraph" w:customStyle="1" w:styleId="Bullet4">
    <w:name w:val="Bullet 4"/>
    <w:basedOn w:val="Normal"/>
    <w:pPr>
      <w:spacing w:before="120" w:after="120" w:line="100" w:lineRule="atLeast"/>
      <w:jc w:val="both"/>
    </w:pPr>
    <w:rPr>
      <w:szCs w:val="20"/>
    </w:rPr>
  </w:style>
  <w:style w:type="paragraph" w:customStyle="1" w:styleId="Annexetitreexpos">
    <w:name w:val="Annexe titre (exposé)"/>
    <w:basedOn w:val="Normal"/>
    <w:pPr>
      <w:spacing w:before="120" w:after="120" w:line="100" w:lineRule="atLeast"/>
      <w:jc w:val="center"/>
    </w:pPr>
    <w:rPr>
      <w:b/>
      <w:szCs w:val="20"/>
      <w:u w:val="single"/>
    </w:rPr>
  </w:style>
  <w:style w:type="paragraph" w:customStyle="1" w:styleId="Annexetitre">
    <w:name w:val="Annexe titre"/>
    <w:basedOn w:val="Normal"/>
    <w:pPr>
      <w:spacing w:before="120" w:after="120" w:line="100" w:lineRule="atLeast"/>
      <w:jc w:val="center"/>
    </w:pPr>
    <w:rPr>
      <w:b/>
      <w:szCs w:val="20"/>
      <w:u w:val="single"/>
    </w:rPr>
  </w:style>
  <w:style w:type="paragraph" w:customStyle="1" w:styleId="Annexetitrefichefinancire">
    <w:name w:val="Annexe titre (fiche financière)"/>
    <w:basedOn w:val="Normal"/>
    <w:pPr>
      <w:spacing w:before="120" w:after="120" w:line="100" w:lineRule="atLeast"/>
      <w:jc w:val="center"/>
    </w:pPr>
    <w:rPr>
      <w:b/>
      <w:szCs w:val="20"/>
      <w:u w:val="single"/>
    </w:rPr>
  </w:style>
  <w:style w:type="paragraph" w:customStyle="1" w:styleId="Applicationdirecte">
    <w:name w:val="Application directe"/>
    <w:basedOn w:val="Normal"/>
    <w:pPr>
      <w:spacing w:before="480" w:after="120" w:line="100" w:lineRule="atLeast"/>
      <w:jc w:val="both"/>
    </w:pPr>
    <w:rPr>
      <w:szCs w:val="20"/>
    </w:rPr>
  </w:style>
  <w:style w:type="paragraph" w:customStyle="1" w:styleId="Avertissementtitre">
    <w:name w:val="Avertissement titre"/>
    <w:basedOn w:val="Normal"/>
    <w:pPr>
      <w:keepNext/>
      <w:spacing w:before="480" w:after="120" w:line="100" w:lineRule="atLeast"/>
      <w:jc w:val="both"/>
    </w:pPr>
    <w:rPr>
      <w:szCs w:val="20"/>
      <w:u w:val="single"/>
    </w:rPr>
  </w:style>
  <w:style w:type="paragraph" w:customStyle="1" w:styleId="Confidence">
    <w:name w:val="Confidence"/>
    <w:basedOn w:val="Normal"/>
    <w:pPr>
      <w:spacing w:before="360" w:after="120" w:line="100" w:lineRule="atLeast"/>
      <w:jc w:val="center"/>
    </w:pPr>
    <w:rPr>
      <w:szCs w:val="20"/>
    </w:rPr>
  </w:style>
  <w:style w:type="paragraph" w:customStyle="1" w:styleId="Confidentialit">
    <w:name w:val="Confidentialité"/>
    <w:basedOn w:val="Normal"/>
    <w:pPr>
      <w:spacing w:before="240" w:after="240" w:line="100" w:lineRule="atLeast"/>
      <w:ind w:left="5103"/>
    </w:pPr>
    <w:rPr>
      <w:i/>
      <w:sz w:val="32"/>
      <w:szCs w:val="20"/>
    </w:rPr>
  </w:style>
  <w:style w:type="paragraph" w:customStyle="1" w:styleId="Considrant">
    <w:name w:val="Considérant"/>
    <w:basedOn w:val="Normal"/>
    <w:pPr>
      <w:tabs>
        <w:tab w:val="num" w:pos="709"/>
      </w:tabs>
      <w:spacing w:before="120" w:after="120" w:line="100" w:lineRule="atLeast"/>
      <w:ind w:left="709" w:hanging="709"/>
      <w:jc w:val="both"/>
    </w:pPr>
    <w:rPr>
      <w:szCs w:val="20"/>
    </w:rPr>
  </w:style>
  <w:style w:type="paragraph" w:customStyle="1" w:styleId="Corrigendum">
    <w:name w:val="Corrigendum"/>
    <w:basedOn w:val="Normal"/>
    <w:pPr>
      <w:spacing w:after="240" w:line="100" w:lineRule="atLeast"/>
    </w:pPr>
    <w:rPr>
      <w:szCs w:val="20"/>
    </w:rPr>
  </w:style>
  <w:style w:type="paragraph" w:customStyle="1" w:styleId="Datedadoption">
    <w:name w:val="Date d'adoption"/>
    <w:basedOn w:val="Normal"/>
    <w:pPr>
      <w:spacing w:before="360" w:after="0" w:line="100" w:lineRule="atLeast"/>
      <w:jc w:val="center"/>
    </w:pPr>
    <w:rPr>
      <w:b/>
      <w:szCs w:val="20"/>
    </w:rPr>
  </w:style>
  <w:style w:type="paragraph" w:customStyle="1" w:styleId="Emission">
    <w:name w:val="Emission"/>
    <w:basedOn w:val="Normal"/>
    <w:pPr>
      <w:spacing w:after="0" w:line="100" w:lineRule="atLeast"/>
      <w:ind w:left="5103"/>
    </w:pPr>
    <w:rPr>
      <w:szCs w:val="20"/>
    </w:rPr>
  </w:style>
  <w:style w:type="paragraph" w:customStyle="1" w:styleId="Exposdesmotifstitre">
    <w:name w:val="Exposé des motifs titre"/>
    <w:basedOn w:val="Normal"/>
    <w:pPr>
      <w:spacing w:before="120" w:after="120" w:line="100" w:lineRule="atLeast"/>
      <w:jc w:val="center"/>
    </w:pPr>
    <w:rPr>
      <w:b/>
      <w:szCs w:val="20"/>
      <w:u w:val="single"/>
    </w:rPr>
  </w:style>
  <w:style w:type="paragraph" w:customStyle="1" w:styleId="Fait">
    <w:name w:val="Fait à"/>
    <w:basedOn w:val="Normal"/>
    <w:pPr>
      <w:keepNext/>
      <w:spacing w:before="120" w:after="0" w:line="100" w:lineRule="atLeast"/>
      <w:jc w:val="both"/>
    </w:pPr>
    <w:rPr>
      <w:szCs w:val="20"/>
    </w:rPr>
  </w:style>
  <w:style w:type="paragraph" w:customStyle="1" w:styleId="Formuledadoption">
    <w:name w:val="Formule d'adoption"/>
    <w:basedOn w:val="Normal"/>
    <w:pPr>
      <w:keepNext/>
      <w:spacing w:before="120" w:after="120" w:line="100" w:lineRule="atLeast"/>
      <w:jc w:val="both"/>
    </w:pPr>
    <w:rPr>
      <w:szCs w:val="20"/>
    </w:rPr>
  </w:style>
  <w:style w:type="paragraph" w:customStyle="1" w:styleId="Institutionquiagit">
    <w:name w:val="Institution qui agit"/>
    <w:basedOn w:val="Normal"/>
    <w:pPr>
      <w:keepNext/>
      <w:spacing w:before="600" w:after="120" w:line="100" w:lineRule="atLeast"/>
      <w:jc w:val="both"/>
    </w:pPr>
    <w:rPr>
      <w:szCs w:val="20"/>
    </w:rPr>
  </w:style>
  <w:style w:type="paragraph" w:customStyle="1" w:styleId="Institutionquisigne">
    <w:name w:val="Institution qui signe"/>
    <w:basedOn w:val="Normal"/>
    <w:pPr>
      <w:keepNext/>
      <w:tabs>
        <w:tab w:val="left" w:pos="4252"/>
      </w:tabs>
      <w:spacing w:before="720" w:after="0" w:line="100" w:lineRule="atLeast"/>
      <w:jc w:val="both"/>
    </w:pPr>
    <w:rPr>
      <w:i/>
      <w:szCs w:val="20"/>
    </w:rPr>
  </w:style>
  <w:style w:type="paragraph" w:customStyle="1" w:styleId="Langue">
    <w:name w:val="Langue"/>
    <w:basedOn w:val="Normal"/>
    <w:pPr>
      <w:spacing w:after="600" w:line="100" w:lineRule="atLeast"/>
      <w:jc w:val="center"/>
    </w:pPr>
    <w:rPr>
      <w:b/>
      <w:caps/>
      <w:szCs w:val="20"/>
    </w:rPr>
  </w:style>
  <w:style w:type="paragraph" w:customStyle="1" w:styleId="ManualConsidrant">
    <w:name w:val="Manual Considérant"/>
    <w:basedOn w:val="Normal"/>
    <w:pPr>
      <w:spacing w:before="120" w:after="120" w:line="100" w:lineRule="atLeast"/>
      <w:ind w:left="709" w:hanging="709"/>
      <w:jc w:val="both"/>
    </w:pPr>
    <w:rPr>
      <w:szCs w:val="20"/>
    </w:rPr>
  </w:style>
  <w:style w:type="paragraph" w:customStyle="1" w:styleId="Nomdelinstitution">
    <w:name w:val="Nom de l'institution"/>
    <w:basedOn w:val="Normal"/>
    <w:pPr>
      <w:spacing w:after="0" w:line="100" w:lineRule="atLeast"/>
    </w:pPr>
    <w:rPr>
      <w:rFonts w:ascii="Arial" w:hAnsi="Arial" w:cs="Arial"/>
      <w:szCs w:val="20"/>
    </w:rPr>
  </w:style>
  <w:style w:type="paragraph" w:customStyle="1" w:styleId="Personnequisigne">
    <w:name w:val="Personne qui signe"/>
    <w:basedOn w:val="Normal"/>
    <w:pPr>
      <w:tabs>
        <w:tab w:val="left" w:pos="4252"/>
      </w:tabs>
      <w:spacing w:after="0" w:line="100" w:lineRule="atLeast"/>
    </w:pPr>
    <w:rPr>
      <w:i/>
      <w:szCs w:val="20"/>
    </w:rPr>
  </w:style>
  <w:style w:type="paragraph" w:customStyle="1" w:styleId="Rfrenceinstitutionnelle">
    <w:name w:val="Référence institutionnelle"/>
    <w:basedOn w:val="Normal"/>
    <w:pPr>
      <w:spacing w:after="240" w:line="100" w:lineRule="atLeast"/>
      <w:ind w:left="5103"/>
    </w:pPr>
    <w:rPr>
      <w:szCs w:val="20"/>
    </w:rPr>
  </w:style>
  <w:style w:type="paragraph" w:customStyle="1" w:styleId="Rfrenceinterinstitutionnelle">
    <w:name w:val="Référence interinstitutionnelle"/>
    <w:basedOn w:val="Normal"/>
    <w:pPr>
      <w:spacing w:after="0" w:line="100" w:lineRule="atLeast"/>
      <w:ind w:left="5103"/>
    </w:pPr>
    <w:rPr>
      <w:szCs w:val="20"/>
    </w:rPr>
  </w:style>
  <w:style w:type="paragraph" w:customStyle="1" w:styleId="Rfrenceinterne">
    <w:name w:val="Référence interne"/>
    <w:basedOn w:val="Normal"/>
    <w:pPr>
      <w:spacing w:after="0" w:line="100" w:lineRule="atLeast"/>
      <w:ind w:left="5103"/>
    </w:pPr>
    <w:rPr>
      <w:szCs w:val="20"/>
    </w:rPr>
  </w:style>
  <w:style w:type="paragraph" w:customStyle="1" w:styleId="Sous-titreobjet">
    <w:name w:val="Sous-titre objet"/>
    <w:basedOn w:val="Normal"/>
    <w:pPr>
      <w:spacing w:after="0" w:line="100" w:lineRule="atLeast"/>
      <w:jc w:val="center"/>
    </w:pPr>
    <w:rPr>
      <w:b/>
      <w:szCs w:val="20"/>
    </w:rPr>
  </w:style>
  <w:style w:type="paragraph" w:customStyle="1" w:styleId="Statut">
    <w:name w:val="Statut"/>
    <w:basedOn w:val="Normal"/>
    <w:pPr>
      <w:spacing w:before="360" w:after="0" w:line="100" w:lineRule="atLeast"/>
      <w:jc w:val="center"/>
    </w:pPr>
    <w:rPr>
      <w:szCs w:val="20"/>
    </w:rPr>
  </w:style>
  <w:style w:type="paragraph" w:customStyle="1" w:styleId="Titrearticle">
    <w:name w:val="Titre article"/>
    <w:basedOn w:val="Normal"/>
    <w:pPr>
      <w:keepNext/>
      <w:spacing w:before="360" w:after="120" w:line="100" w:lineRule="atLeast"/>
      <w:jc w:val="center"/>
    </w:pPr>
    <w:rPr>
      <w:i/>
      <w:szCs w:val="20"/>
    </w:rPr>
  </w:style>
  <w:style w:type="paragraph" w:customStyle="1" w:styleId="Titreobjet">
    <w:name w:val="Titre objet"/>
    <w:basedOn w:val="Normal"/>
    <w:pPr>
      <w:spacing w:before="360" w:after="360" w:line="100" w:lineRule="atLeast"/>
      <w:jc w:val="center"/>
    </w:pPr>
    <w:rPr>
      <w:b/>
      <w:szCs w:val="20"/>
    </w:rPr>
  </w:style>
  <w:style w:type="paragraph" w:customStyle="1" w:styleId="Typedudocument">
    <w:name w:val="Type du document"/>
    <w:basedOn w:val="Normal"/>
    <w:pPr>
      <w:spacing w:before="360" w:after="0" w:line="100" w:lineRule="atLeast"/>
      <w:jc w:val="center"/>
    </w:pPr>
    <w:rPr>
      <w:b/>
      <w:szCs w:val="20"/>
    </w:rPr>
  </w:style>
  <w:style w:type="paragraph" w:customStyle="1" w:styleId="Address">
    <w:name w:val="Address"/>
    <w:basedOn w:val="Normal"/>
    <w:pPr>
      <w:keepLines/>
      <w:spacing w:before="120" w:after="120" w:line="360" w:lineRule="auto"/>
      <w:ind w:left="3402"/>
    </w:pPr>
    <w:rPr>
      <w:szCs w:val="20"/>
    </w:rPr>
  </w:style>
  <w:style w:type="paragraph" w:customStyle="1" w:styleId="Objetexterne">
    <w:name w:val="Objet externe"/>
    <w:basedOn w:val="Normal"/>
    <w:pPr>
      <w:spacing w:before="120" w:after="120" w:line="100" w:lineRule="atLeast"/>
      <w:jc w:val="both"/>
    </w:pPr>
    <w:rPr>
      <w:i/>
      <w:caps/>
      <w:szCs w:val="20"/>
    </w:rPr>
  </w:style>
  <w:style w:type="paragraph" w:customStyle="1" w:styleId="Supertitre">
    <w:name w:val="Supertitre"/>
    <w:basedOn w:val="Normal"/>
    <w:pPr>
      <w:spacing w:after="600" w:line="100" w:lineRule="atLeast"/>
      <w:jc w:val="center"/>
    </w:pPr>
    <w:rPr>
      <w:b/>
      <w:szCs w:val="20"/>
    </w:rPr>
  </w:style>
  <w:style w:type="paragraph" w:customStyle="1" w:styleId="Languesfaisantfoi">
    <w:name w:val="Langues faisant foi"/>
    <w:basedOn w:val="Normal"/>
    <w:pPr>
      <w:spacing w:before="360" w:after="0" w:line="100" w:lineRule="atLeast"/>
      <w:jc w:val="center"/>
    </w:pPr>
    <w:rPr>
      <w:szCs w:val="20"/>
    </w:rPr>
  </w:style>
  <w:style w:type="paragraph" w:customStyle="1" w:styleId="Rfrencecroise">
    <w:name w:val="Référence croisée"/>
    <w:basedOn w:val="Normal"/>
    <w:pPr>
      <w:spacing w:after="0" w:line="100" w:lineRule="atLeast"/>
      <w:jc w:val="center"/>
    </w:pPr>
    <w:rPr>
      <w:szCs w:val="20"/>
    </w:rPr>
  </w:style>
  <w:style w:type="paragraph" w:customStyle="1" w:styleId="Fichefinanciretitre">
    <w:name w:val="Fiche financière titre"/>
    <w:basedOn w:val="Normal"/>
    <w:pPr>
      <w:spacing w:before="120" w:after="120" w:line="100" w:lineRule="atLeast"/>
      <w:jc w:val="center"/>
    </w:pPr>
    <w:rPr>
      <w:b/>
      <w:szCs w:val="20"/>
      <w:u w:val="single"/>
    </w:rPr>
  </w:style>
  <w:style w:type="paragraph" w:customStyle="1" w:styleId="DatedadoptionPagedecouverture">
    <w:name w:val="Date d'adoption (Page de couverture)"/>
    <w:basedOn w:val="Datedadoption"/>
  </w:style>
  <w:style w:type="paragraph" w:customStyle="1" w:styleId="RfrenceinterinstitutionnellePagedecouverture">
    <w:name w:val="Référence interinstitutionnelle (Page de couverture)"/>
    <w:basedOn w:val="Rfrenceinterinstitutionnelle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</w:style>
  <w:style w:type="paragraph" w:customStyle="1" w:styleId="TitreobjetPagedecouverture">
    <w:name w:val="Titre objet (Page de couverture)"/>
    <w:basedOn w:val="Titreobjet"/>
  </w:style>
  <w:style w:type="paragraph" w:customStyle="1" w:styleId="TypedudocumentPagedecouverture">
    <w:name w:val="Type du document (Page de couverture)"/>
    <w:basedOn w:val="Typedudocument"/>
  </w:style>
  <w:style w:type="paragraph" w:customStyle="1" w:styleId="Volume">
    <w:name w:val="Volume"/>
    <w:basedOn w:val="Normal"/>
    <w:pPr>
      <w:spacing w:after="240" w:line="100" w:lineRule="atLeast"/>
      <w:ind w:left="5103"/>
    </w:pPr>
    <w:rPr>
      <w:szCs w:val="20"/>
    </w:rPr>
  </w:style>
  <w:style w:type="paragraph" w:customStyle="1" w:styleId="IntrtEEE">
    <w:name w:val="Intérêt EEE"/>
    <w:basedOn w:val="Languesfaisantfoi"/>
    <w:pPr>
      <w:spacing w:after="240"/>
    </w:pPr>
  </w:style>
  <w:style w:type="paragraph" w:customStyle="1" w:styleId="Accompagnant">
    <w:name w:val="Accompagnant"/>
    <w:basedOn w:val="Normal"/>
    <w:pPr>
      <w:spacing w:after="240" w:line="100" w:lineRule="atLeast"/>
      <w:jc w:val="center"/>
    </w:pPr>
    <w:rPr>
      <w:b/>
      <w:i/>
      <w:szCs w:val="20"/>
    </w:rPr>
  </w:style>
  <w:style w:type="paragraph" w:customStyle="1" w:styleId="Typeacteprincipal">
    <w:name w:val="Type acte principal"/>
    <w:basedOn w:val="Normal"/>
    <w:pPr>
      <w:spacing w:after="240" w:line="100" w:lineRule="atLeast"/>
      <w:jc w:val="center"/>
    </w:pPr>
    <w:rPr>
      <w:b/>
      <w:szCs w:val="20"/>
    </w:rPr>
  </w:style>
  <w:style w:type="paragraph" w:customStyle="1" w:styleId="Objetacteprincipal">
    <w:name w:val="Objet acte principal"/>
    <w:basedOn w:val="Normal"/>
    <w:pPr>
      <w:spacing w:after="360" w:line="100" w:lineRule="atLeast"/>
      <w:jc w:val="center"/>
    </w:pPr>
    <w:rPr>
      <w:b/>
      <w:szCs w:val="20"/>
    </w:rPr>
  </w:style>
  <w:style w:type="paragraph" w:customStyle="1" w:styleId="IntrtEEEPagedecouverture">
    <w:name w:val="Intérêt EEE (Page de couverture)"/>
    <w:basedOn w:val="IntrtEEE"/>
  </w:style>
  <w:style w:type="paragraph" w:customStyle="1" w:styleId="AccompagnantPagedecouverture">
    <w:name w:val="Accompagnant (Page de couverture)"/>
    <w:basedOn w:val="Accompagnant"/>
  </w:style>
  <w:style w:type="paragraph" w:customStyle="1" w:styleId="TypeacteprincipalPagedecouverture">
    <w:name w:val="Type acte principal (Page de couverture)"/>
    <w:basedOn w:val="Typeacteprincipal"/>
  </w:style>
  <w:style w:type="paragraph" w:customStyle="1" w:styleId="ObjetacteprincipalPagedecouverture">
    <w:name w:val="Objet acte principal (Page de couverture)"/>
    <w:basedOn w:val="Objetacteprincipal"/>
  </w:style>
  <w:style w:type="paragraph" w:customStyle="1" w:styleId="LanguesfaisantfoiPagedecouverture">
    <w:name w:val="Langues faisant foi (Page de couverture)"/>
    <w:basedOn w:val="Normal"/>
    <w:pPr>
      <w:spacing w:before="360" w:after="0" w:line="100" w:lineRule="atLeast"/>
      <w:jc w:val="center"/>
    </w:pPr>
    <w:rPr>
      <w:szCs w:val="20"/>
    </w:rPr>
  </w:style>
  <w:style w:type="paragraph" w:customStyle="1" w:styleId="Date1">
    <w:name w:val="Date1"/>
    <w:basedOn w:val="Normal"/>
    <w:pPr>
      <w:spacing w:before="100" w:after="100" w:line="100" w:lineRule="atLeast"/>
    </w:pPr>
  </w:style>
  <w:style w:type="paragraph" w:styleId="NormalWeb">
    <w:name w:val="Normal (Web)"/>
    <w:basedOn w:val="Normal"/>
    <w:pPr>
      <w:spacing w:before="100" w:after="100" w:line="100" w:lineRule="atLeast"/>
    </w:pPr>
  </w:style>
  <w:style w:type="paragraph" w:customStyle="1" w:styleId="FootnotesymbolCarZchn">
    <w:name w:val="Footnote symbol Car Zchn"/>
    <w:basedOn w:val="Normal"/>
    <w:pPr>
      <w:spacing w:after="160" w:line="240" w:lineRule="exact"/>
      <w:jc w:val="both"/>
    </w:pPr>
    <w:rPr>
      <w:vertAlign w:val="superscript"/>
    </w:rPr>
  </w:style>
  <w:style w:type="paragraph" w:styleId="Revision">
    <w:name w:val="Revision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ate2">
    <w:name w:val="Date2"/>
    <w:basedOn w:val="Normal"/>
    <w:pPr>
      <w:spacing w:before="100" w:after="100" w:line="100" w:lineRule="atLeast"/>
    </w:pPr>
  </w:style>
  <w:style w:type="paragraph" w:styleId="ListParagraph">
    <w:name w:val="List Paragraph"/>
    <w:basedOn w:val="Normal"/>
    <w:qFormat/>
    <w:pPr>
      <w:spacing w:after="0" w:line="100" w:lineRule="atLeast"/>
      <w:ind w:left="720"/>
    </w:pPr>
  </w:style>
  <w:style w:type="paragraph" w:customStyle="1" w:styleId="Body">
    <w:name w:val="Body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EndnoteText1">
    <w:name w:val="Endnote Text1"/>
    <w:basedOn w:val="Normal"/>
    <w:pPr>
      <w:spacing w:after="0" w:line="100" w:lineRule="atLeast"/>
    </w:pPr>
    <w:rPr>
      <w:sz w:val="20"/>
      <w:szCs w:val="20"/>
    </w:rPr>
  </w:style>
  <w:style w:type="paragraph" w:customStyle="1" w:styleId="s14">
    <w:name w:val="s14"/>
    <w:basedOn w:val="Normal"/>
    <w:pPr>
      <w:spacing w:before="100" w:after="100" w:line="100" w:lineRule="atLeast"/>
    </w:pPr>
    <w:rPr>
      <w:rFonts w:cs="Calibri"/>
    </w:rPr>
  </w:style>
  <w:style w:type="paragraph" w:customStyle="1" w:styleId="ZCom">
    <w:name w:val="Z_Com"/>
    <w:basedOn w:val="Normal"/>
    <w:link w:val="ZComChar"/>
    <w:pPr>
      <w:widowControl w:val="0"/>
      <w:spacing w:before="120" w:after="0" w:line="100" w:lineRule="atLeast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pPr>
      <w:widowControl w:val="0"/>
      <w:spacing w:before="120" w:after="0" w:line="100" w:lineRule="atLeast"/>
      <w:ind w:right="85"/>
      <w:jc w:val="both"/>
    </w:pPr>
    <w:rPr>
      <w:rFonts w:ascii="Arial" w:hAnsi="Arial" w:cs="Arial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pPr>
      <w:suppressAutoHyphens w:val="0"/>
      <w:spacing w:line="240" w:lineRule="auto"/>
    </w:pPr>
    <w:rPr>
      <w:color w:val="auto"/>
      <w:sz w:val="20"/>
      <w:szCs w:val="20"/>
    </w:rPr>
  </w:style>
  <w:style w:type="paragraph" w:styleId="FootnoteText">
    <w:name w:val="footnote text"/>
    <w:aliases w:val="Char,Fußnote,Carattere,fn,Footnotes,Footnote ak,Footnote Text Char Char,fn Char Char,footnote text Char Char,Footnotes Char Char,Footnote ak Char Char,fn Char1,footnote text Char1,Footnotes Char1,ft,Footnote Text_EP-LC"/>
    <w:basedOn w:val="Normal"/>
    <w:qFormat/>
    <w:pPr>
      <w:suppressAutoHyphens w:val="0"/>
      <w:spacing w:after="0" w:line="240" w:lineRule="auto"/>
      <w:ind w:left="720" w:hanging="720"/>
      <w:jc w:val="both"/>
    </w:pPr>
    <w:rPr>
      <w:color w:val="auto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mmentSubject">
    <w:name w:val="annotation subject"/>
    <w:basedOn w:val="CommentText"/>
    <w:next w:val="CommentText"/>
    <w:pPr>
      <w:suppressAutoHyphens/>
      <w:spacing w:line="276" w:lineRule="auto"/>
    </w:pPr>
    <w:rPr>
      <w:b/>
      <w:bCs/>
      <w:color w:val="000000"/>
    </w:rPr>
  </w:style>
  <w:style w:type="paragraph" w:styleId="PlainText">
    <w:name w:val="Plain Text"/>
    <w:basedOn w:val="Normal"/>
    <w:pPr>
      <w:suppressAutoHyphens w:val="0"/>
      <w:spacing w:after="0" w:line="240" w:lineRule="auto"/>
    </w:pPr>
    <w:rPr>
      <w:rFonts w:ascii="Calibri" w:eastAsia="Calibri" w:hAnsi="Calibri"/>
      <w:color w:val="auto"/>
      <w:sz w:val="22"/>
      <w:szCs w:val="21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b/>
      <w:sz w:val="32"/>
    </w:rPr>
  </w:style>
  <w:style w:type="character" w:customStyle="1" w:styleId="ZComChar">
    <w:name w:val="Z_Com Char"/>
    <w:basedOn w:val="DefaultParagraphFont"/>
    <w:link w:val="ZCom"/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FooterSensitivityChar">
    <w:name w:val="Footer Sensitivity Char"/>
    <w:basedOn w:val="ZComChar"/>
    <w:link w:val="FooterSensitivity"/>
    <w:rPr>
      <w:rFonts w:ascii="Arial" w:hAnsi="Arial" w:cs="Arial"/>
      <w:b/>
      <w:color w:val="000000"/>
      <w:sz w:val="32"/>
      <w:szCs w:val="24"/>
      <w:lang w:eastAsia="ar-SA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ZComChar"/>
    <w:link w:val="HeaderSensitivity"/>
    <w:rPr>
      <w:rFonts w:ascii="Arial" w:hAnsi="Arial" w:cs="Arial"/>
      <w:b/>
      <w:color w:val="000000"/>
      <w:sz w:val="32"/>
      <w:szCs w:val="24"/>
      <w:lang w:eastAsia="ar-SA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sz w:val="28"/>
    </w:rPr>
  </w:style>
  <w:style w:type="character" w:customStyle="1" w:styleId="HeaderSensitivityRightChar">
    <w:name w:val="Header Sensitivity Right Char"/>
    <w:basedOn w:val="ZComChar"/>
    <w:link w:val="HeaderSensitivityRight"/>
    <w:rPr>
      <w:rFonts w:ascii="Arial" w:hAnsi="Arial" w:cs="Arial"/>
      <w:color w:val="000000"/>
      <w:sz w:val="28"/>
      <w:szCs w:val="24"/>
      <w:lang w:eastAsia="ar-SA"/>
    </w:rPr>
  </w:style>
  <w:style w:type="character" w:customStyle="1" w:styleId="bumpedfont15">
    <w:name w:val="bumpedfont15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ttps://eur-lex.europa.eu/legal-content/HU/TXT/?uri=CELEX:52018DC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A6CB98-E306-47DF-A600-9A392A73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7925</Words>
  <Characters>57780</Characters>
  <Application>Microsoft Office Word</Application>
  <DocSecurity>0</DocSecurity>
  <Lines>1050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65437</CharactersWithSpaces>
  <SharedDoc>false</SharedDoc>
  <HLinks>
    <vt:vector size="6" baseType="variant"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mailto:https://eur-lex.europa.eu/legal-content/EN/TXT/?uri=CELEX:52018DC0097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PAREDES ECHAURI Cristina (SG)</cp:lastModifiedBy>
  <cp:revision>25</cp:revision>
  <cp:lastPrinted>2020-02-21T15:21:00Z</cp:lastPrinted>
  <dcterms:created xsi:type="dcterms:W3CDTF">2020-02-25T08:37:00Z</dcterms:created>
  <dcterms:modified xsi:type="dcterms:W3CDTF">2020-02-28T15:37:00Z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CP-009</vt:lpwstr>
  </property>
  <property fmtid="{D5CDD505-2E9C-101B-9397-08002B2CF9AE}" pid="7" name="Last edited using">
    <vt:lpwstr>LW 7.0, Build 20190717</vt:lpwstr>
  </property>
  <property fmtid="{D5CDD505-2E9C-101B-9397-08002B2CF9AE}" pid="8" name="Created using">
    <vt:lpwstr>LW 7.0, Build 20190717</vt:lpwstr>
  </property>
  <property fmtid="{D5CDD505-2E9C-101B-9397-08002B2CF9AE}" pid="9" name="_LW_INVALIDATED__LW_INVALIDATED__LW_INVALIDATED__LW_INVALIDATED__LW_INVALIDATED__LW_INVALIDATED__LW_INVALIDATED__LW_INVALIDATED__LW_INVALIDATED__LW_INVALIDATED__LW_INVALIDATED__LW_INVALIDATED__LW_INVALIDATED__LW_INVALIDATED_LW_DocType">
    <vt:lpwstr>NORMAL</vt:lpwstr>
  </property>
</Properties>
</file>