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DF3666F-2529-4008-88A9-0C2BD71AC2D3" style="width:450.45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spacing w:line="0" w:lineRule="atLeast"/>
        <w:rPr>
          <w:noProof/>
          <w:szCs w:val="24"/>
        </w:rPr>
      </w:pPr>
      <w:r>
        <w:rPr>
          <w:noProof/>
        </w:rPr>
        <w:t xml:space="preserve">Tratatul privind funcționarea Uniunii Europene prevede că statele membre trebuie să considere propriile politici economice și promovarea ocupării forței de muncă drept chestiuni de interes comun și să își coordoneze acțiunile în cadrul Consiliului. Conform tratatului, Consiliul trebuie să adopte orientări privind ocuparea forței de muncă (articolul 148) și precizând că acestea trebuie să fie în concordanță cu orientările generale de politică economică (articolul 121). </w:t>
      </w:r>
    </w:p>
    <w:p>
      <w:pPr>
        <w:spacing w:line="0" w:lineRule="atLeast"/>
        <w:rPr>
          <w:noProof/>
          <w:szCs w:val="24"/>
        </w:rPr>
      </w:pPr>
      <w:r>
        <w:rPr>
          <w:noProof/>
        </w:rPr>
        <w:t xml:space="preserve">În timp ce orientările generale privind politicile economice sunt valabile pentru o perioadă de timp nedefinită, orientările privind ocuparea forței de muncă trebuie să fie elaborate în fiecare an. Orientările au fost adoptate inițial împreună („pachet integrat”) în 2010, stând la baza Strategiei Europa 2020. Orientările integrate au rămas stabile până în 2014. Orientările integrate revizuite au fost adoptate în 2015. În 2018, orientările privind ocuparea forței de muncă au fost aliniate la principiile Pilonului european al drepturilor sociale proclamat în noiembrie 2017 de Parlamentul European, Consiliu și Comisie, pentru impulsionarea reformelor la nivel național și pentru a servi ca punct de reper pentru un proces de convergență reînnoit desfășurat la nivelul întregii Europe și au rămas neschimbate în 2019. În afara încadrării domeniului de aplicare și a direcției pentru coordonarea politicilor statelor membre, orientările oferă, de asemenea, o bază pentru recomandările specifice fiecărei țări în domeniile respective. Împreună cu orientările generale de politică economică, orientările privind ocuparea forței de muncă sunt prezentate sub forma unei decizii a Consiliului privind orientările pentru politicile de ocupare a forței de muncă ale statelor membre (partea a II-a a Orientărilor integrate). </w:t>
      </w:r>
    </w:p>
    <w:p>
      <w:pPr>
        <w:spacing w:line="0" w:lineRule="atLeast"/>
        <w:rPr>
          <w:noProof/>
          <w:szCs w:val="24"/>
        </w:rPr>
      </w:pPr>
      <w:r>
        <w:rPr>
          <w:noProof/>
        </w:rPr>
        <w:t xml:space="preserve">Orientările pentru politicile de ocupare a forței de muncă ale statelor membre au fost modificate pentru a alinia textul care integrează cele patru dimensiuni ale Strategiei anuale privind creșterea durabilă și, în special, dimensiunea de durabilitate a mediului, reflectând ideea unei Europe sociale puternice pentru tranziții juste și integrând obiectivele de dezvoltare durabilă ale ONU (ODD). </w:t>
      </w:r>
    </w:p>
    <w:p>
      <w:pPr>
        <w:spacing w:line="0" w:lineRule="atLeast"/>
        <w:rPr>
          <w:b/>
          <w:noProof/>
          <w:szCs w:val="24"/>
        </w:rPr>
      </w:pPr>
      <w:r>
        <w:rPr>
          <w:b/>
          <w:noProof/>
        </w:rPr>
        <w:t xml:space="preserve">„Orientările privind ocuparea forței de muncă” revizuite sunt următoarele: </w:t>
      </w:r>
    </w:p>
    <w:p>
      <w:pPr>
        <w:spacing w:line="0" w:lineRule="atLeast"/>
        <w:rPr>
          <w:noProof/>
          <w:szCs w:val="24"/>
        </w:rPr>
      </w:pPr>
      <w:r>
        <w:rPr>
          <w:noProof/>
        </w:rPr>
        <w:t xml:space="preserve">Orientarea 5: Stimularea cererii de forță de muncă </w:t>
      </w:r>
    </w:p>
    <w:p>
      <w:pPr>
        <w:spacing w:line="0" w:lineRule="atLeast"/>
        <w:rPr>
          <w:noProof/>
          <w:szCs w:val="24"/>
        </w:rPr>
      </w:pPr>
      <w:r>
        <w:rPr>
          <w:noProof/>
        </w:rPr>
        <w:t xml:space="preserve">Orientarea 6: Consolidarea ofertei de forță de muncă și îmbunătățirea accesului la locuri de muncă, aptitudini și competențe </w:t>
      </w:r>
    </w:p>
    <w:p>
      <w:pPr>
        <w:spacing w:line="0" w:lineRule="atLeast"/>
        <w:rPr>
          <w:noProof/>
          <w:szCs w:val="24"/>
        </w:rPr>
      </w:pPr>
      <w:r>
        <w:rPr>
          <w:noProof/>
        </w:rPr>
        <w:t xml:space="preserve">Orientarea 7: Consolidarea funcționării piețelor forței de muncă și eficacitatea dialogului social </w:t>
      </w:r>
    </w:p>
    <w:p>
      <w:pPr>
        <w:spacing w:line="0" w:lineRule="atLeast"/>
        <w:rPr>
          <w:noProof/>
          <w:szCs w:val="24"/>
        </w:rPr>
      </w:pPr>
      <w:r>
        <w:rPr>
          <w:noProof/>
        </w:rPr>
        <w:t>Orientarea 8: Promovarea egalității de șanse pentru toți, promovarea incluziunii sociale și combaterea sărăciei</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2020/0030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orientările pentru politicile de ocupare a forței de muncă ale statelor membre</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148 alineatul (2),</w:t>
      </w:r>
    </w:p>
    <w:p>
      <w:pPr>
        <w:rPr>
          <w:noProof/>
        </w:rPr>
      </w:pPr>
      <w:r>
        <w:rPr>
          <w:noProof/>
        </w:rPr>
        <w:t>având în vedere propunerea Comisiei Europene,</w:t>
      </w:r>
    </w:p>
    <w:p>
      <w:pPr>
        <w:rPr>
          <w:noProof/>
        </w:rPr>
      </w:pPr>
      <w:r>
        <w:rPr>
          <w:noProof/>
        </w:rPr>
        <w:t>având în vedere avizul Parlamentului European</w:t>
      </w:r>
      <w:r>
        <w:rPr>
          <w:rStyle w:val="FootnoteReference"/>
          <w:noProof/>
        </w:rPr>
        <w:footnoteReference w:id="1"/>
      </w:r>
      <w:r>
        <w:rPr>
          <w:noProof/>
        </w:rPr>
        <w:t xml:space="preserve">, </w:t>
      </w:r>
    </w:p>
    <w:p>
      <w:pPr>
        <w:rPr>
          <w:noProof/>
        </w:rPr>
      </w:pPr>
      <w:r>
        <w:rPr>
          <w:noProof/>
        </w:rPr>
        <w:t>având în vedere avizul Comitetului Economic și Social European</w:t>
      </w:r>
      <w:r>
        <w:rPr>
          <w:rStyle w:val="FootnoteReference"/>
          <w:noProof/>
        </w:rPr>
        <w:footnoteReference w:id="2"/>
      </w:r>
      <w:r>
        <w:rPr>
          <w:noProof/>
        </w:rPr>
        <w:t xml:space="preserve">, </w:t>
      </w:r>
    </w:p>
    <w:p>
      <w:pPr>
        <w:rPr>
          <w:noProof/>
        </w:rPr>
      </w:pPr>
      <w:r>
        <w:rPr>
          <w:noProof/>
        </w:rPr>
        <w:t>având în vedere avizul Comitetului Regiunilor</w:t>
      </w:r>
      <w:r>
        <w:rPr>
          <w:rStyle w:val="FootnoteReference"/>
          <w:noProof/>
        </w:rPr>
        <w:footnoteReference w:id="3"/>
      </w:r>
      <w:r>
        <w:rPr>
          <w:noProof/>
        </w:rPr>
        <w:t xml:space="preserve">, </w:t>
      </w:r>
    </w:p>
    <w:p>
      <w:pPr>
        <w:rPr>
          <w:noProof/>
        </w:rPr>
      </w:pPr>
      <w:r>
        <w:rPr>
          <w:noProof/>
        </w:rPr>
        <w:t>având în vedere avizul Comitetului pentru ocuparea forței de muncă</w:t>
      </w:r>
      <w:r>
        <w:rPr>
          <w:rStyle w:val="FootnoteReference"/>
          <w:noProof/>
        </w:rPr>
        <w:footnoteReference w:id="4"/>
      </w:r>
      <w:r>
        <w:rPr>
          <w:noProof/>
        </w:rPr>
        <w:t xml:space="preserve">, </w:t>
      </w:r>
    </w:p>
    <w:p>
      <w:pPr>
        <w:rPr>
          <w:noProof/>
        </w:rPr>
      </w:pPr>
      <w:r>
        <w:rPr>
          <w:noProof/>
        </w:rPr>
        <w:t>întrucât:</w:t>
      </w:r>
    </w:p>
    <w:p>
      <w:pPr>
        <w:pStyle w:val="ManualConsidrant"/>
        <w:rPr>
          <w:noProof/>
        </w:rPr>
      </w:pPr>
      <w:r>
        <w:t>(1)</w:t>
      </w:r>
      <w:r>
        <w:tab/>
      </w:r>
      <w:r>
        <w:rPr>
          <w:noProof/>
        </w:rPr>
        <w:t xml:space="preserve">Statele membre și Uniunea trebuie să depună eforturi în vederea elaborării unei strategii coordonate pentru ocuparea forței de muncă și, în special, pentru promovarea unei forțe de muncă competente, calificate și adaptabile, precum și a unor piețe ale muncii capabile să reacționeze rapid la evoluția economiei, în vederea realizării obiectivelor de ocupare deplină a forței de muncă și de progres social, de creștere economică echilibrată și de nivel înalt de protecție și de îmbunătățire a calității mediului prevăzute la articolul 3 din Tratatul privind Uniunea Europeană. Statele membre consideră promovarea ocupării forței de muncă drept o chestiune de interes comun și își coordonează acțiunile întreprinse în acest sens în cadrul Consiliului, ținând seama de practicile naționale legate de responsabilitățile partenerilor sociali. </w:t>
      </w:r>
    </w:p>
    <w:p>
      <w:pPr>
        <w:pStyle w:val="ManualConsidrant"/>
        <w:rPr>
          <w:noProof/>
        </w:rPr>
      </w:pPr>
      <w:r>
        <w:t>(2)</w:t>
      </w:r>
      <w:r>
        <w:tab/>
      </w:r>
      <w:r>
        <w:rPr>
          <w:noProof/>
        </w:rPr>
        <w:t xml:space="preserve">Uniunea trebuie să combată excluziunea socială și discriminarea și să promoveze justiția și protecția socială, precum și egalitatea între femei și bărbați, solidaritatea între generații și protecția drepturilor copilului. La definirea și la punerea în aplicare a politicilor și a acțiunilor sale, Uniunea trebuie să țină seama de cerințele legate de promovarea unui nivel ridicat de ocupare a forței de muncă, de garantarea unei protecții sociale corespunzătoare, de combaterea sărăciei și a excluziunii sociale, precum și de cele legate de un nivel ridicat de educație și de formare, astfel cum este prevăzut la articolul 9 din Tratatul privind funcționarea Uniunii Europene. </w:t>
      </w:r>
    </w:p>
    <w:p>
      <w:pPr>
        <w:pStyle w:val="ManualConsidrant"/>
        <w:rPr>
          <w:noProof/>
        </w:rPr>
      </w:pPr>
      <w:r>
        <w:t>(3)</w:t>
      </w:r>
      <w:r>
        <w:tab/>
      </w:r>
      <w:r>
        <w:rPr>
          <w:noProof/>
        </w:rPr>
        <w:t xml:space="preserve">În conformitate cu Tratatul privind funcționarea Uniunii Europene (TFUE), Uniunea a elaborat și a pus în aplicare instrumente de coordonare pentru politicile economice și de ocupare a forței de muncă. Ca parte a acestor instrumente, prezentele orientări pentru politicile de ocupare a forței de muncă ale statelor membre, împreună cu </w:t>
      </w:r>
      <w:r>
        <w:rPr>
          <w:noProof/>
        </w:rPr>
        <w:lastRenderedPageBreak/>
        <w:t>orientările generale pentru politicile economice ale statelor membre și ale Uniunii prevăzute în Recomandarea (UE) 2015/1184</w:t>
      </w:r>
      <w:r>
        <w:rPr>
          <w:rStyle w:val="FootnoteReference"/>
          <w:noProof/>
        </w:rPr>
        <w:footnoteReference w:id="5"/>
      </w:r>
      <w:r>
        <w:rPr>
          <w:noProof/>
        </w:rPr>
        <w:t xml:space="preserve"> a Consiliului, formează orientările integrate. Acestea vor ghida punerea în aplicare a politicilor în statele membre și în Uniune, reflectând interdependența dintre statele membre. Setul rezultant de politici și de reforme coordonate europene și naționale va constitui un mix global adecvat și sustenabil de politici economice și sociale care ar trebui să ducă la efecte colaterale pozitive.</w:t>
      </w:r>
    </w:p>
    <w:p>
      <w:pPr>
        <w:pStyle w:val="ManualConsidrant"/>
        <w:rPr>
          <w:noProof/>
        </w:rPr>
      </w:pPr>
      <w:r>
        <w:t>(4)</w:t>
      </w:r>
      <w:r>
        <w:tab/>
      </w:r>
      <w:r>
        <w:rPr>
          <w:noProof/>
        </w:rPr>
        <w:t>Orientările pentru politicile de ocupare a forței de muncă sunt în conformitate cu Pactul de stabilitate și de creștere, cu legislația existentă a Uniunii și cu diversele inițiative ale Uniunii, inclusiv cu Recomandarea Consiliului din 22 aprilie 2013 privind înființarea unei garanții pentru tineret</w:t>
      </w:r>
      <w:r>
        <w:rPr>
          <w:rStyle w:val="FootnoteReference"/>
          <w:noProof/>
        </w:rPr>
        <w:footnoteReference w:id="6"/>
      </w:r>
      <w:r>
        <w:rPr>
          <w:noProof/>
        </w:rPr>
        <w:t>, Recomandarea Consiliului din 15 februarie 2016 privind integrarea șomerilor de lungă durată pe piața forței de muncă</w:t>
      </w:r>
      <w:r>
        <w:rPr>
          <w:rStyle w:val="FootnoteReference"/>
          <w:noProof/>
        </w:rPr>
        <w:footnoteReference w:id="7"/>
      </w:r>
      <w:r>
        <w:rPr>
          <w:noProof/>
        </w:rPr>
        <w:t>, Recomandarea Consiliului din 19 decembrie 2016 privind parcursurile de actualizare a competențelor</w:t>
      </w:r>
      <w:r>
        <w:rPr>
          <w:rStyle w:val="FootnoteReference"/>
          <w:noProof/>
        </w:rPr>
        <w:footnoteReference w:id="8"/>
      </w:r>
      <w:r>
        <w:rPr>
          <w:noProof/>
        </w:rPr>
        <w:t>, Recomandarea Consiliului din 15 martie 2018 privind un cadru european pentru programe de ucenicie de calitate și eficace</w:t>
      </w:r>
      <w:r>
        <w:rPr>
          <w:rStyle w:val="FootnoteReference"/>
          <w:noProof/>
        </w:rPr>
        <w:footnoteReference w:id="9"/>
      </w:r>
      <w:r>
        <w:rPr>
          <w:noProof/>
        </w:rPr>
        <w:t>, Recomandarea Consiliului din 22 mai 2018 privind competențele-cheie pentru învățarea pe tot parcursul vieții</w:t>
      </w:r>
      <w:r>
        <w:rPr>
          <w:rStyle w:val="FootnoteReference"/>
          <w:noProof/>
        </w:rPr>
        <w:footnoteReference w:id="10"/>
      </w:r>
      <w:r>
        <w:rPr>
          <w:noProof/>
        </w:rPr>
        <w:t>, Recomandarea Consiliului din 22 mai 2019 privind sisteme de înaltă calitate de educație și îngrijire timpurie a copiilor</w:t>
      </w:r>
      <w:r>
        <w:rPr>
          <w:rStyle w:val="FootnoteReference"/>
          <w:noProof/>
        </w:rPr>
        <w:footnoteReference w:id="11"/>
      </w:r>
      <w:r>
        <w:rPr>
          <w:noProof/>
        </w:rPr>
        <w:t xml:space="preserve"> și Recomandarea Consiliului din 8 noiembrie 2019 privind accesul la protecție socială</w:t>
      </w:r>
      <w:r>
        <w:rPr>
          <w:rStyle w:val="FootnoteReference"/>
          <w:noProof/>
        </w:rPr>
        <w:footnoteReference w:id="12"/>
      </w:r>
      <w:r>
        <w:rPr>
          <w:noProof/>
        </w:rPr>
        <w:t>.</w:t>
      </w:r>
    </w:p>
    <w:p>
      <w:pPr>
        <w:pStyle w:val="ManualConsidrant"/>
        <w:rPr>
          <w:noProof/>
        </w:rPr>
      </w:pPr>
      <w:r>
        <w:t>(5)</w:t>
      </w:r>
      <w:r>
        <w:tab/>
      </w:r>
      <w:r>
        <w:rPr>
          <w:noProof/>
        </w:rPr>
        <w:t>Semestrul european reunește diferitele instrumente într-un cadru global pentru o coordonare și o supraveghere multilaterală integrată a politicilor economice și de ocupare a forței de muncă. Având drept obiective durabilitatea mediului, productivitatea, echitatea și stabilitatea, semestrul european integrează principiile Pilonului european al drepturilor sociale, inclusiv angajamentul ferm cu partenerii sociali, societatea civilă și alte părți interesate. Acesta sprijină realizarea obiectivelor de dezvoltare durabilă</w:t>
      </w:r>
      <w:r>
        <w:rPr>
          <w:rStyle w:val="FootnoteReference"/>
          <w:noProof/>
        </w:rPr>
        <w:footnoteReference w:id="13"/>
      </w:r>
      <w:r>
        <w:rPr>
          <w:noProof/>
        </w:rPr>
        <w:t xml:space="preserve">. Politicile economice și de ocupare a forței de muncă ale Uniunii și ale statelor membre ar trebui să fie însoțite de tranziția Europei către o economie neutră din punctul de vedere al impactului asupra climei, durabilă din punctul de vedere al mediului și digitală, îmbunătățind totodată competitivitatea, încurajând inovarea, promovând justiția socială și egalitatea de șanse și combătând inegalitățile și disparitățile regionale. </w:t>
      </w:r>
    </w:p>
    <w:p>
      <w:pPr>
        <w:pStyle w:val="ManualConsidrant"/>
        <w:rPr>
          <w:noProof/>
        </w:rPr>
      </w:pPr>
      <w:r>
        <w:t>(6)</w:t>
      </w:r>
      <w:r>
        <w:tab/>
      </w:r>
      <w:r>
        <w:rPr>
          <w:noProof/>
        </w:rPr>
        <w:t xml:space="preserve">Schimbările climatice și provocările legate de mediu, globalizarea, digitalizarea și schimbările demografice vor transforma economiile și societățile europene. Uniunea și statele sale membre ar trebui să colaboreze pentru a aborda în mod eficient acești factori structurali și să adapteze sistemele existente în funcție de necesități, recunoscând interdependența strânsă a economiilor și a piețelor forței de muncă ale statelor membre și a politicilor conexe. Acest lucru necesită măsuri de politică ambițioase, coordonate și eficace, atât la nivelul Uniunii, cât și la nivel național, în conformitate cu TFUE și cu dispozițiile Uniunii privind guvernanța economică. Astfel </w:t>
      </w:r>
      <w:r>
        <w:rPr>
          <w:noProof/>
        </w:rPr>
        <w:lastRenderedPageBreak/>
        <w:t>de măsuri de politică ar trebui să cuprindă un stimulent pentru investiții sustenabile, un angajament reînnoit privind reforme structurale eșalonate în mod corespunzător care îmbunătățesc productivitatea, creșterea economică, coeziunea socială și teritorială, convergența în sens ascendent, reziliența și exercitarea responsabilității fiscale. Aceasta ar trebui să combine măsurile legate de cerere și de ofertă, ținând seama, în același timp, de impactul lor asupra mediului, asupra ocupării forței de muncă și de impactul social.</w:t>
      </w:r>
    </w:p>
    <w:p>
      <w:pPr>
        <w:pStyle w:val="ManualConsidrant"/>
        <w:rPr>
          <w:noProof/>
        </w:rPr>
      </w:pPr>
      <w:r>
        <w:t>(7)</w:t>
      </w:r>
      <w:r>
        <w:tab/>
      </w:r>
      <w:r>
        <w:rPr>
          <w:noProof/>
        </w:rPr>
        <w:t>Parlamentul European, Consiliul și Comisia au semnat o proclamație interinstituțională privind un Pilon european al drepturilor sociale</w:t>
      </w:r>
      <w:r>
        <w:rPr>
          <w:rStyle w:val="FootnoteReference"/>
          <w:noProof/>
        </w:rPr>
        <w:footnoteReference w:id="14"/>
      </w:r>
      <w:r>
        <w:rPr>
          <w:noProof/>
        </w:rPr>
        <w:t xml:space="preserve">. Pilonul stabilește 20 de principii și de drepturi care vin în sprijinul unor piețe ale muncii și al unor sisteme de protecție socială funcționale și echitabile, structurate în jurul a trei categorii: egalitate de șanse și acces pe piața muncii, condiții de lucru echitabile și protecție și incluziune socială. Principiile și drepturile dau direcție strategiei noastre, asigurându-se că tranzițiile către neutralitatea climatică și durabilitatea mediului, digitalizare și schimbările demografice sunt echitabile și juste din punct de vedere social. Pilonul constituie un cadru de referință pentru monitorizarea ocupării forței de muncă și a performanței sociale a statelor membre, pentru stimularea reformelor la nivel național, regional și local și pentru reconcilierea aspectului social cu exigențele pieței în economia modernă de astăzi, inclusiv prin promovarea economiei sociale. </w:t>
      </w:r>
    </w:p>
    <w:p>
      <w:pPr>
        <w:pStyle w:val="ManualConsidrant"/>
        <w:rPr>
          <w:noProof/>
        </w:rPr>
      </w:pPr>
      <w:r>
        <w:t>(8)</w:t>
      </w:r>
      <w:r>
        <w:tab/>
      </w:r>
      <w:r>
        <w:rPr>
          <w:noProof/>
        </w:rPr>
        <w:t xml:space="preserve">Reformarea piețelor muncii, inclusiv mecanismele de stabilire a salariilor la nivel național, ar trebui să urmeze practicile naționale de dialog social și să asigure posibilitatea necesară de a realiza o amplă examinare a aspectelor socioeconomice, inclusiv îmbunătățiri în ceea ce privește durabilitatea, competitivitatea, inovarea, crearea de locuri de muncă, învățarea pe tot parcursul vieții și politicile de formare profesională, condițiile de muncă, educația și competențele, sănătatea publică, precum și incluziunea și veniturile reale. </w:t>
      </w:r>
    </w:p>
    <w:p>
      <w:pPr>
        <w:pStyle w:val="ManualConsidrant"/>
        <w:rPr>
          <w:noProof/>
        </w:rPr>
      </w:pPr>
      <w:r>
        <w:t>(9)</w:t>
      </w:r>
      <w:r>
        <w:tab/>
      </w:r>
      <w:r>
        <w:rPr>
          <w:noProof/>
        </w:rPr>
        <w:t>Statele membre și Uniunea ar trebui să se asigure că transformările sunt echitabile și juste din punct de vedere social, consolidând tendința către o societate favorabilă incluziunii și rezilientă, în care oamenii să fie protejați și să poată anticipa și gestiona schimbările, precum și să poată participa activ în societate și în economie. Ar trebui combătută discriminarea sub orice formă. Ar trebui să se asigure acces și oportunități pentru toți și să se reducă sărăcia și excluziunea socială (inclusiv aceea a copiilor), în special prin asigurarea unei funcționări eficace a piețelor muncii și a sistemelor de protecție socială și prin înlăturarea barierelor din calea educației, formării și a participării pe piața muncii, inclusiv prin investiții în educația și îngrijirea copiilor preșcolari. Accesul în timp util și echitabil la servicii medicale accesibile ca preț, inclusiv prevenirea și promovarea sănătății, sunt deosebit de relevante în contextul îmbătrânirii societăților. Potențialul persoanelor cu handicap de a contribui la creșterea economică și la dezvoltarea socială ar trebui să fie concretizat într-o mai mare măsură. Pe măsură ce noi modele economice și de afaceri își fac apariția la nivelul locurilor de muncă din Uniune, relațiile de muncă suferă și ele schimbări. Statele membre ar trebui să se asigure că relațiile de muncă ce apar ca urmare a noilor forme de muncă mențin și consolidează modelul social european.</w:t>
      </w:r>
    </w:p>
    <w:p>
      <w:pPr>
        <w:pStyle w:val="ManualConsidrant"/>
        <w:rPr>
          <w:noProof/>
        </w:rPr>
      </w:pPr>
      <w:r>
        <w:t>(10)</w:t>
      </w:r>
      <w:r>
        <w:tab/>
      </w:r>
      <w:r>
        <w:rPr>
          <w:noProof/>
        </w:rPr>
        <w:t xml:space="preserve">Orientările integrate ar trebui să constituie baza pentru recomandările specifice fiecărei țări pe care Consiliul le-ar putea adresa statelor membre. Statele membre ar trebui să utilizeze pe deplin Fondul social european Plus și alte fonduri ale Uniunii, inclusiv Fondul pentru o tranziție justă și InvestEU, să stimuleze ocuparea forței de muncă, </w:t>
      </w:r>
      <w:r>
        <w:rPr>
          <w:noProof/>
        </w:rPr>
        <w:lastRenderedPageBreak/>
        <w:t xml:space="preserve">investițiile sociale, incluziunea socială, accesibilitatea, să promoveze oportunitățile de perfecționare și de recalificare a forței de muncă, învățarea pe tot parcursul vieții și educația și formarea de înaltă calitate pentru toți, inclusiv alfabetizarea digitală și competențele digitale. Cu toate că se adresează statelor membre și Uniunii, orientările integrate ar trebui să fie puse în aplicare în parteneriat cu toate autoritățile naționale, regionale și locale, implicând îndeaproape parlamentele, precum și partenerii sociali și reprezentanții societății civile. </w:t>
      </w:r>
    </w:p>
    <w:p>
      <w:pPr>
        <w:pStyle w:val="ManualConsidrant"/>
        <w:rPr>
          <w:noProof/>
        </w:rPr>
      </w:pPr>
      <w:r>
        <w:t>(11)</w:t>
      </w:r>
      <w:r>
        <w:tab/>
      </w:r>
      <w:r>
        <w:rPr>
          <w:noProof/>
        </w:rPr>
        <w:t>Comitetul pentru Ocuparea Forței de Muncă și Comitetul pentru protecție socială ar trebui să monitorizeze modul în care sunt puse în aplicare politicile relevante având în vedere orientările pentru politicile de ocupare a forței de muncă, în conformitate cu mandatele lor respective întemeiate pe tratate. Aceste comitete și alte grupuri de pregătire ale Consiliului implicate în coordonarea politicilor economice și sociale ar trebui să colaboreze îndeaproape. Ar trebui menținut dialogul în materie de politici între Parlamentul European, Consiliu și Comisie, în special în ceea ce privește orientările pentru politicile de ocupare a forței de muncă ale statelor membre.</w:t>
      </w:r>
    </w:p>
    <w:p>
      <w:pPr>
        <w:pStyle w:val="ManualConsidrant"/>
        <w:rPr>
          <w:noProof/>
        </w:rPr>
      </w:pPr>
      <w:r>
        <w:t>(12)</w:t>
      </w:r>
      <w:r>
        <w:tab/>
      </w:r>
      <w:r>
        <w:rPr>
          <w:noProof/>
        </w:rPr>
        <w:t>Comitetul pentru protecție socială a fost consultat,</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Prin prezenta decizie se adoptă orientările pentru politicile de ocupare a forței de muncă ale statelor membre, astfel cum sunt prevăzute în anexă. Aceste orientări fac parte din „Orientările integrate”.</w:t>
      </w:r>
    </w:p>
    <w:p>
      <w:pPr>
        <w:pStyle w:val="Titrearticle"/>
        <w:keepNext w:val="0"/>
        <w:rPr>
          <w:noProof/>
        </w:rPr>
      </w:pPr>
      <w:r>
        <w:rPr>
          <w:noProof/>
        </w:rPr>
        <w:t>Articolul 2</w:t>
      </w:r>
    </w:p>
    <w:p>
      <w:pPr>
        <w:keepLines/>
        <w:rPr>
          <w:noProof/>
        </w:rPr>
      </w:pPr>
      <w:r>
        <w:rPr>
          <w:noProof/>
        </w:rPr>
        <w:t>Statele membre iau în considerare orientările prevăzute în anexă în politicile lor privind ocuparea forței de muncă și în programele lor de reformă, care se raportează în conformitate cu articolul 148 alineatul (3) din TFUE.</w:t>
      </w:r>
    </w:p>
    <w:p>
      <w:pPr>
        <w:pStyle w:val="Titrearticle"/>
        <w:rPr>
          <w:noProof/>
        </w:rPr>
      </w:pPr>
      <w:r>
        <w:rPr>
          <w:noProof/>
        </w:rPr>
        <w:t>Articolul 3</w:t>
      </w:r>
    </w:p>
    <w:p>
      <w:pPr>
        <w:rPr>
          <w:noProof/>
        </w:rPr>
      </w:pPr>
      <w:r>
        <w:rPr>
          <w:noProof/>
        </w:rPr>
        <w:t>Prezenta decizie se adresează statelor membre.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 , p. .</w:t>
      </w:r>
    </w:p>
  </w:footnote>
  <w:footnote w:id="2">
    <w:p>
      <w:pPr>
        <w:pStyle w:val="FootnoteText"/>
      </w:pPr>
      <w:r>
        <w:rPr>
          <w:rStyle w:val="FootnoteReference"/>
        </w:rPr>
        <w:footnoteRef/>
      </w:r>
      <w:r>
        <w:tab/>
        <w:t>JO C , , p. .</w:t>
      </w:r>
    </w:p>
  </w:footnote>
  <w:footnote w:id="3">
    <w:p>
      <w:pPr>
        <w:pStyle w:val="FootnoteText"/>
      </w:pPr>
      <w:r>
        <w:rPr>
          <w:rStyle w:val="FootnoteReference"/>
        </w:rPr>
        <w:footnoteRef/>
      </w:r>
      <w:r>
        <w:tab/>
        <w:t>JO C , , p. .</w:t>
      </w:r>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Recomandarea (UE) 2015/1184 a Consiliului din 14 iulie 2015 privind orientările generale pentru politicile economice ale statelor membre și ale Uniunii Europene (JO L 192, 18.7.2015, p. 27).</w:t>
      </w:r>
    </w:p>
  </w:footnote>
  <w:footnote w:id="6">
    <w:p>
      <w:pPr>
        <w:pStyle w:val="FootnoteText"/>
      </w:pPr>
      <w:r>
        <w:rPr>
          <w:rStyle w:val="FootnoteReference"/>
        </w:rPr>
        <w:footnoteRef/>
      </w:r>
      <w:r>
        <w:tab/>
        <w:t>JO C 120, 26.4.2013, p. 1.</w:t>
      </w:r>
    </w:p>
  </w:footnote>
  <w:footnote w:id="7">
    <w:p>
      <w:pPr>
        <w:pStyle w:val="FootnoteText"/>
      </w:pPr>
      <w:r>
        <w:rPr>
          <w:rStyle w:val="FootnoteReference"/>
        </w:rPr>
        <w:footnoteRef/>
      </w:r>
      <w:r>
        <w:tab/>
        <w:t>JO C 67, 20.2.2016, p. 1.</w:t>
      </w:r>
    </w:p>
  </w:footnote>
  <w:footnote w:id="8">
    <w:p>
      <w:pPr>
        <w:pStyle w:val="FootnoteText"/>
      </w:pPr>
      <w:r>
        <w:rPr>
          <w:rStyle w:val="FootnoteReference"/>
        </w:rPr>
        <w:footnoteRef/>
      </w:r>
      <w:r>
        <w:tab/>
        <w:t>JO C 484, 24.12.2016, p. 1.</w:t>
      </w:r>
    </w:p>
  </w:footnote>
  <w:footnote w:id="9">
    <w:p>
      <w:pPr>
        <w:pStyle w:val="FootnoteText"/>
      </w:pPr>
      <w:r>
        <w:rPr>
          <w:rStyle w:val="FootnoteReference"/>
        </w:rPr>
        <w:footnoteRef/>
      </w:r>
      <w:r>
        <w:tab/>
        <w:t>JO C 153, 2.5.2018, p. 1.</w:t>
      </w:r>
    </w:p>
  </w:footnote>
  <w:footnote w:id="10">
    <w:p>
      <w:pPr>
        <w:pStyle w:val="FootnoteText"/>
      </w:pPr>
      <w:r>
        <w:rPr>
          <w:rStyle w:val="FootnoteReference"/>
        </w:rPr>
        <w:footnoteRef/>
      </w:r>
      <w:r>
        <w:tab/>
        <w:t>JO C 189, 4.6.2018, p. 1–13</w:t>
      </w:r>
    </w:p>
  </w:footnote>
  <w:footnote w:id="11">
    <w:p>
      <w:pPr>
        <w:pStyle w:val="FootnoteText"/>
      </w:pPr>
      <w:r>
        <w:rPr>
          <w:rStyle w:val="FootnoteReference"/>
        </w:rPr>
        <w:footnoteRef/>
      </w:r>
      <w:r>
        <w:tab/>
        <w:t>JO C 189, 5.6.2019, p. 4–14</w:t>
      </w:r>
    </w:p>
  </w:footnote>
  <w:footnote w:id="12">
    <w:p>
      <w:pPr>
        <w:pStyle w:val="FootnoteText"/>
      </w:pPr>
      <w:r>
        <w:rPr>
          <w:rStyle w:val="FootnoteReference"/>
        </w:rPr>
        <w:footnoteRef/>
      </w:r>
      <w:r>
        <w:tab/>
        <w:t>JO C 387, 15.11.2019, p. 1–8</w:t>
      </w:r>
    </w:p>
  </w:footnote>
  <w:footnote w:id="13">
    <w:p>
      <w:pPr>
        <w:spacing w:before="0"/>
      </w:pPr>
      <w:r>
        <w:rPr>
          <w:rStyle w:val="FootnoteReference"/>
        </w:rPr>
        <w:footnoteRef/>
      </w:r>
      <w:r>
        <w:tab/>
      </w:r>
      <w:r>
        <w:rPr>
          <w:sz w:val="20"/>
        </w:rPr>
        <w:t>Rezoluția ONU A/RES/70/1</w:t>
      </w:r>
      <w:r>
        <w:tab/>
      </w:r>
    </w:p>
  </w:footnote>
  <w:footnote w:id="14">
    <w:p>
      <w:pPr>
        <w:pStyle w:val="FootnoteText"/>
      </w:pPr>
      <w:r>
        <w:rPr>
          <w:rStyle w:val="FootnoteReference"/>
        </w:rPr>
        <w:footnoteRef/>
      </w:r>
      <w:r>
        <w:tab/>
        <w:t xml:space="preserve">JO C 428, 13.12.2017, p.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729B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3E5E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07C2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84AC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3C4D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5C39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10A1FE"/>
    <w:lvl w:ilvl="0">
      <w:start w:val="1"/>
      <w:numFmt w:val="decimal"/>
      <w:pStyle w:val="ListNumber"/>
      <w:lvlText w:val="%1."/>
      <w:lvlJc w:val="left"/>
      <w:pPr>
        <w:tabs>
          <w:tab w:val="num" w:pos="360"/>
        </w:tabs>
        <w:ind w:left="360" w:hanging="360"/>
      </w:pPr>
    </w:lvl>
  </w:abstractNum>
  <w:abstractNum w:abstractNumId="7">
    <w:nsid w:val="FFFFFF89"/>
    <w:multiLevelType w:val="singleLevel"/>
    <w:tmpl w:val="0234E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2 09:21: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DF3666F-2529-4008-88A9-0C2BD71AC2D3"/>
    <w:docVar w:name="LW_COVERPAGE_TYPE" w:val="1"/>
    <w:docVar w:name="LW_CROSSREFERENCE" w:val="&lt;UNUSED&gt;"/>
    <w:docVar w:name="LW_DocType" w:val="COM"/>
    <w:docVar w:name="LW_EMISSION" w:val="26.2.2020"/>
    <w:docVar w:name="LW_EMISSION_ISODATE" w:val="2020-02-26"/>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30"/>
    <w:docVar w:name="LW_REF.II.NEW.CP_YEAR" w:val="2020"/>
    <w:docVar w:name="LW_REF.INST.NEW" w:val="COM"/>
    <w:docVar w:name="LW_REF.INST.NEW_ADOPTED" w:val="final"/>
    <w:docVar w:name="LW_REF.INST.NEW_TEXT" w:val="(2020)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unere de"/>
    <w:docVar w:name="LW_STATUT.CP" w:val="Propunere de"/>
    <w:docVar w:name="LW_SUPERTITRE" w:val="&lt;UNUSED&gt;"/>
    <w:docVar w:name="LW_TITRE.OBJ" w:val="privind orient\u259?rile pentru politicile de ocupare a for\u539?ei de munc\u259? ale statelor membre_x000d__x000b_"/>
    <w:docVar w:name="LW_TITRE.OBJ.CP" w:val="privind orient\u259?rile pentru politicile de ocupare a for\u539?ei de munc\u259? ale statelor membre_x000d__x000b_"/>
    <w:docVar w:name="LW_TYPE.DOC" w:val="DECIZIE A CONSILIULUI"/>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1997</Words>
  <Characters>12046</Characters>
  <Application>Microsoft Office Word</Application>
  <DocSecurity>0</DocSecurity>
  <Lines>191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2020-02-28T09:49:00Z</dcterms:created>
  <dcterms:modified xsi:type="dcterms:W3CDTF">2020-03-02T08:21:00Z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DQCStatus">
    <vt:lpwstr>Green (DQC version 03)</vt:lpwstr>
  </property>
  <property fmtid="{D5CDD505-2E9C-101B-9397-08002B2CF9AE}" pid="8" name="Category">
    <vt:lpwstr>COM/PL/ORG</vt:lpwstr>
  </property>
</Properties>
</file>