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DD65BFFE-D44D-4987-82BD-C61B2F41122E" style="width:450.65pt;height:352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spacing w:line="0" w:lineRule="atLeast"/>
        <w:rPr>
          <w:noProof/>
          <w:szCs w:val="24"/>
        </w:rPr>
      </w:pPr>
      <w:r>
        <w:rPr>
          <w:noProof/>
        </w:rPr>
        <w:t xml:space="preserve">El Tratado de Funcionamiento de la Unión Europea establece que los Estados miembros considerarán sus políticas económicas y el fomento del empleo como un asunto de interés común y coordinarán sus actuaciones al respecto en el seno del Consejo. Dispone que el Consejo adoptará orientaciones para el empleo (artículo 148), especificando que deben ser compatibles con las orientaciones generales de las políticas económicas (artículo 121).  </w:t>
      </w:r>
    </w:p>
    <w:p>
      <w:pPr>
        <w:spacing w:line="0" w:lineRule="atLeast"/>
        <w:rPr>
          <w:noProof/>
          <w:szCs w:val="24"/>
        </w:rPr>
      </w:pPr>
      <w:r>
        <w:rPr>
          <w:noProof/>
        </w:rPr>
        <w:t xml:space="preserve">Si bien las orientaciones generales de las políticas económicas siguen siendo válidas en el tiempo, las orientaciones para el empleo deben elaborarse cada año. Las orientaciones se adoptaron juntas por primera vez en 2010 («paquete integrado») a fin de apoyar la estrategia Europa 2020, y permanecieron estables hasta 2014. En 2015 se adoptaron unas orientaciones integradas revisadas. En 2018, las orientaciones para el empleo se alinearon con los principios del pilar europeo de derechos sociales proclamado en noviembre de 2017 por el Parlamento Europeo, el Consejo y la Comisión con vistas a impulsar reformas a nivel nacional y para que sirviera de orientación en un proceso renovado de convergencia en toda Europa; en 2019 no se modificaron. Además de estructurar el ámbito de aplicación y la orientación de la coordinación de las políticas de los Estados miembros, las orientaciones también proporcionan la base de las recomendaciones específicas por país en los ámbitos respectivos. Junto con las orientaciones generales de las políticas económicas, las orientaciones para el empleo se presentan en forma de Decisión del Consejo relativa a las orientaciones para las políticas de empleo de los Estados miembros (parte II de las orientaciones integradas). </w:t>
      </w:r>
    </w:p>
    <w:p>
      <w:pPr>
        <w:spacing w:line="0" w:lineRule="atLeast"/>
        <w:rPr>
          <w:noProof/>
          <w:szCs w:val="24"/>
        </w:rPr>
      </w:pPr>
      <w:r>
        <w:rPr>
          <w:noProof/>
        </w:rPr>
        <w:t xml:space="preserve">Las orientaciones para las políticas de empleo de los Estados miembros se han modificado para integrar las cuatro dimensiones de la Estrategia Anual de Crecimiento Sostenible y, en particular, la dimensión de sostenibilidad medioambiental, que refleja el discurso de Una Europa social fuerte para unas transiciones justas e integra los Objetivos de Desarrollo Sostenible (ODS) de las Naciones Unidas.  </w:t>
      </w:r>
    </w:p>
    <w:p>
      <w:pPr>
        <w:spacing w:line="0" w:lineRule="atLeast"/>
        <w:rPr>
          <w:b/>
          <w:noProof/>
          <w:szCs w:val="24"/>
        </w:rPr>
      </w:pPr>
      <w:r>
        <w:rPr>
          <w:b/>
          <w:noProof/>
        </w:rPr>
        <w:t xml:space="preserve">Las «orientaciones para las políticas de empleo» revisadas son las siguientes: </w:t>
      </w:r>
    </w:p>
    <w:p>
      <w:pPr>
        <w:spacing w:line="0" w:lineRule="atLeast"/>
        <w:rPr>
          <w:noProof/>
          <w:szCs w:val="24"/>
        </w:rPr>
      </w:pPr>
      <w:r>
        <w:rPr>
          <w:noProof/>
        </w:rPr>
        <w:t xml:space="preserve">Orientación n.º 5:  Impulsar la demanda de mano de obra </w:t>
      </w:r>
    </w:p>
    <w:p>
      <w:pPr>
        <w:spacing w:line="0" w:lineRule="atLeast"/>
        <w:rPr>
          <w:noProof/>
          <w:szCs w:val="24"/>
        </w:rPr>
      </w:pPr>
      <w:r>
        <w:rPr>
          <w:noProof/>
        </w:rPr>
        <w:t xml:space="preserve">Orientación n.º 6:  Aumentar la oferta de trabajo y mejorar el acceso al empleo, las capacidades y las competencias </w:t>
      </w:r>
    </w:p>
    <w:p>
      <w:pPr>
        <w:spacing w:line="0" w:lineRule="atLeast"/>
        <w:rPr>
          <w:noProof/>
          <w:szCs w:val="24"/>
        </w:rPr>
      </w:pPr>
      <w:r>
        <w:rPr>
          <w:noProof/>
        </w:rPr>
        <w:t xml:space="preserve">Orientación n.º 7:  Mejorar el funcionamiento de los mercados laborales y la eficacia del diálogo social </w:t>
      </w:r>
    </w:p>
    <w:p>
      <w:pPr>
        <w:spacing w:line="0" w:lineRule="atLeast"/>
        <w:rPr>
          <w:noProof/>
          <w:szCs w:val="24"/>
        </w:rPr>
      </w:pPr>
      <w:r>
        <w:rPr>
          <w:noProof/>
        </w:rPr>
        <w:t>Orientación n.º 8:  Promover la igualdad de oportunidades para todos, fomentar la integración social y combatir la pobreza</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2020/0030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las orientaciones para las políticas de empleo de los Estados miembros</w:t>
      </w:r>
      <w:r>
        <w:rPr>
          <w:noProof/>
        </w:rPr>
        <w:br/>
      </w:r>
    </w:p>
    <w:p>
      <w:pPr>
        <w:pStyle w:val="Institutionquiagit"/>
        <w:rPr>
          <w:noProof/>
        </w:rPr>
      </w:pPr>
      <w:r>
        <w:rPr>
          <w:noProof/>
        </w:rPr>
        <w:t>EL CONSEJO DE LA UNIÓN EUROPEA,</w:t>
      </w:r>
    </w:p>
    <w:p>
      <w:pPr>
        <w:rPr>
          <w:noProof/>
        </w:rPr>
      </w:pPr>
      <w:r>
        <w:rPr>
          <w:noProof/>
        </w:rPr>
        <w:t>Visto el Tratado de Funcionamiento de la Unión Europea, y en particular su artículo 148, apartado 2,</w:t>
      </w:r>
    </w:p>
    <w:p>
      <w:pPr>
        <w:rPr>
          <w:noProof/>
        </w:rPr>
      </w:pPr>
      <w:r>
        <w:rPr>
          <w:noProof/>
        </w:rPr>
        <w:t>Vista la propuesta de la Comisión Europea,</w:t>
      </w:r>
    </w:p>
    <w:p>
      <w:pPr>
        <w:rPr>
          <w:noProof/>
        </w:rPr>
      </w:pPr>
      <w:r>
        <w:rPr>
          <w:noProof/>
        </w:rPr>
        <w:t>Visto el dictamen del Parlamento Europeo</w:t>
      </w:r>
      <w:r>
        <w:rPr>
          <w:rStyle w:val="FootnoteReference"/>
          <w:noProof/>
        </w:rPr>
        <w:footnoteReference w:id="1"/>
      </w:r>
      <w:r>
        <w:rPr>
          <w:noProof/>
        </w:rPr>
        <w:t xml:space="preserve">, </w:t>
      </w:r>
    </w:p>
    <w:p>
      <w:pPr>
        <w:rPr>
          <w:noProof/>
        </w:rPr>
      </w:pPr>
      <w:r>
        <w:rPr>
          <w:noProof/>
        </w:rPr>
        <w:t>Visto el dictamen del Comité Económico y Social Europeo</w:t>
      </w:r>
      <w:r>
        <w:rPr>
          <w:rStyle w:val="FootnoteReference"/>
          <w:noProof/>
        </w:rPr>
        <w:footnoteReference w:id="2"/>
      </w:r>
      <w:r>
        <w:rPr>
          <w:noProof/>
        </w:rPr>
        <w:t xml:space="preserve">, </w:t>
      </w:r>
    </w:p>
    <w:p>
      <w:pPr>
        <w:rPr>
          <w:noProof/>
        </w:rPr>
      </w:pPr>
      <w:r>
        <w:rPr>
          <w:noProof/>
        </w:rPr>
        <w:t>Visto el dictamen del Comité de las Regiones</w:t>
      </w:r>
      <w:r>
        <w:rPr>
          <w:rStyle w:val="FootnoteReference"/>
          <w:noProof/>
        </w:rPr>
        <w:footnoteReference w:id="3"/>
      </w:r>
      <w:r>
        <w:rPr>
          <w:noProof/>
        </w:rPr>
        <w:t xml:space="preserve">, </w:t>
      </w:r>
    </w:p>
    <w:p>
      <w:pPr>
        <w:rPr>
          <w:noProof/>
        </w:rPr>
      </w:pPr>
      <w:r>
        <w:rPr>
          <w:noProof/>
        </w:rPr>
        <w:t>Visto el Dictamen del Comité de Empleo</w:t>
      </w:r>
      <w:r>
        <w:rPr>
          <w:rStyle w:val="FootnoteReference"/>
          <w:noProof/>
        </w:rPr>
        <w:footnoteReference w:id="4"/>
      </w:r>
      <w:r>
        <w:rPr>
          <w:noProof/>
        </w:rPr>
        <w:t xml:space="preserve">, </w:t>
      </w:r>
    </w:p>
    <w:p>
      <w:pPr>
        <w:rPr>
          <w:noProof/>
        </w:rPr>
      </w:pPr>
      <w:r>
        <w:rPr>
          <w:noProof/>
        </w:rPr>
        <w:t>Considerando lo siguiente:</w:t>
      </w:r>
    </w:p>
    <w:p>
      <w:pPr>
        <w:pStyle w:val="ManualConsidrant"/>
        <w:rPr>
          <w:noProof/>
        </w:rPr>
      </w:pPr>
      <w:r>
        <w:t>(1)</w:t>
      </w:r>
      <w:r>
        <w:tab/>
      </w:r>
      <w:r>
        <w:rPr>
          <w:noProof/>
        </w:rPr>
        <w:t xml:space="preserve">Los Estados miembros y la Unión han de esforzarse por desarrollar una estrategia coordinada para el empleo, en particular para potenciar una mano de obra cualificada, formada y capaz de adaptarse, así como mercados de trabajo con capacidad de respuesta al cambio económico, con vistas a lograr los objetivos de pleno empleo y progreso social, crecimiento equilibrado y un nivel elevado de protección y mejora de la calidad del medio ambiente enunciados en el artículo 3 del Tratado de la Unión Europea. Los Estados miembros han de considerar el fomento del empleo un asunto de interés común y coordinar su acción al respecto en el seno del Consejo, habida cuenta de las prácticas nacionales relativas a las responsabilidades de los interlocutores sociales. </w:t>
      </w:r>
    </w:p>
    <w:p>
      <w:pPr>
        <w:pStyle w:val="ManualConsidrant"/>
        <w:rPr>
          <w:noProof/>
        </w:rPr>
      </w:pPr>
      <w:r>
        <w:t>(2)</w:t>
      </w:r>
      <w:r>
        <w:tab/>
      </w:r>
      <w:r>
        <w:rPr>
          <w:noProof/>
        </w:rPr>
        <w:t xml:space="preserve">La Unión debe luchar contra la exclusión social y la discriminación y fomentar la justicia y la protección sociales, así como la igualdad entre las mujeres y los hombres, la solidaridad entre las generaciones y la protección de los derechos del niño. En la definición y ejecución de sus políticas y acciones, la Unión ha de tener en cuenta las exigencias relacionadas con el fomento de un nivel de empleo elevado, la garantía de una protección social adecuada, la lucha contra la pobreza y la exclusión social y la consecución de un nivel elevado de educación y formación, como se establece en el artículo 9 del Tratado de Funcionamiento de la Unión Europea.  </w:t>
      </w:r>
    </w:p>
    <w:p>
      <w:pPr>
        <w:pStyle w:val="ManualConsidrant"/>
        <w:rPr>
          <w:noProof/>
        </w:rPr>
      </w:pPr>
      <w:r>
        <w:t>(3)</w:t>
      </w:r>
      <w:r>
        <w:tab/>
      </w:r>
      <w:r>
        <w:rPr>
          <w:noProof/>
        </w:rPr>
        <w:t xml:space="preserve">De conformidad con el Tratado de Funcionamiento de la Unión Europea (TFUE), la Unión ha elaborado y aplicado instrumentos de coordinación para las políticas económicas y de empleo. Como parte de esos instrumentos, las presentes orientaciones para las políticas de empleo de los Estados miembros, junto con las orientaciones </w:t>
      </w:r>
      <w:r>
        <w:rPr>
          <w:noProof/>
        </w:rPr>
        <w:lastRenderedPageBreak/>
        <w:t>generales de las políticas económicas de los Estados miembros y de la Unión que establece la Recomendación (UE) 2015/1184</w:t>
      </w:r>
      <w:r>
        <w:rPr>
          <w:rStyle w:val="FootnoteReference"/>
          <w:noProof/>
        </w:rPr>
        <w:footnoteReference w:id="5"/>
      </w:r>
      <w:r>
        <w:rPr>
          <w:noProof/>
        </w:rPr>
        <w:t xml:space="preserve"> del Consejo, conforman las orientaciones integradas. Su objetivo es guiar la aplicación de las políticas en los Estados miembros y en la Unión, reflejando la interdependencia entre los Estados miembros. El conjunto resultante de políticas y reformas nacionales y europeas coordinadas debe ser una mezcla de políticas generales económicas y de empleo sostenible y adecuada que conduzca al logro de efectos positivos.</w:t>
      </w:r>
    </w:p>
    <w:p>
      <w:pPr>
        <w:pStyle w:val="ManualConsidrant"/>
        <w:rPr>
          <w:noProof/>
        </w:rPr>
      </w:pPr>
      <w:r>
        <w:t>(4)</w:t>
      </w:r>
      <w:r>
        <w:tab/>
      </w:r>
      <w:r>
        <w:rPr>
          <w:noProof/>
        </w:rPr>
        <w:t>Las orientaciones para las políticas de empleo son coherentes con el Pacto de Estabilidad y Crecimiento, la legislación de la Unión en vigor y diversas iniciativas de la Unión, incluidas la Recomendación del Consejo, de 22 de abril de 2013, sobre el establecimiento de la Garantía Juvenil</w:t>
      </w:r>
      <w:r>
        <w:rPr>
          <w:rStyle w:val="FootnoteReference"/>
          <w:noProof/>
        </w:rPr>
        <w:footnoteReference w:id="6"/>
      </w:r>
      <w:r>
        <w:rPr>
          <w:noProof/>
        </w:rPr>
        <w:t>, la Recomendación del Consejo, de 15 de febrero de 2016, sobre la integración de los desempleados de larga duración en el mercado laboral</w:t>
      </w:r>
      <w:r>
        <w:rPr>
          <w:rStyle w:val="FootnoteReference"/>
          <w:noProof/>
        </w:rPr>
        <w:footnoteReference w:id="7"/>
      </w:r>
      <w:r>
        <w:rPr>
          <w:noProof/>
        </w:rPr>
        <w:t>, la Recomendación del Consejo, de 19 de diciembre de 2016, relativa a itinerarios de mejora de las capacidades</w:t>
      </w:r>
      <w:r>
        <w:rPr>
          <w:rStyle w:val="FootnoteReference"/>
          <w:noProof/>
        </w:rPr>
        <w:footnoteReference w:id="8"/>
      </w:r>
      <w:r>
        <w:rPr>
          <w:noProof/>
        </w:rPr>
        <w:t>, la Recomendación del Consejo, de 15 de marzo de 2018, relativa al Marco Europeo para una Formación de Aprendices de Calidad y Eficaz</w:t>
      </w:r>
      <w:r>
        <w:rPr>
          <w:rStyle w:val="FootnoteReference"/>
          <w:noProof/>
        </w:rPr>
        <w:footnoteReference w:id="9"/>
      </w:r>
      <w:r>
        <w:rPr>
          <w:noProof/>
        </w:rPr>
        <w:t>, la Recomendación del Consejo, de 22 de mayo de 2018, relativa a las competencias clave para el aprendizaje permanente</w:t>
      </w:r>
      <w:r>
        <w:rPr>
          <w:rStyle w:val="FootnoteReference"/>
          <w:noProof/>
        </w:rPr>
        <w:footnoteReference w:id="10"/>
      </w:r>
      <w:r>
        <w:rPr>
          <w:noProof/>
        </w:rPr>
        <w:t>, la Recomendación del Consejo, de 22 de mayo de 2019,  relativa a unos sistemas de educación y cuidados de la primera infancia de alta calidad</w:t>
      </w:r>
      <w:r>
        <w:rPr>
          <w:rStyle w:val="FootnoteReference"/>
          <w:noProof/>
        </w:rPr>
        <w:footnoteReference w:id="11"/>
      </w:r>
      <w:r>
        <w:rPr>
          <w:noProof/>
        </w:rPr>
        <w:t xml:space="preserve"> y la Recomendación del Consejo, de 8 de noviembre de 2019, relativa al acceso a la protección social para los trabajadores por cuenta ajena y por cuenta propia</w:t>
      </w:r>
      <w:r>
        <w:rPr>
          <w:rStyle w:val="FootnoteReference"/>
          <w:noProof/>
        </w:rPr>
        <w:footnoteReference w:id="12"/>
      </w:r>
      <w:r>
        <w:rPr>
          <w:noProof/>
        </w:rPr>
        <w:t>.</w:t>
      </w:r>
    </w:p>
    <w:p>
      <w:pPr>
        <w:pStyle w:val="ManualConsidrant"/>
        <w:rPr>
          <w:noProof/>
        </w:rPr>
      </w:pPr>
      <w:r>
        <w:t>(5)</w:t>
      </w:r>
      <w:r>
        <w:tab/>
      </w:r>
      <w:r>
        <w:rPr>
          <w:noProof/>
        </w:rPr>
        <w:t>El Semestre Europeo reúne los diferentes instrumentos en un marco global para una supervisión y coordinación multilaterales integradas de las políticas económicas y de empleo. Al tiempo que persigue la sostenibilidad medioambiental, el aumento de la productividad, la equidad y la estabilidad, el Semestre Europeo integra los principios del pilar europeo de derechos sociales, incluido un fuerte compromiso con los interlocutores sociales, la sociedad civil y otras partes interesadas y apoya la consecución de los Objetivos de Desarrollo Sostenible</w:t>
      </w:r>
      <w:r>
        <w:rPr>
          <w:rStyle w:val="FootnoteReference"/>
          <w:noProof/>
        </w:rPr>
        <w:footnoteReference w:id="13"/>
      </w:r>
      <w:r>
        <w:rPr>
          <w:noProof/>
        </w:rPr>
        <w:t xml:space="preserve">. Las políticas económicas y de empleo de la Unión y de los Estados miembros deben ir acompañadas de la transición de Europa hacia una economía digital, climáticamente neutra y sostenible desde el punto de vista medioambiental, a la vez que se mejora la competitividad, se impulsa la innovación, se fomenta la justicia social y la igualdad de oportunidades y se abordan las desigualdades y disparidades regionales.    </w:t>
      </w:r>
    </w:p>
    <w:p>
      <w:pPr>
        <w:pStyle w:val="ManualConsidrant"/>
        <w:rPr>
          <w:noProof/>
        </w:rPr>
      </w:pPr>
      <w:r>
        <w:t>(6)</w:t>
      </w:r>
      <w:r>
        <w:tab/>
      </w:r>
      <w:r>
        <w:rPr>
          <w:noProof/>
        </w:rPr>
        <w:t xml:space="preserve">El cambio climático y los retos medioambientales relacionados, la globalización, la digitalización y el cambio demográfico transformarán las economías y las sociedades europeas. La Unión y sus Estados miembros deben trabajar juntos para abordar eficazmente estos factores estructurales y, en su caso, adaptar los sistemas existentes, reconociendo la estrecha interdependencia de las economías y los mercados de trabajo </w:t>
      </w:r>
      <w:r>
        <w:rPr>
          <w:noProof/>
        </w:rPr>
        <w:lastRenderedPageBreak/>
        <w:t>de los Estados miembros y las políticas relacionadas. Para ello se requiere una acción política coordinada, ambiciosa y eficaz, tanto a escala nacional como de la Unión, en consonancia con el TFUE y con las disposiciones sobre gobernanza económica de la Unión. Esta acción política debe incluir el estímulo a la inversión sostenible, un compromiso renovado con reformas estructurales adecuadamente programadas que mejoren la productividad, el crecimiento económico, la cohesión social y territorial, una mayor convergencia, la resiliencia y el ejercicio de responsabilidad presupuestaria. Debería combinar medidas que incidan en la oferta y en la demanda, teniendo en cuenta al mismo tiempo sus repercusiones medioambientales, sociales y en el empleo.</w:t>
      </w:r>
    </w:p>
    <w:p>
      <w:pPr>
        <w:pStyle w:val="ManualConsidrant"/>
        <w:rPr>
          <w:noProof/>
        </w:rPr>
      </w:pPr>
      <w:r>
        <w:t>(7)</w:t>
      </w:r>
      <w:r>
        <w:tab/>
      </w:r>
      <w:r>
        <w:rPr>
          <w:noProof/>
        </w:rPr>
        <w:t>El Parlamento Europeo, el Consejo y la Comisión firmaron una proclamación interinstitucional sobre el pilar europeo de derechos sociales</w:t>
      </w:r>
      <w:r>
        <w:rPr>
          <w:rStyle w:val="FootnoteReference"/>
          <w:noProof/>
        </w:rPr>
        <w:footnoteReference w:id="14"/>
      </w:r>
      <w:r>
        <w:rPr>
          <w:noProof/>
        </w:rPr>
        <w:t xml:space="preserve">. El pilar establece veinte principios y derechos destinados a fomentar unos mercados de trabajo y unos sistemas de protección social equitativos y que funcionen correctamente, estructurados en torno a tres categorías: igualdad de oportunidades y de acceso al mercado de trabajo, condiciones de trabajo justas y protección e inclusión social. Los principios y derechos orientan nuestra estrategia, velando por que las transiciones a la neutralidad climática, la sostenibilidad medioambiental, la digitalización y el cambio demográfico sean socialmente justas y equitativas. El pilar constituye un marco de referencia a fin de hacer un seguimiento de los resultados de los Estados miembros en los ámbitos social y del empleo, impulsar reformas a nivel nacional, regional y local y reconciliar lo «social» y el «mercado» en la economía moderna actual, fomentando también la economía social. </w:t>
      </w:r>
    </w:p>
    <w:p>
      <w:pPr>
        <w:pStyle w:val="ManualConsidrant"/>
        <w:rPr>
          <w:noProof/>
        </w:rPr>
      </w:pPr>
      <w:r>
        <w:t>(8)</w:t>
      </w:r>
      <w:r>
        <w:tab/>
      </w:r>
      <w:r>
        <w:rPr>
          <w:noProof/>
        </w:rPr>
        <w:t xml:space="preserve">Las reformas del mercado laboral, incluidos los mecanismos nacionales de fijación de salarios, deben seguir las prácticas nacionales de diálogo social y facilitar las oportunidades necesarias para que se tengan ampliamente en cuenta los aspectos socioeconómicos, en particular mejoras de la sostenibilidad, la competitividad, la innovación, la creación de empleo, las políticas de aprendizaje permanente y de formación, las condiciones de trabajo, la educación y las capacidades, la salud pública y la inclusión, así como los ingresos reales. </w:t>
      </w:r>
    </w:p>
    <w:p>
      <w:pPr>
        <w:pStyle w:val="ManualConsidrant"/>
        <w:rPr>
          <w:noProof/>
        </w:rPr>
      </w:pPr>
      <w:r>
        <w:t>(9)</w:t>
      </w:r>
      <w:r>
        <w:tab/>
      </w:r>
      <w:r>
        <w:rPr>
          <w:noProof/>
        </w:rPr>
        <w:t>Los Estados miembros y la Unión deben velar por que las transformaciones sean equitativas y socialmente justas, impulsando con determinación una sociedad inclusiva y resiliente en la que las personas estén protegidas y empoderadas para anticipar y gestionar el cambio, y en la que puedan participar activamente en la sociedad y en la economía. Debe abordarse la discriminación en todas sus formas. Es necesario garantizar el acceso y las oportunidades para todos y reducir la pobreza y la exclusión social (también de los niños), principalmente velando por un funcionamiento eficaz de los mercados de trabajo y de los sistemas de protección social, así como eliminando los obstáculos a la educación y la formación y a la participación en el mercado de trabajo, en particular mediante inversiones en atención y educación infantil. El acceso equitativo y oportuno a unos servicios sanitarios asequibles, incluidas la prevención y la promoción de la salud, es especialmente pertinente en el contexto del envejecimiento de las sociedades. Es preciso aprovechar el potencial de las personas con discapacidad para contribuir al crecimiento económico y al desarrollo social. En la medida en que los nuevos modelos económicos y empresariales se consolidan en los lugares de trabajo de la Unión, las relaciones laborales también cambian. Los Estados miembros deben velar por que las relaciones laborales derivadas de nuevas formas de trabajo mantengan y refuercen el modelo social europeo.</w:t>
      </w:r>
    </w:p>
    <w:p>
      <w:pPr>
        <w:pStyle w:val="ManualConsidrant"/>
        <w:rPr>
          <w:noProof/>
        </w:rPr>
      </w:pPr>
      <w:r>
        <w:lastRenderedPageBreak/>
        <w:t>(10)</w:t>
      </w:r>
      <w:r>
        <w:tab/>
      </w:r>
      <w:r>
        <w:rPr>
          <w:noProof/>
        </w:rPr>
        <w:t xml:space="preserve">Las orientaciones integradas deben constituir la base de las recomendaciones específicas por país que el Consejo pueda dirigir a un Estado miembro. Los Estados miembros deben aprovechar plenamente el Fondo Social Europeo Plus y otros fondos de la Unión, por ejemplo, el Fondo de Transición Justa o InvestEU, a fin de impulsar el empleo, las inversiones sociales, la inclusión social o la accesibilidad, promover las oportunidades de reciclaje y perfeccionamiento de la mano de obra, el aprendizaje permanente y una educación y formación de alta calidad para todos, incluidas la alfabetización y la capacitación digitales. Aunque las orientaciones integradas se dirigen a los Estados miembros y a la Unión, su aplicación debe hacerse conjuntamente con las autoridades nacionales, regionales y locales, y en estrecha colaboración con los parlamentos, así como con los interlocutores sociales y los representantes de la sociedad civil. </w:t>
      </w:r>
    </w:p>
    <w:p>
      <w:pPr>
        <w:pStyle w:val="ManualConsidrant"/>
        <w:rPr>
          <w:noProof/>
        </w:rPr>
      </w:pPr>
      <w:r>
        <w:t>(11)</w:t>
      </w:r>
      <w:r>
        <w:tab/>
      </w:r>
      <w:r>
        <w:rPr>
          <w:noProof/>
        </w:rPr>
        <w:t>El Comité de Empleo y el Comité de Protección Social deben supervisar el modo en que se aplican las políticas pertinentes a la luz de las orientaciones para las políticas de empleo, conforme a sus respectivos mandatos basados en los Tratados. Dichos Comités y otros organismos preparatorios del Consejo que intervengan en la coordinación de las políticas económicas y sociales deben colaborar estrechamente. Es necesario mantener un diálogo político entre el Parlamento Europeo, el Consejo y la Comisión, en especial en relación con las orientaciones para las políticas de empleo de los Estados miembros.</w:t>
      </w:r>
    </w:p>
    <w:p>
      <w:pPr>
        <w:pStyle w:val="ManualConsidrant"/>
        <w:rPr>
          <w:noProof/>
        </w:rPr>
      </w:pPr>
      <w:r>
        <w:t>(12)</w:t>
      </w:r>
      <w:r>
        <w:tab/>
      </w:r>
      <w:r>
        <w:rPr>
          <w:noProof/>
        </w:rPr>
        <w:t>Se consultó al Comité de Protección Social.</w:t>
      </w:r>
    </w:p>
    <w:p>
      <w:pPr>
        <w:pStyle w:val="Formuledadoption"/>
        <w:rPr>
          <w:noProof/>
        </w:rPr>
      </w:pPr>
      <w:r>
        <w:rPr>
          <w:noProof/>
        </w:rPr>
        <w:t xml:space="preserve">HA ADOPTADO LA PRESENTE DECISIÓN: </w:t>
      </w:r>
    </w:p>
    <w:p>
      <w:pPr>
        <w:pStyle w:val="Titrearticle"/>
        <w:rPr>
          <w:noProof/>
        </w:rPr>
      </w:pPr>
      <w:r>
        <w:rPr>
          <w:noProof/>
        </w:rPr>
        <w:t>Artículo 1</w:t>
      </w:r>
    </w:p>
    <w:p>
      <w:pPr>
        <w:rPr>
          <w:noProof/>
        </w:rPr>
      </w:pPr>
      <w:r>
        <w:rPr>
          <w:noProof/>
        </w:rPr>
        <w:t>Se adoptan las orientaciones para las políticas de empleo de los Estados miembros que figuran en el anexo. Dichas orientaciones formarán parte de las orientaciones integradas.</w:t>
      </w:r>
    </w:p>
    <w:p>
      <w:pPr>
        <w:pStyle w:val="Titrearticle"/>
        <w:keepNext w:val="0"/>
        <w:rPr>
          <w:noProof/>
        </w:rPr>
      </w:pPr>
      <w:r>
        <w:rPr>
          <w:noProof/>
        </w:rPr>
        <w:t>Artículo 2</w:t>
      </w:r>
    </w:p>
    <w:p>
      <w:pPr>
        <w:keepLines/>
        <w:rPr>
          <w:noProof/>
        </w:rPr>
      </w:pPr>
      <w:r>
        <w:rPr>
          <w:noProof/>
        </w:rPr>
        <w:t>Los Estados miembros tendrán en cuenta las orientaciones establecidas en el anexo en sus políticas de empleo y programas de reforma, sobre los que se informará de conformidad con el artículo 148, apartado 3, del TFUE.</w:t>
      </w:r>
    </w:p>
    <w:p>
      <w:pPr>
        <w:pStyle w:val="Titrearticle"/>
        <w:rPr>
          <w:noProof/>
        </w:rPr>
      </w:pPr>
      <w:r>
        <w:rPr>
          <w:noProof/>
        </w:rPr>
        <w:t>Artículo 3</w:t>
      </w:r>
    </w:p>
    <w:p>
      <w:pPr>
        <w:rPr>
          <w:noProof/>
        </w:rPr>
      </w:pPr>
      <w:r>
        <w:rPr>
          <w:noProof/>
        </w:rPr>
        <w:t>Los destinatarios de la presente Decisión son los Estados miembros.</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DO C […] de […], p. […].</w:t>
      </w:r>
    </w:p>
  </w:footnote>
  <w:footnote w:id="2">
    <w:p>
      <w:pPr>
        <w:pStyle w:val="FootnoteText"/>
        <w:rPr>
          <w:lang w:val="es-ES"/>
        </w:rPr>
      </w:pPr>
      <w:r>
        <w:rPr>
          <w:rStyle w:val="FootnoteReference"/>
        </w:rPr>
        <w:footnoteRef/>
      </w:r>
      <w:r>
        <w:rPr>
          <w:lang w:val="es-ES"/>
        </w:rPr>
        <w:tab/>
        <w:t>DO C […] de […], p. […].</w:t>
      </w:r>
    </w:p>
  </w:footnote>
  <w:footnote w:id="3">
    <w:p>
      <w:pPr>
        <w:pStyle w:val="FootnoteText"/>
        <w:rPr>
          <w:lang w:val="es-ES"/>
        </w:rPr>
      </w:pPr>
      <w:r>
        <w:rPr>
          <w:rStyle w:val="FootnoteReference"/>
        </w:rPr>
        <w:footnoteRef/>
      </w:r>
      <w:r>
        <w:rPr>
          <w:lang w:val="es-ES"/>
        </w:rPr>
        <w:tab/>
        <w:t>DO C […] de […], p. […].</w:t>
      </w:r>
    </w:p>
  </w:footnote>
  <w:footnote w:id="4">
    <w:p>
      <w:pPr>
        <w:pStyle w:val="FootnoteText"/>
        <w:rPr>
          <w:lang w:val="es-ES"/>
        </w:rPr>
      </w:pPr>
      <w:r>
        <w:rPr>
          <w:rStyle w:val="FootnoteReference"/>
        </w:rPr>
        <w:footnoteRef/>
      </w:r>
      <w:r>
        <w:rPr>
          <w:lang w:val="es-ES"/>
        </w:rPr>
        <w:tab/>
        <w:t>DO C […] de […], p. […].</w:t>
      </w:r>
    </w:p>
  </w:footnote>
  <w:footnote w:id="5">
    <w:p>
      <w:pPr>
        <w:pStyle w:val="FootnoteText"/>
        <w:rPr>
          <w:lang w:val="es-ES"/>
        </w:rPr>
      </w:pPr>
      <w:r>
        <w:rPr>
          <w:rStyle w:val="FootnoteReference"/>
        </w:rPr>
        <w:footnoteRef/>
      </w:r>
      <w:r>
        <w:rPr>
          <w:lang w:val="es-ES"/>
        </w:rPr>
        <w:tab/>
        <w:t>Recomendación (UE) 2015/1184 del Consejo, de 14 de julio de 2015, relativa a las orientaciones generales para las políticas económicas de los Estados miembros y de la Unión Europea (DO L 192 de 18.7.2015, p. 27).</w:t>
      </w:r>
    </w:p>
  </w:footnote>
  <w:footnote w:id="6">
    <w:p>
      <w:pPr>
        <w:pStyle w:val="FootnoteText"/>
        <w:rPr>
          <w:lang w:val="es-ES"/>
        </w:rPr>
      </w:pPr>
      <w:r>
        <w:rPr>
          <w:rStyle w:val="FootnoteReference"/>
        </w:rPr>
        <w:footnoteRef/>
      </w:r>
      <w:r>
        <w:rPr>
          <w:lang w:val="es-ES"/>
        </w:rPr>
        <w:tab/>
        <w:t>DO C 120 de 26.4.2013, p. 1.</w:t>
      </w:r>
    </w:p>
  </w:footnote>
  <w:footnote w:id="7">
    <w:p>
      <w:pPr>
        <w:pStyle w:val="FootnoteText"/>
        <w:rPr>
          <w:lang w:val="es-ES"/>
        </w:rPr>
      </w:pPr>
      <w:r>
        <w:rPr>
          <w:rStyle w:val="FootnoteReference"/>
        </w:rPr>
        <w:footnoteRef/>
      </w:r>
      <w:r>
        <w:rPr>
          <w:lang w:val="es-ES"/>
        </w:rPr>
        <w:tab/>
        <w:t>DO C 67 de 20.2.2016, p. 1.</w:t>
      </w:r>
    </w:p>
  </w:footnote>
  <w:footnote w:id="8">
    <w:p>
      <w:pPr>
        <w:pStyle w:val="FootnoteText"/>
        <w:rPr>
          <w:lang w:val="es-ES"/>
        </w:rPr>
      </w:pPr>
      <w:r>
        <w:rPr>
          <w:rStyle w:val="FootnoteReference"/>
        </w:rPr>
        <w:footnoteRef/>
      </w:r>
      <w:r>
        <w:rPr>
          <w:lang w:val="es-ES"/>
        </w:rPr>
        <w:tab/>
        <w:t>DO C 484 de 24.12.2016, p. 1.</w:t>
      </w:r>
    </w:p>
  </w:footnote>
  <w:footnote w:id="9">
    <w:p>
      <w:pPr>
        <w:pStyle w:val="FootnoteText"/>
        <w:rPr>
          <w:lang w:val="es-ES"/>
        </w:rPr>
      </w:pPr>
      <w:r>
        <w:rPr>
          <w:rStyle w:val="FootnoteReference"/>
        </w:rPr>
        <w:footnoteRef/>
      </w:r>
      <w:r>
        <w:rPr>
          <w:lang w:val="es-ES"/>
        </w:rPr>
        <w:tab/>
        <w:t>DO C 153 de 2.5.2018, p. 1.</w:t>
      </w:r>
    </w:p>
  </w:footnote>
  <w:footnote w:id="10">
    <w:p>
      <w:pPr>
        <w:pStyle w:val="FootnoteText"/>
        <w:rPr>
          <w:lang w:val="es-ES"/>
        </w:rPr>
      </w:pPr>
      <w:r>
        <w:rPr>
          <w:rStyle w:val="FootnoteReference"/>
        </w:rPr>
        <w:footnoteRef/>
      </w:r>
      <w:r>
        <w:rPr>
          <w:lang w:val="es-ES"/>
        </w:rPr>
        <w:tab/>
        <w:t>DO C 189 de 4.6.2018, p. 1.</w:t>
      </w:r>
    </w:p>
  </w:footnote>
  <w:footnote w:id="11">
    <w:p>
      <w:pPr>
        <w:pStyle w:val="FootnoteText"/>
        <w:rPr>
          <w:lang w:val="es-ES"/>
        </w:rPr>
      </w:pPr>
      <w:r>
        <w:rPr>
          <w:rStyle w:val="FootnoteReference"/>
        </w:rPr>
        <w:footnoteRef/>
      </w:r>
      <w:r>
        <w:rPr>
          <w:lang w:val="es-ES"/>
        </w:rPr>
        <w:tab/>
        <w:t>DO C 189 de 5.6.2019, p. 4.</w:t>
      </w:r>
    </w:p>
  </w:footnote>
  <w:footnote w:id="12">
    <w:p>
      <w:pPr>
        <w:pStyle w:val="FootnoteText"/>
        <w:rPr>
          <w:lang w:val="es-ES"/>
        </w:rPr>
      </w:pPr>
      <w:r>
        <w:rPr>
          <w:rStyle w:val="FootnoteReference"/>
        </w:rPr>
        <w:footnoteRef/>
      </w:r>
      <w:r>
        <w:rPr>
          <w:lang w:val="es-ES"/>
        </w:rPr>
        <w:tab/>
        <w:t>DO C 387 de 15.11.2019, p. 1.</w:t>
      </w:r>
    </w:p>
  </w:footnote>
  <w:footnote w:id="13">
    <w:p>
      <w:pPr>
        <w:spacing w:before="0"/>
        <w:rPr>
          <w:lang w:val="es-ES"/>
        </w:rPr>
      </w:pPr>
      <w:r>
        <w:rPr>
          <w:rStyle w:val="FootnoteReference"/>
        </w:rPr>
        <w:footnoteRef/>
      </w:r>
      <w:r>
        <w:rPr>
          <w:lang w:val="es-ES"/>
        </w:rPr>
        <w:tab/>
      </w:r>
      <w:r>
        <w:rPr>
          <w:sz w:val="20"/>
          <w:lang w:val="es-ES"/>
        </w:rPr>
        <w:t>Resolución A/RES/70/1 de las Naciones Unidas</w:t>
      </w:r>
      <w:r>
        <w:rPr>
          <w:lang w:val="es-ES"/>
        </w:rPr>
        <w:t>.</w:t>
      </w:r>
      <w:r>
        <w:rPr>
          <w:lang w:val="es-ES"/>
        </w:rPr>
        <w:tab/>
      </w:r>
    </w:p>
  </w:footnote>
  <w:footnote w:id="14">
    <w:p>
      <w:pPr>
        <w:pStyle w:val="FootnoteText"/>
      </w:pPr>
      <w:r>
        <w:rPr>
          <w:rStyle w:val="FootnoteReference"/>
        </w:rPr>
        <w:footnoteRef/>
      </w:r>
      <w:r>
        <w:tab/>
        <w:t xml:space="preserve">DO C 428 de 13.12.2017, p. 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729B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3E5E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07C2A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984AC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33C4D8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65C394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C10A1FE"/>
    <w:lvl w:ilvl="0">
      <w:start w:val="1"/>
      <w:numFmt w:val="decimal"/>
      <w:pStyle w:val="ListNumber"/>
      <w:lvlText w:val="%1."/>
      <w:lvlJc w:val="left"/>
      <w:pPr>
        <w:tabs>
          <w:tab w:val="num" w:pos="360"/>
        </w:tabs>
        <w:ind w:left="360" w:hanging="360"/>
      </w:pPr>
    </w:lvl>
  </w:abstractNum>
  <w:abstractNum w:abstractNumId="7">
    <w:nsid w:val="FFFFFF89"/>
    <w:multiLevelType w:val="singleLevel"/>
    <w:tmpl w:val="0234EA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02 09:19:1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DD65BFFE-D44D-4987-82BD-C61B2F41122E"/>
    <w:docVar w:name="LW_COVERPAGE_TYPE" w:val="1"/>
    <w:docVar w:name="LW_CROSSREFERENCE" w:val="&lt;UNUSED&gt;"/>
    <w:docVar w:name="LW_DocType" w:val="COM"/>
    <w:docVar w:name="LW_EMISSION" w:val="26.2.2020"/>
    <w:docVar w:name="LW_EMISSION_ISODATE" w:val="2020-02-26"/>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30"/>
    <w:docVar w:name="LW_REF.II.NEW.CP_YEAR" w:val="2020"/>
    <w:docVar w:name="LW_REF.INST.NEW" w:val="COM"/>
    <w:docVar w:name="LW_REF.INST.NEW_ADOPTED" w:val="final"/>
    <w:docVar w:name="LW_REF.INST.NEW_TEXT" w:val="(2020) 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opuesta de"/>
    <w:docVar w:name="LW_STATUT.CP" w:val="Propuesta de"/>
    <w:docVar w:name="LW_SUPERTITRE" w:val="&lt;UNUSED&gt;"/>
    <w:docVar w:name="LW_TITRE.OBJ" w:val="relativa a las orientaciones para las políticas de empleo de los Estados miembros_x000d__x000b_"/>
    <w:docVar w:name="LW_TITRE.OBJ.CP" w:val="relativa a las orientaciones para las políticas de empleo de los Estados miembros_x000d__x000b_"/>
    <w:docVar w:name="LW_TYPE.DOC" w:val="DECISIÓN DEL CONSEJO"/>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spacing w:line="360" w:lineRule="auto"/>
      <w:contextualSpacing/>
      <w:jc w:val="left"/>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spacing w:line="360" w:lineRule="auto"/>
      <w:contextualSpacing/>
      <w:jc w:val="left"/>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6</Pages>
  <Words>2160</Words>
  <Characters>11777</Characters>
  <Application>Microsoft Office Word</Application>
  <DocSecurity>0</DocSecurity>
  <Lines>193</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2020-02-28T13:41:00Z</dcterms:created>
  <dcterms:modified xsi:type="dcterms:W3CDTF">2020-03-02T08:19:00Z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DQCStatus">
    <vt:lpwstr>Green (DQC version 03)</vt:lpwstr>
  </property>
  <property fmtid="{D5CDD505-2E9C-101B-9397-08002B2CF9AE}" pid="8" name="Category">
    <vt:lpwstr>COM/PL/ORG</vt:lpwstr>
  </property>
</Properties>
</file>