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EDF3A34E-CDF8-4FBB-91B3-4280219740F8" style="width:450.75pt;height:34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FRÅN KOMMISSIONEN TILL EUROPAPARLAMENTET OCH RÅDET</w:t>
      </w:r>
    </w:p>
    <w:p>
      <w:pPr>
        <w:pStyle w:val="Titreobjet"/>
        <w:rPr>
          <w:noProof/>
        </w:rPr>
      </w:pPr>
      <w:r>
        <w:rPr>
          <w:noProof/>
        </w:rPr>
        <w:t>Om kommissionens utövande av befogenheten att anta delegerade akter enligt Europaparlamentets och rådets direktiv (EU) 2015/2203 av den 25 november 2015 om tillnärmning av medlemsstaternas lagstiftning om kaseiner och kaseinater avsedda som livsmedel och om upphävande av rådets direktiv 83/417/EEG</w:t>
      </w:r>
      <w:r>
        <w:rPr>
          <w:noProof/>
        </w:rPr>
        <w:br/>
      </w:r>
    </w:p>
    <w:p>
      <w:pPr>
        <w:jc w:val="center"/>
        <w:rPr>
          <w:rFonts w:ascii="Arial" w:hAnsi="Arial" w:cs="Arial"/>
          <w:b/>
          <w:noProof/>
        </w:rPr>
      </w:pPr>
    </w:p>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Innehåll</w:t>
          </w:r>
        </w:p>
        <w:p>
          <w:pPr>
            <w:pStyle w:val="TOC1"/>
            <w:tabs>
              <w:tab w:val="left" w:pos="440"/>
              <w:tab w:val="right" w:leader="dot" w:pos="9350"/>
            </w:tabs>
            <w:rPr>
              <w:rFonts w:eastAsiaTheme="minorEastAsia"/>
              <w:noProof/>
              <w:lang w:val="fr-BE" w:eastAsia="fr-BE"/>
            </w:rPr>
          </w:pPr>
          <w:r>
            <w:rPr>
              <w:noProof/>
            </w:rPr>
            <w:fldChar w:fldCharType="begin"/>
          </w:r>
          <w:r>
            <w:rPr>
              <w:noProof/>
            </w:rPr>
            <w:instrText xml:space="preserve"> TOC \o "1-3" \h \z \u </w:instrText>
          </w:r>
          <w:r>
            <w:rPr>
              <w:noProof/>
            </w:rPr>
            <w:fldChar w:fldCharType="separate"/>
          </w:r>
          <w:hyperlink w:anchor="_Toc32822571" w:history="1">
            <w:r>
              <w:rPr>
                <w:rStyle w:val="Hyperlink"/>
                <w:rFonts w:ascii="Times New Roman" w:eastAsia="Times New Roman" w:hAnsi="Times New Roman" w:cs="Times New Roman"/>
                <w:b/>
                <w:smallCaps/>
                <w:noProof/>
              </w:rPr>
              <w:t>1.</w:t>
            </w:r>
            <w:r>
              <w:rPr>
                <w:rFonts w:eastAsiaTheme="minorEastAsia"/>
                <w:noProof/>
                <w:lang w:val="fr-BE" w:eastAsia="fr-BE"/>
              </w:rPr>
              <w:tab/>
            </w:r>
            <w:r>
              <w:rPr>
                <w:rStyle w:val="Hyperlink"/>
                <w:rFonts w:ascii="Times New Roman" w:hAnsi="Times New Roman"/>
                <w:b/>
                <w:smallCaps/>
                <w:noProof/>
              </w:rPr>
              <w:t>Europaparlamentets och rådets direktiv (EU) 2015/2203 av den 25 november 2015 om tillnärmning av medlemsstaternas lagstiftning om kaseiner och kaseinater avsedda som livsmedel och om upphävande av rådets direktiv 83/417/EEG</w:t>
            </w:r>
            <w:r>
              <w:rPr>
                <w:noProof/>
                <w:webHidden/>
              </w:rPr>
              <w:tab/>
            </w:r>
            <w:r>
              <w:rPr>
                <w:noProof/>
                <w:webHidden/>
              </w:rPr>
              <w:fldChar w:fldCharType="begin"/>
            </w:r>
            <w:r>
              <w:rPr>
                <w:noProof/>
                <w:webHidden/>
              </w:rPr>
              <w:instrText xml:space="preserve"> PAGEREF _Toc32822571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880"/>
              <w:tab w:val="right" w:leader="dot" w:pos="9350"/>
            </w:tabs>
            <w:rPr>
              <w:rFonts w:eastAsiaTheme="minorEastAsia"/>
              <w:noProof/>
              <w:lang w:val="fr-BE" w:eastAsia="fr-BE"/>
            </w:rPr>
          </w:pPr>
          <w:hyperlink w:anchor="_Toc32822572" w:history="1">
            <w:r>
              <w:rPr>
                <w:rStyle w:val="Hyperlink"/>
                <w:rFonts w:ascii="Times New Roman" w:eastAsia="Times New Roman" w:hAnsi="Times New Roman" w:cs="Times New Roman"/>
                <w:b/>
                <w:noProof/>
              </w:rPr>
              <w:t>1.1.</w:t>
            </w:r>
            <w:r>
              <w:rPr>
                <w:rFonts w:eastAsiaTheme="minorEastAsia"/>
                <w:noProof/>
                <w:lang w:val="fr-BE" w:eastAsia="fr-BE"/>
              </w:rPr>
              <w:tab/>
            </w:r>
            <w:r>
              <w:rPr>
                <w:rStyle w:val="Hyperlink"/>
                <w:rFonts w:ascii="Times New Roman" w:hAnsi="Times New Roman"/>
                <w:b/>
                <w:noProof/>
              </w:rPr>
              <w:t>Inledning</w:t>
            </w:r>
            <w:r>
              <w:rPr>
                <w:noProof/>
                <w:webHidden/>
              </w:rPr>
              <w:tab/>
            </w:r>
            <w:r>
              <w:rPr>
                <w:noProof/>
                <w:webHidden/>
              </w:rPr>
              <w:fldChar w:fldCharType="begin"/>
            </w:r>
            <w:r>
              <w:rPr>
                <w:noProof/>
                <w:webHidden/>
              </w:rPr>
              <w:instrText xml:space="preserve"> PAGEREF _Toc32822572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880"/>
              <w:tab w:val="right" w:leader="dot" w:pos="9350"/>
            </w:tabs>
            <w:rPr>
              <w:rFonts w:eastAsiaTheme="minorEastAsia"/>
              <w:noProof/>
              <w:lang w:val="fr-BE" w:eastAsia="fr-BE"/>
            </w:rPr>
          </w:pPr>
          <w:hyperlink w:anchor="_Toc32822573" w:history="1">
            <w:r>
              <w:rPr>
                <w:rStyle w:val="Hyperlink"/>
                <w:rFonts w:ascii="Times New Roman" w:eastAsia="Times New Roman" w:hAnsi="Times New Roman" w:cs="Times New Roman"/>
                <w:b/>
                <w:noProof/>
              </w:rPr>
              <w:t>1.2.</w:t>
            </w:r>
            <w:r>
              <w:rPr>
                <w:rFonts w:eastAsiaTheme="minorEastAsia"/>
                <w:noProof/>
                <w:lang w:val="fr-BE" w:eastAsia="fr-BE"/>
              </w:rPr>
              <w:tab/>
            </w:r>
            <w:r>
              <w:rPr>
                <w:rStyle w:val="Hyperlink"/>
                <w:rFonts w:ascii="Times New Roman" w:hAnsi="Times New Roman"/>
                <w:b/>
                <w:noProof/>
              </w:rPr>
              <w:t>Rättslig grund</w:t>
            </w:r>
            <w:r>
              <w:rPr>
                <w:noProof/>
                <w:webHidden/>
              </w:rPr>
              <w:tab/>
            </w:r>
            <w:r>
              <w:rPr>
                <w:noProof/>
                <w:webHidden/>
              </w:rPr>
              <w:fldChar w:fldCharType="begin"/>
            </w:r>
            <w:r>
              <w:rPr>
                <w:noProof/>
                <w:webHidden/>
              </w:rPr>
              <w:instrText xml:space="preserve"> PAGEREF _Toc32822573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50"/>
            </w:tabs>
            <w:rPr>
              <w:rFonts w:eastAsiaTheme="minorEastAsia"/>
              <w:noProof/>
              <w:lang w:val="fr-BE" w:eastAsia="fr-BE"/>
            </w:rPr>
          </w:pPr>
          <w:hyperlink w:anchor="_Toc32822574" w:history="1">
            <w:r>
              <w:rPr>
                <w:rStyle w:val="Hyperlink"/>
                <w:rFonts w:ascii="Times New Roman" w:eastAsia="Times New Roman" w:hAnsi="Times New Roman" w:cs="Times New Roman"/>
                <w:b/>
                <w:noProof/>
              </w:rPr>
              <w:t>1.3.</w:t>
            </w:r>
            <w:r>
              <w:rPr>
                <w:rFonts w:eastAsiaTheme="minorEastAsia"/>
                <w:noProof/>
                <w:lang w:val="fr-BE" w:eastAsia="fr-BE"/>
              </w:rPr>
              <w:tab/>
            </w:r>
            <w:r>
              <w:rPr>
                <w:rStyle w:val="Hyperlink"/>
                <w:rFonts w:ascii="Times New Roman" w:hAnsi="Times New Roman"/>
                <w:b/>
                <w:noProof/>
              </w:rPr>
              <w:t>Utövande av delegeringen</w:t>
            </w:r>
            <w:r>
              <w:rPr>
                <w:noProof/>
                <w:webHidden/>
              </w:rPr>
              <w:tab/>
            </w:r>
            <w:r>
              <w:rPr>
                <w:noProof/>
                <w:webHidden/>
              </w:rPr>
              <w:fldChar w:fldCharType="begin"/>
            </w:r>
            <w:r>
              <w:rPr>
                <w:noProof/>
                <w:webHidden/>
              </w:rPr>
              <w:instrText xml:space="preserve"> PAGEREF _Toc32822574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50"/>
            </w:tabs>
            <w:rPr>
              <w:rFonts w:eastAsiaTheme="minorEastAsia"/>
              <w:noProof/>
              <w:lang w:val="fr-BE" w:eastAsia="fr-BE"/>
            </w:rPr>
          </w:pPr>
          <w:hyperlink w:anchor="_Toc32822575" w:history="1">
            <w:r>
              <w:rPr>
                <w:rStyle w:val="Hyperlink"/>
                <w:rFonts w:ascii="Times New Roman" w:eastAsia="Times New Roman" w:hAnsi="Times New Roman" w:cs="Times New Roman"/>
                <w:b/>
                <w:noProof/>
              </w:rPr>
              <w:t>1.4.</w:t>
            </w:r>
            <w:r>
              <w:rPr>
                <w:rFonts w:eastAsiaTheme="minorEastAsia"/>
                <w:noProof/>
                <w:lang w:val="fr-BE" w:eastAsia="fr-BE"/>
              </w:rPr>
              <w:tab/>
            </w:r>
            <w:r>
              <w:rPr>
                <w:rStyle w:val="Hyperlink"/>
                <w:rFonts w:ascii="Times New Roman" w:hAnsi="Times New Roman"/>
                <w:b/>
                <w:noProof/>
              </w:rPr>
              <w:t>Slutsatser</w:t>
            </w:r>
            <w:r>
              <w:rPr>
                <w:noProof/>
                <w:webHidden/>
              </w:rPr>
              <w:tab/>
            </w:r>
            <w:r>
              <w:rPr>
                <w:noProof/>
                <w:webHidden/>
              </w:rPr>
              <w:fldChar w:fldCharType="begin"/>
            </w:r>
            <w:r>
              <w:rPr>
                <w:noProof/>
                <w:webHidden/>
              </w:rPr>
              <w:instrText xml:space="preserve"> PAGEREF _Toc32822575 \h </w:instrText>
            </w:r>
            <w:r>
              <w:rPr>
                <w:noProof/>
                <w:webHidden/>
              </w:rPr>
            </w:r>
            <w:r>
              <w:rPr>
                <w:noProof/>
                <w:webHidden/>
              </w:rPr>
              <w:fldChar w:fldCharType="separate"/>
            </w:r>
            <w:r>
              <w:rPr>
                <w:noProof/>
                <w:webHidden/>
              </w:rPr>
              <w:t>2</w:t>
            </w:r>
            <w:r>
              <w:rPr>
                <w:noProof/>
                <w:webHidden/>
              </w:rPr>
              <w:fldChar w:fldCharType="end"/>
            </w:r>
          </w:hyperlink>
        </w:p>
        <w:p>
          <w:pPr>
            <w:rPr>
              <w:b/>
              <w:bCs/>
              <w:noProof/>
            </w:rPr>
          </w:pPr>
          <w:r>
            <w:rPr>
              <w:b/>
              <w:bCs/>
              <w:noProof/>
            </w:rPr>
            <w:fldChar w:fldCharType="end"/>
          </w:r>
        </w:p>
      </w:sdtContent>
    </w:sdt>
    <w:p>
      <w:pPr>
        <w:jc w:val="center"/>
        <w:rPr>
          <w:rFonts w:ascii="Arial" w:hAnsi="Arial" w:cs="Arial"/>
          <w:b/>
          <w:noProof/>
        </w:rPr>
      </w:pP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32822571"/>
      <w:r>
        <w:rPr>
          <w:rFonts w:ascii="Times New Roman" w:hAnsi="Times New Roman"/>
          <w:b/>
          <w:smallCaps/>
          <w:noProof/>
        </w:rPr>
        <w:t>Europaparlamentets och rådets direktiv (EU) 2015/2203 av den 25 november 2015 om tillnärmning av medlemsstaternas lagstiftning om kaseiner och kaseinater avsedda som livsmedel och om upphävande av rådets direktiv 83/417/EEG</w:t>
      </w:r>
      <w:bookmarkEnd w:id="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32822572"/>
      <w:r>
        <w:rPr>
          <w:rFonts w:ascii="Times New Roman" w:hAnsi="Times New Roman"/>
          <w:b/>
          <w:noProof/>
        </w:rPr>
        <w:t>Inledning</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Genom Europaparlamentets och rådets direktiv (EU) 2015/2203</w:t>
      </w:r>
      <w:r>
        <w:rPr>
          <w:rFonts w:ascii="Times New Roman" w:hAnsi="Times New Roman" w:cs="Times New Roman"/>
          <w:noProof/>
          <w:color w:val="444444"/>
          <w:vertAlign w:val="superscript"/>
        </w:rPr>
        <w:footnoteReference w:id="1"/>
      </w:r>
      <w:r>
        <w:rPr>
          <w:rFonts w:ascii="Times New Roman" w:hAnsi="Times New Roman"/>
          <w:noProof/>
        </w:rPr>
        <w:t xml:space="preserve"> tillnärmas medlemsstaternas lagstiftning om kaseiner och kaseinater avsedda som livsmedel, för att underlätta den fria rörligheten för varor på den inre marknaden och samtidigt erbjuda en hög hälsoskyddsnivå.</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Genom artikel 5 ges kommissionen befogenhet att anta delegerade akter för att ändra de standarder som anges i bilagorna I och II i syfte att ta hänsyn till utvecklingen av relevanta internationella standarder och tekniska framsteg.</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32822573"/>
      <w:r>
        <w:rPr>
          <w:rFonts w:ascii="Times New Roman" w:hAnsi="Times New Roman"/>
          <w:b/>
          <w:noProof/>
        </w:rPr>
        <w:t>Rättslig grund</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Denna rapport krävs enligt artikel 6.2. Enligt den bestämmelsen ska den befogenhet att anta delegerade akter som avses i artikel 5 ges till kommissionen för en period av fem år från och med den 21 december 2015. Kommissionen ska utarbeta en rapport om delegeringen av befogenhet senast nio månader före utgången av perioden av fem år. Delegeringen av befogenhet förlängs genom tyst medgivande med perioder av samma längd, såvida inte Europaparlamentet eller rådet motsätter sig en sådan förlängning senast tre månader före utgången av perioden i fråga.</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32822574"/>
      <w:r>
        <w:rPr>
          <w:rFonts w:ascii="Times New Roman" w:hAnsi="Times New Roman"/>
          <w:b/>
          <w:noProof/>
        </w:rPr>
        <w:t>Utövande av delegeringen</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har inte antagit någon delegerad akt i enlighet med artikel 5 eftersom den inte har sett något behov av att ändra de standarder som anges i bilagorna I och II. Kommissionen har för närvarande inte för avsikt att använda befogenheten inom en snar framtid. Det kan dock inte uteslutas att det kan bli nödvändigt att använda den.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32822575"/>
      <w:r>
        <w:rPr>
          <w:rFonts w:ascii="Times New Roman" w:hAnsi="Times New Roman"/>
          <w:b/>
          <w:noProof/>
        </w:rPr>
        <w:t>Slutsatser</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Befogenheten har inte använts eftersom det inte fanns någon rättslig skyldighet och inte heller något behov av att använda den.</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898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Europaparlamentets och rådets direktiv (EU) 2015/2203 av den 25 november 2015 om tillnärmning av medlemsstaternas lagstiftning om kaseiner och kaseinater avsedda som livsmedel och om upphävande av rådets direktiv 83/417/EEG (EUT L 314, 1.12.2015,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5145E"/>
    <w:multiLevelType w:val="multilevel"/>
    <w:tmpl w:val="D3944FC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1049"/>
        </w:tabs>
        <w:ind w:left="1049" w:hanging="1049"/>
      </w:pPr>
      <w:rPr>
        <w:rFonts w:hint="default"/>
      </w:rPr>
    </w:lvl>
    <w:lvl w:ilvl="5">
      <w:start w:val="1"/>
      <w:numFmt w:val="decimal"/>
      <w:suff w:val="space"/>
      <w:lvlText w:val="%1.%2.%3.%4.%5.%6."/>
      <w:lvlJc w:val="left"/>
      <w:pPr>
        <w:ind w:firstLine="0"/>
      </w:pPr>
      <w:rPr>
        <w:rFonts w:hint="default"/>
      </w:rPr>
    </w:lvl>
    <w:lvl w:ilvl="6">
      <w:start w:val="1"/>
      <w:numFmt w:val="decimal"/>
      <w:suff w:val="space"/>
      <w:lvlText w:val="%1.%2.%3.%4.%5.%6.%7."/>
      <w:lvlJc w:val="left"/>
      <w:pPr>
        <w:ind w:firstLine="0"/>
      </w:pPr>
      <w:rPr>
        <w:rFonts w:hint="default"/>
      </w:rPr>
    </w:lvl>
    <w:lvl w:ilvl="7">
      <w:start w:val="1"/>
      <w:numFmt w:val="decimal"/>
      <w:suff w:val="space"/>
      <w:lvlText w:val="%1.%2.%3.%4.%5.%6.%7.%8."/>
      <w:lvlJc w:val="left"/>
      <w:pPr>
        <w:ind w:firstLine="0"/>
      </w:pPr>
      <w:rPr>
        <w:rFonts w:hint="default"/>
      </w:rPr>
    </w:lvl>
    <w:lvl w:ilvl="8">
      <w:start w:val="1"/>
      <w:numFmt w:val="decimal"/>
      <w:suff w:val="space"/>
      <w:lvlText w:val="%1.%2.%3.%4.%5.%6.%7.%8.%9."/>
      <w:lvlJc w:val="left"/>
      <w:pPr>
        <w:ind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DF3A34E-CDF8-4FBB-91B3-4280219740F8"/>
    <w:docVar w:name="LW_COVERPAGE_TYPE" w:val="1"/>
    <w:docVar w:name="LW_CROSSREFERENCE" w:val="&lt;UNUSED&gt;"/>
    <w:docVar w:name="LW_DocType" w:val="NORMAL"/>
    <w:docVar w:name="LW_EMISSION" w:val="2.3.2020"/>
    <w:docVar w:name="LW_EMISSION_ISODATE" w:val="2020-03-02"/>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kommissionens utövande av befogenheten att anta delegerade akter enligt Europaparlamentets och rådets direktiv (EU) 2015/2203 av den 25 november 2015 om tillnärmning av medlemsstaternas lagstiftning om kaseiner och kaseinater avsedda som livsmedel och om upphävande av rådets direktiv 83/417/EEG_x000b_"/>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0"/>
    <w:qFormat/>
    <w:pPr>
      <w:keepNext/>
      <w:tabs>
        <w:tab w:val="num" w:pos="595"/>
        <w:tab w:val="left" w:pos="737"/>
      </w:tabs>
      <w:spacing w:before="420" w:after="120" w:line="264" w:lineRule="auto"/>
      <w:ind w:left="595" w:hanging="595"/>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tabs>
        <w:tab w:val="num" w:pos="737"/>
        <w:tab w:val="left" w:pos="935"/>
      </w:tabs>
      <w:spacing w:before="360" w:after="120" w:line="264" w:lineRule="auto"/>
      <w:ind w:left="737" w:hanging="737"/>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tabs>
        <w:tab w:val="num" w:pos="850"/>
        <w:tab w:val="left" w:pos="1049"/>
      </w:tabs>
      <w:spacing w:before="360" w:after="120" w:line="264" w:lineRule="auto"/>
      <w:ind w:left="850" w:hanging="850"/>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tabs>
        <w:tab w:val="num" w:pos="1049"/>
      </w:tabs>
      <w:spacing w:after="120" w:line="264" w:lineRule="auto"/>
      <w:ind w:left="1049" w:hanging="1049"/>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v-S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sv-SE"/>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line="276" w:lineRule="auto"/>
    </w:pPr>
  </w:style>
  <w:style w:type="paragraph" w:styleId="TOC2">
    <w:name w:val="toc 2"/>
    <w:basedOn w:val="Normal"/>
    <w:next w:val="Normal"/>
    <w:autoRedefine/>
    <w:uiPriority w:val="39"/>
    <w:unhideWhenUsed/>
    <w:pPr>
      <w:spacing w:after="100" w:line="276" w:lineRule="auto"/>
      <w:ind w:left="220"/>
    </w:p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sv-SE"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sv-SE"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sv-SE"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sv-SE"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sv-SE"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sv-SE"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sv-SE"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sv-SE"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sv-SE" w:eastAsia="en-GB"/>
    </w:rPr>
  </w:style>
  <w:style w:type="character" w:styleId="FootnoteReference">
    <w:name w:val="footnote reference"/>
    <w:basedOn w:val="DefaultParagraphFont"/>
    <w:semiHidden/>
    <w:rPr>
      <w:vertAlign w:val="superscript"/>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0"/>
    <w:qFormat/>
    <w:pPr>
      <w:keepNext/>
      <w:tabs>
        <w:tab w:val="num" w:pos="595"/>
        <w:tab w:val="left" w:pos="737"/>
      </w:tabs>
      <w:spacing w:before="420" w:after="120" w:line="264" w:lineRule="auto"/>
      <w:ind w:left="595" w:hanging="595"/>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tabs>
        <w:tab w:val="num" w:pos="737"/>
        <w:tab w:val="left" w:pos="935"/>
      </w:tabs>
      <w:spacing w:before="360" w:after="120" w:line="264" w:lineRule="auto"/>
      <w:ind w:left="737" w:hanging="737"/>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tabs>
        <w:tab w:val="num" w:pos="850"/>
        <w:tab w:val="left" w:pos="1049"/>
      </w:tabs>
      <w:spacing w:before="360" w:after="120" w:line="264" w:lineRule="auto"/>
      <w:ind w:left="850" w:hanging="850"/>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tabs>
        <w:tab w:val="num" w:pos="1049"/>
      </w:tabs>
      <w:spacing w:after="120" w:line="264" w:lineRule="auto"/>
      <w:ind w:left="1049" w:hanging="1049"/>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v-S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sv-SE"/>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line="276" w:lineRule="auto"/>
    </w:pPr>
  </w:style>
  <w:style w:type="paragraph" w:styleId="TOC2">
    <w:name w:val="toc 2"/>
    <w:basedOn w:val="Normal"/>
    <w:next w:val="Normal"/>
    <w:autoRedefine/>
    <w:uiPriority w:val="39"/>
    <w:unhideWhenUsed/>
    <w:pPr>
      <w:spacing w:after="100" w:line="276" w:lineRule="auto"/>
      <w:ind w:left="220"/>
    </w:p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sv-SE"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sv-SE"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sv-SE"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sv-SE"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sv-SE"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sv-SE"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sv-SE"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sv-SE"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sv-SE" w:eastAsia="en-GB"/>
    </w:rPr>
  </w:style>
  <w:style w:type="character" w:styleId="FootnoteReference">
    <w:name w:val="footnote reference"/>
    <w:basedOn w:val="DefaultParagraphFont"/>
    <w:semiHidden/>
    <w:rPr>
      <w:vertAlign w:val="superscript"/>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420</Words>
  <Characters>2414</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2020-01-17T11:06:00Z</dcterms:created>
  <dcterms:modified xsi:type="dcterms:W3CDTF">2020-02-26T16:38:00Z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