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B2330BF1-6E02-4D1A-A299-4A82245F18B6" style="width:451pt;height:347.9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KOMISIJOS ATASKAITA EUROPOS PARLAMENTUI IR TARYBAI</w:t>
      </w:r>
    </w:p>
    <w:p>
      <w:pPr>
        <w:pStyle w:val="Titreobjet"/>
        <w:rPr>
          <w:noProof/>
        </w:rPr>
      </w:pPr>
      <w:r>
        <w:rPr>
          <w:noProof/>
        </w:rPr>
        <w:t>dėl naudojimosi įgaliojimais priimti deleguotuosius aktus, suteiktais Komisijai pagal 2015 m. lapkričio 25 d. Europos Parlamento ir Tarybos direktyvą (ES) 2015/2203 dėl valstybių narių įstatymų, susijusių su žmonėms vartoti skirtais kazeinais ir kazeinatais, derinimo, kuria panaikinama Tarybos direktyva 83/417/EEB</w:t>
      </w:r>
      <w:r>
        <w:rPr>
          <w:noProof/>
        </w:rPr>
        <w:br/>
      </w:r>
    </w:p>
    <w:p>
      <w:pPr>
        <w:jc w:val="center"/>
        <w:rPr>
          <w:rFonts w:ascii="Arial" w:hAnsi="Arial" w:cs="Arial"/>
          <w:b/>
          <w:noProof/>
        </w:rPr>
      </w:pPr>
    </w:p>
    <w:sdt>
      <w:sdtPr>
        <w:rPr>
          <w:rFonts w:asciiTheme="minorHAnsi" w:eastAsiaTheme="minorHAnsi" w:hAnsiTheme="minorHAnsi" w:cstheme="minorBidi"/>
          <w:noProof/>
          <w:color w:val="auto"/>
          <w:sz w:val="22"/>
          <w:szCs w:val="22"/>
        </w:rPr>
        <w:id w:val="-1016466526"/>
        <w:docPartObj>
          <w:docPartGallery w:val="Table of Contents"/>
          <w:docPartUnique/>
        </w:docPartObj>
      </w:sdtPr>
      <w:sdtEndPr>
        <w:rPr>
          <w:b/>
          <w:bCs/>
        </w:rPr>
      </w:sdtEndPr>
      <w:sdtContent>
        <w:p>
          <w:pPr>
            <w:pStyle w:val="TOCHeading"/>
            <w:rPr>
              <w:noProof/>
            </w:rPr>
          </w:pPr>
          <w:r>
            <w:rPr>
              <w:noProof/>
            </w:rPr>
            <w:t>Turinys</w:t>
          </w:r>
        </w:p>
        <w:p>
          <w:pPr>
            <w:pStyle w:val="TOC1"/>
            <w:tabs>
              <w:tab w:val="left" w:pos="440"/>
              <w:tab w:val="right" w:leader="dot" w:pos="9350"/>
            </w:tabs>
            <w:rPr>
              <w:rFonts w:eastAsiaTheme="minorEastAsia"/>
              <w:noProof/>
              <w:lang w:val="en-US"/>
            </w:rPr>
          </w:pPr>
          <w:r>
            <w:rPr>
              <w:noProof/>
            </w:rPr>
            <w:fldChar w:fldCharType="begin"/>
          </w:r>
          <w:r>
            <w:rPr>
              <w:noProof/>
            </w:rPr>
            <w:instrText xml:space="preserve"> TOC \o "1-3" \h \z \u </w:instrText>
          </w:r>
          <w:r>
            <w:rPr>
              <w:noProof/>
            </w:rPr>
            <w:fldChar w:fldCharType="separate"/>
          </w:r>
          <w:hyperlink w:anchor="_Toc33623274" w:history="1">
            <w:r>
              <w:rPr>
                <w:rStyle w:val="Hyperlink"/>
                <w:rFonts w:ascii="Times New Roman" w:eastAsia="Times New Roman" w:hAnsi="Times New Roman" w:cs="Times New Roman"/>
                <w:b/>
                <w:smallCaps/>
                <w:noProof/>
              </w:rPr>
              <w:t>1.</w:t>
            </w:r>
            <w:r>
              <w:rPr>
                <w:rFonts w:eastAsiaTheme="minorEastAsia"/>
                <w:noProof/>
                <w:lang w:val="en-US"/>
              </w:rPr>
              <w:tab/>
            </w:r>
            <w:r>
              <w:rPr>
                <w:rStyle w:val="Hyperlink"/>
                <w:rFonts w:ascii="Times New Roman" w:hAnsi="Times New Roman"/>
                <w:b/>
                <w:smallCaps/>
                <w:noProof/>
              </w:rPr>
              <w:t>2015 m. lapkričio 25 d. Europos Parlamento ir Tarybos direktyva (ES) 2015/2203 dėl valstybių narių įstatymų, susijusių su žmonėms vartoti skirtais kazeinais ir kazeinatais, derinimo, kuria panaikinama Tarybos direktyva 83/417/EEB</w:t>
            </w:r>
            <w:r>
              <w:rPr>
                <w:noProof/>
                <w:webHidden/>
              </w:rPr>
              <w:tab/>
            </w:r>
            <w:r>
              <w:rPr>
                <w:noProof/>
                <w:webHidden/>
              </w:rPr>
              <w:fldChar w:fldCharType="begin"/>
            </w:r>
            <w:r>
              <w:rPr>
                <w:noProof/>
                <w:webHidden/>
              </w:rPr>
              <w:instrText xml:space="preserve"> PAGEREF _Toc33623274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880"/>
              <w:tab w:val="right" w:leader="dot" w:pos="9350"/>
            </w:tabs>
            <w:rPr>
              <w:rFonts w:eastAsiaTheme="minorEastAsia"/>
              <w:noProof/>
              <w:lang w:val="en-US"/>
            </w:rPr>
          </w:pPr>
          <w:hyperlink w:anchor="_Toc33623275" w:history="1">
            <w:r>
              <w:rPr>
                <w:rStyle w:val="Hyperlink"/>
                <w:rFonts w:ascii="Times New Roman" w:eastAsia="Times New Roman" w:hAnsi="Times New Roman" w:cs="Times New Roman"/>
                <w:b/>
                <w:noProof/>
              </w:rPr>
              <w:t>1.1.</w:t>
            </w:r>
            <w:r>
              <w:rPr>
                <w:rFonts w:eastAsiaTheme="minorEastAsia"/>
                <w:noProof/>
                <w:lang w:val="en-US"/>
              </w:rPr>
              <w:tab/>
            </w:r>
            <w:r>
              <w:rPr>
                <w:rStyle w:val="Hyperlink"/>
                <w:rFonts w:ascii="Times New Roman" w:hAnsi="Times New Roman"/>
                <w:b/>
                <w:noProof/>
              </w:rPr>
              <w:t>Įvadas</w:t>
            </w:r>
            <w:r>
              <w:rPr>
                <w:noProof/>
                <w:webHidden/>
              </w:rPr>
              <w:tab/>
            </w:r>
            <w:r>
              <w:rPr>
                <w:noProof/>
                <w:webHidden/>
              </w:rPr>
              <w:fldChar w:fldCharType="begin"/>
            </w:r>
            <w:r>
              <w:rPr>
                <w:noProof/>
                <w:webHidden/>
              </w:rPr>
              <w:instrText xml:space="preserve"> PAGEREF _Toc33623275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880"/>
              <w:tab w:val="right" w:leader="dot" w:pos="9350"/>
            </w:tabs>
            <w:rPr>
              <w:rFonts w:eastAsiaTheme="minorEastAsia"/>
              <w:noProof/>
              <w:lang w:val="en-US"/>
            </w:rPr>
          </w:pPr>
          <w:hyperlink w:anchor="_Toc33623276" w:history="1">
            <w:r>
              <w:rPr>
                <w:rStyle w:val="Hyperlink"/>
                <w:rFonts w:ascii="Times New Roman" w:eastAsia="Times New Roman" w:hAnsi="Times New Roman" w:cs="Times New Roman"/>
                <w:b/>
                <w:noProof/>
              </w:rPr>
              <w:t>1.2.</w:t>
            </w:r>
            <w:r>
              <w:rPr>
                <w:rFonts w:eastAsiaTheme="minorEastAsia"/>
                <w:noProof/>
                <w:lang w:val="en-US"/>
              </w:rPr>
              <w:tab/>
            </w:r>
            <w:r>
              <w:rPr>
                <w:rStyle w:val="Hyperlink"/>
                <w:rFonts w:ascii="Times New Roman" w:hAnsi="Times New Roman"/>
                <w:b/>
                <w:noProof/>
              </w:rPr>
              <w:t>Teisinis pagrindas</w:t>
            </w:r>
            <w:r>
              <w:rPr>
                <w:noProof/>
                <w:webHidden/>
              </w:rPr>
              <w:tab/>
            </w:r>
            <w:r>
              <w:rPr>
                <w:noProof/>
                <w:webHidden/>
              </w:rPr>
              <w:fldChar w:fldCharType="begin"/>
            </w:r>
            <w:r>
              <w:rPr>
                <w:noProof/>
                <w:webHidden/>
              </w:rPr>
              <w:instrText xml:space="preserve"> PAGEREF _Toc33623276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50"/>
            </w:tabs>
            <w:rPr>
              <w:rFonts w:eastAsiaTheme="minorEastAsia"/>
              <w:noProof/>
              <w:lang w:val="en-US"/>
            </w:rPr>
          </w:pPr>
          <w:hyperlink w:anchor="_Toc33623277" w:history="1">
            <w:r>
              <w:rPr>
                <w:rStyle w:val="Hyperlink"/>
                <w:rFonts w:ascii="Times New Roman" w:eastAsia="Times New Roman" w:hAnsi="Times New Roman" w:cs="Times New Roman"/>
                <w:b/>
                <w:noProof/>
              </w:rPr>
              <w:t>1.3.</w:t>
            </w:r>
            <w:r>
              <w:rPr>
                <w:rFonts w:eastAsiaTheme="minorEastAsia"/>
                <w:noProof/>
                <w:lang w:val="en-US"/>
              </w:rPr>
              <w:tab/>
            </w:r>
            <w:r>
              <w:rPr>
                <w:rStyle w:val="Hyperlink"/>
                <w:rFonts w:ascii="Times New Roman" w:hAnsi="Times New Roman"/>
                <w:b/>
                <w:noProof/>
              </w:rPr>
              <w:t>Naudojimasis įgaliojimais</w:t>
            </w:r>
            <w:r>
              <w:rPr>
                <w:noProof/>
                <w:webHidden/>
              </w:rPr>
              <w:tab/>
            </w:r>
            <w:r>
              <w:rPr>
                <w:noProof/>
                <w:webHidden/>
              </w:rPr>
              <w:fldChar w:fldCharType="begin"/>
            </w:r>
            <w:r>
              <w:rPr>
                <w:noProof/>
                <w:webHidden/>
              </w:rPr>
              <w:instrText xml:space="preserve"> PAGEREF _Toc33623277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50"/>
            </w:tabs>
            <w:rPr>
              <w:rFonts w:eastAsiaTheme="minorEastAsia"/>
              <w:noProof/>
              <w:lang w:val="en-US"/>
            </w:rPr>
          </w:pPr>
          <w:hyperlink w:anchor="_Toc33623278" w:history="1">
            <w:r>
              <w:rPr>
                <w:rStyle w:val="Hyperlink"/>
                <w:rFonts w:ascii="Times New Roman" w:eastAsia="Times New Roman" w:hAnsi="Times New Roman" w:cs="Times New Roman"/>
                <w:b/>
                <w:noProof/>
              </w:rPr>
              <w:t>1.4.</w:t>
            </w:r>
            <w:r>
              <w:rPr>
                <w:rFonts w:eastAsiaTheme="minorEastAsia"/>
                <w:noProof/>
                <w:lang w:val="en-US"/>
              </w:rPr>
              <w:tab/>
            </w:r>
            <w:r>
              <w:rPr>
                <w:rStyle w:val="Hyperlink"/>
                <w:rFonts w:ascii="Times New Roman" w:hAnsi="Times New Roman"/>
                <w:b/>
                <w:noProof/>
              </w:rPr>
              <w:t>Išvados</w:t>
            </w:r>
            <w:r>
              <w:rPr>
                <w:noProof/>
                <w:webHidden/>
              </w:rPr>
              <w:tab/>
            </w:r>
            <w:r>
              <w:rPr>
                <w:noProof/>
                <w:webHidden/>
              </w:rPr>
              <w:fldChar w:fldCharType="begin"/>
            </w:r>
            <w:r>
              <w:rPr>
                <w:noProof/>
                <w:webHidden/>
              </w:rPr>
              <w:instrText xml:space="preserve"> PAGEREF _Toc33623278 \h </w:instrText>
            </w:r>
            <w:r>
              <w:rPr>
                <w:noProof/>
                <w:webHidden/>
              </w:rPr>
            </w:r>
            <w:r>
              <w:rPr>
                <w:noProof/>
                <w:webHidden/>
              </w:rPr>
              <w:fldChar w:fldCharType="separate"/>
            </w:r>
            <w:r>
              <w:rPr>
                <w:noProof/>
                <w:webHidden/>
              </w:rPr>
              <w:t>2</w:t>
            </w:r>
            <w:r>
              <w:rPr>
                <w:noProof/>
                <w:webHidden/>
              </w:rPr>
              <w:fldChar w:fldCharType="end"/>
            </w:r>
          </w:hyperlink>
        </w:p>
        <w:p>
          <w:pPr>
            <w:rPr>
              <w:b/>
              <w:bCs/>
              <w:noProof/>
            </w:rPr>
          </w:pPr>
          <w:r>
            <w:rPr>
              <w:b/>
              <w:bCs/>
              <w:noProof/>
            </w:rPr>
            <w:fldChar w:fldCharType="end"/>
          </w:r>
        </w:p>
      </w:sdtContent>
    </w:sdt>
    <w:p>
      <w:pPr>
        <w:jc w:val="center"/>
        <w:rPr>
          <w:rFonts w:ascii="Arial" w:hAnsi="Arial" w:cs="Arial"/>
          <w:b/>
          <w:noProof/>
        </w:rPr>
      </w:pP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 w:name="_Toc33623274"/>
      <w:r>
        <w:rPr>
          <w:rFonts w:ascii="Times New Roman" w:hAnsi="Times New Roman"/>
          <w:b/>
          <w:smallCaps/>
          <w:noProof/>
          <w:sz w:val="24"/>
          <w:szCs w:val="24"/>
        </w:rPr>
        <w:t>2015 m. lapkričio 25 d. Europos Parlamento ir Tarybos direktyva (ES) 2015/2203 dėl valstybių narių įstatymų, susijusių su žmonėms vartoti skirtais kazeinais ir kazeinatais, derinimo, kuria panaikinama Tarybos direktyva 83/417/EEB</w:t>
      </w:r>
      <w:bookmarkEnd w:id="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3" w:name="_Toc33623275"/>
      <w:r>
        <w:rPr>
          <w:rFonts w:ascii="Times New Roman" w:hAnsi="Times New Roman"/>
          <w:b/>
          <w:noProof/>
          <w:sz w:val="24"/>
          <w:szCs w:val="24"/>
        </w:rPr>
        <w:t>Įvadas</w:t>
      </w:r>
      <w:bookmarkEnd w:id="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Europos Parlamento ir Tarybos direktyvoje (ES) 2015/2203</w:t>
      </w:r>
      <w:r>
        <w:rPr>
          <w:rFonts w:ascii="Times New Roman" w:hAnsi="Times New Roman" w:cs="Times New Roman"/>
          <w:noProof/>
          <w:color w:val="444444"/>
          <w:sz w:val="24"/>
          <w:szCs w:val="24"/>
          <w:vertAlign w:val="superscript"/>
        </w:rPr>
        <w:footnoteReference w:id="1"/>
      </w:r>
      <w:r>
        <w:rPr>
          <w:rFonts w:ascii="Times New Roman" w:hAnsi="Times New Roman"/>
          <w:noProof/>
          <w:sz w:val="24"/>
          <w:szCs w:val="24"/>
        </w:rPr>
        <w:t xml:space="preserve"> numatyta suderinti valstybių narių įstatymus dėl žmonėms vartoti skirtų kazeinų ir kazeinatų siekiant palengvinti laisvą prekių judėjimą vidaus rinkoje ir tuo pat metu suteikti aukštą sveikatos apsaugos lygį.</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5 straipsniu Komisijai suteikiami įgaliojimai priimti deleguotuosius aktus, kuriais būtų iš dalies keičiami I ir II prieduose nustatyti reikalavimai, siekiant atsižvelgti į atitinkamų tarptautinių standartų pokyčius ir technikos pažangą.</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4" w:name="_Toc33623276"/>
      <w:r>
        <w:rPr>
          <w:rFonts w:ascii="Times New Roman" w:hAnsi="Times New Roman"/>
          <w:b/>
          <w:noProof/>
          <w:sz w:val="24"/>
          <w:szCs w:val="24"/>
        </w:rPr>
        <w:t>Teisinis pagrindas</w:t>
      </w:r>
      <w:bookmarkEnd w:id="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Ataskaita turi būti teikiama pagal 6 straipsnio 2 dalį. Pagal šią nuostatą 5 straipsnyje nurodyti įgaliojimai priimti deleguotuosius aktus Komisijai suteikiami penkerių metų laikotarpiui nuo 2015 m. gruodžio 21 d. Likus ne mažiau kaip devyniems mėnesiams iki penkerių metų laikotarpio pabaigos Komisija parengia naudojimosi deleguotaisiais įgaliojimais ataskaitą. Įgaliojimų suteikimas automatiškai pratęsiamas tokios pačios trukmės laikotarpiams, išskyrus atvejus, kai Europos Parlamentas arba Taryba pareiškia prieštaravimų dėl tokio pratęsimo likus ne mažiau kaip trims mėnesiams iki kiekvieno tokio laikotarpio pabaigos.</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5" w:name="_Toc33623277"/>
      <w:r>
        <w:rPr>
          <w:rFonts w:ascii="Times New Roman" w:hAnsi="Times New Roman"/>
          <w:b/>
          <w:noProof/>
          <w:sz w:val="24"/>
          <w:szCs w:val="24"/>
        </w:rPr>
        <w:t>Naudojimasis įgaliojimais</w:t>
      </w:r>
      <w:bookmarkEnd w:id="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Komisija nepriėmė jokio deleguotojo akto pagal 5 straipsnį, nes Komisija nenustatė, kad reikia iš dalies keisti I ir II prieduose nustatytus standartus. Šiuo metu Komisija neketina artimiausioje ateityje pasinaudoti įgaliojimais. Tačiau negalima atmesti galimybės, kad tokia būtinybė gali kilti.</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6" w:name="_Toc33623278"/>
      <w:r>
        <w:rPr>
          <w:rFonts w:ascii="Times New Roman" w:hAnsi="Times New Roman"/>
          <w:b/>
          <w:noProof/>
          <w:sz w:val="24"/>
          <w:szCs w:val="24"/>
        </w:rPr>
        <w:t>Išvados</w:t>
      </w:r>
      <w:bookmarkEnd w:id="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Įgaliojimais nebuvo naudojamasi, nes nekilo teisinės pareigos arba būtinybės jais naudotis.</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8986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2015 m. lapkričio 25 d. Europos Parlamento ir Tarybos direktyva (ES) 2015/2203 dėl valstybių narių įstatymų, susijusių su žmonėms vartoti skirtais kazeinais ir kazeinatais, derinimo, kuria panaikinama Tarybos direktyva 83/417/EEB (OL L 314, 2015 12 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5145E"/>
    <w:multiLevelType w:val="multilevel"/>
    <w:tmpl w:val="D3944FC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1.%2.%3."/>
      <w:lvlJc w:val="left"/>
      <w:pPr>
        <w:tabs>
          <w:tab w:val="num" w:pos="737"/>
        </w:tabs>
        <w:ind w:left="737" w:hanging="737"/>
      </w:pPr>
      <w:rPr>
        <w:rFonts w:hint="default"/>
        <w:u w:val="none"/>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1049"/>
        </w:tabs>
        <w:ind w:left="1049" w:hanging="1049"/>
      </w:pPr>
      <w:rPr>
        <w:rFonts w:hint="default"/>
      </w:rPr>
    </w:lvl>
    <w:lvl w:ilvl="5">
      <w:start w:val="1"/>
      <w:numFmt w:val="decimal"/>
      <w:suff w:val="space"/>
      <w:lvlText w:val="%1.%2.%3.%4.%5.%6."/>
      <w:lvlJc w:val="left"/>
      <w:pPr>
        <w:ind w:firstLine="0"/>
      </w:pPr>
      <w:rPr>
        <w:rFonts w:hint="default"/>
      </w:rPr>
    </w:lvl>
    <w:lvl w:ilvl="6">
      <w:start w:val="1"/>
      <w:numFmt w:val="decimal"/>
      <w:suff w:val="space"/>
      <w:lvlText w:val="%1.%2.%3.%4.%5.%6.%7."/>
      <w:lvlJc w:val="left"/>
      <w:pPr>
        <w:ind w:firstLine="0"/>
      </w:pPr>
      <w:rPr>
        <w:rFonts w:hint="default"/>
      </w:rPr>
    </w:lvl>
    <w:lvl w:ilvl="7">
      <w:start w:val="1"/>
      <w:numFmt w:val="decimal"/>
      <w:suff w:val="space"/>
      <w:lvlText w:val="%1.%2.%3.%4.%5.%6.%7.%8."/>
      <w:lvlJc w:val="left"/>
      <w:pPr>
        <w:ind w:firstLine="0"/>
      </w:pPr>
      <w:rPr>
        <w:rFonts w:hint="default"/>
      </w:rPr>
    </w:lvl>
    <w:lvl w:ilvl="8">
      <w:start w:val="1"/>
      <w:numFmt w:val="decimal"/>
      <w:suff w:val="space"/>
      <w:lvlText w:val="%1.%2.%3.%4.%5.%6.%7.%8.%9."/>
      <w:lvlJc w:val="left"/>
      <w:pPr>
        <w:ind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2330BF1-6E02-4D1A-A299-4A82245F18B6"/>
    <w:docVar w:name="LW_COVERPAGE_TYPE" w:val="1"/>
    <w:docVar w:name="LW_CROSSREFERENCE" w:val="&lt;UNUSED&gt;"/>
    <w:docVar w:name="LW_DocType" w:val="NORMAL"/>
    <w:docVar w:name="LW_EMISSION" w:val="2020 03 02"/>
    <w:docVar w:name="LW_EMISSION_ISODATE" w:val="2020-03-02"/>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u279?l naudojimosi \u303?galiojimais priimti deleguotuosius aktus, suteiktais Komisijai pagal 2015 m. lapkri\u269?io 25 d. Europos Parlamento ir Tarybos direktyv\u261? (ES) 2015/2203 d\u279?l valstybi\u371? nari\u371? \u303?statym\u371?, susijusi\u371? su \u382?mon\u279?ms vartoti skirtais kazeinais ir kazeinatais, derinimo, kuria panaikinama Tarybos direktyva 83/417/EEB_x000b_"/>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0"/>
    <w:qFormat/>
    <w:pPr>
      <w:keepNext/>
      <w:tabs>
        <w:tab w:val="num" w:pos="595"/>
        <w:tab w:val="left" w:pos="737"/>
      </w:tabs>
      <w:spacing w:before="420" w:after="120" w:line="264" w:lineRule="auto"/>
      <w:ind w:left="595" w:hanging="595"/>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tabs>
        <w:tab w:val="num" w:pos="737"/>
        <w:tab w:val="left" w:pos="935"/>
      </w:tabs>
      <w:spacing w:before="360" w:after="120" w:line="264" w:lineRule="auto"/>
      <w:ind w:left="737" w:hanging="737"/>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tabs>
        <w:tab w:val="num" w:pos="850"/>
        <w:tab w:val="left" w:pos="1049"/>
      </w:tabs>
      <w:spacing w:before="360" w:after="120" w:line="264" w:lineRule="auto"/>
      <w:ind w:left="850" w:hanging="850"/>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tabs>
        <w:tab w:val="num" w:pos="1049"/>
      </w:tabs>
      <w:spacing w:after="120" w:line="264" w:lineRule="auto"/>
      <w:ind w:left="1049" w:hanging="1049"/>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lt-L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lt-LT"/>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line="276" w:lineRule="auto"/>
    </w:pPr>
  </w:style>
  <w:style w:type="paragraph" w:styleId="TOC2">
    <w:name w:val="toc 2"/>
    <w:basedOn w:val="Normal"/>
    <w:next w:val="Normal"/>
    <w:autoRedefine/>
    <w:uiPriority w:val="39"/>
    <w:unhideWhenUsed/>
    <w:pPr>
      <w:spacing w:after="100" w:line="276" w:lineRule="auto"/>
      <w:ind w:left="220"/>
    </w:p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lt-LT"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lt-LT"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lt-LT"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lt-LT"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lt-LT"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lt-LT"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lt-LT"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lt-LT"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lt-LT" w:eastAsia="en-GB"/>
    </w:rPr>
  </w:style>
  <w:style w:type="character" w:styleId="FootnoteReference">
    <w:name w:val="footnote reference"/>
    <w:basedOn w:val="DefaultParagraphFont"/>
    <w:semiHidden/>
    <w:rPr>
      <w:vertAlign w:val="superscript"/>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0"/>
    <w:qFormat/>
    <w:pPr>
      <w:keepNext/>
      <w:tabs>
        <w:tab w:val="num" w:pos="595"/>
        <w:tab w:val="left" w:pos="737"/>
      </w:tabs>
      <w:spacing w:before="420" w:after="120" w:line="264" w:lineRule="auto"/>
      <w:ind w:left="595" w:hanging="595"/>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tabs>
        <w:tab w:val="num" w:pos="737"/>
        <w:tab w:val="left" w:pos="935"/>
      </w:tabs>
      <w:spacing w:before="360" w:after="120" w:line="264" w:lineRule="auto"/>
      <w:ind w:left="737" w:hanging="737"/>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tabs>
        <w:tab w:val="num" w:pos="850"/>
        <w:tab w:val="left" w:pos="1049"/>
      </w:tabs>
      <w:spacing w:before="360" w:after="120" w:line="264" w:lineRule="auto"/>
      <w:ind w:left="850" w:hanging="850"/>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tabs>
        <w:tab w:val="num" w:pos="1049"/>
      </w:tabs>
      <w:spacing w:after="120" w:line="264" w:lineRule="auto"/>
      <w:ind w:left="1049" w:hanging="1049"/>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lt-L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lt-LT"/>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line="276" w:lineRule="auto"/>
    </w:pPr>
  </w:style>
  <w:style w:type="paragraph" w:styleId="TOC2">
    <w:name w:val="toc 2"/>
    <w:basedOn w:val="Normal"/>
    <w:next w:val="Normal"/>
    <w:autoRedefine/>
    <w:uiPriority w:val="39"/>
    <w:unhideWhenUsed/>
    <w:pPr>
      <w:spacing w:after="100" w:line="276" w:lineRule="auto"/>
      <w:ind w:left="220"/>
    </w:p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lt-LT"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lt-LT"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lt-LT"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lt-LT"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lt-LT"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lt-LT"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lt-LT"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lt-LT"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lt-LT" w:eastAsia="en-GB"/>
    </w:rPr>
  </w:style>
  <w:style w:type="character" w:styleId="FootnoteReference">
    <w:name w:val="footnote reference"/>
    <w:basedOn w:val="DefaultParagraphFont"/>
    <w:semiHidden/>
    <w:rPr>
      <w:vertAlign w:val="superscript"/>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365</Words>
  <Characters>2482</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2020-01-17T11:06:00Z</dcterms:created>
  <dcterms:modified xsi:type="dcterms:W3CDTF">2020-02-26T16:39:00Z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