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6CFB33AB-3621-4D52-9731-D78C92105EA4" style="width:450.75pt;height:361.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RAPPORT FRA KOMMISSIONEN TIL EUROPA-PARLAMENTET OG RÅDET</w:t>
      </w:r>
    </w:p>
    <w:p>
      <w:pPr>
        <w:pStyle w:val="Titreobjet"/>
        <w:rPr>
          <w:noProof/>
        </w:rPr>
      </w:pPr>
      <w:r>
        <w:rPr>
          <w:noProof/>
        </w:rPr>
        <w:t>Om udøvelse af beføjelsen til at vedtage de delegerede retsakter, der er tillagt Kommissionen i henhold til Europa-Parlamentets og Rådets direktiv (EU) 2015/2203 af 25. november 2015 om indbyrdes tilnærmelse af medlemsstaternes lovgivning vedrørende kaseiner og kaseinater til konsum og om ophævelse af Rådets direktiv 83/417/EØF</w:t>
      </w:r>
      <w:r>
        <w:rPr>
          <w:noProof/>
        </w:rPr>
        <w:br/>
      </w:r>
    </w:p>
    <w:p>
      <w:pPr>
        <w:jc w:val="center"/>
        <w:rPr>
          <w:rFonts w:ascii="Arial" w:hAnsi="Arial" w:cs="Arial"/>
          <w:b/>
          <w:noProof/>
        </w:rPr>
      </w:pPr>
    </w:p>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Indhold</w:t>
          </w:r>
        </w:p>
        <w:p>
          <w:pPr>
            <w:pStyle w:val="TOC1"/>
            <w:tabs>
              <w:tab w:val="left" w:pos="440"/>
              <w:tab w:val="right" w:leader="dot" w:pos="9350"/>
            </w:tabs>
            <w:rPr>
              <w:rFonts w:eastAsiaTheme="minorEastAsia"/>
              <w:noProof/>
            </w:rPr>
          </w:pPr>
          <w:r>
            <w:rPr>
              <w:noProof/>
            </w:rPr>
            <w:fldChar w:fldCharType="begin"/>
          </w:r>
          <w:r>
            <w:rPr>
              <w:noProof/>
            </w:rPr>
            <w:instrText xml:space="preserve"> TOC \o "1-3" \h \z \u </w:instrText>
          </w:r>
          <w:r>
            <w:rPr>
              <w:noProof/>
            </w:rPr>
            <w:fldChar w:fldCharType="separate"/>
          </w:r>
          <w:hyperlink w:anchor="_Toc30154598" w:history="1">
            <w:r>
              <w:rPr>
                <w:rStyle w:val="Hyperlink"/>
                <w:rFonts w:ascii="Times New Roman" w:eastAsia="Times New Roman" w:hAnsi="Times New Roman" w:cs="Times New Roman"/>
                <w:b/>
                <w:smallCaps/>
                <w:noProof/>
              </w:rPr>
              <w:t>1.</w:t>
            </w:r>
            <w:r>
              <w:rPr>
                <w:rFonts w:eastAsiaTheme="minorEastAsia"/>
                <w:noProof/>
              </w:rPr>
              <w:tab/>
            </w:r>
            <w:r>
              <w:rPr>
                <w:rStyle w:val="Hyperlink"/>
                <w:rFonts w:ascii="Times New Roman" w:eastAsia="Times New Roman" w:hAnsi="Times New Roman" w:cs="Times New Roman"/>
                <w:b/>
                <w:smallCaps/>
                <w:noProof/>
              </w:rPr>
              <w:t>Directive (EU) 2015/2203 of the European Parliament and of the Council of 25 November 2015 on the approximation of the laws of the Member States relating to caseins and caseinates intended for human consumption and repealing Council Directive 83/417/EEC</w:t>
            </w:r>
            <w:r>
              <w:rPr>
                <w:noProof/>
                <w:webHidden/>
              </w:rPr>
              <w:tab/>
            </w:r>
            <w:r>
              <w:rPr>
                <w:noProof/>
                <w:webHidden/>
              </w:rPr>
              <w:fldChar w:fldCharType="begin"/>
            </w:r>
            <w:r>
              <w:rPr>
                <w:noProof/>
                <w:webHidden/>
              </w:rPr>
              <w:instrText xml:space="preserve"> PAGEREF _Toc30154598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50"/>
            </w:tabs>
            <w:rPr>
              <w:rFonts w:eastAsiaTheme="minorEastAsia"/>
              <w:noProof/>
            </w:rPr>
          </w:pPr>
          <w:hyperlink w:anchor="_Toc30154599" w:history="1">
            <w:r>
              <w:rPr>
                <w:rStyle w:val="Hyperlink"/>
                <w:rFonts w:ascii="Times New Roman" w:eastAsia="Times New Roman" w:hAnsi="Times New Roman" w:cs="Times New Roman"/>
                <w:b/>
                <w:noProof/>
              </w:rPr>
              <w:t>1.1.</w:t>
            </w:r>
            <w:r>
              <w:rPr>
                <w:rFonts w:eastAsiaTheme="minorEastAsia"/>
                <w:noProof/>
              </w:rPr>
              <w:tab/>
            </w:r>
            <w:r>
              <w:rPr>
                <w:rStyle w:val="Hyperlink"/>
                <w:rFonts w:ascii="Times New Roman" w:eastAsia="Times New Roman" w:hAnsi="Times New Roman" w:cs="Times New Roman"/>
                <w:b/>
                <w:noProof/>
              </w:rPr>
              <w:t>Introduction</w:t>
            </w:r>
            <w:r>
              <w:rPr>
                <w:noProof/>
                <w:webHidden/>
              </w:rPr>
              <w:tab/>
            </w:r>
            <w:r>
              <w:rPr>
                <w:noProof/>
                <w:webHidden/>
              </w:rPr>
              <w:fldChar w:fldCharType="begin"/>
            </w:r>
            <w:r>
              <w:rPr>
                <w:noProof/>
                <w:webHidden/>
              </w:rPr>
              <w:instrText xml:space="preserve"> PAGEREF _Toc30154599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880"/>
              <w:tab w:val="right" w:leader="dot" w:pos="9350"/>
            </w:tabs>
            <w:rPr>
              <w:rFonts w:eastAsiaTheme="minorEastAsia"/>
              <w:noProof/>
            </w:rPr>
          </w:pPr>
          <w:hyperlink w:anchor="_Toc30154600" w:history="1">
            <w:r>
              <w:rPr>
                <w:rStyle w:val="Hyperlink"/>
                <w:rFonts w:ascii="Times New Roman" w:eastAsia="Times New Roman" w:hAnsi="Times New Roman" w:cs="Times New Roman"/>
                <w:b/>
                <w:noProof/>
              </w:rPr>
              <w:t>1.2.</w:t>
            </w:r>
            <w:r>
              <w:rPr>
                <w:rFonts w:eastAsiaTheme="minorEastAsia"/>
                <w:noProof/>
              </w:rPr>
              <w:tab/>
            </w:r>
            <w:r>
              <w:rPr>
                <w:rStyle w:val="Hyperlink"/>
                <w:rFonts w:ascii="Times New Roman" w:eastAsia="Times New Roman" w:hAnsi="Times New Roman" w:cs="Times New Roman"/>
                <w:b/>
                <w:noProof/>
              </w:rPr>
              <w:t>Legal Basis</w:t>
            </w:r>
            <w:r>
              <w:rPr>
                <w:noProof/>
                <w:webHidden/>
              </w:rPr>
              <w:tab/>
            </w:r>
            <w:r>
              <w:rPr>
                <w:noProof/>
                <w:webHidden/>
              </w:rPr>
              <w:fldChar w:fldCharType="begin"/>
            </w:r>
            <w:r>
              <w:rPr>
                <w:noProof/>
                <w:webHidden/>
              </w:rPr>
              <w:instrText xml:space="preserve"> PAGEREF _Toc30154600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50"/>
            </w:tabs>
            <w:rPr>
              <w:rFonts w:eastAsiaTheme="minorEastAsia"/>
              <w:noProof/>
            </w:rPr>
          </w:pPr>
          <w:hyperlink w:anchor="_Toc30154601" w:history="1">
            <w:r>
              <w:rPr>
                <w:rStyle w:val="Hyperlink"/>
                <w:rFonts w:ascii="Times New Roman" w:eastAsia="Times New Roman" w:hAnsi="Times New Roman" w:cs="Times New Roman"/>
                <w:b/>
                <w:noProof/>
              </w:rPr>
              <w:t>1.3.</w:t>
            </w:r>
            <w:r>
              <w:rPr>
                <w:rFonts w:eastAsiaTheme="minorEastAsia"/>
                <w:noProof/>
              </w:rPr>
              <w:tab/>
            </w:r>
            <w:r>
              <w:rPr>
                <w:rStyle w:val="Hyperlink"/>
                <w:rFonts w:ascii="Times New Roman" w:eastAsia="Times New Roman" w:hAnsi="Times New Roman" w:cs="Times New Roman"/>
                <w:b/>
                <w:noProof/>
              </w:rPr>
              <w:t>Exercise of Delegation</w:t>
            </w:r>
            <w:r>
              <w:rPr>
                <w:noProof/>
                <w:webHidden/>
              </w:rPr>
              <w:tab/>
            </w:r>
            <w:r>
              <w:rPr>
                <w:noProof/>
                <w:webHidden/>
              </w:rPr>
              <w:fldChar w:fldCharType="begin"/>
            </w:r>
            <w:r>
              <w:rPr>
                <w:noProof/>
                <w:webHidden/>
              </w:rPr>
              <w:instrText xml:space="preserve"> PAGEREF _Toc30154601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50"/>
            </w:tabs>
            <w:rPr>
              <w:rFonts w:eastAsiaTheme="minorEastAsia"/>
              <w:noProof/>
            </w:rPr>
          </w:pPr>
          <w:hyperlink w:anchor="_Toc30154602" w:history="1">
            <w:r>
              <w:rPr>
                <w:rStyle w:val="Hyperlink"/>
                <w:rFonts w:ascii="Times New Roman" w:eastAsia="Times New Roman" w:hAnsi="Times New Roman" w:cs="Times New Roman"/>
                <w:b/>
                <w:noProof/>
              </w:rPr>
              <w:t>1.4.</w:t>
            </w:r>
            <w:r>
              <w:rPr>
                <w:rFonts w:eastAsiaTheme="minorEastAsia"/>
                <w:noProof/>
              </w:rPr>
              <w:tab/>
            </w:r>
            <w:r>
              <w:rPr>
                <w:rStyle w:val="Hyperlink"/>
                <w:rFonts w:ascii="Times New Roman" w:eastAsia="Times New Roman" w:hAnsi="Times New Roman" w:cs="Times New Roman"/>
                <w:b/>
                <w:noProof/>
              </w:rPr>
              <w:t>Conclusions</w:t>
            </w:r>
            <w:r>
              <w:rPr>
                <w:noProof/>
                <w:webHidden/>
              </w:rPr>
              <w:tab/>
            </w:r>
            <w:r>
              <w:rPr>
                <w:noProof/>
                <w:webHidden/>
              </w:rPr>
              <w:fldChar w:fldCharType="begin"/>
            </w:r>
            <w:r>
              <w:rPr>
                <w:noProof/>
                <w:webHidden/>
              </w:rPr>
              <w:instrText xml:space="preserve"> PAGEREF _Toc30154602 \h </w:instrText>
            </w:r>
            <w:r>
              <w:rPr>
                <w:noProof/>
                <w:webHidden/>
              </w:rPr>
            </w:r>
            <w:r>
              <w:rPr>
                <w:noProof/>
                <w:webHidden/>
              </w:rPr>
              <w:fldChar w:fldCharType="separate"/>
            </w:r>
            <w:r>
              <w:rPr>
                <w:noProof/>
                <w:webHidden/>
              </w:rPr>
              <w:t>2</w:t>
            </w:r>
            <w:r>
              <w:rPr>
                <w:noProof/>
                <w:webHidden/>
              </w:rPr>
              <w:fldChar w:fldCharType="end"/>
            </w:r>
          </w:hyperlink>
        </w:p>
        <w:p>
          <w:pPr>
            <w:rPr>
              <w:b/>
              <w:bCs/>
              <w:noProof/>
            </w:rPr>
          </w:pPr>
          <w:r>
            <w:rPr>
              <w:b/>
              <w:bCs/>
              <w:noProof/>
            </w:rPr>
            <w:fldChar w:fldCharType="end"/>
          </w:r>
        </w:p>
      </w:sdtContent>
    </w:sdt>
    <w:p>
      <w:pPr>
        <w:jc w:val="center"/>
        <w:rPr>
          <w:rFonts w:ascii="Arial" w:hAnsi="Arial" w:cs="Arial"/>
          <w:b/>
          <w:noProof/>
        </w:rPr>
      </w:pP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r>
        <w:rPr>
          <w:rFonts w:ascii="Times New Roman" w:hAnsi="Times New Roman"/>
          <w:b/>
          <w:smallCaps/>
          <w:noProof/>
        </w:rPr>
        <w:t>Europa-Parlamentets og Rådets direktiv (EU) 2015/2203 af 25. november 2015 om indbyrdes tilnærmelse af medlemsstaternes lovgivning vedrørende kaseiner og kaseinater til konsum og om ophævelse af Rådets direktiv 83/417/EØF</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r>
        <w:rPr>
          <w:rFonts w:ascii="Times New Roman" w:hAnsi="Times New Roman"/>
          <w:b/>
          <w:noProof/>
        </w:rPr>
        <w:t>Indledning</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Europa-Parlamentets og Rådets direktiv (EU) 2015/2203</w:t>
      </w:r>
      <w:r>
        <w:rPr>
          <w:rFonts w:ascii="Times New Roman" w:hAnsi="Times New Roman" w:cs="Times New Roman"/>
          <w:noProof/>
          <w:color w:val="444444"/>
          <w:vertAlign w:val="superscript"/>
        </w:rPr>
        <w:footnoteReference w:id="1"/>
      </w:r>
      <w:r>
        <w:rPr>
          <w:rFonts w:ascii="Times New Roman" w:hAnsi="Times New Roman"/>
          <w:noProof/>
        </w:rPr>
        <w:t xml:space="preserve"> indeholder bestemmelser om indbyrdes tilnærmelse af medlemsstaternes lovgivning vedrørende kaseiner og kaseinater til konsum for at lette den frie bevægelighed for varer i det indre marked og samtidig sikre et højt niveau for beskyttelse af sundhed.</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Ved artikel 5 tillægges Kommissionen beføjelse til at vedtage delegerede retsakter med henblik på at ændre de standarder, der er fastsat i bilag I og II, for at tage hensyn til udviklingen i de relevante internationale standarder og den tekniske udvikling.</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r>
        <w:rPr>
          <w:rFonts w:ascii="Times New Roman" w:hAnsi="Times New Roman"/>
          <w:b/>
          <w:noProof/>
        </w:rPr>
        <w:t>Retsgrundlag</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Rapporten kræves i henhold til artikel 6, stk. 2. I henhold til denne bestemmelse tillægges Kommissionen beføjelse til at vedtage delegerede retsakter, jf. artikel 5, for en periode på fem år fra den 21. december 2015. Kommissionen udarbejder en rapport vedrørende delegationen af beføjelser senest ni måneder inden udløbet af femårsperioden. Delegationen af beføjelser forlænges stiltiende for perioder af samme varighed, medmindre Europa-Parlamentet eller Rådet modsætter sig en sådan forlængelse senest tre måneder inden udløbet af hver periode.</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r>
        <w:rPr>
          <w:rFonts w:ascii="Times New Roman" w:hAnsi="Times New Roman"/>
          <w:b/>
          <w:noProof/>
        </w:rPr>
        <w:t>Udøvelse af de delegerede beføjelser</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Kommissionen har ikke vedtaget nogen delegeret retsakt i henhold til artikel 5, da Kommissionen ikke har konstateret, at der er behov for at ændre de standarder, der er fastsat i bilag I og II. Kommissionen har ikke på nuværende tidspunkt til hensigt at anvende beføjelsen i den nærmeste fremtid. Det kan dog ikke udelukkes, at det kan blive nødvendigt at anvende den.</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r>
        <w:rPr>
          <w:rFonts w:ascii="Times New Roman" w:hAnsi="Times New Roman"/>
          <w:b/>
          <w:noProof/>
        </w:rPr>
        <w:t>Konklusioner</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rPr>
        <w:t>Beføjelsen er ikke blevet anvendt, fordi der ikke var nogen retlig forpligtelse eller nogen grund til det.</w:t>
      </w: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8986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w:t>
      </w:r>
      <w:r>
        <w:tab/>
        <w:t>Europa-Parlamentets og Rådets direktiv (EU) 2015/2203 af 25. november 2015 om indbyrdes tilnærmelse af medlemsstaternes lovgivning vedrørende kaseiner og kaseinater til konsum og om ophævelse af Rådets direktiv 83/417/EØF (EUT L 314 af 1.12.2015,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5145E"/>
    <w:multiLevelType w:val="multilevel"/>
    <w:tmpl w:val="D3944FC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1.%2.%3."/>
      <w:lvlJc w:val="left"/>
      <w:pPr>
        <w:tabs>
          <w:tab w:val="num" w:pos="737"/>
        </w:tabs>
        <w:ind w:left="737" w:hanging="737"/>
      </w:pPr>
      <w:rPr>
        <w:rFonts w:hint="default"/>
        <w:u w:val="none"/>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1049"/>
        </w:tabs>
        <w:ind w:left="1049" w:hanging="1049"/>
      </w:pPr>
      <w:rPr>
        <w:rFonts w:hint="default"/>
      </w:rPr>
    </w:lvl>
    <w:lvl w:ilvl="5">
      <w:start w:val="1"/>
      <w:numFmt w:val="decimal"/>
      <w:suff w:val="space"/>
      <w:lvlText w:val="%1.%2.%3.%4.%5.%6."/>
      <w:lvlJc w:val="left"/>
      <w:pPr>
        <w:ind w:firstLine="0"/>
      </w:pPr>
      <w:rPr>
        <w:rFonts w:hint="default"/>
      </w:rPr>
    </w:lvl>
    <w:lvl w:ilvl="6">
      <w:start w:val="1"/>
      <w:numFmt w:val="decimal"/>
      <w:suff w:val="space"/>
      <w:lvlText w:val="%1.%2.%3.%4.%5.%6.%7."/>
      <w:lvlJc w:val="left"/>
      <w:pPr>
        <w:ind w:firstLine="0"/>
      </w:pPr>
      <w:rPr>
        <w:rFonts w:hint="default"/>
      </w:rPr>
    </w:lvl>
    <w:lvl w:ilvl="7">
      <w:start w:val="1"/>
      <w:numFmt w:val="decimal"/>
      <w:suff w:val="space"/>
      <w:lvlText w:val="%1.%2.%3.%4.%5.%6.%7.%8."/>
      <w:lvlJc w:val="left"/>
      <w:pPr>
        <w:ind w:firstLine="0"/>
      </w:pPr>
      <w:rPr>
        <w:rFonts w:hint="default"/>
      </w:rPr>
    </w:lvl>
    <w:lvl w:ilvl="8">
      <w:start w:val="1"/>
      <w:numFmt w:val="decimal"/>
      <w:suff w:val="space"/>
      <w:lvlText w:val="%1.%2.%3.%4.%5.%6.%7.%8.%9."/>
      <w:lvlJc w:val="left"/>
      <w:pPr>
        <w:ind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CFB33AB-3621-4D52-9731-D78C92105EA4"/>
    <w:docVar w:name="LW_COVERPAGE_TYPE" w:val="1"/>
    <w:docVar w:name="LW_CROSSREFERENCE" w:val="&lt;UNUSED&gt;"/>
    <w:docVar w:name="LW_DocType" w:val="NORMAL"/>
    <w:docVar w:name="LW_EMISSION" w:val="2.3.2020"/>
    <w:docVar w:name="LW_EMISSION_ISODATE" w:val="2020-03-02"/>
    <w:docVar w:name="LW_EMISSION_LOCATION" w:val="BRX"/>
    <w:docVar w:name="LW_EMISSION_PREFIX" w:val="Bruxelles, den "/>
    <w:docVar w:name="LW_EMISSION_SUFFIX" w:val=" "/>
    <w:docVar w:name="LW_ID_DOCTYPE_NONLW" w:val="CP-006"/>
    <w:docVar w:name="LW_LANGUE" w:val="DA"/>
    <w:docVar w:name="LW_LEVEL_OF_SENSITIVITY" w:val="Standard treatment"/>
    <w:docVar w:name="LW_NOM.INST" w:val="EUROPA-KOMMISSIONEN"/>
    <w:docVar w:name="LW_NOM.INST_JOINTDOC" w:val="&lt;EMPTY&gt;"/>
    <w:docVar w:name="LW_PART_NBR" w:val="1"/>
    <w:docVar w:name="LW_PART_NBR_TOTAL" w:val="1"/>
    <w:docVar w:name="LW_REF.INST.NEW" w:val="COM"/>
    <w:docVar w:name="LW_REF.INST.NEW_ADOPTED" w:val="final"/>
    <w:docVar w:name="LW_REF.INST.NEW_TEXT" w:val="(2020) 7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m udøvelse af beføjelsen til at vedtage de delegerede retsakter, der er tillagt Kommissionen i henhold til Europa-Parlamentets og Rådets direktiv (EU) 2015/2203 af 25. november 2015 om indbyrdes tilnærmelse af medlemsstaternes lovgivning vedrørende kaseiner og kaseinater til konsum og om ophævelse af Rådets direktiv 83/417/EØF_x000b_"/>
    <w:docVar w:name="LW_TYPE.DOC.CP" w:val="RAPPORT FRA KOMMISSIONEN TIL EUROPA-PARLAMENTET OG RÅDE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0"/>
    <w:qFormat/>
    <w:pPr>
      <w:keepNext/>
      <w:tabs>
        <w:tab w:val="num" w:pos="595"/>
        <w:tab w:val="left" w:pos="737"/>
      </w:tabs>
      <w:spacing w:before="420" w:after="120" w:line="264" w:lineRule="auto"/>
      <w:ind w:left="595" w:hanging="595"/>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tabs>
        <w:tab w:val="num" w:pos="737"/>
        <w:tab w:val="left" w:pos="935"/>
      </w:tabs>
      <w:spacing w:before="360" w:after="120" w:line="264" w:lineRule="auto"/>
      <w:ind w:left="737" w:hanging="737"/>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tabs>
        <w:tab w:val="num" w:pos="850"/>
        <w:tab w:val="left" w:pos="1049"/>
      </w:tabs>
      <w:spacing w:before="360" w:after="120" w:line="264" w:lineRule="auto"/>
      <w:ind w:left="850" w:hanging="850"/>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tabs>
        <w:tab w:val="num" w:pos="1049"/>
      </w:tabs>
      <w:spacing w:after="120" w:line="264" w:lineRule="auto"/>
      <w:ind w:left="1049" w:hanging="1049"/>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a-D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da-DK"/>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line="276" w:lineRule="auto"/>
    </w:pPr>
  </w:style>
  <w:style w:type="paragraph" w:styleId="TOC2">
    <w:name w:val="toc 2"/>
    <w:basedOn w:val="Normal"/>
    <w:next w:val="Normal"/>
    <w:autoRedefine/>
    <w:uiPriority w:val="39"/>
    <w:unhideWhenUsed/>
    <w:pPr>
      <w:spacing w:after="100" w:line="276" w:lineRule="auto"/>
      <w:ind w:left="220"/>
    </w:p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da-DK"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da-DK"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da-DK"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da-DK"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da-DK"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da-DK"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da-DK"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da-DK"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da-DK" w:eastAsia="en-GB"/>
    </w:rPr>
  </w:style>
  <w:style w:type="character" w:styleId="FootnoteReference">
    <w:name w:val="footnote reference"/>
    <w:basedOn w:val="DefaultParagraphFont"/>
    <w:semiHidden/>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0"/>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0"/>
    <w:qFormat/>
    <w:pPr>
      <w:keepNext/>
      <w:tabs>
        <w:tab w:val="num" w:pos="595"/>
        <w:tab w:val="left" w:pos="737"/>
      </w:tabs>
      <w:spacing w:before="420" w:after="120" w:line="264" w:lineRule="auto"/>
      <w:ind w:left="595" w:hanging="595"/>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tabs>
        <w:tab w:val="num" w:pos="737"/>
        <w:tab w:val="left" w:pos="935"/>
      </w:tabs>
      <w:spacing w:before="360" w:after="120" w:line="264" w:lineRule="auto"/>
      <w:ind w:left="737" w:hanging="737"/>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tabs>
        <w:tab w:val="num" w:pos="850"/>
        <w:tab w:val="left" w:pos="1049"/>
      </w:tabs>
      <w:spacing w:before="360" w:after="120" w:line="264" w:lineRule="auto"/>
      <w:ind w:left="850" w:hanging="850"/>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tabs>
        <w:tab w:val="num" w:pos="1049"/>
      </w:tabs>
      <w:spacing w:after="120" w:line="264" w:lineRule="auto"/>
      <w:ind w:left="1049" w:hanging="1049"/>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da-DK"/>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da-DK"/>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da-DK"/>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spacing w:after="100" w:line="276" w:lineRule="auto"/>
    </w:pPr>
  </w:style>
  <w:style w:type="paragraph" w:styleId="TOC2">
    <w:name w:val="toc 2"/>
    <w:basedOn w:val="Normal"/>
    <w:next w:val="Normal"/>
    <w:autoRedefine/>
    <w:uiPriority w:val="39"/>
    <w:unhideWhenUsed/>
    <w:pPr>
      <w:spacing w:after="100" w:line="276" w:lineRule="auto"/>
      <w:ind w:left="220"/>
    </w:p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da-DK"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da-DK"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da-DK"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da-DK"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da-DK"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da-DK"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da-DK"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da-DK"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da-DK" w:eastAsia="en-GB"/>
    </w:rPr>
  </w:style>
  <w:style w:type="character" w:styleId="FootnoteReference">
    <w:name w:val="footnote reference"/>
    <w:basedOn w:val="DefaultParagraphFont"/>
    <w:semiHidden/>
    <w:rPr>
      <w:vertAlign w:val="superscript"/>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439</Words>
  <Characters>2527</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15</cp:revision>
  <dcterms:created xsi:type="dcterms:W3CDTF">2020-01-17T11:06:00Z</dcterms:created>
  <dcterms:modified xsi:type="dcterms:W3CDTF">2020-02-26T16:39:00Z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7.0.1, Build 20190916</vt:lpwstr>
  </property>
  <property fmtid="{D5CDD505-2E9C-101B-9397-08002B2CF9AE}" pid="8" name="Created using">
    <vt:lpwstr>LW 7.0, Build 20190717</vt:lpwstr>
  </property>
</Properties>
</file>