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32378B5-607B-4000-A95D-F9EA1AE0A05F"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RAPPORT TAL-KUMMISSJONI</w:t>
      </w:r>
    </w:p>
    <w:p>
      <w:pPr>
        <w:pStyle w:val="Titreobjet"/>
        <w:rPr>
          <w:noProof/>
        </w:rPr>
      </w:pPr>
      <w:r>
        <w:rPr>
          <w:noProof/>
        </w:rPr>
        <w:t>Ir-Rumanija</w:t>
      </w:r>
      <w:r>
        <w:rPr>
          <w:noProof/>
        </w:rPr>
        <w:br/>
      </w:r>
      <w:r>
        <w:rPr>
          <w:noProof/>
        </w:rPr>
        <w:br/>
        <w:t>Rapport imħejji f’konformità mal-Artikolu 126(3) tat-Trattat dwar il-Funzjonament tal-Unjoni Ewropea</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rPr>
        <w:t>1.</w:t>
      </w:r>
      <w:r>
        <w:rPr>
          <w:rFonts w:ascii="Times New Roman" w:hAnsi="Times New Roman"/>
          <w:b/>
          <w:smallCaps/>
          <w:noProof/>
        </w:rPr>
        <w:tab/>
        <w:t xml:space="preserve">Daħla </w:t>
      </w:r>
    </w:p>
    <w:p>
      <w:pPr>
        <w:autoSpaceDE w:val="0"/>
        <w:autoSpaceDN w:val="0"/>
        <w:adjustRightInd w:val="0"/>
        <w:spacing w:before="120" w:after="0" w:line="240" w:lineRule="auto"/>
        <w:jc w:val="both"/>
        <w:rPr>
          <w:rFonts w:ascii="Times New Roman" w:eastAsia="Times New Roman" w:hAnsi="Times New Roman" w:cs="Calibri"/>
          <w:noProof/>
          <w:sz w:val="24"/>
        </w:rPr>
      </w:pPr>
      <w:r>
        <w:rPr>
          <w:rFonts w:ascii="Times New Roman" w:hAnsi="Times New Roman"/>
          <w:noProof/>
        </w:rPr>
        <w:t>L-Artikolu 126 tat-Trattat dwar il-Funzjonament tal-Unjoni Ewropea (it-Trattat) jistabbilixxi l-proċedura ta’ żbilanċ eċċessiv (PŻE). Din il-proċedura hija speċifikata iktar fir-Regolament (KE) Nru 1467/97 dwar li titħaffef u li tiġi ċċarata l-implimentazzjoni tal-proċedura ta’ defiċit eċċessiv</w:t>
      </w:r>
      <w:r>
        <w:rPr>
          <w:rFonts w:ascii="Times New Roman" w:eastAsia="Times New Roman" w:hAnsi="Times New Roman" w:cs="Calibri"/>
          <w:noProof/>
          <w:sz w:val="20"/>
          <w:szCs w:val="20"/>
          <w:vertAlign w:val="superscript"/>
        </w:rPr>
        <w:footnoteReference w:id="2"/>
      </w:r>
      <w:r>
        <w:rPr>
          <w:rFonts w:ascii="Times New Roman" w:hAnsi="Times New Roman"/>
          <w:noProof/>
        </w:rPr>
        <w:t xml:space="preserve">, li hija parti mill-Patt ta’ Stabbiltà u Tkabbir (PST). </w:t>
      </w:r>
    </w:p>
    <w:p>
      <w:pPr>
        <w:autoSpaceDE w:val="0"/>
        <w:autoSpaceDN w:val="0"/>
        <w:adjustRightInd w:val="0"/>
        <w:spacing w:before="120" w:after="0" w:line="240" w:lineRule="auto"/>
        <w:jc w:val="both"/>
        <w:rPr>
          <w:rFonts w:ascii="Times New Roman" w:eastAsia="Times New Roman" w:hAnsi="Times New Roman" w:cs="Calibri"/>
          <w:noProof/>
          <w:sz w:val="24"/>
        </w:rPr>
      </w:pPr>
      <w:r>
        <w:rPr>
          <w:rFonts w:ascii="Times New Roman" w:hAnsi="Times New Roman"/>
          <w:noProof/>
        </w:rPr>
        <w:t>Skont l-Artikolu 126(2) tat-Trattat, il-Kummissjoni trid tieħu ħsieb li jkun hemm konformità mad-dixxiplina baġitarja fuq il-bażi ta' żewġ kriterji, jiġifieri: (a) jekk il-proporzjon tal-iżbilanċ tal-gvern ippjanat jew attwali għall-prodott domestiku gross (PDG) jeċċedix il-valur ta’ referenza ta’ 3 %, sakemm il-proporzjon ma jkunx naqas b’mod sostanzjali u kontinwu u jkun laħaq livell li huwa qrib il-valur ta’ referenza, jew inkella l-qbiż tal-valur ta’ referenza jkun biss eċċezzjonali u temporanju u l-proporzjon jibqa’ qrib il-valur ta’ referenza;  u (b) jekk il-proporzjon tad-dejn tal-gvern għall-PDG jaqbiżx il-valur ta’ referenza ta’ 60 %, sakemm ma jkunx qiegħed jonqos biżżejjed u joqrob il-valur ta’ referenza b’pass sodisfaċenti.</w:t>
      </w:r>
    </w:p>
    <w:p>
      <w:pPr>
        <w:autoSpaceDE w:val="0"/>
        <w:autoSpaceDN w:val="0"/>
        <w:adjustRightInd w:val="0"/>
        <w:spacing w:before="120" w:after="0" w:line="240" w:lineRule="auto"/>
        <w:jc w:val="both"/>
        <w:rPr>
          <w:rFonts w:ascii="Times New Roman" w:eastAsia="Times New Roman" w:hAnsi="Times New Roman" w:cs="Calibri"/>
          <w:noProof/>
          <w:sz w:val="24"/>
        </w:rPr>
      </w:pPr>
      <w:r>
        <w:rPr>
          <w:rFonts w:ascii="Times New Roman" w:hAnsi="Times New Roman"/>
          <w:noProof/>
        </w:rPr>
        <w:t>L-Artikolu 126(3) tat-Trattat jistipula li, jekk Stat Membru ma jissodisfax il-ħtiġijiet ta’ wieħed minn dawn il-kriterji jew tat-tnejn li huma, il-Kummissjoni jkollha tħejji rapport. Dan ir-rapport irid ukoll “</w:t>
      </w:r>
      <w:r>
        <w:rPr>
          <w:rFonts w:ascii="Times New Roman" w:hAnsi="Times New Roman"/>
          <w:i/>
          <w:noProof/>
        </w:rPr>
        <w:t>iqis jekk id-dejn tal-gvern ikunx jeċċedi n-nefqa tal-gvern f’investiment u jqis il-fatturi kollha relevanti, inkluża l-pożizzjoni ekonomika u tal-estimi għall-futur medju tal-Istat Membru</w:t>
      </w:r>
      <w:r>
        <w:rPr>
          <w:rFonts w:ascii="Times New Roman" w:hAnsi="Times New Roman"/>
          <w:noProof/>
        </w:rPr>
        <w:t>”.</w:t>
      </w:r>
    </w:p>
    <w:p>
      <w:pPr>
        <w:autoSpaceDE w:val="0"/>
        <w:autoSpaceDN w:val="0"/>
        <w:adjustRightInd w:val="0"/>
        <w:spacing w:before="120" w:after="0" w:line="240" w:lineRule="auto"/>
        <w:jc w:val="both"/>
        <w:rPr>
          <w:rFonts w:ascii="Times New Roman" w:eastAsia="Times New Roman" w:hAnsi="Times New Roman" w:cs="Times New Roman"/>
          <w:noProof/>
          <w:sz w:val="24"/>
        </w:rPr>
      </w:pPr>
      <w:r>
        <w:rPr>
          <w:rFonts w:ascii="Times New Roman" w:hAnsi="Times New Roman"/>
          <w:noProof/>
        </w:rPr>
        <w:t>Ir-Rumanija ilha taħt Proċeduri ta’ Devjazzjoni Sinifikanti (SDP) konsekuttivi, taħt il-parti preventiva tal-PST mir-rebbiegħa tal-2017. B’konsegwenza tad-devjazzjoni sinifikanti mir-Rumanija mill-objettiv ta’ terminu medju tagħha (MTO) fl-2016, il-Kunsill nieda SDP fir-rebbiegħa tal-2017. Minn dak iż-żmien, il-Kunsill ħareġ rakkomandazzjonijiet darbtejn fis-sena li għalihom ir-Rumanija wieġbet b'azzjoni effettiva, u b’mod ripetut iddevjat sinifikattivament mill-perkors ta aġġustament rakkomandat.</w:t>
      </w:r>
    </w:p>
    <w:p>
      <w:pPr>
        <w:autoSpaceDE w:val="0"/>
        <w:autoSpaceDN w:val="0"/>
        <w:adjustRightInd w:val="0"/>
        <w:spacing w:before="120" w:after="0" w:line="240" w:lineRule="auto"/>
        <w:jc w:val="both"/>
        <w:rPr>
          <w:rFonts w:ascii="Times New Roman" w:eastAsia="Times New Roman" w:hAnsi="Times New Roman" w:cs="Times New Roman"/>
          <w:noProof/>
          <w:sz w:val="24"/>
        </w:rPr>
      </w:pPr>
      <w:r>
        <w:rPr>
          <w:rFonts w:ascii="Times New Roman" w:hAnsi="Times New Roman"/>
          <w:noProof/>
        </w:rPr>
        <w:t>Id-</w:t>
      </w:r>
      <w:r>
        <w:rPr>
          <w:rFonts w:ascii="Times New Roman" w:hAnsi="Times New Roman"/>
          <w:i/>
          <w:iCs/>
          <w:noProof/>
        </w:rPr>
        <w:t>data</w:t>
      </w:r>
      <w:r>
        <w:rPr>
          <w:rFonts w:ascii="Times New Roman" w:hAnsi="Times New Roman"/>
          <w:noProof/>
        </w:rPr>
        <w:t xml:space="preserve"> notifikata mill-awtoritajiet Rumeni fit-30 ta’ Settembru 2019</w:t>
      </w:r>
      <w:r>
        <w:rPr>
          <w:rFonts w:ascii="Times New Roman" w:eastAsia="Times New Roman" w:hAnsi="Times New Roman" w:cs="Times New Roman"/>
          <w:noProof/>
          <w:sz w:val="20"/>
          <w:szCs w:val="20"/>
          <w:vertAlign w:val="superscript"/>
        </w:rPr>
        <w:footnoteReference w:id="3"/>
      </w:r>
      <w:r>
        <w:rPr>
          <w:rFonts w:ascii="Times New Roman" w:hAnsi="Times New Roman"/>
          <w:noProof/>
        </w:rPr>
        <w:t xml:space="preserve"> u sussegwentement ivvalidata mill-Eurostat</w:t>
      </w:r>
      <w:r>
        <w:rPr>
          <w:rFonts w:ascii="Times New Roman" w:eastAsia="Times New Roman" w:hAnsi="Times New Roman" w:cs="Times New Roman"/>
          <w:noProof/>
          <w:sz w:val="20"/>
          <w:szCs w:val="20"/>
          <w:vertAlign w:val="superscript"/>
        </w:rPr>
        <w:footnoteReference w:id="4"/>
      </w:r>
      <w:r>
        <w:rPr>
          <w:rFonts w:ascii="Times New Roman" w:hAnsi="Times New Roman"/>
          <w:noProof/>
        </w:rPr>
        <w:t xml:space="preserve"> turi li d-defiċit nominali tal-gern ġenerali fir-Rumanija laħaq it-3,0 % tal-PDG fl-2018 filwaqt li d-dejn kien 35,0 % tal-PDG. Għall-2019, in-notifika ppjanat defiċit nominali tal-gern ġenerali ta’ 2,8 % tal-PDG. Filwaqt li jikkunsidraw iċ-ċifri tal-PDG riveduti mill-uffiċċju nazzjonali tal-itatistika wara l-pubblikazzjoni tal-istqarrija għall-istampa tal-Eurostat, il-proporzjonijiet nominali nibdlu ftit, u d-defiċit kien ta’ 2,9 % tal-PDG u d-dejn kien 34,7 % tal-PDG fl-2018.</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Fl-10 ta’ Diċembru 2019, il-gvern adotta u bagħat lill-Parlament l-Istrateġija Fiskali-Baġitarja tiegħu għall-2020-22 (l-Istrateġija Fiskali), b’mira tad-defiċit fuq il-bażi tad-dovuti ta’ 3,8 % tal-PDG fl-2019.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Iċ-ċifra ppjanata għad-defiċit tal-2019 tipprovdi evidenza </w:t>
      </w:r>
      <w:r>
        <w:rPr>
          <w:rFonts w:ascii="Times New Roman" w:hAnsi="Times New Roman"/>
          <w:i/>
          <w:iCs/>
          <w:noProof/>
        </w:rPr>
        <w:t>prima facie</w:t>
      </w:r>
      <w:r>
        <w:rPr>
          <w:rFonts w:ascii="Times New Roman" w:hAnsi="Times New Roman"/>
          <w:noProof/>
        </w:rPr>
        <w:t xml:space="preserve"> li jeżisti defiċit eċċessiv fir-Rumanija kif stabbilit mit-Trattat madankollu qabel jitqiesu l-fatturi kollha hawn isfel. </w:t>
      </w:r>
    </w:p>
    <w:p>
      <w:pPr>
        <w:keepNext/>
        <w:spacing w:before="240" w:after="120" w:line="240" w:lineRule="auto"/>
        <w:jc w:val="center"/>
        <w:rPr>
          <w:rFonts w:ascii="Times New Roman" w:eastAsia="Times New Roman" w:hAnsi="Times New Roman" w:cs="Times New Roman"/>
          <w:b/>
          <w:noProof/>
          <w:color w:val="FF0000"/>
          <w:sz w:val="24"/>
        </w:rPr>
      </w:pPr>
      <w:r>
        <w:rPr>
          <w:rFonts w:ascii="Times New Roman" w:hAnsi="Times New Roman"/>
          <w:b/>
          <w:noProof/>
        </w:rPr>
        <w:t xml:space="preserve">Tabella </w:t>
      </w:r>
      <w:r>
        <w:rPr>
          <w:rFonts w:ascii="Times New Roman" w:eastAsia="Times New Roman" w:hAnsi="Times New Roman" w:cs="Times New Roman"/>
          <w:b/>
          <w:noProof/>
        </w:rPr>
        <w:fldChar w:fldCharType="begin"/>
      </w:r>
      <w:r>
        <w:rPr>
          <w:rFonts w:ascii="Times New Roman" w:eastAsia="Times New Roman" w:hAnsi="Times New Roman" w:cs="Times New Roman"/>
          <w:b/>
          <w:noProof/>
        </w:rPr>
        <w:instrText xml:space="preserve"> SEQ Table \* ARABIC </w:instrText>
      </w:r>
      <w:r>
        <w:rPr>
          <w:rFonts w:ascii="Times New Roman" w:eastAsia="Times New Roman" w:hAnsi="Times New Roman" w:cs="Times New Roman"/>
          <w:b/>
          <w:noProof/>
        </w:rPr>
        <w:fldChar w:fldCharType="separate"/>
      </w:r>
      <w:r>
        <w:rPr>
          <w:rFonts w:ascii="Times New Roman" w:eastAsia="Times New Roman" w:hAnsi="Times New Roman" w:cs="Times New Roman"/>
          <w:b/>
          <w:noProof/>
        </w:rPr>
        <w:t>1</w:t>
      </w:r>
      <w:r>
        <w:rPr>
          <w:rFonts w:ascii="Times New Roman" w:eastAsia="Times New Roman" w:hAnsi="Times New Roman" w:cs="Times New Roman"/>
          <w:b/>
          <w:noProof/>
        </w:rPr>
        <w:fldChar w:fldCharType="end"/>
      </w:r>
      <w:r>
        <w:rPr>
          <w:rFonts w:ascii="Times New Roman" w:hAnsi="Times New Roman"/>
          <w:b/>
          <w:noProof/>
        </w:rPr>
        <w:t xml:space="preserve">. Defiċit u dejn tal-amministrazzjoni pubblika (% tal-PDG) </w:t>
      </w:r>
    </w:p>
    <w:tbl>
      <w:tblPr>
        <w:tblW w:w="9697" w:type="dxa"/>
        <w:tblLook w:val="04A0" w:firstRow="1" w:lastRow="0" w:firstColumn="1" w:lastColumn="0" w:noHBand="0" w:noVBand="1"/>
      </w:tblPr>
      <w:tblGrid>
        <w:gridCol w:w="2359"/>
        <w:gridCol w:w="733"/>
        <w:gridCol w:w="733"/>
        <w:gridCol w:w="733"/>
        <w:gridCol w:w="733"/>
        <w:gridCol w:w="733"/>
        <w:gridCol w:w="733"/>
        <w:gridCol w:w="733"/>
        <w:gridCol w:w="733"/>
        <w:gridCol w:w="733"/>
        <w:gridCol w:w="741"/>
      </w:tblGrid>
      <w:tr>
        <w:trPr>
          <w:trHeight w:val="136"/>
        </w:trPr>
        <w:tc>
          <w:tcPr>
            <w:tcW w:w="2359" w:type="dxa"/>
            <w:tcBorders>
              <w:top w:val="single" w:sz="8" w:space="0" w:color="auto"/>
              <w:left w:val="single" w:sz="8" w:space="0" w:color="auto"/>
              <w:bottom w:val="nil"/>
              <w:right w:val="nil"/>
            </w:tcBorders>
            <w:shd w:val="clear" w:color="000000" w:fill="FFFFFF"/>
            <w:vAlign w:val="center"/>
            <w:hideMark/>
          </w:tcPr>
          <w:p>
            <w:pPr>
              <w:spacing w:after="0" w:line="240" w:lineRule="auto"/>
              <w:jc w:val="center"/>
              <w:rPr>
                <w:rFonts w:ascii="Times New Roman" w:eastAsia="Times New Roman" w:hAnsi="Times New Roman" w:cs="Times New Roman"/>
                <w:b/>
                <w:bCs/>
                <w:noProof/>
                <w:color w:val="000000"/>
                <w:lang w:val="it-IT"/>
              </w:rPr>
            </w:pPr>
            <w:r>
              <w:rPr>
                <w:rFonts w:ascii="Times New Roman" w:eastAsia="Times New Roman" w:hAnsi="Times New Roman" w:cs="Times New Roman"/>
                <w:b/>
                <w:bCs/>
                <w:noProof/>
                <w:color w:val="000000"/>
                <w:lang w:val="it-IT"/>
              </w:rPr>
              <w:t> </w:t>
            </w:r>
          </w:p>
        </w:tc>
        <w:tc>
          <w:tcPr>
            <w:tcW w:w="73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lang w:val="en-US"/>
              </w:rPr>
            </w:pPr>
            <w:r>
              <w:rPr>
                <w:rFonts w:ascii="Times New Roman" w:eastAsia="Times New Roman" w:hAnsi="Times New Roman" w:cs="Times New Roman"/>
                <w:b/>
                <w:bCs/>
                <w:noProof/>
                <w:color w:val="000000"/>
                <w:lang w:val="en-US"/>
              </w:rPr>
              <w:t>2015</w:t>
            </w:r>
          </w:p>
        </w:tc>
        <w:tc>
          <w:tcPr>
            <w:tcW w:w="73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lang w:val="en-US"/>
              </w:rPr>
            </w:pPr>
            <w:r>
              <w:rPr>
                <w:rFonts w:ascii="Times New Roman" w:eastAsia="Times New Roman" w:hAnsi="Times New Roman" w:cs="Times New Roman"/>
                <w:b/>
                <w:bCs/>
                <w:noProof/>
                <w:color w:val="000000"/>
                <w:lang w:val="en-US"/>
              </w:rPr>
              <w:t>2016</w:t>
            </w:r>
          </w:p>
        </w:tc>
        <w:tc>
          <w:tcPr>
            <w:tcW w:w="73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lang w:val="en-US"/>
              </w:rPr>
            </w:pPr>
            <w:r>
              <w:rPr>
                <w:rFonts w:ascii="Times New Roman" w:eastAsia="Times New Roman" w:hAnsi="Times New Roman" w:cs="Times New Roman"/>
                <w:b/>
                <w:bCs/>
                <w:noProof/>
                <w:color w:val="000000"/>
                <w:lang w:val="en-US"/>
              </w:rPr>
              <w:t>2017</w:t>
            </w:r>
          </w:p>
        </w:tc>
        <w:tc>
          <w:tcPr>
            <w:tcW w:w="733" w:type="dxa"/>
            <w:vMerge w:val="restart"/>
            <w:tcBorders>
              <w:top w:val="single" w:sz="8" w:space="0" w:color="auto"/>
              <w:left w:val="single" w:sz="4" w:space="0" w:color="auto"/>
              <w:bottom w:val="single" w:sz="4" w:space="0" w:color="auto"/>
              <w:right w:val="nil"/>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lang w:val="en-US"/>
              </w:rPr>
            </w:pPr>
            <w:r>
              <w:rPr>
                <w:rFonts w:ascii="Times New Roman" w:eastAsia="Times New Roman" w:hAnsi="Times New Roman" w:cs="Times New Roman"/>
                <w:b/>
                <w:bCs/>
                <w:noProof/>
                <w:color w:val="000000"/>
                <w:lang w:val="en-US"/>
              </w:rPr>
              <w:t>2018</w:t>
            </w:r>
          </w:p>
        </w:tc>
        <w:tc>
          <w:tcPr>
            <w:tcW w:w="1466" w:type="dxa"/>
            <w:gridSpan w:val="2"/>
            <w:tcBorders>
              <w:top w:val="single" w:sz="8" w:space="0" w:color="auto"/>
              <w:left w:val="single" w:sz="8" w:space="0" w:color="auto"/>
              <w:bottom w:val="single" w:sz="4" w:space="0" w:color="auto"/>
              <w:right w:val="single" w:sz="4" w:space="0" w:color="000000"/>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lang w:val="en-US"/>
              </w:rPr>
            </w:pPr>
            <w:r>
              <w:rPr>
                <w:rFonts w:ascii="Times New Roman" w:eastAsia="Times New Roman" w:hAnsi="Times New Roman" w:cs="Times New Roman"/>
                <w:b/>
                <w:bCs/>
                <w:noProof/>
                <w:color w:val="000000"/>
                <w:lang w:val="en-US"/>
              </w:rPr>
              <w:t>2019</w:t>
            </w:r>
          </w:p>
        </w:tc>
        <w:tc>
          <w:tcPr>
            <w:tcW w:w="1466" w:type="dxa"/>
            <w:gridSpan w:val="2"/>
            <w:tcBorders>
              <w:top w:val="single" w:sz="8" w:space="0" w:color="auto"/>
              <w:left w:val="nil"/>
              <w:bottom w:val="single" w:sz="4" w:space="0" w:color="auto"/>
              <w:right w:val="single" w:sz="4" w:space="0" w:color="000000"/>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lang w:val="en-US"/>
              </w:rPr>
            </w:pPr>
            <w:r>
              <w:rPr>
                <w:rFonts w:ascii="Times New Roman" w:eastAsia="Times New Roman" w:hAnsi="Times New Roman" w:cs="Times New Roman"/>
                <w:b/>
                <w:bCs/>
                <w:noProof/>
                <w:color w:val="000000"/>
                <w:lang w:val="en-US"/>
              </w:rPr>
              <w:t>2020</w:t>
            </w:r>
          </w:p>
        </w:tc>
        <w:tc>
          <w:tcPr>
            <w:tcW w:w="1474" w:type="dxa"/>
            <w:gridSpan w:val="2"/>
            <w:tcBorders>
              <w:top w:val="single" w:sz="8" w:space="0" w:color="auto"/>
              <w:left w:val="nil"/>
              <w:bottom w:val="single" w:sz="4" w:space="0" w:color="auto"/>
              <w:right w:val="single" w:sz="8" w:space="0" w:color="000000"/>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lang w:val="en-US"/>
              </w:rPr>
            </w:pPr>
            <w:r>
              <w:rPr>
                <w:rFonts w:ascii="Times New Roman" w:eastAsia="Times New Roman" w:hAnsi="Times New Roman" w:cs="Times New Roman"/>
                <w:b/>
                <w:bCs/>
                <w:noProof/>
                <w:color w:val="000000"/>
                <w:lang w:val="en-US"/>
              </w:rPr>
              <w:t>2021</w:t>
            </w:r>
          </w:p>
        </w:tc>
      </w:tr>
      <w:tr>
        <w:trPr>
          <w:trHeight w:val="150"/>
        </w:trPr>
        <w:tc>
          <w:tcPr>
            <w:tcW w:w="2359" w:type="dxa"/>
            <w:tcBorders>
              <w:top w:val="nil"/>
              <w:left w:val="single" w:sz="8" w:space="0" w:color="auto"/>
              <w:bottom w:val="single" w:sz="8" w:space="0" w:color="auto"/>
              <w:right w:val="nil"/>
            </w:tcBorders>
            <w:shd w:val="clear" w:color="000000" w:fill="FFFFFF"/>
            <w:vAlign w:val="center"/>
            <w:hideMark/>
          </w:tcPr>
          <w:p>
            <w:pPr>
              <w:spacing w:after="0" w:line="240" w:lineRule="auto"/>
              <w:jc w:val="center"/>
              <w:rPr>
                <w:rFonts w:ascii="Times New Roman" w:eastAsia="Times New Roman" w:hAnsi="Times New Roman" w:cs="Times New Roman"/>
                <w:noProof/>
                <w:color w:val="000000"/>
                <w:lang w:val="en-US"/>
              </w:rPr>
            </w:pPr>
          </w:p>
        </w:tc>
        <w:tc>
          <w:tcPr>
            <w:tcW w:w="733" w:type="dxa"/>
            <w:vMerge/>
            <w:tcBorders>
              <w:top w:val="single" w:sz="8" w:space="0" w:color="auto"/>
              <w:left w:val="single" w:sz="8" w:space="0" w:color="auto"/>
              <w:bottom w:val="single" w:sz="4" w:space="0" w:color="auto"/>
              <w:right w:val="single" w:sz="4" w:space="0" w:color="auto"/>
            </w:tcBorders>
            <w:vAlign w:val="center"/>
            <w:hideMark/>
          </w:tcPr>
          <w:p>
            <w:pPr>
              <w:spacing w:after="0" w:line="240" w:lineRule="auto"/>
              <w:rPr>
                <w:rFonts w:ascii="Times New Roman" w:eastAsia="Times New Roman" w:hAnsi="Times New Roman" w:cs="Times New Roman"/>
                <w:b/>
                <w:bCs/>
                <w:noProof/>
                <w:color w:val="000000"/>
                <w:lang w:val="en-US"/>
              </w:rPr>
            </w:pPr>
          </w:p>
        </w:tc>
        <w:tc>
          <w:tcPr>
            <w:tcW w:w="733" w:type="dxa"/>
            <w:vMerge/>
            <w:tcBorders>
              <w:top w:val="single" w:sz="8" w:space="0" w:color="auto"/>
              <w:left w:val="single" w:sz="4" w:space="0" w:color="auto"/>
              <w:bottom w:val="single" w:sz="4" w:space="0" w:color="auto"/>
              <w:right w:val="single" w:sz="4" w:space="0" w:color="auto"/>
            </w:tcBorders>
            <w:vAlign w:val="center"/>
            <w:hideMark/>
          </w:tcPr>
          <w:p>
            <w:pPr>
              <w:spacing w:after="0" w:line="240" w:lineRule="auto"/>
              <w:rPr>
                <w:rFonts w:ascii="Times New Roman" w:eastAsia="Times New Roman" w:hAnsi="Times New Roman" w:cs="Times New Roman"/>
                <w:b/>
                <w:bCs/>
                <w:noProof/>
                <w:color w:val="000000"/>
                <w:lang w:val="en-US"/>
              </w:rPr>
            </w:pPr>
          </w:p>
        </w:tc>
        <w:tc>
          <w:tcPr>
            <w:tcW w:w="733" w:type="dxa"/>
            <w:vMerge/>
            <w:tcBorders>
              <w:top w:val="single" w:sz="8" w:space="0" w:color="auto"/>
              <w:left w:val="single" w:sz="4" w:space="0" w:color="auto"/>
              <w:bottom w:val="single" w:sz="4" w:space="0" w:color="auto"/>
              <w:right w:val="single" w:sz="4" w:space="0" w:color="auto"/>
            </w:tcBorders>
            <w:vAlign w:val="center"/>
            <w:hideMark/>
          </w:tcPr>
          <w:p>
            <w:pPr>
              <w:spacing w:after="0" w:line="240" w:lineRule="auto"/>
              <w:rPr>
                <w:rFonts w:ascii="Times New Roman" w:eastAsia="Times New Roman" w:hAnsi="Times New Roman" w:cs="Times New Roman"/>
                <w:b/>
                <w:bCs/>
                <w:noProof/>
                <w:color w:val="000000"/>
                <w:lang w:val="en-US"/>
              </w:rPr>
            </w:pPr>
          </w:p>
        </w:tc>
        <w:tc>
          <w:tcPr>
            <w:tcW w:w="733" w:type="dxa"/>
            <w:vMerge/>
            <w:tcBorders>
              <w:top w:val="single" w:sz="8" w:space="0" w:color="auto"/>
              <w:left w:val="single" w:sz="4" w:space="0" w:color="auto"/>
              <w:bottom w:val="single" w:sz="4" w:space="0" w:color="auto"/>
              <w:right w:val="nil"/>
            </w:tcBorders>
            <w:vAlign w:val="center"/>
            <w:hideMark/>
          </w:tcPr>
          <w:p>
            <w:pPr>
              <w:spacing w:after="0" w:line="240" w:lineRule="auto"/>
              <w:rPr>
                <w:rFonts w:ascii="Times New Roman" w:eastAsia="Times New Roman" w:hAnsi="Times New Roman" w:cs="Times New Roman"/>
                <w:b/>
                <w:bCs/>
                <w:noProof/>
                <w:color w:val="000000"/>
                <w:lang w:val="en-US"/>
              </w:rPr>
            </w:pPr>
          </w:p>
        </w:tc>
        <w:tc>
          <w:tcPr>
            <w:tcW w:w="733" w:type="dxa"/>
            <w:tcBorders>
              <w:top w:val="nil"/>
              <w:left w:val="single" w:sz="8" w:space="0" w:color="auto"/>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COM</w:t>
            </w:r>
          </w:p>
        </w:tc>
        <w:tc>
          <w:tcPr>
            <w:tcW w:w="733" w:type="dxa"/>
            <w:tcBorders>
              <w:top w:val="nil"/>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FS</w:t>
            </w:r>
          </w:p>
        </w:tc>
        <w:tc>
          <w:tcPr>
            <w:tcW w:w="733"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COM</w:t>
            </w:r>
          </w:p>
        </w:tc>
        <w:tc>
          <w:tcPr>
            <w:tcW w:w="733" w:type="dxa"/>
            <w:tcBorders>
              <w:top w:val="nil"/>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FS</w:t>
            </w:r>
          </w:p>
        </w:tc>
        <w:tc>
          <w:tcPr>
            <w:tcW w:w="733"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COM</w:t>
            </w:r>
          </w:p>
        </w:tc>
        <w:tc>
          <w:tcPr>
            <w:tcW w:w="741" w:type="dxa"/>
            <w:tcBorders>
              <w:top w:val="nil"/>
              <w:left w:val="nil"/>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FS</w:t>
            </w:r>
          </w:p>
        </w:tc>
      </w:tr>
      <w:tr>
        <w:trPr>
          <w:trHeight w:val="438"/>
        </w:trPr>
        <w:tc>
          <w:tcPr>
            <w:tcW w:w="2359" w:type="dxa"/>
            <w:tcBorders>
              <w:top w:val="nil"/>
              <w:left w:val="single" w:sz="8" w:space="0" w:color="auto"/>
              <w:bottom w:val="dotDash" w:sz="4" w:space="0" w:color="auto"/>
              <w:right w:val="nil"/>
            </w:tcBorders>
            <w:shd w:val="clear" w:color="auto" w:fill="auto"/>
            <w:vAlign w:val="center"/>
            <w:hideMark/>
          </w:tcPr>
          <w:p>
            <w:pPr>
              <w:spacing w:after="0" w:line="240" w:lineRule="auto"/>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Bilanċ tal-amministrazzjoni pubblika</w:t>
            </w:r>
          </w:p>
        </w:tc>
        <w:tc>
          <w:tcPr>
            <w:tcW w:w="733" w:type="dxa"/>
            <w:tcBorders>
              <w:top w:val="single" w:sz="8" w:space="0" w:color="auto"/>
              <w:left w:val="single" w:sz="8" w:space="0" w:color="auto"/>
              <w:bottom w:val="single" w:sz="8"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-0,6</w:t>
            </w:r>
          </w:p>
        </w:tc>
        <w:tc>
          <w:tcPr>
            <w:tcW w:w="733" w:type="dxa"/>
            <w:tcBorders>
              <w:top w:val="single" w:sz="8" w:space="0" w:color="auto"/>
              <w:left w:val="nil"/>
              <w:bottom w:val="single" w:sz="8"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-2,6</w:t>
            </w:r>
          </w:p>
        </w:tc>
        <w:tc>
          <w:tcPr>
            <w:tcW w:w="733" w:type="dxa"/>
            <w:tcBorders>
              <w:top w:val="single" w:sz="8" w:space="0" w:color="auto"/>
              <w:left w:val="nil"/>
              <w:bottom w:val="single" w:sz="8"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-2,6</w:t>
            </w:r>
          </w:p>
        </w:tc>
        <w:tc>
          <w:tcPr>
            <w:tcW w:w="733" w:type="dxa"/>
            <w:tcBorders>
              <w:top w:val="single" w:sz="8" w:space="0" w:color="auto"/>
              <w:left w:val="nil"/>
              <w:bottom w:val="single" w:sz="8"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-2,9</w:t>
            </w:r>
          </w:p>
        </w:tc>
        <w:tc>
          <w:tcPr>
            <w:tcW w:w="733" w:type="dxa"/>
            <w:tcBorders>
              <w:top w:val="nil"/>
              <w:left w:val="single" w:sz="8" w:space="0" w:color="auto"/>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-4,0</w:t>
            </w:r>
          </w:p>
        </w:tc>
        <w:tc>
          <w:tcPr>
            <w:tcW w:w="733"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-3,8</w:t>
            </w:r>
          </w:p>
        </w:tc>
        <w:tc>
          <w:tcPr>
            <w:tcW w:w="733"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-4,9</w:t>
            </w:r>
          </w:p>
        </w:tc>
        <w:tc>
          <w:tcPr>
            <w:tcW w:w="733"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-3,6</w:t>
            </w:r>
          </w:p>
        </w:tc>
        <w:tc>
          <w:tcPr>
            <w:tcW w:w="733"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-6,9</w:t>
            </w:r>
          </w:p>
        </w:tc>
        <w:tc>
          <w:tcPr>
            <w:tcW w:w="741" w:type="dxa"/>
            <w:tcBorders>
              <w:top w:val="nil"/>
              <w:left w:val="nil"/>
              <w:bottom w:val="single" w:sz="8" w:space="0" w:color="auto"/>
              <w:right w:val="single" w:sz="8" w:space="0" w:color="auto"/>
            </w:tcBorders>
            <w:shd w:val="clear" w:color="000000" w:fill="BFBFBF"/>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-3,4</w:t>
            </w:r>
          </w:p>
        </w:tc>
      </w:tr>
      <w:tr>
        <w:trPr>
          <w:trHeight w:val="294"/>
        </w:trPr>
        <w:tc>
          <w:tcPr>
            <w:tcW w:w="2359"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Times New Roman" w:eastAsia="Times New Roman" w:hAnsi="Times New Roman" w:cs="Times New Roman"/>
                <w:noProof/>
                <w:color w:val="000000"/>
                <w:lang w:val="it-IT"/>
              </w:rPr>
            </w:pPr>
            <w:r>
              <w:rPr>
                <w:rFonts w:ascii="Times New Roman" w:eastAsia="Times New Roman" w:hAnsi="Times New Roman" w:cs="Times New Roman"/>
                <w:noProof/>
                <w:color w:val="000000"/>
                <w:lang w:val="it-IT"/>
              </w:rPr>
              <w:t>Dejn gross tal-amministrazzjoni pubblika</w:t>
            </w:r>
          </w:p>
        </w:tc>
        <w:tc>
          <w:tcPr>
            <w:tcW w:w="733" w:type="dxa"/>
            <w:tcBorders>
              <w:top w:val="nil"/>
              <w:left w:val="nil"/>
              <w:bottom w:val="single" w:sz="8"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37,8</w:t>
            </w:r>
          </w:p>
        </w:tc>
        <w:tc>
          <w:tcPr>
            <w:tcW w:w="733" w:type="dxa"/>
            <w:tcBorders>
              <w:top w:val="nil"/>
              <w:left w:val="nil"/>
              <w:bottom w:val="single" w:sz="8"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37,3</w:t>
            </w:r>
          </w:p>
        </w:tc>
        <w:tc>
          <w:tcPr>
            <w:tcW w:w="733" w:type="dxa"/>
            <w:tcBorders>
              <w:top w:val="nil"/>
              <w:left w:val="nil"/>
              <w:bottom w:val="single" w:sz="8"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35,1</w:t>
            </w:r>
          </w:p>
        </w:tc>
        <w:tc>
          <w:tcPr>
            <w:tcW w:w="733" w:type="dxa"/>
            <w:tcBorders>
              <w:top w:val="nil"/>
              <w:left w:val="nil"/>
              <w:bottom w:val="single" w:sz="8" w:space="0" w:color="auto"/>
              <w:right w:val="nil"/>
            </w:tcBorders>
            <w:shd w:val="clear" w:color="auto" w:fill="auto"/>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34,7</w:t>
            </w:r>
          </w:p>
        </w:tc>
        <w:tc>
          <w:tcPr>
            <w:tcW w:w="733" w:type="dxa"/>
            <w:tcBorders>
              <w:top w:val="nil"/>
              <w:left w:val="single" w:sz="8" w:space="0" w:color="auto"/>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35,7</w:t>
            </w:r>
          </w:p>
        </w:tc>
        <w:tc>
          <w:tcPr>
            <w:tcW w:w="733"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36,4</w:t>
            </w:r>
          </w:p>
        </w:tc>
        <w:tc>
          <w:tcPr>
            <w:tcW w:w="733"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37,8</w:t>
            </w:r>
          </w:p>
        </w:tc>
        <w:tc>
          <w:tcPr>
            <w:tcW w:w="733"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37,1</w:t>
            </w:r>
          </w:p>
        </w:tc>
        <w:tc>
          <w:tcPr>
            <w:tcW w:w="733"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41,9</w:t>
            </w:r>
          </w:p>
        </w:tc>
        <w:tc>
          <w:tcPr>
            <w:tcW w:w="741" w:type="dxa"/>
            <w:tcBorders>
              <w:top w:val="nil"/>
              <w:left w:val="nil"/>
              <w:bottom w:val="single" w:sz="8" w:space="0" w:color="auto"/>
              <w:right w:val="single" w:sz="8" w:space="0" w:color="auto"/>
            </w:tcBorders>
            <w:shd w:val="clear" w:color="000000" w:fill="BFBFBF"/>
            <w:vAlign w:val="center"/>
            <w:hideMark/>
          </w:tcPr>
          <w:p>
            <w:pPr>
              <w:spacing w:after="0" w:line="240" w:lineRule="auto"/>
              <w:jc w:val="center"/>
              <w:rPr>
                <w:rFonts w:ascii="Times New Roman" w:eastAsia="Times New Roman" w:hAnsi="Times New Roman" w:cs="Times New Roman"/>
                <w:noProof/>
                <w:color w:val="000000"/>
                <w:lang w:val="en-US"/>
              </w:rPr>
            </w:pPr>
            <w:r>
              <w:rPr>
                <w:rFonts w:ascii="Times New Roman" w:eastAsia="Times New Roman" w:hAnsi="Times New Roman" w:cs="Times New Roman"/>
                <w:noProof/>
                <w:color w:val="000000"/>
                <w:lang w:val="en-US"/>
              </w:rPr>
              <w:t>37,8</w:t>
            </w:r>
          </w:p>
        </w:tc>
      </w:tr>
      <w:tr>
        <w:trPr>
          <w:trHeight w:val="143"/>
        </w:trPr>
        <w:tc>
          <w:tcPr>
            <w:tcW w:w="9697" w:type="dxa"/>
            <w:gridSpan w:val="11"/>
            <w:tcBorders>
              <w:top w:val="nil"/>
              <w:left w:val="nil"/>
              <w:bottom w:val="nil"/>
              <w:right w:val="nil"/>
            </w:tcBorders>
            <w:shd w:val="clear" w:color="000000" w:fill="FFFFFF"/>
            <w:vAlign w:val="center"/>
            <w:hideMark/>
          </w:tcPr>
          <w:p>
            <w:pPr>
              <w:spacing w:after="0" w:line="240" w:lineRule="auto"/>
              <w:rPr>
                <w:rFonts w:ascii="Times New Roman" w:eastAsia="Times New Roman" w:hAnsi="Times New Roman" w:cs="Times New Roman"/>
                <w:i/>
                <w:iCs/>
                <w:noProof/>
                <w:color w:val="000000"/>
              </w:rPr>
            </w:pPr>
            <w:r>
              <w:rPr>
                <w:rFonts w:ascii="Times New Roman" w:eastAsia="Times New Roman" w:hAnsi="Times New Roman" w:cs="Times New Roman"/>
                <w:i/>
                <w:iCs/>
                <w:noProof/>
                <w:color w:val="000000"/>
              </w:rPr>
              <w:t xml:space="preserve">Sorsi: Tbassir tax-xitwa tal-Kummissjoni għall-2020 estiż bil-varjabbli fiskali (COM) u l-Istrateġija Fiskali 2020-22 (SF) </w:t>
            </w:r>
          </w:p>
        </w:tc>
      </w:tr>
    </w:tbl>
    <w:p>
      <w:pPr>
        <w:spacing w:before="120" w:after="120" w:line="240" w:lineRule="auto"/>
        <w:jc w:val="center"/>
        <w:rPr>
          <w:rFonts w:ascii="Times New Roman" w:eastAsia="Times New Roman" w:hAnsi="Times New Roman" w:cs="Calibri"/>
          <w:noProof/>
          <w:sz w:val="24"/>
          <w:highlight w:val="yellow"/>
        </w:rPr>
      </w:pPr>
    </w:p>
    <w:p>
      <w:pPr>
        <w:spacing w:before="120" w:after="120" w:line="240" w:lineRule="auto"/>
        <w:jc w:val="both"/>
        <w:rPr>
          <w:rFonts w:ascii="Times New Roman" w:eastAsia="Times New Roman" w:hAnsi="Times New Roman" w:cs="Calibri"/>
          <w:noProof/>
          <w:sz w:val="24"/>
        </w:rPr>
      </w:pPr>
      <w:r>
        <w:rPr>
          <w:rFonts w:ascii="Times New Roman" w:hAnsi="Times New Roman"/>
          <w:noProof/>
        </w:rPr>
        <w:t>Il-Kummissjoni għalhekk ħejjiet ir-rapport preżenti. L-iskop tiegħu huwa li jivvaluta b’mod komprensiv it-tluq ippjanat mill-kriterju tad-defiċit, b’rispett dovut tal-isfond ekonomiku u tal-fatturi rilevanti l-oħra kollha, biex jiġi eżaminat jekk it-tnedija tal-proċedura ta’ defiċit eċċessiv kenitx ġustifikata. Taqsima 2 tar-rapport teżamina l-kriterju tad-defiċit. Taqsima 3 teżamina l-kriterju tad-dejn. Taqsima 4 tittratta l-investiment pubbliku u fatturi rilevanti oħra, inkluża l-pożizzjoni ekonomika u baġitarja ta’ terminu medju tar-Rumanija. L-analiżi f'dan ir-rapport hija bbażata fuq it-tbassir interim għax-xitwa tal-Kummissjoni tal-2020 li jinkludi biss ċifri ta’ PDG u ta’ inflazzjoni u għalhekk ġie kkumplimentat għall-iskop ta’ dan ir-rapport bi projettazzjonijiet għall-varjabbli fiskali.</w:t>
      </w:r>
    </w:p>
    <w:p>
      <w:pPr>
        <w:pStyle w:val="ManualHeading1"/>
        <w:rPr>
          <w:noProof/>
        </w:rPr>
      </w:pPr>
      <w:r>
        <w:rPr>
          <w:noProof/>
        </w:rPr>
        <w:t>2.</w:t>
      </w:r>
      <w:r>
        <w:rPr>
          <w:noProof/>
        </w:rPr>
        <w:tab/>
        <w:t>Kriterju ta’ defiċit</w:t>
      </w:r>
    </w:p>
    <w:p>
      <w:pPr>
        <w:spacing w:before="120" w:after="120" w:line="240" w:lineRule="auto"/>
        <w:jc w:val="both"/>
        <w:rPr>
          <w:rFonts w:ascii="Times New Roman" w:eastAsia="Times New Roman" w:hAnsi="Times New Roman" w:cs="Times New Roman"/>
          <w:noProof/>
          <w:sz w:val="24"/>
          <w:highlight w:val="yellow"/>
        </w:rPr>
      </w:pPr>
      <w:r>
        <w:rPr>
          <w:rFonts w:ascii="Times New Roman" w:hAnsi="Times New Roman"/>
          <w:noProof/>
        </w:rPr>
        <w:t xml:space="preserve">Ir-Rumanija rreġistrat defiċit tal-amministrazzjoni pubblika ta’ 2,9 % tal-PDG fl-2018. Skont l-Istrateġija Fiskali, id-defiċit ġenerali tar-Rumanija huwa ppjanat li jkun żdied għal 3,8 % tal-PDG fl-2019. Dan huwa ħafna aktar u </w:t>
      </w:r>
      <w:r>
        <w:rPr>
          <w:rFonts w:ascii="Times New Roman" w:hAnsi="Times New Roman"/>
          <w:noProof/>
          <w:u w:val="single"/>
        </w:rPr>
        <w:t>bogħod</w:t>
      </w:r>
      <w:r>
        <w:rPr>
          <w:rFonts w:ascii="Times New Roman" w:hAnsi="Times New Roman"/>
          <w:noProof/>
        </w:rPr>
        <w:t xml:space="preserve"> mill-valur referenzjarju tat-Trattat ta’ 3 % tal-PDG. </w:t>
      </w:r>
    </w:p>
    <w:p>
      <w:pPr>
        <w:spacing w:before="120" w:after="120" w:line="240" w:lineRule="auto"/>
        <w:jc w:val="both"/>
        <w:rPr>
          <w:rFonts w:ascii="Times New Roman" w:eastAsia="Times New Roman" w:hAnsi="Times New Roman" w:cs="Times New Roman"/>
          <w:noProof/>
          <w:sz w:val="24"/>
          <w:highlight w:val="yellow"/>
        </w:rPr>
      </w:pPr>
      <w:r>
        <w:rPr>
          <w:rFonts w:ascii="Times New Roman" w:hAnsi="Times New Roman"/>
          <w:noProof/>
        </w:rPr>
        <w:t xml:space="preserve">L-eċċess fuq il-valur ta’ referenza tat-Trattat fl-2019 ukoll </w:t>
      </w:r>
      <w:r>
        <w:rPr>
          <w:rFonts w:ascii="Times New Roman" w:hAnsi="Times New Roman"/>
          <w:noProof/>
          <w:u w:val="single"/>
        </w:rPr>
        <w:t>m’huwiex eċċezzjonali</w:t>
      </w:r>
      <w:r>
        <w:rPr>
          <w:rFonts w:ascii="Times New Roman" w:hAnsi="Times New Roman"/>
          <w:noProof/>
        </w:rPr>
        <w:t xml:space="preserve"> għall-iskopijiet tat-Trattat u l-PST minħabba li ma tirriżulta la minn avveniment mhux tas-soltu u lanqas minn tnaqqis qawwi fir-rittmu ekonomiku. It-tbassir tax-xitwa 2020 tal-Kummissjoni jipprojetta tkabbir reali tal-PDG ta’ 3,9 % fl-2019 u 3,8 % fl-2020 filwaqt li  d-distakk fl-output huwa proġettat li jkun madwar żero. Elementi ta’ darba ammontaw għal 0,1 % tal-PDG fl-2019 u kienu minħabba rifużjoni tat-taxxa tal-boll għall-ambjent fuq il-karozzi.</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rPr>
        <w:t xml:space="preserve">Fl-aħħar nett, l-eċċess fuq it-3 % tal-valur referenzjarju tal-PDG </w:t>
      </w:r>
      <w:r>
        <w:rPr>
          <w:rFonts w:ascii="Times New Roman" w:hAnsi="Times New Roman"/>
          <w:noProof/>
          <w:u w:val="single"/>
        </w:rPr>
        <w:t>mhuwiex temporanju</w:t>
      </w:r>
      <w:r>
        <w:rPr>
          <w:rFonts w:ascii="Times New Roman" w:hAnsi="Times New Roman"/>
          <w:noProof/>
        </w:rPr>
        <w:t xml:space="preserve"> għall-iskopijiet tat-trattat u l-PST. Fil-fatt it-tbassir baġitarju mill-Kummissjoni, u mill-gvern fl-Istrateġija Fiskali, jiprojettaw li d-defiċit jibqa fuq il-valur referenzjarju fl-2020 u l-2021. It-tbassir tax-xitwa tal-2020 tal-Kummissjoni, estiż għall-varjabbli fiskali, jipprojetta defiċit tal-amministrazzjoni pubblika ta’ 4,0 % tal-PDG fl-2019, 4,9 % fl-2020 u 6,9 % fl-2021. Iż-żieda mbassra fid-defiċit hija xprunata l-aktar minn żidiet sinifikanti fil-pensjonijiet li ġew ippromulgati fis-sajf tal-2019, b’mod partikolari żieda fil-pensjonijiet ta’ 40 % skedata għal Settembru 2020 u żieda oħra ta’ rikalkulazzjoni ta’ pensjonijiet skedata għal Settembru 2021.  Barra minn hekk, bejn Diċembru 2019 u Jannar 2020, l-awtoritajiet adottaw tnaqqis ġdid fit-taxxa (tnaqqis tad-dazji tas-sisa fuq il-fjuwil u tal-kontribuzzjonijiet tas-sigurtà soċjali fuq ħaddiema part-time u t-tneħħija ta’ taxxi speċjali fuq is-setturi bankarji u tal-enerġija) u rdoppjaw l-allowance tat-tfal (li għandha tidħol fis-seħħ minn Awwissu 2020). Fl-istrateġija Fiskali, il-gvern jipprojetta defiċit tal-amministrazzjoni pubblika ta’ 3,6 % tal-PDG fl-2020 u 3,4 % fl-2021. </w:t>
      </w:r>
      <w:r>
        <w:rPr>
          <w:rFonts w:ascii="Times New Roman" w:hAnsi="Times New Roman"/>
          <w:noProof/>
        </w:rPr>
        <w:cr/>
      </w:r>
      <w:r>
        <w:rPr>
          <w:rFonts w:ascii="Times New Roman" w:hAnsi="Times New Roman"/>
          <w:noProof/>
        </w:rPr>
        <w:br/>
        <w:t xml:space="preserve"> It-tbassir tad-defiċit aktar baxx fl-Istrateġija Fiskali, meta mqabbel mal-previżjoni tal-Kummissjoni, jirriżulta, b’mod partikolari, minn: (1) projezzjonijiet makroekonomiċi sottostanti aktar ottimisti; (2) moderazzjoni ta’ nfiq previst fuq oġġetti u servizzi, li mhuwiex appoġġjat b’mod sħiħ minn miżuri fis-seħħ;  (3) il-fatt li l-Istrateġija Fiskali tidher li ma tqisx l-impatt baġitarju sħiħ taż-żidiet tal-pensjonijiet promulgati, b’mod partikolari fl-2021 u lil hinn;  (4) il-fatt li l-Istrateġija Fiskali ma tqisx l-impatt tat-tnaqqis fit-taxxi u l-irduppjar tal-allowance għat-tfal.</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rPr>
        <w:t>Fil-qosor, id-defiċit ippjanat għall-2019 huwa ogħla u mhux qrib il-valur referenzjarju tat-Trattat ta’ 3 % tal-PDG. L-eċċess jitqies li la huwa eċċezzjonali u lanqas temporanju għall-finijiet tat-Trattat u tal-PST</w:t>
      </w:r>
      <w:r>
        <w:rPr>
          <w:noProof/>
        </w:rPr>
        <w:t>.</w:t>
      </w:r>
      <w:r>
        <w:rPr>
          <w:rFonts w:ascii="Times New Roman" w:hAnsi="Times New Roman"/>
          <w:bCs/>
          <w:noProof/>
        </w:rPr>
        <w:t xml:space="preserve"> L-analiżi għalhekk tissuġġerixxi li </w:t>
      </w:r>
      <w:r>
        <w:rPr>
          <w:rFonts w:ascii="Times New Roman" w:hAnsi="Times New Roman"/>
          <w:bCs/>
          <w:i/>
          <w:noProof/>
        </w:rPr>
        <w:t>prima facie</w:t>
      </w:r>
      <w:r>
        <w:rPr>
          <w:rFonts w:ascii="Times New Roman" w:hAnsi="Times New Roman"/>
          <w:bCs/>
          <w:noProof/>
        </w:rPr>
        <w:t xml:space="preserve"> l-kriterju tad-defiċit għall-fini tat-Trattat u r-Regolament (KE) Nru 1467/97 mhux sodisfatt.  Madankollu, jitqiesu l-fatturi rilevanti kollha stabbiliti hawn taħt.</w:t>
      </w:r>
    </w:p>
    <w:p>
      <w:pPr>
        <w:pStyle w:val="ManualHeading1"/>
        <w:rPr>
          <w:noProof/>
        </w:rPr>
      </w:pPr>
      <w:r>
        <w:rPr>
          <w:noProof/>
        </w:rPr>
        <w:t>3.</w:t>
      </w:r>
      <w:r>
        <w:rPr>
          <w:noProof/>
        </w:rPr>
        <w:tab/>
        <w:t>Il-kriterju tad-dejn</w:t>
      </w:r>
    </w:p>
    <w:p>
      <w:pPr>
        <w:spacing w:before="120" w:after="120" w:line="240" w:lineRule="auto"/>
        <w:jc w:val="both"/>
        <w:rPr>
          <w:rFonts w:ascii="Times New Roman" w:eastAsia="Times New Roman" w:hAnsi="Times New Roman" w:cs="Times New Roman"/>
          <w:noProof/>
          <w:sz w:val="24"/>
          <w:highlight w:val="yellow"/>
        </w:rPr>
      </w:pPr>
      <w:r>
        <w:rPr>
          <w:rFonts w:ascii="Times New Roman" w:hAnsi="Times New Roman"/>
          <w:noProof/>
        </w:rPr>
        <w:t>Id-dejn tal-amministrazzjoni pubblika tar-Rumanija kien jammonta għal 34,7 % tal-PDG fl-2018. Kemm l-Istrateġija Fiskali kif ukoll it-tbassir tax-xitwa 2020 tal-Kummissjoni jipprevedu li d-dejn ġenerali tal-gvern se jiżdied sal-2021 iżda li jibqa’ taħt il-valur ta’ referenza tat-Trattat. Skont l-Istrateġija Fiskali, id-dejn huwa previst li jiżdied għal 37,8 % fl-2021.  It-tbassir tax-xitwa 2020 tal-Kummissjoni jipprevedi żieda aktar qawwija, għal 41,9 % fl-2021.  Id-differenza bejn iż-żewġ settijiet ta’ projezzjonijiet tirriżulta prinċipalment minn defiċits tal-amministrazzjoni pubblika ppjanati aktar baxxi fl-Istrateġija Fiskali.</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Ir-Rumanija għalhekk tikkonforma mal-kriterju tad-dejn kif definit fit-Trattat u fir-Regolament (KE) Nru 1467/97. </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rPr>
        <w:t>4.</w:t>
      </w:r>
      <w:r>
        <w:rPr>
          <w:rFonts w:ascii="Times New Roman" w:hAnsi="Times New Roman"/>
          <w:b/>
          <w:smallCaps/>
          <w:noProof/>
        </w:rPr>
        <w:tab/>
        <w:t>Fatturi Rilevanti</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rPr>
        <w:t xml:space="preserve">L-Artikolu 126(3) </w:t>
      </w:r>
      <w:r>
        <w:rPr>
          <w:rFonts w:ascii="Times New Roman" w:hAnsi="Times New Roman"/>
          <w:noProof/>
        </w:rPr>
        <w:t xml:space="preserve">tat-Trattat </w:t>
      </w:r>
      <w:r>
        <w:rPr>
          <w:rFonts w:ascii="Times New Roman" w:hAnsi="Times New Roman"/>
          <w:bCs/>
          <w:noProof/>
        </w:rPr>
        <w:t>jipprevedi li r-rapport tal-Kummissjoni “</w:t>
      </w:r>
      <w:r>
        <w:rPr>
          <w:rFonts w:ascii="Times New Roman" w:hAnsi="Times New Roman"/>
          <w:bCs/>
          <w:i/>
          <w:noProof/>
        </w:rPr>
        <w:t>għandu jqis ukoll jekk id-defiċit tal-gvern jaqbiżx l-infiq tal-gvern f’investiment u jqis il-fatturi l-oħra kollha rilevanti, inkluża l-pożizzjoni ekonomika u baġitarja tal-Istat Membru fuq perjodu ta’ żmien medju</w:t>
      </w:r>
      <w:r>
        <w:rPr>
          <w:rFonts w:ascii="Times New Roman" w:hAnsi="Times New Roman"/>
          <w:noProof/>
        </w:rPr>
        <w:t>”</w:t>
      </w:r>
      <w:r>
        <w:rPr>
          <w:rFonts w:ascii="Times New Roman" w:hAnsi="Times New Roman"/>
          <w:bCs/>
          <w:noProof/>
        </w:rPr>
        <w:t xml:space="preserve">. </w:t>
      </w:r>
      <w:r>
        <w:rPr>
          <w:rFonts w:ascii="Times New Roman" w:hAnsi="Times New Roman"/>
          <w:noProof/>
        </w:rPr>
        <w:t>Dawk il-fatturi huma ċċarati aktar fl-Artikolu 2(3) tar-Regolament (KE) Nru 1467/97, li jipprovdi wkoll li “</w:t>
      </w:r>
      <w:r>
        <w:rPr>
          <w:rFonts w:ascii="Times New Roman" w:hAnsi="Times New Roman"/>
          <w:i/>
          <w:noProof/>
        </w:rPr>
        <w:t>kwalunkwe fattur ieħor li, fl-opinjoni tal-Istat Membru kkonċernat, huwa rilevanti sabiex tiġi vvalutata b’mod komprensiv il-konformità mal-kriterji tad-defiċit u d-dejn u li l-Istat Membru ressaq lill-Kunsill u lill-Kummissjoni</w:t>
      </w:r>
      <w:r>
        <w:rPr>
          <w:rFonts w:ascii="Times New Roman" w:hAnsi="Times New Roman"/>
          <w:noProof/>
        </w:rPr>
        <w:t xml:space="preserve">” jeħtieġ li jingħata kunsiderazzjoni xierqa.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Skont l-Artikolu 2(4) tar-Regolament (KE) Nru 1467/97, kull meta l-proporzjon tad-dejn tal-gvern mal-PDG ma jaqbiżx il-valur ta’ referenza, se jitqiesu l-fatturi rilevanti fil-passi li jwasslu għad-deċiżjoni dwar l-eżistenza ta’ defiċit eċċessiv previst fil-paragrafi 4, 5 u 6 tal-Artikolu 126 tat-Trattat. </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rPr>
        <w:t>Fid-dawl ta’ dawk id-dispożizzjonijiet, is-subsezzjonijiet li ġejjin iqisu min-naħa tagħhom (1) il-pożizzjoni ekonomika fuq perjodu ta’ żmien medju;  (2) il-pożizzjoni baġitarja fuq terminu medju, inkluża valutazzjoni tal-konformità mal-perkors ta’ aġġustament lejn l-OTM, l-iżvilupp tal-investiment pubbliku u l-funzjonament tal-qafas fiskali nazzjonali;  (3) l-iżviluppi fil-pożizzjoni tad-dejn tal-gvern għal perjodu ta’ żmien medju, id-dinamika u s-sostenibbiltà tagħha; kif ukoll (4) fatturi oħra ppreżentati mill-Istat Membru.</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rPr>
        <w:t>4.1.</w:t>
      </w:r>
      <w:r>
        <w:rPr>
          <w:rFonts w:ascii="Times New Roman" w:hAnsi="Times New Roman"/>
          <w:b/>
          <w:noProof/>
        </w:rPr>
        <w:tab/>
        <w:t>Pożizzjoni ekonomika fuq medda medja ta’ żmien</w:t>
      </w:r>
    </w:p>
    <w:p>
      <w:pPr>
        <w:spacing w:before="120" w:after="120" w:line="240" w:lineRule="auto"/>
        <w:jc w:val="both"/>
        <w:rPr>
          <w:rFonts w:ascii="Times New Roman" w:eastAsia="Times New Roman" w:hAnsi="Times New Roman" w:cs="Calibri"/>
          <w:bCs/>
          <w:i/>
          <w:noProof/>
          <w:sz w:val="24"/>
          <w:highlight w:val="yellow"/>
        </w:rPr>
      </w:pPr>
      <w:r>
        <w:rPr>
          <w:rFonts w:ascii="Times New Roman" w:hAnsi="Times New Roman"/>
          <w:bCs/>
          <w:i/>
          <w:noProof/>
        </w:rPr>
        <w:t>Il-PDG reali kien qed jikber b’mod robust f’dawn l-aħħar snin, xprunat mill-konsum. It-tkabbir potenzjali tal-PDG huwa għoli iżda projettat li jonqos gradwalment, minħabba tnaqqis fir-ritmu tat-tkabbir tal-produttività totali u xejriet demografiċi negattivi.  Ir-Rumanija għamlet progress limitat fir-rigward tar-riformi strutturali.</w:t>
      </w:r>
    </w:p>
    <w:p>
      <w:pPr>
        <w:spacing w:before="120" w:after="120" w:line="240" w:lineRule="auto"/>
        <w:ind w:left="851" w:hanging="851"/>
        <w:jc w:val="both"/>
        <w:rPr>
          <w:rFonts w:ascii="Times New Roman" w:eastAsia="Times New Roman" w:hAnsi="Times New Roman" w:cs="Times New Roman"/>
          <w:b/>
          <w:noProof/>
          <w:sz w:val="24"/>
        </w:rPr>
      </w:pPr>
      <w:r>
        <w:rPr>
          <w:rFonts w:ascii="Times New Roman" w:hAnsi="Times New Roman"/>
          <w:b/>
          <w:noProof/>
        </w:rPr>
        <w:t xml:space="preserve">Kundizzjonijiet ċikliċi u tkabbir potenzjali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Il-PDG reali kien qed jikber b’mod robust f’dawn l-aħħar snin, xprunat mill-konsum. It-tkabbir reali tal-PDG laħaq l-ogħla livell ta’ 7,1 % fl-2017 u minn hemm’ il quddiem immoderat għal 4,4 % fl-2018 u mistenni li t-tbassir tax-xitwa 2020 tal-Kummissjoni jkun ta’ 3,9 % fl-2019. Il-konsum privat baqa’ l-ixprun ewlieni tat-tkabbir, ir-riżultat ta’ suq tax-xogħol ristrett u żidiet għoljin fil-pagi, b’mod partikolari fis-settur pubbliku. L-investiment huwa mistenni li jkun ta kontribut sinifikanti għat-tkabbir fl-2019, appoġġat prinċipalment bil-kostruzzjoni.  Il-kontribut tal-esportazzjonijiet netti għat-tkabbir tal-PDG kien negattiv mill-2014 f’kuntest ta’ telf gradwali fil-kompetittività tal-ispejjeż. Fl-2019 sar saħansitra aktar negattiv hekk kif it-tkabbir fl-esportazzjonijiet naqas aktar minn dak tal-importazzjonijiet.  Id-domanda esterna kajmana kienet l-ixprun ewlieni wara t-tkabbir tal-esportazzjoni aktar dgħajjef u wasslet ukoll għal tnaqqis fil-produzzjoni industrijali. B’riżultat ta’ dan, id-defiċit fil-kont kurrenti żdied b’mod stabbli, u laħaq il-mira ta’ 5,1 % tal-PDG fl-2019.</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It-tkabbir reali tal-PDG huwa mbassar mill-Kummissjoni li jimmodera iżda jibqa’ b’saħħtu ta’ 3,8 % fl-2020 u 3,5 % fl-2021.  L-istimolu fiskali sinifikanti ppjanat fl-2020 u l-2021 huwa mistenni li jagħti spinta ġdida lill-konsum privat filwaqt li jistimula wkoll l-importazzjonijiet. L-investiment huwa mistenni li jibqa’ b’saħħtu fl-2020, appoġġat mill-kostruzzjoni u ppjanat aktar użu tal-fondi ta’ investiment tal-UE. Il-kontribut tal-esportazzjonijiet netti huwa mistenni li jibqa’ negattiv matul il-perjodu ta’ tbassir, u b’hekk jikkontribwixxi għad-deterjorament tad-defiċit fil-kont kurrenti li diġà huwa għoli.</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Skont l-estimi tal-Kummissjoni, abbażi tal-previżjoni tax-xitwa tal-2020, it-tkabbir potenzjali tal-PDG huwa projettat li jonqos gradwalment, minn 4,7 % fl-2018 għal 3,9 % fl-2021.  Il-produttività tal-fatturi totali hija mistennija li tnaqqas ir-ritmu, iżda tibqa’ l-kontributur ewlieni għat-tkabbir potenzjali tal-PDG. Il-kontribuzzjoni tal-akkumulazzjoni tal-kapital hija pproġettata li tibqa’ relattivament stabbli.  Min-naħa l-oħra, il-kontribuzzjoni (diġà żgħira) ta’ xogħol hija prevista li ssir negattiva, prinċipalment minħabba t-tnaqqis fix-xejra tal-popolazzjoni fl-età tax-xogħol.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Huwa previst li l-marġni tal-potenzjal tal-produzzjoni naqas għal 0,1 % tal-PDG potenzjali fl-2019, minn 0,6 % fl-2018.  Huwa pprojettat mill-Kummissjoni li wara ssir xi ftit negattiva wara, għal -0,1 % fl-2020 u -0,5 % fl-2021.</w:t>
      </w:r>
    </w:p>
    <w:p>
      <w:pPr>
        <w:spacing w:before="120" w:after="120" w:line="240" w:lineRule="auto"/>
        <w:jc w:val="both"/>
        <w:rPr>
          <w:rFonts w:ascii="Times New Roman" w:eastAsia="Times New Roman" w:hAnsi="Times New Roman" w:cs="Times New Roman"/>
          <w:noProof/>
          <w:sz w:val="24"/>
          <w:highlight w:val="yellow"/>
        </w:rPr>
      </w:pPr>
    </w:p>
    <w:p>
      <w:pPr>
        <w:keepNext/>
        <w:spacing w:before="120" w:after="120" w:line="240" w:lineRule="auto"/>
        <w:jc w:val="center"/>
        <w:rPr>
          <w:rFonts w:ascii="Times New Roman" w:eastAsia="Times New Roman" w:hAnsi="Times New Roman" w:cs="Times New Roman"/>
          <w:noProof/>
          <w:highlight w:val="yellow"/>
          <w:vertAlign w:val="superscript"/>
        </w:rPr>
      </w:pPr>
      <w:r>
        <w:rPr>
          <w:rFonts w:ascii="Times New Roman" w:hAnsi="Times New Roman"/>
          <w:b/>
          <w:noProof/>
        </w:rPr>
        <w:t xml:space="preserve">Tabella 2: Żviluppi makroekonomiċi u baġitarji (% tal-PDG)  </w:t>
      </w:r>
    </w:p>
    <w:p>
      <w:pPr>
        <w:keepNext/>
        <w:spacing w:before="120" w:after="120" w:line="240" w:lineRule="auto"/>
        <w:jc w:val="center"/>
        <w:rPr>
          <w:rFonts w:ascii="Times New Roman" w:eastAsia="Times New Roman" w:hAnsi="Times New Roman" w:cs="Times New Roman"/>
          <w:noProof/>
          <w:highlight w:val="yellow"/>
          <w:vertAlign w:val="superscript"/>
        </w:rPr>
      </w:pPr>
      <w:r>
        <w:rPr>
          <w:noProof/>
          <w:highlight w:val="yellow"/>
          <w:lang w:val="en-GB" w:eastAsia="en-GB"/>
        </w:rPr>
        <w:drawing>
          <wp:inline distT="0" distB="0" distL="0" distR="0">
            <wp:extent cx="5731510" cy="3096413"/>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096413"/>
                    </a:xfrm>
                    <a:prstGeom prst="rect">
                      <a:avLst/>
                    </a:prstGeom>
                    <a:noFill/>
                    <a:ln>
                      <a:noFill/>
                    </a:ln>
                  </pic:spPr>
                </pic:pic>
              </a:graphicData>
            </a:graphic>
          </wp:inline>
        </w:drawing>
      </w:r>
    </w:p>
    <w:p>
      <w:pPr>
        <w:rPr>
          <w:rFonts w:ascii="Times New Roman" w:eastAsia="Times New Roman" w:hAnsi="Times New Roman" w:cs="Times New Roman"/>
          <w:b/>
          <w:noProof/>
          <w:sz w:val="24"/>
        </w:rPr>
      </w:pPr>
    </w:p>
    <w:p>
      <w:pPr>
        <w:rPr>
          <w:b/>
          <w:noProof/>
          <w:color w:val="FF0000"/>
        </w:rPr>
      </w:pPr>
      <w:r>
        <w:rPr>
          <w:rFonts w:ascii="Times New Roman" w:hAnsi="Times New Roman"/>
          <w:b/>
          <w:noProof/>
        </w:rPr>
        <w:t xml:space="preserve">Riformi strutturali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Fi Frar 2019, il-Kummissjoni kkonkludiet li r-Rumanija kienet qed tesperjenza żbilanċi makroekonomiċi</w:t>
      </w:r>
      <w:r>
        <w:rPr>
          <w:rStyle w:val="FootnoteReference"/>
          <w:rFonts w:eastAsiaTheme="minorHAnsi"/>
          <w:noProof/>
        </w:rPr>
        <w:footnoteReference w:id="5"/>
      </w:r>
      <w:r>
        <w:rPr>
          <w:rFonts w:ascii="Times New Roman" w:hAnsi="Times New Roman"/>
          <w:noProof/>
        </w:rPr>
        <w:t>. Il-Kummissjoni sabet li l-vulnerabbiltajiet huma marbuta ma’ telf fil-kompetittività tal-kostijiet u żieda fid-defiċit tal-kont kurrenti f’kuntest ta’ politika fiskali espansjonarja u ambjent tan-negozju imprevedibbli. F’Lulju 2019, il-Kunsill ħareġ rakkomandazzjonijiet speċifiċi għall-pajjiż</w:t>
      </w:r>
      <w:r>
        <w:rPr>
          <w:rStyle w:val="FootnoteReference"/>
          <w:rFonts w:eastAsiaTheme="minorHAnsi"/>
          <w:noProof/>
        </w:rPr>
        <w:footnoteReference w:id="6"/>
      </w:r>
      <w:r>
        <w:rPr>
          <w:rFonts w:ascii="Times New Roman" w:hAnsi="Times New Roman"/>
          <w:noProof/>
        </w:rPr>
        <w:t>li jitolbu miżuri biex jiġu indirizzati dawn l-iżbilanċi, fost kwistjonijiet strutturali oħra.</w:t>
      </w:r>
      <w:r>
        <w:rPr>
          <w:noProof/>
        </w:rPr>
        <w:t xml:space="preserv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B’mod partikolari, il-Kunsill irrakkomanda li r-Rumanija tiżgura l-applikazzjoni sħiħa tal-qafas fiskali, issaħħaħ il-konformità u l-ġbir tat-taxxa, tissalvagwardja l-istabbiltà finanzjarja u r-robustezza tas-settur bankarju, tiżgura s-sostenibbiltà tas-sistema tal-pensjonijiet pubbliċi u l-vijabbiltà fit-tul tal-fondi tal-pensjonijiet tat-tieni pilastru, tiżgura l-istabbiliment tal-paga minima abbażi ta’ kriterji oġġettivi, u </w:t>
      </w:r>
      <w:r>
        <w:rPr>
          <w:noProof/>
        </w:rPr>
        <w:t>t</w:t>
      </w:r>
      <w:r>
        <w:rPr>
          <w:rFonts w:ascii="Times New Roman" w:hAnsi="Times New Roman"/>
          <w:noProof/>
        </w:rPr>
        <w:t>iżgura li l-inizjattivi leġiżlattivi ma jimminawx iċ-ċertezza legali u jsaħħu l-governanza korporattiva tal-intrapriżi tal-istat.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L-awtoritajiet komplew jidderogaw mir-regoli li jinsabu fil-qafas fiskali nazzjonali, u b’hekk ġabuhom ineffettivi.</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Il-proporzjonijiet ta’ konformità għall-preżentazzjoni tad-dikjarazzjonijiet tat-taxxa baqgħu relattivament stabbli. Id-diskrepanza tal-VAT hija stmata li waqgħet fl-2017 u fl-2018.  Madankollu, għadha fost l-ogħla fl-UE.</w:t>
      </w:r>
      <w:r>
        <w:rPr>
          <w:rFonts w:ascii="Times New Roman" w:hAnsi="Times New Roman"/>
          <w:noProof/>
        </w:rPr>
        <w:cr/>
      </w:r>
      <w:r>
        <w:rPr>
          <w:rFonts w:ascii="Times New Roman" w:hAnsi="Times New Roman"/>
          <w:noProof/>
        </w:rPr>
        <w:br/>
        <w:t xml:space="preserve"> L-awtoritajiet tat-taxxa ma laħqux il-miri tagħhom ta’ ġbir tad-dħul għall-2019, parzjalment minħabba pronjożi ottimista żżejjed ta’ dawk il-miri.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Is-sostenibbiltà tas-sistema pubblika tal-pensjonijiet marret għall-agħar bis-sistema l-ġdida tal-liġi tal-pensjonijiet, adottata fis-sajf tal-2019 li żżid b’mod sinifikanti l-infiq pubbliku fuq il-pensjonijiet f’perjodu qasir ħafna. Min-naħa l-oħra, fil-bidu tal-2020, ir-Rumanija ħassret jew emendat parti mid-dispożizzjonijiet legali li heddew il-vijabbiltà fit-tul tal-fondi tal-pensjonijiet tat-tieni pilastru.</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Fil-bidu tal-2020, ir-Rumanija neħħiet ukoll it-taxxa tal-bank fuq l-assi totali, filwaqt li indirizzat it-tħassib rigward l-istabbiltà finanzjarja u r-robustezza tas-settur bankarju.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Skont l-awtoritajiet, iż-żieda fil-paga minima mill-1 ta’ Jannar 2020 kienet ibbażata fuq formula li tqis diversi indikaturi ekonomiċi.  Madankollu, mekkaniżmu oġġettiv mhuwiex fis-seħħ.</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Fir-rigward tal-prevedibbiltà tat-teħid tad-deċiżjonijiet, l-għadd ta’ ordinanzi ta’ emerġenza għadu għoli ħafna, filwaqt li għad hemm nuqqas ta’ valutazzjoni tal-impatt regolatorju </w:t>
      </w:r>
      <w:r>
        <w:rPr>
          <w:rFonts w:ascii="Times New Roman" w:hAnsi="Times New Roman"/>
          <w:i/>
          <w:iCs/>
          <w:noProof/>
        </w:rPr>
        <w:t>ex-ante</w:t>
      </w:r>
      <w:r>
        <w:rPr>
          <w:rFonts w:ascii="Times New Roman" w:hAnsi="Times New Roman"/>
          <w:noProof/>
        </w:rPr>
        <w:t xml:space="preserve"> u l-kwalità tal-konsultazzjonijiet pubbliċi qed tiddeterjora.  Il-liġi dwar il-governanza korporattiva tal-intrapriżi tal-Istat għadha biss applikata b’mod laxk.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rPr>
        <w:t>4.2.</w:t>
      </w:r>
      <w:r>
        <w:rPr>
          <w:rFonts w:ascii="Times New Roman" w:hAnsi="Times New Roman"/>
          <w:b/>
          <w:noProof/>
        </w:rPr>
        <w:tab/>
        <w:t xml:space="preserve">Pożizzjoni baġitarja fuq medda medja ta’ żmien </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i/>
          <w:noProof/>
        </w:rPr>
        <w:t>Mill-2016, ir-Rumanija ilha ssegwi politika fiskali espansjonarja bbażata fuq tnaqqis fit-taxxi u żidiet fl-infiq attwali.  Id-defiċit strutturali huwa stmat mill-previżjoni tax-xitwa 2020 tal-Kummissjoni (estiża b’varjabbli fiskali) li żdied minn 0.2 % tal-PDG fl-2015 għal 3.9 % fl-2019.  Mir-rebbiegħa tal-2017, il-Kunsill ħareġ rakkomandazzjonijiet darbtejn fis-sena taħt l-SDP, li r-Rumanija ma weġbitx għalihom b’azzjoni effettiva, li ripetutament iddevjaw b’mod sinifikanti mill-perkors ta’ aġġustament rakkomandat. L-awtoritajiet b’mod sistematiku ngħataw deroga mir-regoli fiskali nazzjonali, u b’hekk irrenduhom ineffettivi.</w:t>
      </w:r>
    </w:p>
    <w:p>
      <w:pPr>
        <w:spacing w:before="120" w:after="120" w:line="240" w:lineRule="auto"/>
        <w:ind w:left="851" w:hanging="851"/>
        <w:jc w:val="both"/>
        <w:rPr>
          <w:rFonts w:ascii="Times New Roman" w:eastAsia="Times New Roman" w:hAnsi="Times New Roman" w:cs="Times New Roman"/>
          <w:b/>
          <w:noProof/>
          <w:sz w:val="24"/>
          <w:szCs w:val="24"/>
        </w:rPr>
      </w:pPr>
      <w:r>
        <w:rPr>
          <w:rFonts w:ascii="Times New Roman" w:hAnsi="Times New Roman"/>
          <w:b/>
          <w:noProof/>
        </w:rPr>
        <w:t xml:space="preserve">Bilanċ strutturali u aġġustament lejn l-OTM </w:t>
      </w:r>
    </w:p>
    <w:p>
      <w:pPr>
        <w:spacing w:before="120" w:after="120" w:line="240" w:lineRule="auto"/>
        <w:jc w:val="both"/>
        <w:rPr>
          <w:rFonts w:ascii="Times New Roman" w:eastAsia="Times New Roman" w:hAnsi="Times New Roman" w:cs="Times New Roman"/>
          <w:bCs/>
          <w:i/>
          <w:noProof/>
          <w:sz w:val="24"/>
        </w:rPr>
      </w:pPr>
      <w:r>
        <w:rPr>
          <w:rFonts w:ascii="Times New Roman" w:hAnsi="Times New Roman"/>
          <w:bCs/>
          <w:i/>
          <w:noProof/>
        </w:rPr>
        <w:t>OTM u bilanċ strutturali</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Fil-programm ta’ Konverġenza tagħha tal-2019, ir-Rumanija kkonfermat l-OTM tagħha għall-pożizzjoni baġitarja bħala bilanċ strutturali ta’ -1,0 % tal-PDG.</w:t>
      </w:r>
      <w:r>
        <w:rPr>
          <w:noProof/>
        </w:rPr>
        <w:t xml:space="preserve"> </w:t>
      </w:r>
      <w:r>
        <w:rPr>
          <w:rFonts w:ascii="Times New Roman" w:hAnsi="Times New Roman"/>
          <w:noProof/>
        </w:rPr>
        <w:t xml:space="preserve">Dan l-OTM iqis ir-rekwiżiti tat-Trattat dwar l-Istabbiltà, il-Koordinazzjoni u l-Governanza fl-Unjoni Ekonomika u Monetarja.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Mill-2016, ir-Rumanija ilha ssegwi politika fiskali espansjonarja bbażata fuq tnaqqis fit-taxxi u żidiet fl-infiq attwali. Bħala konsegwenza, ir-Rumanija tbiegħdet mill-OTM tagħha fl-2016.</w:t>
      </w:r>
      <w:r>
        <w:rPr>
          <w:rFonts w:ascii="Times New Roman" w:hAnsi="Times New Roman"/>
          <w:noProof/>
        </w:rPr>
        <w:cr/>
      </w:r>
      <w:r>
        <w:rPr>
          <w:rFonts w:ascii="Times New Roman" w:hAnsi="Times New Roman"/>
          <w:noProof/>
        </w:rPr>
        <w:br/>
        <w:t xml:space="preserve"> Il-bilanċ strutturali ammonta għal -2,8 % tal-PDG fl-2018, ferm inqas mill-OTM tar-Rumanija.  Fl-istrateġija Fiskali, ir-Rumanija timmira għal deterjorament tal-bilanċ strutturali fl-2019 u titjib gradwali strutturali fl-2020–2022 iżda ma tippjanax li tilħaq l-OTM tagħha sal-2022. Skont it-tbassir tax-xitwa 2020 tal-Kummissjoni, estiż b’varjabbli fiskali, id-defiċit strutturali huwa mistenni li jiżdied b’mod kostanti u sinifikanti bejn l-2018 u l-2021, xprunat miż-żieda proġettata tad-defiċit nominali.</w:t>
      </w:r>
    </w:p>
    <w:p>
      <w:pPr>
        <w:spacing w:before="120" w:after="120" w:line="240" w:lineRule="auto"/>
        <w:jc w:val="both"/>
        <w:rPr>
          <w:rFonts w:ascii="Times New Roman" w:eastAsia="Times New Roman" w:hAnsi="Times New Roman" w:cs="Times New Roman"/>
          <w:bCs/>
          <w:i/>
          <w:noProof/>
          <w:sz w:val="24"/>
        </w:rPr>
      </w:pPr>
      <w:r>
        <w:rPr>
          <w:rFonts w:ascii="Times New Roman" w:hAnsi="Times New Roman"/>
          <w:bCs/>
          <w:i/>
          <w:noProof/>
        </w:rPr>
        <w:t>Konformità mal-aġġustament rakkomandat lejn l-OTM</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Ir-Rumanija ilha taħt SDPs konsekuttivi mir-rebbiegħa tal-2017. Bħala konsegwenza tad-devjazzjoni sinifikanti mir-Rumanija mill-OTM tagħha fl-2016, il-Kunsill nieda SDP fir-rebbiegħa 2017. Minn dak iż-żmien, il-Kunsill ħareġ rakkomandazzjonijiet darbtejn fis-sena li għalihom ir-Rumanija wieġbet b'azzjoni effettiva, u b’mod ripetut iddevjat sinifikattivament mill-perkors ta aġġustament rakkomandat. L-aħħar Rakkomandazzjoni, adottata mill-Kunsill fil-5 ta’ Diċembru 2019, titlob lir-Rumanija biex tiżgura li r-rata ta’ tkabbir nominali tal-infiq pubbliku primarju, mingħajr miżuri ta’ dħul diskrezzjonali u miżuri ta’ darba, ma taqbiżx l-4,4 % fl-2020, li tikkorrispondi għal aġġustament strutturali annwali ta’ 1,0 % tal-PDG.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Kalkoli bbażati fuq it-tbassir tax-xitwa 2020 tal-Kummissjoni, estiżi b’varjabbli fiskali, jindikaw riskju ta’ devjazzjoni sinifikanti miż-żewġ punti ta’ riferiment fl-2020.</w:t>
      </w:r>
    </w:p>
    <w:p>
      <w:pPr>
        <w:keepNext/>
        <w:spacing w:before="240" w:after="120" w:line="240" w:lineRule="auto"/>
        <w:jc w:val="center"/>
        <w:rPr>
          <w:rFonts w:ascii="Times New Roman" w:eastAsia="Calibri" w:hAnsi="Times New Roman" w:cs="Times New Roman"/>
          <w:b/>
          <w:i/>
          <w:noProof/>
        </w:rPr>
      </w:pPr>
      <w:r>
        <w:rPr>
          <w:rFonts w:ascii="Times New Roman" w:hAnsi="Times New Roman"/>
          <w:b/>
          <w:noProof/>
        </w:rPr>
        <w:t>Tabella 3: Sommarju tar-Rakkomandazzjonijiet tal-SDP lir-Rumanija</w:t>
      </w:r>
    </w:p>
    <w:tbl>
      <w:tblPr>
        <w:tblStyle w:val="TableGrid1"/>
        <w:tblW w:w="0" w:type="auto"/>
        <w:jc w:val="center"/>
        <w:tblLook w:val="04A0" w:firstRow="1" w:lastRow="0" w:firstColumn="1" w:lastColumn="0" w:noHBand="0" w:noVBand="1"/>
      </w:tblPr>
      <w:tblGrid>
        <w:gridCol w:w="2050"/>
        <w:gridCol w:w="2552"/>
        <w:gridCol w:w="2533"/>
        <w:gridCol w:w="1801"/>
      </w:tblGrid>
      <w:tr>
        <w:trPr>
          <w:jc w:val="center"/>
        </w:trPr>
        <w:tc>
          <w:tcPr>
            <w:tcW w:w="1866" w:type="dxa"/>
          </w:tcPr>
          <w:p>
            <w:pPr>
              <w:spacing w:after="160" w:line="259" w:lineRule="auto"/>
              <w:jc w:val="center"/>
              <w:rPr>
                <w:rFonts w:ascii="Times New Roman" w:eastAsia="Calibri" w:hAnsi="Times New Roman" w:cs="Times New Roman"/>
                <w:b/>
                <w:noProof/>
              </w:rPr>
            </w:pPr>
            <w:r>
              <w:rPr>
                <w:rFonts w:ascii="Times New Roman" w:hAnsi="Times New Roman"/>
                <w:b/>
                <w:noProof/>
              </w:rPr>
              <w:t>Rakkomandazzjoni tal-Kunsill</w:t>
            </w:r>
          </w:p>
        </w:tc>
        <w:tc>
          <w:tcPr>
            <w:tcW w:w="2552" w:type="dxa"/>
          </w:tcPr>
          <w:p>
            <w:pPr>
              <w:spacing w:after="160" w:line="259" w:lineRule="auto"/>
              <w:jc w:val="center"/>
              <w:rPr>
                <w:rFonts w:ascii="Times New Roman" w:eastAsia="Calibri" w:hAnsi="Times New Roman" w:cs="Times New Roman"/>
                <w:b/>
                <w:noProof/>
              </w:rPr>
            </w:pPr>
            <w:r>
              <w:rPr>
                <w:rFonts w:ascii="Times New Roman" w:hAnsi="Times New Roman"/>
                <w:b/>
                <w:noProof/>
              </w:rPr>
              <w:t>Titjib strutturali rakkomandat (% tal-PDG)</w:t>
            </w:r>
          </w:p>
        </w:tc>
        <w:tc>
          <w:tcPr>
            <w:tcW w:w="2533" w:type="dxa"/>
          </w:tcPr>
          <w:p>
            <w:pPr>
              <w:spacing w:after="160" w:line="259" w:lineRule="auto"/>
              <w:jc w:val="center"/>
              <w:rPr>
                <w:rFonts w:ascii="Times New Roman" w:eastAsia="Calibri" w:hAnsi="Times New Roman" w:cs="Times New Roman"/>
                <w:b/>
                <w:noProof/>
              </w:rPr>
            </w:pPr>
            <w:r>
              <w:rPr>
                <w:rFonts w:ascii="Times New Roman" w:hAnsi="Times New Roman"/>
                <w:b/>
                <w:noProof/>
              </w:rPr>
              <w:t>Sforz strutturali fiż-żmien tal-valutazzjoni (% tal-PDG)</w:t>
            </w:r>
          </w:p>
        </w:tc>
        <w:tc>
          <w:tcPr>
            <w:tcW w:w="1801" w:type="dxa"/>
          </w:tcPr>
          <w:p>
            <w:pPr>
              <w:spacing w:after="160" w:line="259" w:lineRule="auto"/>
              <w:jc w:val="center"/>
              <w:rPr>
                <w:rFonts w:ascii="Times New Roman" w:eastAsia="Calibri" w:hAnsi="Times New Roman" w:cs="Times New Roman"/>
                <w:b/>
                <w:noProof/>
              </w:rPr>
            </w:pPr>
            <w:r>
              <w:rPr>
                <w:rFonts w:ascii="Times New Roman" w:hAnsi="Times New Roman"/>
                <w:b/>
                <w:noProof/>
              </w:rPr>
              <w:t>Konklużjoni tal-kunsill</w:t>
            </w:r>
          </w:p>
        </w:tc>
      </w:tr>
      <w:tr>
        <w:trPr>
          <w:trHeight w:val="135"/>
          <w:jc w:val="center"/>
        </w:trPr>
        <w:tc>
          <w:tcPr>
            <w:tcW w:w="1866" w:type="dxa"/>
          </w:tcPr>
          <w:p>
            <w:pPr>
              <w:spacing w:after="160" w:line="259" w:lineRule="auto"/>
              <w:jc w:val="center"/>
              <w:rPr>
                <w:rFonts w:ascii="Times New Roman" w:eastAsia="Calibri" w:hAnsi="Times New Roman" w:cs="Times New Roman"/>
                <w:noProof/>
              </w:rPr>
            </w:pPr>
            <w:r>
              <w:rPr>
                <w:rFonts w:ascii="Times New Roman" w:hAnsi="Times New Roman"/>
                <w:noProof/>
              </w:rPr>
              <w:t>Ħarifa 2019</w:t>
            </w:r>
          </w:p>
        </w:tc>
        <w:tc>
          <w:tcPr>
            <w:tcW w:w="2552" w:type="dxa"/>
          </w:tcPr>
          <w:p>
            <w:pPr>
              <w:spacing w:after="160" w:line="259" w:lineRule="auto"/>
              <w:ind w:left="104"/>
              <w:jc w:val="both"/>
              <w:rPr>
                <w:rFonts w:ascii="Times New Roman" w:eastAsia="Calibri" w:hAnsi="Times New Roman" w:cs="Times New Roman"/>
                <w:noProof/>
              </w:rPr>
            </w:pPr>
            <w:r>
              <w:rPr>
                <w:rFonts w:ascii="Times New Roman" w:hAnsi="Times New Roman"/>
                <w:noProof/>
              </w:rPr>
              <w:t>1,0 fl-2020</w:t>
            </w:r>
          </w:p>
        </w:tc>
        <w:tc>
          <w:tcPr>
            <w:tcW w:w="2533" w:type="dxa"/>
          </w:tcPr>
          <w:p>
            <w:pPr>
              <w:spacing w:after="160" w:line="259" w:lineRule="auto"/>
              <w:jc w:val="center"/>
              <w:rPr>
                <w:rFonts w:ascii="Times New Roman" w:eastAsia="Calibri" w:hAnsi="Times New Roman" w:cs="Times New Roman"/>
                <w:noProof/>
              </w:rPr>
            </w:pPr>
          </w:p>
        </w:tc>
        <w:tc>
          <w:tcPr>
            <w:tcW w:w="1801" w:type="dxa"/>
          </w:tcPr>
          <w:p>
            <w:pPr>
              <w:spacing w:after="160" w:line="259" w:lineRule="auto"/>
              <w:jc w:val="center"/>
              <w:rPr>
                <w:rFonts w:ascii="Times New Roman" w:eastAsia="Calibri" w:hAnsi="Times New Roman" w:cs="Times New Roman"/>
                <w:noProof/>
              </w:rPr>
            </w:pPr>
          </w:p>
        </w:tc>
      </w:tr>
      <w:tr>
        <w:trPr>
          <w:trHeight w:val="135"/>
          <w:jc w:val="center"/>
        </w:trPr>
        <w:tc>
          <w:tcPr>
            <w:tcW w:w="1866" w:type="dxa"/>
          </w:tcPr>
          <w:p>
            <w:pPr>
              <w:spacing w:after="160" w:line="259" w:lineRule="auto"/>
              <w:jc w:val="center"/>
              <w:rPr>
                <w:rFonts w:ascii="Times New Roman" w:eastAsia="Calibri" w:hAnsi="Times New Roman" w:cs="Times New Roman"/>
                <w:noProof/>
              </w:rPr>
            </w:pPr>
            <w:r>
              <w:rPr>
                <w:rFonts w:ascii="Times New Roman" w:hAnsi="Times New Roman"/>
                <w:noProof/>
              </w:rPr>
              <w:t>Rebbiegħa 2019</w:t>
            </w:r>
          </w:p>
        </w:tc>
        <w:tc>
          <w:tcPr>
            <w:tcW w:w="2552" w:type="dxa"/>
          </w:tcPr>
          <w:p>
            <w:pPr>
              <w:spacing w:after="160" w:line="259" w:lineRule="auto"/>
              <w:ind w:left="104"/>
              <w:jc w:val="both"/>
              <w:rPr>
                <w:rFonts w:ascii="Times New Roman" w:eastAsia="Calibri" w:hAnsi="Times New Roman" w:cs="Times New Roman"/>
                <w:noProof/>
              </w:rPr>
            </w:pPr>
            <w:r>
              <w:rPr>
                <w:rFonts w:ascii="Times New Roman" w:hAnsi="Times New Roman"/>
                <w:noProof/>
              </w:rPr>
              <w:t>1,0 fl-2019, 0,75 fl-2020</w:t>
            </w:r>
          </w:p>
        </w:tc>
        <w:tc>
          <w:tcPr>
            <w:tcW w:w="2533" w:type="dxa"/>
          </w:tcPr>
          <w:p>
            <w:pPr>
              <w:spacing w:after="160" w:line="259" w:lineRule="auto"/>
              <w:jc w:val="center"/>
              <w:rPr>
                <w:rFonts w:ascii="Times New Roman" w:eastAsia="Calibri" w:hAnsi="Times New Roman" w:cs="Times New Roman"/>
                <w:noProof/>
              </w:rPr>
            </w:pPr>
            <w:r>
              <w:rPr>
                <w:rFonts w:ascii="Times New Roman" w:hAnsi="Times New Roman"/>
                <w:noProof/>
              </w:rPr>
              <w:t>-0,8 fl-2019, -0,8 fl-2020</w:t>
            </w:r>
          </w:p>
        </w:tc>
        <w:tc>
          <w:tcPr>
            <w:tcW w:w="1801" w:type="dxa"/>
          </w:tcPr>
          <w:p>
            <w:pPr>
              <w:spacing w:after="160" w:line="259" w:lineRule="auto"/>
              <w:jc w:val="center"/>
              <w:rPr>
                <w:rFonts w:ascii="Times New Roman" w:eastAsia="Calibri" w:hAnsi="Times New Roman" w:cs="Times New Roman"/>
                <w:noProof/>
              </w:rPr>
            </w:pPr>
            <w:r>
              <w:rPr>
                <w:rFonts w:ascii="Times New Roman" w:hAnsi="Times New Roman"/>
                <w:noProof/>
              </w:rPr>
              <w:t>L-ebda azzjoni</w:t>
            </w:r>
          </w:p>
        </w:tc>
      </w:tr>
      <w:tr>
        <w:trPr>
          <w:jc w:val="center"/>
        </w:trPr>
        <w:tc>
          <w:tcPr>
            <w:tcW w:w="1866" w:type="dxa"/>
          </w:tcPr>
          <w:p>
            <w:pPr>
              <w:spacing w:after="160" w:line="259" w:lineRule="auto"/>
              <w:jc w:val="center"/>
              <w:rPr>
                <w:rFonts w:ascii="Times New Roman" w:eastAsia="Calibri" w:hAnsi="Times New Roman" w:cs="Times New Roman"/>
                <w:noProof/>
              </w:rPr>
            </w:pPr>
            <w:r>
              <w:rPr>
                <w:rFonts w:ascii="Times New Roman" w:hAnsi="Times New Roman"/>
                <w:noProof/>
              </w:rPr>
              <w:t>Ħarifa 2018</w:t>
            </w:r>
          </w:p>
        </w:tc>
        <w:tc>
          <w:tcPr>
            <w:tcW w:w="2552" w:type="dxa"/>
          </w:tcPr>
          <w:p>
            <w:pPr>
              <w:spacing w:after="160" w:line="259" w:lineRule="auto"/>
              <w:ind w:left="104"/>
              <w:jc w:val="both"/>
              <w:rPr>
                <w:rFonts w:ascii="Times New Roman" w:eastAsia="Calibri" w:hAnsi="Times New Roman" w:cs="Times New Roman"/>
                <w:noProof/>
              </w:rPr>
            </w:pPr>
            <w:r>
              <w:rPr>
                <w:rFonts w:ascii="Times New Roman" w:hAnsi="Times New Roman"/>
                <w:noProof/>
              </w:rPr>
              <w:t>1,0 fl-2019</w:t>
            </w:r>
          </w:p>
        </w:tc>
        <w:tc>
          <w:tcPr>
            <w:tcW w:w="2533" w:type="dxa"/>
          </w:tcPr>
          <w:p>
            <w:pPr>
              <w:spacing w:after="160" w:line="259" w:lineRule="auto"/>
              <w:jc w:val="center"/>
              <w:rPr>
                <w:rFonts w:ascii="Times New Roman" w:eastAsia="Calibri" w:hAnsi="Times New Roman" w:cs="Times New Roman"/>
                <w:noProof/>
              </w:rPr>
            </w:pPr>
            <w:r>
              <w:rPr>
                <w:rFonts w:ascii="Times New Roman" w:hAnsi="Times New Roman"/>
                <w:noProof/>
              </w:rPr>
              <w:t>-0,7 fl-2019</w:t>
            </w:r>
          </w:p>
        </w:tc>
        <w:tc>
          <w:tcPr>
            <w:tcW w:w="1801" w:type="dxa"/>
          </w:tcPr>
          <w:p>
            <w:pPr>
              <w:spacing w:after="160" w:line="259" w:lineRule="auto"/>
              <w:jc w:val="center"/>
              <w:rPr>
                <w:rFonts w:ascii="Times New Roman" w:eastAsia="Calibri" w:hAnsi="Times New Roman" w:cs="Times New Roman"/>
                <w:noProof/>
              </w:rPr>
            </w:pPr>
            <w:r>
              <w:rPr>
                <w:rFonts w:ascii="Times New Roman" w:hAnsi="Times New Roman"/>
                <w:noProof/>
              </w:rPr>
              <w:t>L-ebda azzjoni</w:t>
            </w:r>
          </w:p>
        </w:tc>
      </w:tr>
      <w:tr>
        <w:trPr>
          <w:jc w:val="center"/>
        </w:trPr>
        <w:tc>
          <w:tcPr>
            <w:tcW w:w="1866" w:type="dxa"/>
          </w:tcPr>
          <w:p>
            <w:pPr>
              <w:spacing w:after="160" w:line="259" w:lineRule="auto"/>
              <w:jc w:val="center"/>
              <w:rPr>
                <w:rFonts w:ascii="Times New Roman" w:eastAsia="Calibri" w:hAnsi="Times New Roman" w:cs="Times New Roman"/>
                <w:noProof/>
              </w:rPr>
            </w:pPr>
            <w:r>
              <w:rPr>
                <w:rFonts w:ascii="Times New Roman" w:hAnsi="Times New Roman"/>
                <w:noProof/>
              </w:rPr>
              <w:t>Rebbiegħa 2018</w:t>
            </w:r>
          </w:p>
        </w:tc>
        <w:tc>
          <w:tcPr>
            <w:tcW w:w="2552" w:type="dxa"/>
          </w:tcPr>
          <w:p>
            <w:pPr>
              <w:spacing w:after="160" w:line="259" w:lineRule="auto"/>
              <w:ind w:left="104"/>
              <w:jc w:val="both"/>
              <w:rPr>
                <w:rFonts w:ascii="Times New Roman" w:eastAsia="Calibri" w:hAnsi="Times New Roman" w:cs="Times New Roman"/>
                <w:noProof/>
              </w:rPr>
            </w:pPr>
            <w:r>
              <w:rPr>
                <w:rFonts w:ascii="Times New Roman" w:hAnsi="Times New Roman"/>
                <w:noProof/>
              </w:rPr>
              <w:t>0,8 fl-2018, 0,8 fl-2019</w:t>
            </w:r>
          </w:p>
        </w:tc>
        <w:tc>
          <w:tcPr>
            <w:tcW w:w="2533" w:type="dxa"/>
          </w:tcPr>
          <w:p>
            <w:pPr>
              <w:spacing w:after="160" w:line="259" w:lineRule="auto"/>
              <w:jc w:val="center"/>
              <w:rPr>
                <w:rFonts w:ascii="Times New Roman" w:eastAsia="Calibri" w:hAnsi="Times New Roman" w:cs="Times New Roman"/>
                <w:noProof/>
              </w:rPr>
            </w:pPr>
            <w:r>
              <w:rPr>
                <w:rFonts w:ascii="Times New Roman" w:hAnsi="Times New Roman"/>
                <w:noProof/>
              </w:rPr>
              <w:t>0,0 fl-2018, -0,1 fl-2019</w:t>
            </w:r>
          </w:p>
        </w:tc>
        <w:tc>
          <w:tcPr>
            <w:tcW w:w="1801" w:type="dxa"/>
          </w:tcPr>
          <w:p>
            <w:pPr>
              <w:spacing w:after="160" w:line="259" w:lineRule="auto"/>
              <w:jc w:val="center"/>
              <w:rPr>
                <w:rFonts w:ascii="Times New Roman" w:eastAsia="Calibri" w:hAnsi="Times New Roman" w:cs="Times New Roman"/>
                <w:noProof/>
              </w:rPr>
            </w:pPr>
            <w:r>
              <w:rPr>
                <w:rFonts w:ascii="Times New Roman" w:hAnsi="Times New Roman"/>
                <w:noProof/>
              </w:rPr>
              <w:t>L-ebda azzjoni</w:t>
            </w:r>
          </w:p>
        </w:tc>
      </w:tr>
      <w:tr>
        <w:trPr>
          <w:jc w:val="center"/>
        </w:trPr>
        <w:tc>
          <w:tcPr>
            <w:tcW w:w="1866" w:type="dxa"/>
          </w:tcPr>
          <w:p>
            <w:pPr>
              <w:spacing w:after="160" w:line="259" w:lineRule="auto"/>
              <w:jc w:val="center"/>
              <w:rPr>
                <w:rFonts w:ascii="Times New Roman" w:eastAsia="Calibri" w:hAnsi="Times New Roman" w:cs="Times New Roman"/>
                <w:noProof/>
              </w:rPr>
            </w:pPr>
            <w:r>
              <w:rPr>
                <w:rFonts w:ascii="Times New Roman" w:hAnsi="Times New Roman"/>
                <w:noProof/>
              </w:rPr>
              <w:t>Ħarifa 2017</w:t>
            </w:r>
          </w:p>
        </w:tc>
        <w:tc>
          <w:tcPr>
            <w:tcW w:w="2552" w:type="dxa"/>
          </w:tcPr>
          <w:p>
            <w:pPr>
              <w:spacing w:after="160" w:line="259" w:lineRule="auto"/>
              <w:ind w:left="104"/>
              <w:jc w:val="both"/>
              <w:rPr>
                <w:rFonts w:ascii="Times New Roman" w:eastAsia="Calibri" w:hAnsi="Times New Roman" w:cs="Times New Roman"/>
                <w:noProof/>
              </w:rPr>
            </w:pPr>
            <w:r>
              <w:rPr>
                <w:rFonts w:ascii="Times New Roman" w:hAnsi="Times New Roman"/>
                <w:noProof/>
              </w:rPr>
              <w:t>0,8 fl-2018</w:t>
            </w:r>
          </w:p>
        </w:tc>
        <w:tc>
          <w:tcPr>
            <w:tcW w:w="2533" w:type="dxa"/>
          </w:tcPr>
          <w:p>
            <w:pPr>
              <w:spacing w:after="160" w:line="259" w:lineRule="auto"/>
              <w:jc w:val="center"/>
              <w:rPr>
                <w:rFonts w:ascii="Times New Roman" w:eastAsia="Calibri" w:hAnsi="Times New Roman" w:cs="Times New Roman"/>
                <w:noProof/>
              </w:rPr>
            </w:pPr>
            <w:r>
              <w:rPr>
                <w:rFonts w:ascii="Times New Roman" w:hAnsi="Times New Roman"/>
                <w:noProof/>
              </w:rPr>
              <w:t>-0,4 fl-2018</w:t>
            </w:r>
          </w:p>
        </w:tc>
        <w:tc>
          <w:tcPr>
            <w:tcW w:w="1801" w:type="dxa"/>
          </w:tcPr>
          <w:p>
            <w:pPr>
              <w:spacing w:after="160" w:line="259" w:lineRule="auto"/>
              <w:jc w:val="center"/>
              <w:rPr>
                <w:rFonts w:ascii="Times New Roman" w:eastAsia="Calibri" w:hAnsi="Times New Roman" w:cs="Times New Roman"/>
                <w:noProof/>
              </w:rPr>
            </w:pPr>
            <w:r>
              <w:rPr>
                <w:rFonts w:ascii="Times New Roman" w:hAnsi="Times New Roman"/>
                <w:noProof/>
              </w:rPr>
              <w:t>L-ebda azzjoni</w:t>
            </w:r>
          </w:p>
        </w:tc>
      </w:tr>
      <w:tr>
        <w:trPr>
          <w:jc w:val="center"/>
        </w:trPr>
        <w:tc>
          <w:tcPr>
            <w:tcW w:w="1866" w:type="dxa"/>
          </w:tcPr>
          <w:p>
            <w:pPr>
              <w:spacing w:after="160" w:line="259" w:lineRule="auto"/>
              <w:jc w:val="center"/>
              <w:rPr>
                <w:rFonts w:ascii="Times New Roman" w:eastAsia="Calibri" w:hAnsi="Times New Roman" w:cs="Times New Roman"/>
                <w:noProof/>
              </w:rPr>
            </w:pPr>
            <w:r>
              <w:rPr>
                <w:rFonts w:ascii="Times New Roman" w:hAnsi="Times New Roman"/>
                <w:noProof/>
              </w:rPr>
              <w:t>Rebbiegħa 2017</w:t>
            </w:r>
          </w:p>
        </w:tc>
        <w:tc>
          <w:tcPr>
            <w:tcW w:w="2552" w:type="dxa"/>
          </w:tcPr>
          <w:p>
            <w:pPr>
              <w:spacing w:after="160" w:line="259" w:lineRule="auto"/>
              <w:ind w:left="104"/>
              <w:jc w:val="both"/>
              <w:rPr>
                <w:rFonts w:ascii="Times New Roman" w:eastAsia="Calibri" w:hAnsi="Times New Roman" w:cs="Times New Roman"/>
                <w:noProof/>
              </w:rPr>
            </w:pPr>
            <w:r>
              <w:rPr>
                <w:rFonts w:ascii="Times New Roman" w:hAnsi="Times New Roman"/>
                <w:noProof/>
              </w:rPr>
              <w:t>0,5 fl-2017</w:t>
            </w:r>
          </w:p>
        </w:tc>
        <w:tc>
          <w:tcPr>
            <w:tcW w:w="2533" w:type="dxa"/>
          </w:tcPr>
          <w:p>
            <w:pPr>
              <w:spacing w:after="160" w:line="259" w:lineRule="auto"/>
              <w:jc w:val="center"/>
              <w:rPr>
                <w:rFonts w:ascii="Times New Roman" w:eastAsia="Calibri" w:hAnsi="Times New Roman" w:cs="Times New Roman"/>
                <w:noProof/>
              </w:rPr>
            </w:pPr>
            <w:r>
              <w:rPr>
                <w:rFonts w:ascii="Times New Roman" w:hAnsi="Times New Roman"/>
                <w:noProof/>
              </w:rPr>
              <w:t>-1,1 fl-2017</w:t>
            </w:r>
          </w:p>
        </w:tc>
        <w:tc>
          <w:tcPr>
            <w:tcW w:w="1801" w:type="dxa"/>
          </w:tcPr>
          <w:p>
            <w:pPr>
              <w:spacing w:after="160" w:line="259" w:lineRule="auto"/>
              <w:jc w:val="center"/>
              <w:rPr>
                <w:rFonts w:ascii="Times New Roman" w:eastAsia="Calibri" w:hAnsi="Times New Roman" w:cs="Times New Roman"/>
                <w:noProof/>
              </w:rPr>
            </w:pPr>
            <w:r>
              <w:rPr>
                <w:rFonts w:ascii="Times New Roman" w:hAnsi="Times New Roman"/>
                <w:noProof/>
              </w:rPr>
              <w:t>L-ebda azzjoni</w:t>
            </w:r>
          </w:p>
        </w:tc>
      </w:tr>
    </w:tbl>
    <w:p>
      <w:pPr>
        <w:spacing w:before="240" w:after="120" w:line="259" w:lineRule="auto"/>
        <w:ind w:left="357"/>
        <w:contextualSpacing/>
        <w:jc w:val="both"/>
        <w:rPr>
          <w:rFonts w:ascii="Times New Roman" w:eastAsia="Calibri" w:hAnsi="Times New Roman" w:cs="Times New Roman"/>
          <w:b/>
          <w:i/>
          <w:noProof/>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rPr>
        <w:t xml:space="preserve">Investiment pubbliku </w:t>
      </w:r>
    </w:p>
    <w:p>
      <w:pPr>
        <w:spacing w:before="120" w:after="120" w:line="240" w:lineRule="auto"/>
        <w:jc w:val="both"/>
        <w:rPr>
          <w:rFonts w:ascii="Times New Roman" w:eastAsia="Times New Roman" w:hAnsi="Times New Roman" w:cs="Times New Roman"/>
          <w:bCs/>
          <w:noProof/>
          <w:sz w:val="24"/>
        </w:rPr>
      </w:pPr>
      <w:r>
        <w:rPr>
          <w:rFonts w:ascii="Times New Roman" w:hAnsi="Times New Roman"/>
          <w:bCs/>
          <w:noProof/>
        </w:rPr>
        <w:t xml:space="preserve">L-investiment pubbliku laqat adeżjoni wara l-UE ta’ livell baxx ta’ 2,6 % tal-PDG fl-2017, u żdied biss bi ftit, għal 2,7 % tal-PDG, fl-2018.  Dan huwa inqas mill-medja tal-UE u ħafna inqas mill-medja għall-pajjiżi ġirien.  It-tbassir tax-xitwa 2020 tal-Kummissjoni, estiż mal-varjabbli fiskali għall-finijiet ta’ dan ir-rapport, ibassar l-investiment pubbliku li żdied għal 3,2 % tal-PDG fl-2019.  </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rPr>
        <w:t>Qafas fiskali nazzjonali</w:t>
      </w:r>
    </w:p>
    <w:p>
      <w:pPr>
        <w:spacing w:before="120" w:after="120" w:line="240" w:lineRule="auto"/>
        <w:jc w:val="both"/>
        <w:rPr>
          <w:rFonts w:ascii="Times New Roman" w:eastAsia="Times New Roman" w:hAnsi="Times New Roman" w:cs="Times New Roman"/>
          <w:bCs/>
          <w:noProof/>
          <w:sz w:val="24"/>
        </w:rPr>
      </w:pPr>
      <w:r>
        <w:rPr>
          <w:rFonts w:ascii="Times New Roman" w:hAnsi="Times New Roman"/>
          <w:bCs/>
          <w:noProof/>
        </w:rPr>
        <w:t xml:space="preserve">Il-liġi dwar ir-Responsabbiltà Fiskali tistabbilixxi regoli fiskali numeriċi nazzjonali sabiex jiggwidaw il-proċess baġitarju.  Din fiha regola dwar id-defiċit strutturali, li tirrikjedi konformità ma’ jew konverġenza għall-MTO ta’ bilanċ strutturali ta’ -1,0 % tal-PDG Il-qafas nazzjonali fih ukoll diversi regoli awżiljarji li jikkonċernaw il-bilanċ tal-baġit u l-infiq u d-dħul.  Barra minn hekk, il-gvern huwa meħtieġ iħejji aġġornament tal-istrateġija fiskali — li tistabbilixxi s-suppożizzjonijiet makroekonomiċi, l-ippjanar baġitarju fuq perjodu ta’ żmien medju u l-limiti massimi tan-nefqa li għandhom jiggwidaw il-proċess tal-baġit annwali — u jibagħtu lill-Parlament sal-15 ta’ Awwissu tas-sena ta’ qabel. </w:t>
      </w:r>
    </w:p>
    <w:p>
      <w:pPr>
        <w:spacing w:before="120" w:after="120" w:line="240" w:lineRule="auto"/>
        <w:jc w:val="both"/>
        <w:rPr>
          <w:rFonts w:ascii="Times New Roman" w:eastAsia="Times New Roman" w:hAnsi="Times New Roman" w:cs="Times New Roman"/>
          <w:bCs/>
          <w:noProof/>
          <w:sz w:val="24"/>
        </w:rPr>
      </w:pPr>
      <w:r>
        <w:rPr>
          <w:rFonts w:ascii="Times New Roman" w:hAnsi="Times New Roman"/>
          <w:bCs/>
          <w:noProof/>
        </w:rPr>
        <w:t xml:space="preserve">Mill-2016 ‘l hawn, il-gvern b’mod sistematiku u b’mod ripetut idderogat minn ħafna regoli fiskali, u b’hekk sar ineffettiv. B’mod partikolari, il-mira tal-baġit oriġinali tal-2019 ta’ defiċit nominali ta’ 2,8 % tal-PDG (f’termini ta’ flus kontanti) kienet inkonsistenti mar-regola dwar id-defiċit strutturali.  L-emendi baġitarji adottati f’Awwissu u Novembru 2019 b’mod addizzjonali ġew derogati minn għadd ta’ regoli fiskali awżiljarji, u, fil-każ tal-aħħar, mir-regola tad-defiċit strutturali, billi żiedu l-mira tal-iżbilanċ tal-2019 għal 4,4 % tal-PDG (f’termini ta’ flus). Barra minn hekk, fl-2019, bħal fis-snin preċedenti, l-awtoritajiet ma bagħtux aġġornament tal-istrateġija fiskali għall-perijodu medju lill-Parlament sal-iskadenza statutorja ta’ Awwissu, u b’hekk jimminaw ir-rwol ta’ gwida tal-istrateġija fiskali.  Il-baġit tal-2020 u l-istrateġija fiskali ta’ akkumpanjament ukoll idderogaw mir-regola tal-bilanċ strutturali u minn diversi regoli fiskali awżiljarji.  </w:t>
      </w:r>
    </w:p>
    <w:p>
      <w:pPr>
        <w:spacing w:before="120" w:after="120" w:line="240" w:lineRule="auto"/>
        <w:jc w:val="both"/>
        <w:rPr>
          <w:noProof/>
          <w:color w:val="FF0000"/>
          <w:sz w:val="16"/>
          <w:szCs w:val="16"/>
          <w:highlight w:val="yellow"/>
        </w:rPr>
      </w:pPr>
    </w:p>
    <w:p>
      <w:pPr>
        <w:spacing w:before="120" w:after="120" w:line="240" w:lineRule="auto"/>
        <w:jc w:val="both"/>
        <w:rPr>
          <w:b/>
          <w:noProof/>
          <w:color w:val="FF0000"/>
        </w:rPr>
      </w:pPr>
      <w:r>
        <w:rPr>
          <w:rFonts w:ascii="Times New Roman" w:hAnsi="Times New Roman"/>
          <w:b/>
          <w:noProof/>
        </w:rPr>
        <w:t>4.3.</w:t>
      </w:r>
      <w:r>
        <w:rPr>
          <w:rFonts w:ascii="Times New Roman" w:hAnsi="Times New Roman"/>
          <w:b/>
          <w:noProof/>
        </w:rPr>
        <w:tab/>
        <w:t xml:space="preserve">pożizzjoni tad-dejn tal-gvern fuq perjodu ta’ żmien medju </w:t>
      </w:r>
    </w:p>
    <w:p>
      <w:pPr>
        <w:spacing w:before="120" w:after="120" w:line="240" w:lineRule="auto"/>
        <w:jc w:val="both"/>
        <w:rPr>
          <w:rFonts w:ascii="Times New Roman" w:eastAsia="Times New Roman" w:hAnsi="Times New Roman" w:cs="Times New Roman"/>
          <w:i/>
          <w:noProof/>
          <w:sz w:val="24"/>
          <w:szCs w:val="24"/>
          <w:highlight w:val="yellow"/>
        </w:rPr>
      </w:pPr>
      <w:r>
        <w:rPr>
          <w:rFonts w:ascii="Times New Roman" w:hAnsi="Times New Roman"/>
          <w:i/>
          <w:noProof/>
        </w:rPr>
        <w:t>Ir-Rumanija qed taffaċċja riskji ta’ sostenibbiltà fiskali għoljin fuq perjodu medju u twil, xprunati minn defiċits fiskali għoljin u spejjeż ta’ tixjiħ.</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rPr>
        <w:t xml:space="preserve">Id-dinamika tad-dejn u s-sostenibbiltà tad-dejn </w:t>
      </w:r>
      <w:r>
        <w:rPr>
          <w:rStyle w:val="FootnoteReference"/>
          <w:rFonts w:eastAsiaTheme="minorHAnsi"/>
          <w:b/>
          <w:noProof/>
        </w:rPr>
        <w:footnoteReference w:id="7"/>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Id-dejn tal-amministrazzjoni pubblika tar-Rumanija bħalissa huwa ferm taħt is 60 % tal-valur ta’ referenza tal-PDG (34,7 % tal-PDG fl-2018). Madankollu, minħabba defiċit primarju strutturali għoli, il-proporzjon bejn id-dejn u l-PDG huwa stabbilit b’mod qawwi. Jekk ma jkunx hemm tibdil fil-politika, huwa pprojettat li se jkun hemm ksur ta’ 60 % fl-2025 u jmur lil hinn minn 90 % tal-PDG sal-2030.  It-triq tad-dejn hija sensittiva għal xokkijiet ta’ tkabbir, fiskali u tar-rata tal-imgħax.  L-istruttura tal-maturità tad-dejn tal-gvern tgħin biex jiġu mitigati l-vulnerabbiltajiet, b’madwar 3,3 % biss tad-dejn ġenerali tal-gvern li għandu maturità ta’ inqas minn sena (1). Madankollu, is-sehem għoli tad-dejn tal-gvern denominat f’munita barranija u l-parteċipazzjonijiet sostanzjali ta’ dejn minn mhux residenti huma sorsi ta’ riskju addizzjonali, kif inhi l-pożizzjoni ta’ investiment internazzjonali netta negattiva.  </w:t>
      </w:r>
    </w:p>
    <w:p>
      <w:pPr>
        <w:spacing w:before="120" w:after="120" w:line="240" w:lineRule="auto"/>
        <w:jc w:val="both"/>
        <w:rPr>
          <w:rFonts w:ascii="Times New Roman" w:eastAsia="Times New Roman" w:hAnsi="Times New Roman" w:cs="Times New Roman"/>
          <w:noProof/>
          <w:sz w:val="24"/>
          <w:highlight w:val="yellow"/>
        </w:rPr>
      </w:pPr>
      <w:r>
        <w:rPr>
          <w:rFonts w:ascii="Times New Roman" w:hAnsi="Times New Roman"/>
          <w:noProof/>
        </w:rPr>
        <w:t xml:space="preserve">Il-valur tal-indikatur ta’ identifikazzjoni bikrija tal-istress fiskali (“S0”), żviluppat mill-Kummissjoni Ewropea biex jivvaluta r-riskji fi żmien sena, huwa taħt il-livell limitu kritiku tagħha.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L-indikatur tad-distakk tas-sostenibbiltà għall-perijodu medju (“S1”) juri riskji għoljin. </w:t>
      </w:r>
      <w:r>
        <w:rPr>
          <w:rFonts w:ascii="Times New Roman" w:hAnsi="Times New Roman"/>
          <w:noProof/>
        </w:rPr>
        <w:cr/>
      </w:r>
      <w:r>
        <w:rPr>
          <w:rFonts w:ascii="Times New Roman" w:hAnsi="Times New Roman"/>
          <w:noProof/>
        </w:rPr>
        <w:br/>
        <w:t xml:space="preserve"> Dan juri li r-Rumanija tkun teħtieġ aġġustament fiskali ta’ 5.7 pp tal-PDG biex trażżan id-dejn fi ħdan 60 % tal-PDG sal-2034.  Dak il-valur huwa fost l-ogħla fost l-Istati Membri.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L-indikatur tad-distakk tas-sostenibbiltà fiskali fit-tul (“S2”) juri wkoll riskji għoljin.  Huwa jindika aġġustament fiskali meħtieġ ta’ 8.8 pps tal-PDG biex jiġi żgurat li l-proporzjon tad-dejn pubbliku jistabbilizza fuq terminu twil.  Dak il-valur, l-ogħla fost l-Istati Membri, huwa xprunat mill-pożizzjoni baġitarja inizjali għolja (kontribuzzjoni ta’ 5.1 punti perċentwali) u mill-ispejjeż tat-tixjiħ, b’mod partikolari l-pensjonijiet u l-kura tas-saħħa (kontribuzzjoni ta’ 3.7 punti perċentwali).</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Il-perċezzjonijiet tas-swieq finanzjarji tar-riskju sovran tar-Rumanija huma fil-livell l-aktar baxx tal-grad ta’ investiment, bi klassifikazzjoni “BBB-” jew rata ekwivalenti tad-dejn sovran mit-tliet aġenziji ta’ klassifikazzjoni ewlenin. Fl-10 ta’ Diċembru 2019, il-klassifikazzjonijiet globali S &amp; P irrevedew il-prospetti tagħhom minn stabbli għal negattiv, minħabba l-pożizzjoni baġitarja tar-Rumanija.</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rPr>
        <w:t>Liġi ġdida dwar il-pensjonijiet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Il-liġi tal-pensjonijiet, promulgata fis-sajf tal-2019, bidlet b’mod sinifikanti diversi parametri tal-iskema tal-pensjonijiet pubbliċi.  Dan fih il-bidliet ewlenin li ġejjin:  (i) żidiet </w:t>
      </w:r>
      <w:r>
        <w:rPr>
          <w:rFonts w:ascii="Times New Roman" w:hAnsi="Times New Roman"/>
          <w:i/>
          <w:iCs/>
          <w:noProof/>
        </w:rPr>
        <w:t>ad hoc</w:t>
      </w:r>
      <w:r>
        <w:rPr>
          <w:rFonts w:ascii="Times New Roman" w:hAnsi="Times New Roman"/>
          <w:noProof/>
        </w:rPr>
        <w:t xml:space="preserve"> tal-pensjonijiet sal-2021, minflok indiċjar standard:  bi 15 % minn Settembru 2019 (diġà inklużi fil-liġi tal-baġit tal-2019), 40 % minn Settembru 2020 u 6 % minn Settembru 2021;  (ii) mill-2022’il quddiem, l-indiċjar tal-pensjonijiet se jkun 100 % tar-rata ta’ inflazzjoni miżjuda b’ 50 % tal-medja reali tat-tkabbir fil-pagi gross;  (iii) pensjonijiet ġodda se jiġu kkalkolati billi jintuża fid-denominatur perjodu kontributorju fiss ta’ 25 sena, minflok 25–35 sena (skont is-sena tal-irtirar) taħt il-liġi preċedenti;  (iv) minn Settembru 2021, il-pensjonijiet eżistenti se jiġu kkalkolati ‘l fuq biex jaqblu ma’ din il-formula ġdida.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Minħabba l-iskeda ta’ implimentazzjoni tagħha, il-liġi hija mistennija li żżid b’mod sinifikanti l-infiq pubbliku fuq il-pensjonijiet f’perjodu qasir.  Hija l-motivatur ewlieni taż-żieda rapida mbassra tal-iżbilanċ ġenerali tal-gvern u ta’ riskji għoljin ta’ sostenibbiltà fiskali.  Barra minn hekk, il-liġi mhijiex akkumpanjata minn miżuri li għandhom l-għan li jżidu l-parteċipazzjoni fix-xogħol u t-tul tal-ħajja tax-xogħol lil hinn mill-minimu statutorju, li huma essenzjali biex jittejbu kemm l-adegwatezza tal-pensjonijiet kif ukoll is-sostenibbiltà tas-sistema tal-pensjonijiet.</w:t>
      </w:r>
    </w:p>
    <w:tbl>
      <w:tblPr>
        <w:tblW w:w="0" w:type="auto"/>
        <w:tblLayout w:type="fixed"/>
        <w:tblCellMar>
          <w:left w:w="0" w:type="dxa"/>
          <w:right w:w="0" w:type="dxa"/>
        </w:tblCellMar>
        <w:tblLook w:val="0000" w:firstRow="0" w:lastRow="0" w:firstColumn="0" w:lastColumn="0" w:noHBand="0" w:noVBand="0"/>
      </w:tblPr>
      <w:tblGrid>
        <w:gridCol w:w="4111"/>
      </w:tblGrid>
      <w:tr>
        <w:trPr>
          <w:cantSplit/>
        </w:trPr>
        <w:tc>
          <w:tcPr>
            <w:tcW w:w="4111" w:type="dxa"/>
            <w:shd w:val="clear" w:color="auto" w:fill="auto"/>
          </w:tcPr>
          <w:p>
            <w:pPr>
              <w:keepNext/>
              <w:pBdr>
                <w:top w:val="single" w:sz="2" w:space="2" w:color="auto"/>
                <w:bottom w:val="single" w:sz="2" w:space="2" w:color="auto"/>
              </w:pBdr>
              <w:spacing w:after="60" w:line="240" w:lineRule="auto"/>
              <w:ind w:left="935" w:hanging="935"/>
              <w:rPr>
                <w:rFonts w:ascii="Century Gothic" w:hAnsi="Century Gothic" w:cs="Times New Roman"/>
                <w:b/>
                <w:noProof/>
                <w:color w:val="333399"/>
                <w:sz w:val="14"/>
              </w:rPr>
            </w:pPr>
            <w:r>
              <w:rPr>
                <w:rFonts w:ascii="Century Gothic" w:hAnsi="Century Gothic"/>
                <w:noProof/>
                <w:sz w:val="14"/>
              </w:rPr>
              <w:t xml:space="preserve">Grafika 1: </w:t>
            </w:r>
            <w:r>
              <w:rPr>
                <w:rFonts w:ascii="Century Gothic" w:hAnsi="Century Gothic"/>
                <w:b/>
                <w:noProof/>
                <w:sz w:val="14"/>
              </w:rPr>
              <w:t>Nefqa gross fuq il-pensjonijiet pubblika fl-2018–2022</w:t>
            </w:r>
          </w:p>
        </w:tc>
      </w:tr>
      <w:tr>
        <w:trPr>
          <w:cantSplit/>
        </w:trPr>
        <w:tc>
          <w:tcPr>
            <w:tcW w:w="4111" w:type="dxa"/>
            <w:shd w:val="clear" w:color="auto" w:fill="auto"/>
          </w:tcPr>
          <w:p>
            <w:pPr>
              <w:keepNext/>
              <w:spacing w:after="0" w:line="240" w:lineRule="auto"/>
              <w:jc w:val="center"/>
              <w:rPr>
                <w:rFonts w:ascii="Times New Roman" w:hAnsi="Times New Roman"/>
                <w:noProof/>
                <w:sz w:val="2"/>
                <w:lang w:val="sv-SE"/>
              </w:rPr>
            </w:pPr>
          </w:p>
          <w:p>
            <w:pPr>
              <w:keepNext/>
              <w:spacing w:after="0" w:line="240" w:lineRule="auto"/>
              <w:jc w:val="center"/>
              <w:rPr>
                <w:rFonts w:ascii="Times New Roman" w:hAnsi="Times New Roman"/>
                <w:noProof/>
                <w:sz w:val="2"/>
                <w:lang w:val="sv-SE"/>
              </w:rPr>
            </w:pPr>
          </w:p>
          <w:p>
            <w:pPr>
              <w:keepNext/>
              <w:spacing w:after="0" w:line="240" w:lineRule="auto"/>
              <w:jc w:val="center"/>
              <w:rPr>
                <w:rFonts w:ascii="Times New Roman" w:hAnsi="Times New Roman"/>
                <w:noProof/>
                <w:sz w:val="2"/>
                <w:lang w:val="sv-SE"/>
              </w:rPr>
            </w:pPr>
          </w:p>
          <w:p>
            <w:pPr>
              <w:keepNext/>
              <w:spacing w:after="0" w:line="240" w:lineRule="auto"/>
              <w:jc w:val="center"/>
              <w:rPr>
                <w:rFonts w:ascii="Times New Roman" w:hAnsi="Times New Roman"/>
                <w:noProof/>
                <w:sz w:val="2"/>
                <w:lang w:val="sv-SE"/>
              </w:rPr>
            </w:pPr>
            <w:r>
              <w:rPr>
                <w:rFonts w:ascii="Times New Roman" w:hAnsi="Times New Roman"/>
                <w:noProof/>
                <w:sz w:val="2"/>
                <w:lang w:val="en-GB" w:eastAsia="en-GB"/>
              </w:rPr>
              <w:drawing>
                <wp:inline distT="0" distB="0" distL="0" distR="0">
                  <wp:extent cx="2577960" cy="2352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272" cy="2375775"/>
                          </a:xfrm>
                          <a:prstGeom prst="rect">
                            <a:avLst/>
                          </a:prstGeom>
                          <a:noFill/>
                        </pic:spPr>
                      </pic:pic>
                    </a:graphicData>
                  </a:graphic>
                </wp:inline>
              </w:drawing>
            </w:r>
          </w:p>
          <w:p>
            <w:pPr>
              <w:keepNext/>
              <w:spacing w:after="0" w:line="240" w:lineRule="auto"/>
              <w:jc w:val="center"/>
              <w:rPr>
                <w:rFonts w:ascii="Times New Roman" w:hAnsi="Times New Roman"/>
                <w:noProof/>
                <w:sz w:val="2"/>
                <w:lang w:val="sv-SE"/>
              </w:rPr>
            </w:pPr>
          </w:p>
          <w:p>
            <w:pPr>
              <w:keepNext/>
              <w:spacing w:after="0" w:line="240" w:lineRule="auto"/>
              <w:jc w:val="center"/>
              <w:rPr>
                <w:rFonts w:ascii="Times New Roman" w:hAnsi="Times New Roman"/>
                <w:noProof/>
                <w:sz w:val="2"/>
                <w:lang w:val="sv-SE"/>
              </w:rPr>
            </w:pPr>
          </w:p>
          <w:p>
            <w:pPr>
              <w:keepNext/>
              <w:spacing w:after="0" w:line="240" w:lineRule="auto"/>
              <w:jc w:val="center"/>
              <w:rPr>
                <w:rFonts w:ascii="Times New Roman" w:hAnsi="Times New Roman"/>
                <w:noProof/>
                <w:sz w:val="2"/>
                <w:lang w:val="sv-SE"/>
              </w:rPr>
            </w:pPr>
          </w:p>
          <w:p>
            <w:pPr>
              <w:keepNext/>
              <w:spacing w:after="0" w:line="240" w:lineRule="auto"/>
              <w:jc w:val="center"/>
              <w:rPr>
                <w:rFonts w:ascii="Times New Roman" w:hAnsi="Times New Roman"/>
                <w:noProof/>
                <w:sz w:val="2"/>
                <w:lang w:val="sv-SE"/>
              </w:rPr>
            </w:pPr>
          </w:p>
          <w:p>
            <w:pPr>
              <w:keepNext/>
              <w:spacing w:after="0" w:line="240" w:lineRule="auto"/>
              <w:jc w:val="center"/>
              <w:rPr>
                <w:rFonts w:ascii="Times New Roman" w:hAnsi="Times New Roman"/>
                <w:noProof/>
                <w:sz w:val="2"/>
                <w:lang w:val="sv-SE"/>
              </w:rPr>
            </w:pPr>
          </w:p>
          <w:p>
            <w:pPr>
              <w:keepNext/>
              <w:spacing w:after="0" w:line="240" w:lineRule="auto"/>
              <w:jc w:val="center"/>
              <w:rPr>
                <w:rFonts w:ascii="Times New Roman" w:hAnsi="Times New Roman"/>
                <w:noProof/>
                <w:sz w:val="2"/>
                <w:lang w:val="sv-SE"/>
              </w:rPr>
            </w:pPr>
          </w:p>
          <w:p>
            <w:pPr>
              <w:keepNext/>
              <w:spacing w:after="0" w:line="240" w:lineRule="auto"/>
              <w:jc w:val="center"/>
              <w:rPr>
                <w:rFonts w:ascii="Times New Roman" w:hAnsi="Times New Roman" w:cs="Times New Roman"/>
                <w:noProof/>
                <w:color w:val="000000"/>
                <w:sz w:val="2"/>
              </w:rPr>
            </w:pPr>
            <w:r>
              <w:rPr>
                <w:rFonts w:ascii="Times New Roman" w:hAnsi="Times New Roman"/>
                <w:noProof/>
                <w:sz w:val="2"/>
              </w:rPr>
              <w:t xml:space="preserve">   </w:t>
            </w:r>
          </w:p>
        </w:tc>
      </w:tr>
      <w:tr>
        <w:trPr>
          <w:cantSplit/>
        </w:trPr>
        <w:tc>
          <w:tcPr>
            <w:tcW w:w="4111" w:type="dxa"/>
            <w:shd w:val="clear" w:color="auto" w:fill="auto"/>
            <w:tcMar>
              <w:bottom w:w="240" w:type="dxa"/>
            </w:tcMar>
          </w:tcPr>
          <w:p>
            <w:pPr>
              <w:pBdr>
                <w:top w:val="single" w:sz="2" w:space="2" w:color="auto"/>
                <w:bottom w:val="single" w:sz="2" w:space="2" w:color="auto"/>
              </w:pBdr>
              <w:spacing w:after="0" w:line="240" w:lineRule="auto"/>
              <w:rPr>
                <w:rFonts w:ascii="Century Gothic" w:hAnsi="Century Gothic" w:cs="Times New Roman"/>
                <w:noProof/>
                <w:color w:val="000000"/>
                <w:sz w:val="14"/>
              </w:rPr>
            </w:pPr>
            <w:r>
              <w:rPr>
                <w:rFonts w:ascii="Century Gothic" w:hAnsi="Century Gothic"/>
                <w:b/>
                <w:i/>
                <w:noProof/>
                <w:sz w:val="14"/>
              </w:rPr>
              <w:t>Sors:</w:t>
            </w:r>
            <w:r>
              <w:rPr>
                <w:rFonts w:ascii="Century Gothic" w:hAnsi="Century Gothic"/>
                <w:noProof/>
                <w:sz w:val="14"/>
              </w:rPr>
              <w:t xml:space="preserve"> Kummissjoni Ewropea, Skeda dwar il-pensjonijiet pubbliċi għar-Rapport dwar it-Tixjiħ 2018 — ir-Rumanija (aġġornament tal-2019)</w:t>
            </w:r>
          </w:p>
        </w:tc>
      </w:tr>
    </w:tbl>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rPr>
        <w:t>4.4.</w:t>
      </w:r>
      <w:r>
        <w:rPr>
          <w:rFonts w:ascii="Times New Roman" w:hAnsi="Times New Roman"/>
          <w:b/>
          <w:noProof/>
        </w:rPr>
        <w:tab/>
        <w:t xml:space="preserve">Fatturi oħra mressqa mill-Istat Membru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 xml:space="preserve">Fis-6 ta’ Frar 2020, l-awtoritajiet Rumeni bagħtu ittra li tippreżenta l-fatturi rilevanti biex il-Kummissjoni tqis fil-valutazzjoni tagħha, skont l-Artikolu 2(3) tar-Regolament (KE) Nru 1467/97.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 xml:space="preserve">L-awtoritajiet jargumentaw li d-deterjorament tad-defiċit baġitarju fl-2019 huwa fil-biċċa l-kbira spjegat miż-żieda fin-nefqa tal-persunal, l-assistenza soċjali u l-investiment, filwaqt li d-dħul baqa’ fil-biċċa l-kbira mhux mibdul bħala sehem mill-PDG. Barra minn hekk, l-awtoritajiet jargumentaw li fuq in-naħa tal-infiq, l-eżitu tal-baġit tal-2019 kien affettwat b’mod negattiv minn diversi partiti ta’ darba . </w:t>
      </w:r>
      <w:r>
        <w:rPr>
          <w:rStyle w:val="FootnoteReference"/>
          <w:rFonts w:eastAsiaTheme="minorHAnsi"/>
          <w:bCs/>
          <w:noProof/>
        </w:rPr>
        <w:footnoteReference w:id="8"/>
      </w:r>
      <w:r>
        <w:rPr>
          <w:rFonts w:ascii="Times New Roman" w:hAnsi="Times New Roman"/>
          <w:bCs/>
          <w:noProof/>
        </w:rPr>
        <w:t xml:space="preserve">.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L-awtoritajiet jindikaw li l-Istrateġija Fiskali turi aġġustament gradwali tad-defiċit tal-baġit fuq medda medja ta’ żmien filwaqt li tibqa’ ogħla mill-valur ta’ referenza sal-2021.  L-aġġustament huwa ppjanat wara tliet snin ta’ deterjorament kontinwu fil-baġit.  L-awtoritajiet jispjegaw ukoll li l-pass tal-konsolidazzjoni fiskali prevista huwa fil-biċċa l-kbira limitat mill-qafas legali fis-seħħ, b’mod partikolari d-dispożizzjonijiet tal-liġi l-ġdida dwar il-pensjonijiet approvata mill-Parlament fl-2019.</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Rigward il-kundizzjonijiet makroekonomiċi, l-awtoritajiet jispjegaw li l-ekonomija tar-Rumanija kibret b’rata reali ta’ 4,1 % fl-ewwel tliet trimestri tal-2019, prinċipalment minħabba l-investiment u l-konsum privat, fost tnaqqis f’dawn tal-aħħar.  L-awtoritajiet ibassru li l-PDG reali se jikber b’ 4.0 % fl-2019, b’deċellerazzjoni żgħira meta mqabbla mal-2018 u marġinalment taħt il-livell potenzjali.  It-tkabbir nominali aċċellera l-2016 u huwa mistenni mill-awtoritajiet li jibqa’ b’saħħtu fuq perjodu medju ta’ żmien.</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Fl-aħħar nett, l-awtoritajiet ifakkru li r-Rumanija introduċiet riforma tal-pensjonijiet bit-tieni pilastru mandatorju tal-fondi tal-pensjonijiet privati flimkien mal-ewwel pilastru “pay-as-you-go” fl-2008.  Huma jispjegaw li l-kost annwali tat-tieni pilastru kien bħala medja qrib iż-0,7 % tal-PDG fil-perjodu 2014–15, u huwa mistenni li jkun 0,8 % tal-PDG matul l-2016–2019.  Dan huwa konformi mal-istimi tal-Kummissjoni tal-ispejjeż annwali tat-tieni pilastru.  Madankollu, id-defiċit baġitarju ppjanat tal-2019 fir-Rumanija jaqbeż b’mod sinifikanti livell li jista’ jitqies qrib il-valur ta’ referenza ta’ 3 % tal-PDG</w:t>
      </w:r>
      <w:r>
        <w:rPr>
          <w:noProof/>
        </w:rPr>
        <w:t xml:space="preserve"> </w:t>
      </w:r>
      <w:r>
        <w:rPr>
          <w:rFonts w:ascii="Times New Roman" w:hAnsi="Times New Roman"/>
          <w:bCs/>
          <w:noProof/>
        </w:rPr>
        <w:t>u għalhekk, skont l-Artikolu 2(7) tar-Regolament (KE) Nru 1467/97, l-implikazzjonijiet baġitarji tar-riforma tal-pensjonijiet ma jistgħux jitqiesu fil-valutazzjoni tal-ksur tal-kriterju tad-defiċit.</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L-awtoritajiet iżidu li, fil-bidu tal-2020, huma neħħew dispożizzjoni li dgħajfet in-natura obbligatorja tat-tieni pilastru tal-pensjonijiet li kien fis-seħħ fl-2019. Jiġifieri, huma neħħew il-possibbiltà għall-impjegati li jagħżlu l-esklużjoni tat-tieni pilastru tal-pensjonijiet wara ħames snin li jikkontribwixxu għaliha, u li jagħtu direzzjoni ġdida lill-kontribuzzjonijiet annwali tal-pensjonijiet tagħhom għall-ewwel pilastru (l-ordinanza ta’ emerġenza 1/2020, li temenda d-dispożizzjonijiet tal-ordinanza ta’ emerġenza 114/2018).</w:t>
      </w:r>
    </w:p>
    <w:p>
      <w:pPr>
        <w:spacing w:before="120" w:after="120" w:line="240" w:lineRule="auto"/>
        <w:jc w:val="both"/>
        <w:rPr>
          <w:rFonts w:ascii="Times New Roman" w:eastAsia="Times New Roman" w:hAnsi="Times New Roman" w:cs="Calibri"/>
          <w:bCs/>
          <w:noProof/>
          <w:sz w:val="24"/>
          <w:highlight w:val="yellow"/>
        </w:rPr>
      </w:pPr>
    </w:p>
    <w:p>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rPr>
        <w:t xml:space="preserve"> 5.</w:t>
      </w:r>
      <w:r>
        <w:rPr>
          <w:rFonts w:ascii="Times New Roman" w:hAnsi="Times New Roman"/>
          <w:b/>
          <w:smallCaps/>
          <w:noProof/>
        </w:rPr>
        <w:tab/>
        <w:t xml:space="preserve">Konklużjonijiet </w:t>
      </w:r>
    </w:p>
    <w:p>
      <w:pPr>
        <w:autoSpaceDE w:val="0"/>
        <w:autoSpaceDN w:val="0"/>
        <w:adjustRightInd w:val="0"/>
        <w:spacing w:before="120" w:after="0" w:line="240" w:lineRule="auto"/>
        <w:jc w:val="both"/>
        <w:rPr>
          <w:rFonts w:ascii="Times New Roman" w:eastAsia="Times New Roman" w:hAnsi="Times New Roman" w:cs="Times New Roman"/>
          <w:noProof/>
          <w:color w:val="000000"/>
          <w:sz w:val="24"/>
          <w:szCs w:val="24"/>
        </w:rPr>
      </w:pPr>
      <w:r>
        <w:rPr>
          <w:rFonts w:ascii="Times New Roman" w:hAnsi="Times New Roman"/>
          <w:noProof/>
        </w:rPr>
        <w:t xml:space="preserve">Skont l-Istrateġija Fiskali tal-gvern, huwa ppjanat li d-defiċit nominali ġenerali tal-gvern fl-2019 jiżdied għal 3,8 % tal-PDG,’il fuq u mhux qrib il-valur ta’ referenza ta’ 3 % tal-PDG skont it-Trattat. L-eċċess ippjanat fuq il-valur ta’ referenza jitqies li la huwa eċċezzjonali u lanqas temporanju. </w:t>
      </w:r>
    </w:p>
    <w:p>
      <w:pPr>
        <w:autoSpaceDE w:val="0"/>
        <w:autoSpaceDN w:val="0"/>
        <w:adjustRightInd w:val="0"/>
        <w:spacing w:before="120" w:after="0" w:line="240" w:lineRule="auto"/>
        <w:jc w:val="both"/>
        <w:rPr>
          <w:rFonts w:ascii="Times New Roman" w:eastAsia="Times New Roman" w:hAnsi="Times New Roman" w:cs="Times New Roman"/>
          <w:noProof/>
          <w:color w:val="000000"/>
          <w:sz w:val="24"/>
          <w:szCs w:val="24"/>
        </w:rPr>
      </w:pPr>
      <w:r>
        <w:rPr>
          <w:rFonts w:ascii="Times New Roman" w:hAnsi="Times New Roman"/>
          <w:noProof/>
        </w:rPr>
        <w:t>Id-dejn gross tal-amministrazzjoni pubblika jibqa’ sew taħt il-valur ta’ referenza ta’ 60 % tal-PGD.</w:t>
      </w:r>
      <w:r>
        <w:rPr>
          <w:noProof/>
        </w:rPr>
        <w:t xml:space="preserve"> </w:t>
      </w:r>
    </w:p>
    <w:p>
      <w:pPr>
        <w:autoSpaceDE w:val="0"/>
        <w:autoSpaceDN w:val="0"/>
        <w:adjustRightInd w:val="0"/>
        <w:spacing w:before="120" w:after="0" w:line="240" w:lineRule="auto"/>
        <w:jc w:val="both"/>
        <w:rPr>
          <w:rFonts w:ascii="Times New Roman" w:eastAsia="Times New Roman" w:hAnsi="Times New Roman" w:cs="Times New Roman"/>
          <w:noProof/>
          <w:sz w:val="24"/>
        </w:rPr>
      </w:pPr>
      <w:r>
        <w:rPr>
          <w:rFonts w:ascii="Times New Roman" w:hAnsi="Times New Roman"/>
          <w:noProof/>
        </w:rPr>
        <w:t>L-analiżi ppreżentata f’dan ir-rapport tinkludi l-valutazzjoni tal-fatturi rilevanti kollha, li skont it-Trattat u l-PST għandhom jitqiesu fl-istadji li jwasslu għad-deċiżjoni dwar l-eżistenza ta’ defiċit eċċessiv kull meta l-proporzjon tad-dejn tal-gvern mal-PDG ma jaqbiżx il-valur ta’ referenza.  Il-fatturi rilevanti fil-każ attwali ma jipprovdux elementi ta’ mitigazzjoni u għalhekk ma jbiddlux il-valutazzjoni.</w:t>
      </w:r>
    </w:p>
    <w:p>
      <w:pPr>
        <w:autoSpaceDE w:val="0"/>
        <w:autoSpaceDN w:val="0"/>
        <w:adjustRightInd w:val="0"/>
        <w:spacing w:before="120" w:after="0" w:line="240" w:lineRule="auto"/>
        <w:jc w:val="both"/>
        <w:rPr>
          <w:rFonts w:ascii="Times New Roman" w:eastAsia="Times New Roman" w:hAnsi="Times New Roman" w:cs="Times New Roman"/>
          <w:noProof/>
          <w:sz w:val="24"/>
        </w:rPr>
      </w:pPr>
      <w:r>
        <w:rPr>
          <w:rFonts w:ascii="Times New Roman" w:hAnsi="Times New Roman"/>
          <w:noProof/>
        </w:rPr>
        <w:t>B’mod ġenerali, l-analiżi tissuġġerixxi li l-kriterju tad-defiċit kif definit fit-Trattat u fir-Regolament (KE) Nru 1467/1997 għandu jitqies bħala li ma ġiex rispettat, u li għalhekk hija meħtieġa proċedura ta’ defiċit eċċessiv.</w:t>
      </w:r>
    </w:p>
    <w:p>
      <w:pPr>
        <w:autoSpaceDE w:val="0"/>
        <w:autoSpaceDN w:val="0"/>
        <w:adjustRightInd w:val="0"/>
        <w:spacing w:before="120" w:after="0" w:line="240" w:lineRule="auto"/>
        <w:jc w:val="both"/>
        <w:rPr>
          <w:rFonts w:ascii="Times New Roman" w:eastAsia="Times New Roman" w:hAnsi="Times New Roman" w:cs="Times New Roman"/>
          <w:noProof/>
          <w:sz w:val="24"/>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pPr>
      <w:r>
        <w:rPr>
          <w:vertAlign w:val="superscript"/>
        </w:rPr>
        <w:t>1</w:t>
      </w:r>
      <w:r>
        <w:tab/>
        <w:t>OJ L 209, 2.8.1997, p. 6. Ir-rapport iqis ukoll “L-ispeċifikazzjonijiet dwar l-implimentazzjoni tal-Patt ta’ Stabbiltà u Tkabbir Ekonomiku u l-linji gwida dwar il-format u l-kontenut ta’ programmi ta’ stabbiltà u konverġenza”, adottati mill-Kumitat Ekonomiku u Finanzjarju fil-5 ta’ Lulju 2016, disponibbli hawn:</w:t>
      </w:r>
      <w:r>
        <w:tab/>
      </w:r>
      <w:r>
        <w:br/>
      </w:r>
      <w:hyperlink r:id="rId1" w:history="1">
        <w:r>
          <w:rPr>
            <w:rStyle w:val="Hyperlink"/>
          </w:rPr>
          <w:t>http://ec.europa.eu/economy_finance/economic_governance/sgp/legal_texts/index_en.htm</w:t>
        </w:r>
      </w:hyperlink>
      <w:r>
        <w:t xml:space="preserve"> .</w:t>
      </w:r>
    </w:p>
  </w:footnote>
  <w:footnote w:id="3">
    <w:p>
      <w:pPr>
        <w:pStyle w:val="FootnoteText"/>
        <w:ind w:left="284" w:hanging="284"/>
        <w:rPr>
          <w:highlight w:val="yellow"/>
        </w:rPr>
      </w:pPr>
      <w:r>
        <w:rPr>
          <w:rStyle w:val="FootnoteReference"/>
        </w:rPr>
        <w:footnoteRef/>
      </w:r>
      <w:r>
        <w:tab/>
        <w:t xml:space="preserve">kont ir-Regolament tal-Kunsill (KE) Nru 479/2009, darbtejn fis-sena l-Istati Membri jridu jagħtu rendikont lill-Kummissjoni dwar il-livelli ppjanati u attwali tagħhom tal-iżbilanċ u tad-dejn tal-gvern. Tista’ ssib l-aktar notifiki riċenti tar-Rumanija fuq:  </w:t>
      </w:r>
      <w:hyperlink r:id="rId2" w:history="1">
        <w:r>
          <w:rPr>
            <w:rStyle w:val="Hyperlink"/>
          </w:rPr>
          <w:t>https://ec.europa.eu/eurostat/web/government-finance-statistics/excessive-deficit-procedure/edp-notification-tables</w:t>
        </w:r>
      </w:hyperlink>
    </w:p>
  </w:footnote>
  <w:footnote w:id="4">
    <w:p>
      <w:pPr>
        <w:pStyle w:val="FootnoteText"/>
        <w:ind w:left="284" w:hanging="284"/>
      </w:pPr>
      <w:r>
        <w:rPr>
          <w:rStyle w:val="FootnoteReference"/>
        </w:rPr>
        <w:footnoteRef/>
      </w:r>
      <w:r>
        <w:tab/>
        <w:t xml:space="preserve">Stqarrija għall-istampa tal-Eurostat Nru. 161/2019, </w:t>
      </w:r>
      <w:hyperlink r:id="rId3" w:history="1">
        <w:r>
          <w:rPr>
            <w:rStyle w:val="Hyperlink"/>
          </w:rPr>
          <w:t>https://ec.europa.eu/eurostat/documents/2995521/10064349/2-21102019-AP-EN.pdf/61ae39d7-6764-2a16-ede5-e6da00249c27</w:t>
        </w:r>
      </w:hyperlink>
    </w:p>
  </w:footnote>
  <w:footnote w:id="5">
    <w:p>
      <w:pPr>
        <w:pStyle w:val="FootnoteText"/>
        <w:ind w:left="284" w:hanging="284"/>
      </w:pPr>
      <w:r>
        <w:rPr>
          <w:rStyle w:val="FootnoteReference"/>
        </w:rPr>
        <w:footnoteRef/>
      </w:r>
      <w:r>
        <w:t xml:space="preserve"> Ara l-Komunikazzjoni tal-Kummissjoni COM (2019) 150 final, 27.02.2019 " </w:t>
      </w:r>
      <w:r>
        <w:rPr>
          <w:i/>
          <w:iCs/>
        </w:rPr>
        <w:t>Is-Semestru Ewropew tal-2019: Valutazzjoni tal-progress tar-riformi strutturali, tal-prevenzjoni u tal-korrezzjoni tal-iżbilanċi makroekonomiċi, u r-riżultati tal-analiżijiet fil-fond skont ir-Regolament (UE) Nru 1176/2011</w:t>
      </w:r>
      <w:r>
        <w:t xml:space="preserve">. </w:t>
      </w:r>
    </w:p>
  </w:footnote>
  <w:footnote w:id="6">
    <w:p>
      <w:pPr>
        <w:pStyle w:val="FootnoteText"/>
        <w:ind w:left="284" w:hanging="284"/>
      </w:pPr>
      <w:r>
        <w:rPr>
          <w:rStyle w:val="FootnoteReference"/>
        </w:rPr>
        <w:footnoteRef/>
      </w:r>
      <w:r>
        <w:t xml:space="preserve"> Rakkomandazzjoni tal-Kunsill tad-9 ta' Lulju 2019 dwar il-Programm Nazzjonali ta' Riforma tal-2019 tar-Rumanija u li tagħti opinjoni tal-Kunsill dwar il-Programm ta' Konverġenza tal-2019 tar-Rumanija, ĠU C 301, 5.9.2019, p. 135–142.</w:t>
      </w:r>
    </w:p>
  </w:footnote>
  <w:footnote w:id="7">
    <w:p>
      <w:pPr>
        <w:pStyle w:val="FootnoteText"/>
        <w:ind w:left="284" w:hanging="284"/>
      </w:pPr>
      <w:r>
        <w:rPr>
          <w:rStyle w:val="FootnoteReference"/>
        </w:rPr>
        <w:footnoteRef/>
      </w:r>
      <w:r>
        <w:t xml:space="preserve"> Din it-taqsima hija bbażata fuq  il-Monitoraġġ tas-Sostenibbiltà tad-Dejn tal-2019 tal-Kummissjoni Ewropea, disponibbli hawn: </w:t>
      </w:r>
      <w:hyperlink r:id="rId4" w:history="1">
        <w:r>
          <w:rPr>
            <w:rStyle w:val="Hyperlink"/>
          </w:rPr>
          <w:t>https://ec.europa.eu/info/sites/info/files/economy-finance/ip120_en.pdf</w:t>
        </w:r>
      </w:hyperlink>
    </w:p>
  </w:footnote>
  <w:footnote w:id="8">
    <w:p>
      <w:pPr>
        <w:pStyle w:val="FootnoteText"/>
        <w:ind w:left="284" w:hanging="284"/>
      </w:pPr>
      <w:r>
        <w:rPr>
          <w:rStyle w:val="FootnoteReference"/>
        </w:rPr>
        <w:footnoteRef/>
      </w:r>
      <w:r>
        <w:t xml:space="preserve"> Fil-valutazzjoni tal-Kummissjoni, l-infiq ta’ darba f’termini ta’ dovuti kien jammonta għal 0,1 % tal-PDG fl-2019, minħabba rifużjoni tat-taxxa tal-boll għall-ambjent fuq il-karozzi.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4">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2">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0">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6">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0">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1">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2">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4">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5">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4"/>
  </w:num>
  <w:num w:numId="2">
    <w:abstractNumId w:val="32"/>
  </w:num>
  <w:num w:numId="3">
    <w:abstractNumId w:val="7"/>
  </w:num>
  <w:num w:numId="4">
    <w:abstractNumId w:val="2"/>
  </w:num>
  <w:num w:numId="5">
    <w:abstractNumId w:val="1"/>
  </w:num>
  <w:num w:numId="6">
    <w:abstractNumId w:val="29"/>
  </w:num>
  <w:num w:numId="7">
    <w:abstractNumId w:val="3"/>
  </w:num>
  <w:num w:numId="8">
    <w:abstractNumId w:val="11"/>
  </w:num>
  <w:num w:numId="9">
    <w:abstractNumId w:val="35"/>
  </w:num>
  <w:num w:numId="10">
    <w:abstractNumId w:val="12"/>
  </w:num>
  <w:num w:numId="11">
    <w:abstractNumId w:val="25"/>
  </w:num>
  <w:num w:numId="12">
    <w:abstractNumId w:val="19"/>
  </w:num>
  <w:num w:numId="13">
    <w:abstractNumId w:val="31"/>
  </w:num>
  <w:num w:numId="14">
    <w:abstractNumId w:val="34"/>
  </w:num>
  <w:num w:numId="15">
    <w:abstractNumId w:val="23"/>
  </w:num>
  <w:num w:numId="16">
    <w:abstractNumId w:val="13"/>
  </w:num>
  <w:num w:numId="17">
    <w:abstractNumId w:val="28"/>
  </w:num>
  <w:num w:numId="18">
    <w:abstractNumId w:val="9"/>
  </w:num>
  <w:num w:numId="19">
    <w:abstractNumId w:val="14"/>
  </w:num>
  <w:num w:numId="20">
    <w:abstractNumId w:val="6"/>
  </w:num>
  <w:num w:numId="21">
    <w:abstractNumId w:val="27"/>
  </w:num>
  <w:num w:numId="22">
    <w:abstractNumId w:val="5"/>
  </w:num>
  <w:num w:numId="23">
    <w:abstractNumId w:val="15"/>
  </w:num>
  <w:num w:numId="24">
    <w:abstractNumId w:val="21"/>
  </w:num>
  <w:num w:numId="25">
    <w:abstractNumId w:val="22"/>
  </w:num>
  <w:num w:numId="26">
    <w:abstractNumId w:val="8"/>
  </w:num>
  <w:num w:numId="27">
    <w:abstractNumId w:val="18"/>
  </w:num>
  <w:num w:numId="28">
    <w:abstractNumId w:val="33"/>
  </w:num>
  <w:num w:numId="29">
    <w:abstractNumId w:val="0"/>
  </w:num>
  <w:num w:numId="30">
    <w:abstractNumId w:val="16"/>
  </w:num>
  <w:num w:numId="31">
    <w:abstractNumId w:val="26"/>
  </w:num>
  <w:num w:numId="32">
    <w:abstractNumId w:val="10"/>
  </w:num>
  <w:num w:numId="33">
    <w:abstractNumId w:val="20"/>
  </w:num>
  <w:num w:numId="34">
    <w:abstractNumId w:val="4"/>
  </w:num>
  <w:num w:numId="35">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32378B5-607B-4000-A95D-F9EA1AE0A05F"/>
    <w:docVar w:name="LW_COVERPAGE_TYPE" w:val="1"/>
    <w:docVar w:name="LW_CROSSREFERENCE" w:val="&lt;UNUSED&gt;"/>
    <w:docVar w:name="LW_DocType" w:val="NORMAL"/>
    <w:docVar w:name="LW_EMISSION" w:val="14.2.2020"/>
    <w:docVar w:name="LW_EMISSION_ISODATE" w:val="2020-02-14"/>
    <w:docVar w:name="LW_EMISSION_LOCATION" w:val="BRX"/>
    <w:docVar w:name="LW_EMISSION_PREFIX" w:val="Brussell, "/>
    <w:docVar w:name="LW_EMISSION_SUFFIX" w:val=" "/>
    <w:docVar w:name="LW_ID_DOCTYPE_NONLW" w:val="CP-003"/>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20) 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Ir-Rumanija_x000b__x000b_Rapport im\u295?ejji f\u8217?konformità mal-Artikolu 126(3) tat-Trattat dwar il-Funzjonament tal-Unjoni Ewropea"/>
    <w:docVar w:name="LW_TYPE.DOC.CP" w:val="RAPPORT TAL-KUMMISSJON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640">
      <w:bodyDiv w:val="1"/>
      <w:marLeft w:val="0"/>
      <w:marRight w:val="0"/>
      <w:marTop w:val="0"/>
      <w:marBottom w:val="0"/>
      <w:divBdr>
        <w:top w:val="none" w:sz="0" w:space="0" w:color="auto"/>
        <w:left w:val="none" w:sz="0" w:space="0" w:color="auto"/>
        <w:bottom w:val="none" w:sz="0" w:space="0" w:color="auto"/>
        <w:right w:val="none" w:sz="0" w:space="0" w:color="auto"/>
      </w:divBdr>
      <w:divsChild>
        <w:div w:id="482164058">
          <w:marLeft w:val="0"/>
          <w:marRight w:val="0"/>
          <w:marTop w:val="0"/>
          <w:marBottom w:val="0"/>
          <w:divBdr>
            <w:top w:val="none" w:sz="0" w:space="0" w:color="auto"/>
            <w:left w:val="none" w:sz="0" w:space="0" w:color="auto"/>
            <w:bottom w:val="none" w:sz="0" w:space="0" w:color="auto"/>
            <w:right w:val="none" w:sz="0" w:space="0" w:color="auto"/>
          </w:divBdr>
        </w:div>
        <w:div w:id="881669523">
          <w:marLeft w:val="0"/>
          <w:marRight w:val="0"/>
          <w:marTop w:val="0"/>
          <w:marBottom w:val="0"/>
          <w:divBdr>
            <w:top w:val="none" w:sz="0" w:space="0" w:color="auto"/>
            <w:left w:val="none" w:sz="0" w:space="0" w:color="auto"/>
            <w:bottom w:val="none" w:sz="0" w:space="0" w:color="auto"/>
            <w:right w:val="none" w:sz="0" w:space="0" w:color="auto"/>
          </w:divBdr>
        </w:div>
        <w:div w:id="1483084069">
          <w:marLeft w:val="0"/>
          <w:marRight w:val="0"/>
          <w:marTop w:val="0"/>
          <w:marBottom w:val="0"/>
          <w:divBdr>
            <w:top w:val="none" w:sz="0" w:space="0" w:color="auto"/>
            <w:left w:val="none" w:sz="0" w:space="0" w:color="auto"/>
            <w:bottom w:val="none" w:sz="0" w:space="0" w:color="auto"/>
            <w:right w:val="none" w:sz="0" w:space="0" w:color="auto"/>
          </w:divBdr>
        </w:div>
        <w:div w:id="1428649158">
          <w:marLeft w:val="0"/>
          <w:marRight w:val="0"/>
          <w:marTop w:val="0"/>
          <w:marBottom w:val="0"/>
          <w:divBdr>
            <w:top w:val="none" w:sz="0" w:space="0" w:color="auto"/>
            <w:left w:val="none" w:sz="0" w:space="0" w:color="auto"/>
            <w:bottom w:val="none" w:sz="0" w:space="0" w:color="auto"/>
            <w:right w:val="none" w:sz="0" w:space="0" w:color="auto"/>
          </w:divBdr>
        </w:div>
      </w:divsChild>
    </w:div>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247617896">
      <w:bodyDiv w:val="1"/>
      <w:marLeft w:val="0"/>
      <w:marRight w:val="0"/>
      <w:marTop w:val="0"/>
      <w:marBottom w:val="0"/>
      <w:divBdr>
        <w:top w:val="none" w:sz="0" w:space="0" w:color="auto"/>
        <w:left w:val="none" w:sz="0" w:space="0" w:color="auto"/>
        <w:bottom w:val="none" w:sz="0" w:space="0" w:color="auto"/>
        <w:right w:val="none" w:sz="0" w:space="0" w:color="auto"/>
      </w:divBdr>
      <w:divsChild>
        <w:div w:id="681517605">
          <w:marLeft w:val="0"/>
          <w:marRight w:val="0"/>
          <w:marTop w:val="0"/>
          <w:marBottom w:val="0"/>
          <w:divBdr>
            <w:top w:val="none" w:sz="0" w:space="0" w:color="auto"/>
            <w:left w:val="none" w:sz="0" w:space="0" w:color="auto"/>
            <w:bottom w:val="none" w:sz="0" w:space="0" w:color="auto"/>
            <w:right w:val="none" w:sz="0" w:space="0" w:color="auto"/>
          </w:divBdr>
        </w:div>
        <w:div w:id="1813911224">
          <w:marLeft w:val="0"/>
          <w:marRight w:val="0"/>
          <w:marTop w:val="0"/>
          <w:marBottom w:val="0"/>
          <w:divBdr>
            <w:top w:val="none" w:sz="0" w:space="0" w:color="auto"/>
            <w:left w:val="none" w:sz="0" w:space="0" w:color="auto"/>
            <w:bottom w:val="none" w:sz="0" w:space="0" w:color="auto"/>
            <w:right w:val="none" w:sz="0" w:space="0" w:color="auto"/>
          </w:divBdr>
        </w:div>
      </w:divsChild>
    </w:div>
    <w:div w:id="250434387">
      <w:bodyDiv w:val="1"/>
      <w:marLeft w:val="0"/>
      <w:marRight w:val="0"/>
      <w:marTop w:val="0"/>
      <w:marBottom w:val="0"/>
      <w:divBdr>
        <w:top w:val="none" w:sz="0" w:space="0" w:color="auto"/>
        <w:left w:val="none" w:sz="0" w:space="0" w:color="auto"/>
        <w:bottom w:val="none" w:sz="0" w:space="0" w:color="auto"/>
        <w:right w:val="none" w:sz="0" w:space="0" w:color="auto"/>
      </w:divBdr>
      <w:divsChild>
        <w:div w:id="1496722564">
          <w:marLeft w:val="0"/>
          <w:marRight w:val="0"/>
          <w:marTop w:val="0"/>
          <w:marBottom w:val="0"/>
          <w:divBdr>
            <w:top w:val="none" w:sz="0" w:space="0" w:color="auto"/>
            <w:left w:val="none" w:sz="0" w:space="0" w:color="auto"/>
            <w:bottom w:val="none" w:sz="0" w:space="0" w:color="auto"/>
            <w:right w:val="none" w:sz="0" w:space="0" w:color="auto"/>
          </w:divBdr>
        </w:div>
        <w:div w:id="1630667843">
          <w:marLeft w:val="0"/>
          <w:marRight w:val="0"/>
          <w:marTop w:val="0"/>
          <w:marBottom w:val="0"/>
          <w:divBdr>
            <w:top w:val="none" w:sz="0" w:space="0" w:color="auto"/>
            <w:left w:val="none" w:sz="0" w:space="0" w:color="auto"/>
            <w:bottom w:val="none" w:sz="0" w:space="0" w:color="auto"/>
            <w:right w:val="none" w:sz="0" w:space="0" w:color="auto"/>
          </w:divBdr>
        </w:div>
        <w:div w:id="350569642">
          <w:marLeft w:val="0"/>
          <w:marRight w:val="0"/>
          <w:marTop w:val="0"/>
          <w:marBottom w:val="0"/>
          <w:divBdr>
            <w:top w:val="none" w:sz="0" w:space="0" w:color="auto"/>
            <w:left w:val="none" w:sz="0" w:space="0" w:color="auto"/>
            <w:bottom w:val="none" w:sz="0" w:space="0" w:color="auto"/>
            <w:right w:val="none" w:sz="0" w:space="0" w:color="auto"/>
          </w:divBdr>
        </w:div>
        <w:div w:id="1021784292">
          <w:marLeft w:val="0"/>
          <w:marRight w:val="0"/>
          <w:marTop w:val="0"/>
          <w:marBottom w:val="0"/>
          <w:divBdr>
            <w:top w:val="none" w:sz="0" w:space="0" w:color="auto"/>
            <w:left w:val="none" w:sz="0" w:space="0" w:color="auto"/>
            <w:bottom w:val="none" w:sz="0" w:space="0" w:color="auto"/>
            <w:right w:val="none" w:sz="0" w:space="0" w:color="auto"/>
          </w:divBdr>
        </w:div>
        <w:div w:id="643656409">
          <w:marLeft w:val="0"/>
          <w:marRight w:val="0"/>
          <w:marTop w:val="0"/>
          <w:marBottom w:val="0"/>
          <w:divBdr>
            <w:top w:val="none" w:sz="0" w:space="0" w:color="auto"/>
            <w:left w:val="none" w:sz="0" w:space="0" w:color="auto"/>
            <w:bottom w:val="none" w:sz="0" w:space="0" w:color="auto"/>
            <w:right w:val="none" w:sz="0" w:space="0" w:color="auto"/>
          </w:divBdr>
        </w:div>
        <w:div w:id="781413060">
          <w:marLeft w:val="0"/>
          <w:marRight w:val="0"/>
          <w:marTop w:val="0"/>
          <w:marBottom w:val="0"/>
          <w:divBdr>
            <w:top w:val="none" w:sz="0" w:space="0" w:color="auto"/>
            <w:left w:val="none" w:sz="0" w:space="0" w:color="auto"/>
            <w:bottom w:val="none" w:sz="0" w:space="0" w:color="auto"/>
            <w:right w:val="none" w:sz="0" w:space="0" w:color="auto"/>
          </w:divBdr>
        </w:div>
        <w:div w:id="359163288">
          <w:marLeft w:val="0"/>
          <w:marRight w:val="0"/>
          <w:marTop w:val="0"/>
          <w:marBottom w:val="0"/>
          <w:divBdr>
            <w:top w:val="none" w:sz="0" w:space="0" w:color="auto"/>
            <w:left w:val="none" w:sz="0" w:space="0" w:color="auto"/>
            <w:bottom w:val="none" w:sz="0" w:space="0" w:color="auto"/>
            <w:right w:val="none" w:sz="0" w:space="0" w:color="auto"/>
          </w:divBdr>
        </w:div>
        <w:div w:id="429397179">
          <w:marLeft w:val="0"/>
          <w:marRight w:val="0"/>
          <w:marTop w:val="0"/>
          <w:marBottom w:val="0"/>
          <w:divBdr>
            <w:top w:val="none" w:sz="0" w:space="0" w:color="auto"/>
            <w:left w:val="none" w:sz="0" w:space="0" w:color="auto"/>
            <w:bottom w:val="none" w:sz="0" w:space="0" w:color="auto"/>
            <w:right w:val="none" w:sz="0" w:space="0" w:color="auto"/>
          </w:divBdr>
        </w:div>
        <w:div w:id="1549998132">
          <w:marLeft w:val="0"/>
          <w:marRight w:val="0"/>
          <w:marTop w:val="0"/>
          <w:marBottom w:val="0"/>
          <w:divBdr>
            <w:top w:val="none" w:sz="0" w:space="0" w:color="auto"/>
            <w:left w:val="none" w:sz="0" w:space="0" w:color="auto"/>
            <w:bottom w:val="none" w:sz="0" w:space="0" w:color="auto"/>
            <w:right w:val="none" w:sz="0" w:space="0" w:color="auto"/>
          </w:divBdr>
        </w:div>
        <w:div w:id="174543188">
          <w:marLeft w:val="0"/>
          <w:marRight w:val="0"/>
          <w:marTop w:val="0"/>
          <w:marBottom w:val="0"/>
          <w:divBdr>
            <w:top w:val="none" w:sz="0" w:space="0" w:color="auto"/>
            <w:left w:val="none" w:sz="0" w:space="0" w:color="auto"/>
            <w:bottom w:val="none" w:sz="0" w:space="0" w:color="auto"/>
            <w:right w:val="none" w:sz="0" w:space="0" w:color="auto"/>
          </w:divBdr>
        </w:div>
        <w:div w:id="357127273">
          <w:marLeft w:val="0"/>
          <w:marRight w:val="0"/>
          <w:marTop w:val="0"/>
          <w:marBottom w:val="0"/>
          <w:divBdr>
            <w:top w:val="none" w:sz="0" w:space="0" w:color="auto"/>
            <w:left w:val="none" w:sz="0" w:space="0" w:color="auto"/>
            <w:bottom w:val="none" w:sz="0" w:space="0" w:color="auto"/>
            <w:right w:val="none" w:sz="0" w:space="0" w:color="auto"/>
          </w:divBdr>
        </w:div>
        <w:div w:id="1472215258">
          <w:marLeft w:val="0"/>
          <w:marRight w:val="0"/>
          <w:marTop w:val="0"/>
          <w:marBottom w:val="0"/>
          <w:divBdr>
            <w:top w:val="none" w:sz="0" w:space="0" w:color="auto"/>
            <w:left w:val="none" w:sz="0" w:space="0" w:color="auto"/>
            <w:bottom w:val="none" w:sz="0" w:space="0" w:color="auto"/>
            <w:right w:val="none" w:sz="0" w:space="0" w:color="auto"/>
          </w:divBdr>
        </w:div>
        <w:div w:id="551815400">
          <w:marLeft w:val="0"/>
          <w:marRight w:val="0"/>
          <w:marTop w:val="0"/>
          <w:marBottom w:val="0"/>
          <w:divBdr>
            <w:top w:val="none" w:sz="0" w:space="0" w:color="auto"/>
            <w:left w:val="none" w:sz="0" w:space="0" w:color="auto"/>
            <w:bottom w:val="none" w:sz="0" w:space="0" w:color="auto"/>
            <w:right w:val="none" w:sz="0" w:space="0" w:color="auto"/>
          </w:divBdr>
        </w:div>
        <w:div w:id="658193522">
          <w:marLeft w:val="0"/>
          <w:marRight w:val="0"/>
          <w:marTop w:val="0"/>
          <w:marBottom w:val="0"/>
          <w:divBdr>
            <w:top w:val="none" w:sz="0" w:space="0" w:color="auto"/>
            <w:left w:val="none" w:sz="0" w:space="0" w:color="auto"/>
            <w:bottom w:val="none" w:sz="0" w:space="0" w:color="auto"/>
            <w:right w:val="none" w:sz="0" w:space="0" w:color="auto"/>
          </w:divBdr>
        </w:div>
        <w:div w:id="1975134406">
          <w:marLeft w:val="0"/>
          <w:marRight w:val="0"/>
          <w:marTop w:val="0"/>
          <w:marBottom w:val="0"/>
          <w:divBdr>
            <w:top w:val="none" w:sz="0" w:space="0" w:color="auto"/>
            <w:left w:val="none" w:sz="0" w:space="0" w:color="auto"/>
            <w:bottom w:val="none" w:sz="0" w:space="0" w:color="auto"/>
            <w:right w:val="none" w:sz="0" w:space="0" w:color="auto"/>
          </w:divBdr>
        </w:div>
        <w:div w:id="1356152010">
          <w:marLeft w:val="0"/>
          <w:marRight w:val="0"/>
          <w:marTop w:val="0"/>
          <w:marBottom w:val="0"/>
          <w:divBdr>
            <w:top w:val="none" w:sz="0" w:space="0" w:color="auto"/>
            <w:left w:val="none" w:sz="0" w:space="0" w:color="auto"/>
            <w:bottom w:val="none" w:sz="0" w:space="0" w:color="auto"/>
            <w:right w:val="none" w:sz="0" w:space="0" w:color="auto"/>
          </w:divBdr>
        </w:div>
        <w:div w:id="433552708">
          <w:marLeft w:val="0"/>
          <w:marRight w:val="0"/>
          <w:marTop w:val="0"/>
          <w:marBottom w:val="0"/>
          <w:divBdr>
            <w:top w:val="none" w:sz="0" w:space="0" w:color="auto"/>
            <w:left w:val="none" w:sz="0" w:space="0" w:color="auto"/>
            <w:bottom w:val="none" w:sz="0" w:space="0" w:color="auto"/>
            <w:right w:val="none" w:sz="0" w:space="0" w:color="auto"/>
          </w:divBdr>
        </w:div>
        <w:div w:id="1464731927">
          <w:marLeft w:val="0"/>
          <w:marRight w:val="0"/>
          <w:marTop w:val="0"/>
          <w:marBottom w:val="0"/>
          <w:divBdr>
            <w:top w:val="none" w:sz="0" w:space="0" w:color="auto"/>
            <w:left w:val="none" w:sz="0" w:space="0" w:color="auto"/>
            <w:bottom w:val="none" w:sz="0" w:space="0" w:color="auto"/>
            <w:right w:val="none" w:sz="0" w:space="0" w:color="auto"/>
          </w:divBdr>
        </w:div>
        <w:div w:id="1300957374">
          <w:marLeft w:val="0"/>
          <w:marRight w:val="0"/>
          <w:marTop w:val="0"/>
          <w:marBottom w:val="0"/>
          <w:divBdr>
            <w:top w:val="none" w:sz="0" w:space="0" w:color="auto"/>
            <w:left w:val="none" w:sz="0" w:space="0" w:color="auto"/>
            <w:bottom w:val="none" w:sz="0" w:space="0" w:color="auto"/>
            <w:right w:val="none" w:sz="0" w:space="0" w:color="auto"/>
          </w:divBdr>
        </w:div>
        <w:div w:id="1697733879">
          <w:marLeft w:val="0"/>
          <w:marRight w:val="0"/>
          <w:marTop w:val="0"/>
          <w:marBottom w:val="0"/>
          <w:divBdr>
            <w:top w:val="none" w:sz="0" w:space="0" w:color="auto"/>
            <w:left w:val="none" w:sz="0" w:space="0" w:color="auto"/>
            <w:bottom w:val="none" w:sz="0" w:space="0" w:color="auto"/>
            <w:right w:val="none" w:sz="0" w:space="0" w:color="auto"/>
          </w:divBdr>
        </w:div>
        <w:div w:id="212280351">
          <w:marLeft w:val="0"/>
          <w:marRight w:val="0"/>
          <w:marTop w:val="0"/>
          <w:marBottom w:val="0"/>
          <w:divBdr>
            <w:top w:val="none" w:sz="0" w:space="0" w:color="auto"/>
            <w:left w:val="none" w:sz="0" w:space="0" w:color="auto"/>
            <w:bottom w:val="none" w:sz="0" w:space="0" w:color="auto"/>
            <w:right w:val="none" w:sz="0" w:space="0" w:color="auto"/>
          </w:divBdr>
        </w:div>
        <w:div w:id="1419866851">
          <w:marLeft w:val="0"/>
          <w:marRight w:val="0"/>
          <w:marTop w:val="0"/>
          <w:marBottom w:val="0"/>
          <w:divBdr>
            <w:top w:val="none" w:sz="0" w:space="0" w:color="auto"/>
            <w:left w:val="none" w:sz="0" w:space="0" w:color="auto"/>
            <w:bottom w:val="none" w:sz="0" w:space="0" w:color="auto"/>
            <w:right w:val="none" w:sz="0" w:space="0" w:color="auto"/>
          </w:divBdr>
        </w:div>
        <w:div w:id="238179179">
          <w:marLeft w:val="0"/>
          <w:marRight w:val="0"/>
          <w:marTop w:val="0"/>
          <w:marBottom w:val="0"/>
          <w:divBdr>
            <w:top w:val="none" w:sz="0" w:space="0" w:color="auto"/>
            <w:left w:val="none" w:sz="0" w:space="0" w:color="auto"/>
            <w:bottom w:val="none" w:sz="0" w:space="0" w:color="auto"/>
            <w:right w:val="none" w:sz="0" w:space="0" w:color="auto"/>
          </w:divBdr>
        </w:div>
        <w:div w:id="1653756047">
          <w:marLeft w:val="0"/>
          <w:marRight w:val="0"/>
          <w:marTop w:val="0"/>
          <w:marBottom w:val="0"/>
          <w:divBdr>
            <w:top w:val="none" w:sz="0" w:space="0" w:color="auto"/>
            <w:left w:val="none" w:sz="0" w:space="0" w:color="auto"/>
            <w:bottom w:val="none" w:sz="0" w:space="0" w:color="auto"/>
            <w:right w:val="none" w:sz="0" w:space="0" w:color="auto"/>
          </w:divBdr>
        </w:div>
        <w:div w:id="375467300">
          <w:marLeft w:val="0"/>
          <w:marRight w:val="0"/>
          <w:marTop w:val="0"/>
          <w:marBottom w:val="0"/>
          <w:divBdr>
            <w:top w:val="none" w:sz="0" w:space="0" w:color="auto"/>
            <w:left w:val="none" w:sz="0" w:space="0" w:color="auto"/>
            <w:bottom w:val="none" w:sz="0" w:space="0" w:color="auto"/>
            <w:right w:val="none" w:sz="0" w:space="0" w:color="auto"/>
          </w:divBdr>
        </w:div>
        <w:div w:id="1586961778">
          <w:marLeft w:val="0"/>
          <w:marRight w:val="0"/>
          <w:marTop w:val="0"/>
          <w:marBottom w:val="0"/>
          <w:divBdr>
            <w:top w:val="none" w:sz="0" w:space="0" w:color="auto"/>
            <w:left w:val="none" w:sz="0" w:space="0" w:color="auto"/>
            <w:bottom w:val="none" w:sz="0" w:space="0" w:color="auto"/>
            <w:right w:val="none" w:sz="0" w:space="0" w:color="auto"/>
          </w:divBdr>
        </w:div>
        <w:div w:id="718087410">
          <w:marLeft w:val="0"/>
          <w:marRight w:val="0"/>
          <w:marTop w:val="0"/>
          <w:marBottom w:val="0"/>
          <w:divBdr>
            <w:top w:val="none" w:sz="0" w:space="0" w:color="auto"/>
            <w:left w:val="none" w:sz="0" w:space="0" w:color="auto"/>
            <w:bottom w:val="none" w:sz="0" w:space="0" w:color="auto"/>
            <w:right w:val="none" w:sz="0" w:space="0" w:color="auto"/>
          </w:divBdr>
        </w:div>
        <w:div w:id="1723095420">
          <w:marLeft w:val="0"/>
          <w:marRight w:val="0"/>
          <w:marTop w:val="0"/>
          <w:marBottom w:val="0"/>
          <w:divBdr>
            <w:top w:val="none" w:sz="0" w:space="0" w:color="auto"/>
            <w:left w:val="none" w:sz="0" w:space="0" w:color="auto"/>
            <w:bottom w:val="none" w:sz="0" w:space="0" w:color="auto"/>
            <w:right w:val="none" w:sz="0" w:space="0" w:color="auto"/>
          </w:divBdr>
        </w:div>
        <w:div w:id="188955354">
          <w:marLeft w:val="0"/>
          <w:marRight w:val="0"/>
          <w:marTop w:val="0"/>
          <w:marBottom w:val="0"/>
          <w:divBdr>
            <w:top w:val="none" w:sz="0" w:space="0" w:color="auto"/>
            <w:left w:val="none" w:sz="0" w:space="0" w:color="auto"/>
            <w:bottom w:val="none" w:sz="0" w:space="0" w:color="auto"/>
            <w:right w:val="none" w:sz="0" w:space="0" w:color="auto"/>
          </w:divBdr>
        </w:div>
        <w:div w:id="1388263846">
          <w:marLeft w:val="0"/>
          <w:marRight w:val="0"/>
          <w:marTop w:val="0"/>
          <w:marBottom w:val="0"/>
          <w:divBdr>
            <w:top w:val="none" w:sz="0" w:space="0" w:color="auto"/>
            <w:left w:val="none" w:sz="0" w:space="0" w:color="auto"/>
            <w:bottom w:val="none" w:sz="0" w:space="0" w:color="auto"/>
            <w:right w:val="none" w:sz="0" w:space="0" w:color="auto"/>
          </w:divBdr>
        </w:div>
        <w:div w:id="840389938">
          <w:marLeft w:val="0"/>
          <w:marRight w:val="0"/>
          <w:marTop w:val="0"/>
          <w:marBottom w:val="0"/>
          <w:divBdr>
            <w:top w:val="none" w:sz="0" w:space="0" w:color="auto"/>
            <w:left w:val="none" w:sz="0" w:space="0" w:color="auto"/>
            <w:bottom w:val="none" w:sz="0" w:space="0" w:color="auto"/>
            <w:right w:val="none" w:sz="0" w:space="0" w:color="auto"/>
          </w:divBdr>
        </w:div>
        <w:div w:id="99684138">
          <w:marLeft w:val="0"/>
          <w:marRight w:val="0"/>
          <w:marTop w:val="0"/>
          <w:marBottom w:val="0"/>
          <w:divBdr>
            <w:top w:val="none" w:sz="0" w:space="0" w:color="auto"/>
            <w:left w:val="none" w:sz="0" w:space="0" w:color="auto"/>
            <w:bottom w:val="none" w:sz="0" w:space="0" w:color="auto"/>
            <w:right w:val="none" w:sz="0" w:space="0" w:color="auto"/>
          </w:divBdr>
        </w:div>
        <w:div w:id="1530291837">
          <w:marLeft w:val="0"/>
          <w:marRight w:val="0"/>
          <w:marTop w:val="0"/>
          <w:marBottom w:val="0"/>
          <w:divBdr>
            <w:top w:val="none" w:sz="0" w:space="0" w:color="auto"/>
            <w:left w:val="none" w:sz="0" w:space="0" w:color="auto"/>
            <w:bottom w:val="none" w:sz="0" w:space="0" w:color="auto"/>
            <w:right w:val="none" w:sz="0" w:space="0" w:color="auto"/>
          </w:divBdr>
        </w:div>
        <w:div w:id="1860191597">
          <w:marLeft w:val="0"/>
          <w:marRight w:val="0"/>
          <w:marTop w:val="0"/>
          <w:marBottom w:val="0"/>
          <w:divBdr>
            <w:top w:val="none" w:sz="0" w:space="0" w:color="auto"/>
            <w:left w:val="none" w:sz="0" w:space="0" w:color="auto"/>
            <w:bottom w:val="none" w:sz="0" w:space="0" w:color="auto"/>
            <w:right w:val="none" w:sz="0" w:space="0" w:color="auto"/>
          </w:divBdr>
        </w:div>
        <w:div w:id="130439292">
          <w:marLeft w:val="0"/>
          <w:marRight w:val="0"/>
          <w:marTop w:val="0"/>
          <w:marBottom w:val="0"/>
          <w:divBdr>
            <w:top w:val="none" w:sz="0" w:space="0" w:color="auto"/>
            <w:left w:val="none" w:sz="0" w:space="0" w:color="auto"/>
            <w:bottom w:val="none" w:sz="0" w:space="0" w:color="auto"/>
            <w:right w:val="none" w:sz="0" w:space="0" w:color="auto"/>
          </w:divBdr>
        </w:div>
        <w:div w:id="807556854">
          <w:marLeft w:val="0"/>
          <w:marRight w:val="0"/>
          <w:marTop w:val="0"/>
          <w:marBottom w:val="0"/>
          <w:divBdr>
            <w:top w:val="none" w:sz="0" w:space="0" w:color="auto"/>
            <w:left w:val="none" w:sz="0" w:space="0" w:color="auto"/>
            <w:bottom w:val="none" w:sz="0" w:space="0" w:color="auto"/>
            <w:right w:val="none" w:sz="0" w:space="0" w:color="auto"/>
          </w:divBdr>
        </w:div>
        <w:div w:id="862015540">
          <w:marLeft w:val="0"/>
          <w:marRight w:val="0"/>
          <w:marTop w:val="0"/>
          <w:marBottom w:val="0"/>
          <w:divBdr>
            <w:top w:val="none" w:sz="0" w:space="0" w:color="auto"/>
            <w:left w:val="none" w:sz="0" w:space="0" w:color="auto"/>
            <w:bottom w:val="none" w:sz="0" w:space="0" w:color="auto"/>
            <w:right w:val="none" w:sz="0" w:space="0" w:color="auto"/>
          </w:divBdr>
        </w:div>
        <w:div w:id="170026407">
          <w:marLeft w:val="0"/>
          <w:marRight w:val="0"/>
          <w:marTop w:val="0"/>
          <w:marBottom w:val="0"/>
          <w:divBdr>
            <w:top w:val="none" w:sz="0" w:space="0" w:color="auto"/>
            <w:left w:val="none" w:sz="0" w:space="0" w:color="auto"/>
            <w:bottom w:val="none" w:sz="0" w:space="0" w:color="auto"/>
            <w:right w:val="none" w:sz="0" w:space="0" w:color="auto"/>
          </w:divBdr>
        </w:div>
        <w:div w:id="1845898173">
          <w:marLeft w:val="0"/>
          <w:marRight w:val="0"/>
          <w:marTop w:val="0"/>
          <w:marBottom w:val="0"/>
          <w:divBdr>
            <w:top w:val="none" w:sz="0" w:space="0" w:color="auto"/>
            <w:left w:val="none" w:sz="0" w:space="0" w:color="auto"/>
            <w:bottom w:val="none" w:sz="0" w:space="0" w:color="auto"/>
            <w:right w:val="none" w:sz="0" w:space="0" w:color="auto"/>
          </w:divBdr>
        </w:div>
        <w:div w:id="80152655">
          <w:marLeft w:val="0"/>
          <w:marRight w:val="0"/>
          <w:marTop w:val="0"/>
          <w:marBottom w:val="0"/>
          <w:divBdr>
            <w:top w:val="none" w:sz="0" w:space="0" w:color="auto"/>
            <w:left w:val="none" w:sz="0" w:space="0" w:color="auto"/>
            <w:bottom w:val="none" w:sz="0" w:space="0" w:color="auto"/>
            <w:right w:val="none" w:sz="0" w:space="0" w:color="auto"/>
          </w:divBdr>
        </w:div>
        <w:div w:id="1091505261">
          <w:marLeft w:val="0"/>
          <w:marRight w:val="0"/>
          <w:marTop w:val="0"/>
          <w:marBottom w:val="0"/>
          <w:divBdr>
            <w:top w:val="none" w:sz="0" w:space="0" w:color="auto"/>
            <w:left w:val="none" w:sz="0" w:space="0" w:color="auto"/>
            <w:bottom w:val="none" w:sz="0" w:space="0" w:color="auto"/>
            <w:right w:val="none" w:sz="0" w:space="0" w:color="auto"/>
          </w:divBdr>
        </w:div>
        <w:div w:id="924146282">
          <w:marLeft w:val="0"/>
          <w:marRight w:val="0"/>
          <w:marTop w:val="0"/>
          <w:marBottom w:val="0"/>
          <w:divBdr>
            <w:top w:val="none" w:sz="0" w:space="0" w:color="auto"/>
            <w:left w:val="none" w:sz="0" w:space="0" w:color="auto"/>
            <w:bottom w:val="none" w:sz="0" w:space="0" w:color="auto"/>
            <w:right w:val="none" w:sz="0" w:space="0" w:color="auto"/>
          </w:divBdr>
        </w:div>
        <w:div w:id="765882092">
          <w:marLeft w:val="0"/>
          <w:marRight w:val="0"/>
          <w:marTop w:val="0"/>
          <w:marBottom w:val="0"/>
          <w:divBdr>
            <w:top w:val="none" w:sz="0" w:space="0" w:color="auto"/>
            <w:left w:val="none" w:sz="0" w:space="0" w:color="auto"/>
            <w:bottom w:val="none" w:sz="0" w:space="0" w:color="auto"/>
            <w:right w:val="none" w:sz="0" w:space="0" w:color="auto"/>
          </w:divBdr>
        </w:div>
        <w:div w:id="148331179">
          <w:marLeft w:val="0"/>
          <w:marRight w:val="0"/>
          <w:marTop w:val="0"/>
          <w:marBottom w:val="0"/>
          <w:divBdr>
            <w:top w:val="none" w:sz="0" w:space="0" w:color="auto"/>
            <w:left w:val="none" w:sz="0" w:space="0" w:color="auto"/>
            <w:bottom w:val="none" w:sz="0" w:space="0" w:color="auto"/>
            <w:right w:val="none" w:sz="0" w:space="0" w:color="auto"/>
          </w:divBdr>
        </w:div>
        <w:div w:id="1707169914">
          <w:marLeft w:val="0"/>
          <w:marRight w:val="0"/>
          <w:marTop w:val="0"/>
          <w:marBottom w:val="0"/>
          <w:divBdr>
            <w:top w:val="none" w:sz="0" w:space="0" w:color="auto"/>
            <w:left w:val="none" w:sz="0" w:space="0" w:color="auto"/>
            <w:bottom w:val="none" w:sz="0" w:space="0" w:color="auto"/>
            <w:right w:val="none" w:sz="0" w:space="0" w:color="auto"/>
          </w:divBdr>
        </w:div>
        <w:div w:id="1500197665">
          <w:marLeft w:val="0"/>
          <w:marRight w:val="0"/>
          <w:marTop w:val="0"/>
          <w:marBottom w:val="0"/>
          <w:divBdr>
            <w:top w:val="none" w:sz="0" w:space="0" w:color="auto"/>
            <w:left w:val="none" w:sz="0" w:space="0" w:color="auto"/>
            <w:bottom w:val="none" w:sz="0" w:space="0" w:color="auto"/>
            <w:right w:val="none" w:sz="0" w:space="0" w:color="auto"/>
          </w:divBdr>
        </w:div>
      </w:divsChild>
    </w:div>
    <w:div w:id="266156338">
      <w:bodyDiv w:val="1"/>
      <w:marLeft w:val="0"/>
      <w:marRight w:val="0"/>
      <w:marTop w:val="0"/>
      <w:marBottom w:val="0"/>
      <w:divBdr>
        <w:top w:val="none" w:sz="0" w:space="0" w:color="auto"/>
        <w:left w:val="none" w:sz="0" w:space="0" w:color="auto"/>
        <w:bottom w:val="none" w:sz="0" w:space="0" w:color="auto"/>
        <w:right w:val="none" w:sz="0" w:space="0" w:color="auto"/>
      </w:divBdr>
      <w:divsChild>
        <w:div w:id="1851985311">
          <w:marLeft w:val="0"/>
          <w:marRight w:val="0"/>
          <w:marTop w:val="0"/>
          <w:marBottom w:val="0"/>
          <w:divBdr>
            <w:top w:val="none" w:sz="0" w:space="0" w:color="auto"/>
            <w:left w:val="none" w:sz="0" w:space="0" w:color="auto"/>
            <w:bottom w:val="none" w:sz="0" w:space="0" w:color="auto"/>
            <w:right w:val="none" w:sz="0" w:space="0" w:color="auto"/>
          </w:divBdr>
        </w:div>
        <w:div w:id="348332004">
          <w:marLeft w:val="0"/>
          <w:marRight w:val="0"/>
          <w:marTop w:val="0"/>
          <w:marBottom w:val="0"/>
          <w:divBdr>
            <w:top w:val="none" w:sz="0" w:space="0" w:color="auto"/>
            <w:left w:val="none" w:sz="0" w:space="0" w:color="auto"/>
            <w:bottom w:val="none" w:sz="0" w:space="0" w:color="auto"/>
            <w:right w:val="none" w:sz="0" w:space="0" w:color="auto"/>
          </w:divBdr>
        </w:div>
      </w:divsChild>
    </w:div>
    <w:div w:id="269707194">
      <w:bodyDiv w:val="1"/>
      <w:marLeft w:val="0"/>
      <w:marRight w:val="0"/>
      <w:marTop w:val="0"/>
      <w:marBottom w:val="0"/>
      <w:divBdr>
        <w:top w:val="none" w:sz="0" w:space="0" w:color="auto"/>
        <w:left w:val="none" w:sz="0" w:space="0" w:color="auto"/>
        <w:bottom w:val="none" w:sz="0" w:space="0" w:color="auto"/>
        <w:right w:val="none" w:sz="0" w:space="0" w:color="auto"/>
      </w:divBdr>
      <w:divsChild>
        <w:div w:id="1828087686">
          <w:marLeft w:val="0"/>
          <w:marRight w:val="0"/>
          <w:marTop w:val="0"/>
          <w:marBottom w:val="0"/>
          <w:divBdr>
            <w:top w:val="none" w:sz="0" w:space="0" w:color="auto"/>
            <w:left w:val="none" w:sz="0" w:space="0" w:color="auto"/>
            <w:bottom w:val="none" w:sz="0" w:space="0" w:color="auto"/>
            <w:right w:val="none" w:sz="0" w:space="0" w:color="auto"/>
          </w:divBdr>
        </w:div>
        <w:div w:id="453212928">
          <w:marLeft w:val="0"/>
          <w:marRight w:val="0"/>
          <w:marTop w:val="0"/>
          <w:marBottom w:val="0"/>
          <w:divBdr>
            <w:top w:val="none" w:sz="0" w:space="0" w:color="auto"/>
            <w:left w:val="none" w:sz="0" w:space="0" w:color="auto"/>
            <w:bottom w:val="none" w:sz="0" w:space="0" w:color="auto"/>
            <w:right w:val="none" w:sz="0" w:space="0" w:color="auto"/>
          </w:divBdr>
        </w:div>
        <w:div w:id="1562672565">
          <w:marLeft w:val="0"/>
          <w:marRight w:val="0"/>
          <w:marTop w:val="0"/>
          <w:marBottom w:val="0"/>
          <w:divBdr>
            <w:top w:val="none" w:sz="0" w:space="0" w:color="auto"/>
            <w:left w:val="none" w:sz="0" w:space="0" w:color="auto"/>
            <w:bottom w:val="none" w:sz="0" w:space="0" w:color="auto"/>
            <w:right w:val="none" w:sz="0" w:space="0" w:color="auto"/>
          </w:divBdr>
        </w:div>
        <w:div w:id="960107618">
          <w:marLeft w:val="0"/>
          <w:marRight w:val="0"/>
          <w:marTop w:val="0"/>
          <w:marBottom w:val="0"/>
          <w:divBdr>
            <w:top w:val="none" w:sz="0" w:space="0" w:color="auto"/>
            <w:left w:val="none" w:sz="0" w:space="0" w:color="auto"/>
            <w:bottom w:val="none" w:sz="0" w:space="0" w:color="auto"/>
            <w:right w:val="none" w:sz="0" w:space="0" w:color="auto"/>
          </w:divBdr>
        </w:div>
        <w:div w:id="93287043">
          <w:marLeft w:val="0"/>
          <w:marRight w:val="0"/>
          <w:marTop w:val="0"/>
          <w:marBottom w:val="0"/>
          <w:divBdr>
            <w:top w:val="none" w:sz="0" w:space="0" w:color="auto"/>
            <w:left w:val="none" w:sz="0" w:space="0" w:color="auto"/>
            <w:bottom w:val="none" w:sz="0" w:space="0" w:color="auto"/>
            <w:right w:val="none" w:sz="0" w:space="0" w:color="auto"/>
          </w:divBdr>
        </w:div>
        <w:div w:id="1132286383">
          <w:marLeft w:val="0"/>
          <w:marRight w:val="0"/>
          <w:marTop w:val="0"/>
          <w:marBottom w:val="0"/>
          <w:divBdr>
            <w:top w:val="none" w:sz="0" w:space="0" w:color="auto"/>
            <w:left w:val="none" w:sz="0" w:space="0" w:color="auto"/>
            <w:bottom w:val="none" w:sz="0" w:space="0" w:color="auto"/>
            <w:right w:val="none" w:sz="0" w:space="0" w:color="auto"/>
          </w:divBdr>
        </w:div>
        <w:div w:id="1347320317">
          <w:marLeft w:val="0"/>
          <w:marRight w:val="0"/>
          <w:marTop w:val="0"/>
          <w:marBottom w:val="0"/>
          <w:divBdr>
            <w:top w:val="none" w:sz="0" w:space="0" w:color="auto"/>
            <w:left w:val="none" w:sz="0" w:space="0" w:color="auto"/>
            <w:bottom w:val="none" w:sz="0" w:space="0" w:color="auto"/>
            <w:right w:val="none" w:sz="0" w:space="0" w:color="auto"/>
          </w:divBdr>
        </w:div>
        <w:div w:id="265893527">
          <w:marLeft w:val="0"/>
          <w:marRight w:val="0"/>
          <w:marTop w:val="0"/>
          <w:marBottom w:val="0"/>
          <w:divBdr>
            <w:top w:val="none" w:sz="0" w:space="0" w:color="auto"/>
            <w:left w:val="none" w:sz="0" w:space="0" w:color="auto"/>
            <w:bottom w:val="none" w:sz="0" w:space="0" w:color="auto"/>
            <w:right w:val="none" w:sz="0" w:space="0" w:color="auto"/>
          </w:divBdr>
        </w:div>
        <w:div w:id="1269972359">
          <w:marLeft w:val="0"/>
          <w:marRight w:val="0"/>
          <w:marTop w:val="0"/>
          <w:marBottom w:val="0"/>
          <w:divBdr>
            <w:top w:val="none" w:sz="0" w:space="0" w:color="auto"/>
            <w:left w:val="none" w:sz="0" w:space="0" w:color="auto"/>
            <w:bottom w:val="none" w:sz="0" w:space="0" w:color="auto"/>
            <w:right w:val="none" w:sz="0" w:space="0" w:color="auto"/>
          </w:divBdr>
        </w:div>
      </w:divsChild>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50405690">
      <w:bodyDiv w:val="1"/>
      <w:marLeft w:val="0"/>
      <w:marRight w:val="0"/>
      <w:marTop w:val="0"/>
      <w:marBottom w:val="0"/>
      <w:divBdr>
        <w:top w:val="none" w:sz="0" w:space="0" w:color="auto"/>
        <w:left w:val="none" w:sz="0" w:space="0" w:color="auto"/>
        <w:bottom w:val="none" w:sz="0" w:space="0" w:color="auto"/>
        <w:right w:val="none" w:sz="0" w:space="0" w:color="auto"/>
      </w:divBdr>
      <w:divsChild>
        <w:div w:id="1151367239">
          <w:marLeft w:val="0"/>
          <w:marRight w:val="0"/>
          <w:marTop w:val="0"/>
          <w:marBottom w:val="0"/>
          <w:divBdr>
            <w:top w:val="none" w:sz="0" w:space="0" w:color="auto"/>
            <w:left w:val="none" w:sz="0" w:space="0" w:color="auto"/>
            <w:bottom w:val="none" w:sz="0" w:space="0" w:color="auto"/>
            <w:right w:val="none" w:sz="0" w:space="0" w:color="auto"/>
          </w:divBdr>
        </w:div>
        <w:div w:id="1937788858">
          <w:marLeft w:val="0"/>
          <w:marRight w:val="0"/>
          <w:marTop w:val="0"/>
          <w:marBottom w:val="0"/>
          <w:divBdr>
            <w:top w:val="none" w:sz="0" w:space="0" w:color="auto"/>
            <w:left w:val="none" w:sz="0" w:space="0" w:color="auto"/>
            <w:bottom w:val="none" w:sz="0" w:space="0" w:color="auto"/>
            <w:right w:val="none" w:sz="0" w:space="0" w:color="auto"/>
          </w:divBdr>
        </w:div>
        <w:div w:id="1002902558">
          <w:marLeft w:val="0"/>
          <w:marRight w:val="0"/>
          <w:marTop w:val="0"/>
          <w:marBottom w:val="0"/>
          <w:divBdr>
            <w:top w:val="none" w:sz="0" w:space="0" w:color="auto"/>
            <w:left w:val="none" w:sz="0" w:space="0" w:color="auto"/>
            <w:bottom w:val="none" w:sz="0" w:space="0" w:color="auto"/>
            <w:right w:val="none" w:sz="0" w:space="0" w:color="auto"/>
          </w:divBdr>
        </w:div>
        <w:div w:id="1316564179">
          <w:marLeft w:val="0"/>
          <w:marRight w:val="0"/>
          <w:marTop w:val="0"/>
          <w:marBottom w:val="0"/>
          <w:divBdr>
            <w:top w:val="none" w:sz="0" w:space="0" w:color="auto"/>
            <w:left w:val="none" w:sz="0" w:space="0" w:color="auto"/>
            <w:bottom w:val="none" w:sz="0" w:space="0" w:color="auto"/>
            <w:right w:val="none" w:sz="0" w:space="0" w:color="auto"/>
          </w:divBdr>
        </w:div>
        <w:div w:id="961962532">
          <w:marLeft w:val="0"/>
          <w:marRight w:val="0"/>
          <w:marTop w:val="0"/>
          <w:marBottom w:val="0"/>
          <w:divBdr>
            <w:top w:val="none" w:sz="0" w:space="0" w:color="auto"/>
            <w:left w:val="none" w:sz="0" w:space="0" w:color="auto"/>
            <w:bottom w:val="none" w:sz="0" w:space="0" w:color="auto"/>
            <w:right w:val="none" w:sz="0" w:space="0" w:color="auto"/>
          </w:divBdr>
        </w:div>
      </w:divsChild>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67711585">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028065309">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266501788">
      <w:bodyDiv w:val="1"/>
      <w:marLeft w:val="0"/>
      <w:marRight w:val="0"/>
      <w:marTop w:val="0"/>
      <w:marBottom w:val="0"/>
      <w:divBdr>
        <w:top w:val="none" w:sz="0" w:space="0" w:color="auto"/>
        <w:left w:val="none" w:sz="0" w:space="0" w:color="auto"/>
        <w:bottom w:val="none" w:sz="0" w:space="0" w:color="auto"/>
        <w:right w:val="none" w:sz="0" w:space="0" w:color="auto"/>
      </w:divBdr>
    </w:div>
    <w:div w:id="136829245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20876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ocuments/2995521/10064349/2-21102019-AP-EN.pdf/61ae39d7-6764-2a16-ede5-e6da00249c27" TargetMode="External"/><Relationship Id="rId2" Type="http://schemas.openxmlformats.org/officeDocument/2006/relationships/hyperlink" Target="https://ec.europa.eu/eurostat/web/government-finance-statistics/excessive-deficit-procedure/edp-notification-tables" TargetMode="External"/><Relationship Id="rId1" Type="http://schemas.openxmlformats.org/officeDocument/2006/relationships/hyperlink" Target="http://ec.europa.eu/economy_finance/economic_governance/sgp/legal_texts/index_en.htm" TargetMode="External"/><Relationship Id="rId4" Type="http://schemas.openxmlformats.org/officeDocument/2006/relationships/hyperlink" Target="https://ec.europa.eu/info/sites/info/files/economy-finance/ip12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5E88-415B-4A43-9EBE-9E208DF5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3635</Words>
  <Characters>25780</Characters>
  <Application>Microsoft Office Word</Application>
  <DocSecurity>0</DocSecurity>
  <Lines>436</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16</cp:revision>
  <cp:lastPrinted>2020-02-07T15:11:00Z</cp:lastPrinted>
  <dcterms:created xsi:type="dcterms:W3CDTF">2020-02-21T13:14:00Z</dcterms:created>
  <dcterms:modified xsi:type="dcterms:W3CDTF">2020-03-02T14:51:00Z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