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97" w:rsidRDefault="00D13FF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FA1ED27-2FE7-409E-BBA5-D01E86E3687A" style="width:450.4pt;height:334.05pt">
            <v:imagedata r:id="rId9" o:title=""/>
          </v:shape>
        </w:pict>
      </w:r>
    </w:p>
    <w:bookmarkEnd w:id="0"/>
    <w:p w:rsidR="005B5F97" w:rsidRDefault="005B5F97">
      <w:pPr>
        <w:rPr>
          <w:noProof/>
        </w:rPr>
        <w:sectPr w:rsidR="005B5F9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5B5F97" w:rsidRDefault="00D13FFE">
      <w:pPr>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rPr>
        <w:lastRenderedPageBreak/>
        <w:t>INFORME DE LA COMISIÓN AL PARLAMENTO EUROPEO Y AL CONSEJO</w:t>
      </w:r>
      <w:r>
        <w:rPr>
          <w:rFonts w:ascii="Times New Roman" w:hAnsi="Times New Roman"/>
          <w:b/>
          <w:noProof/>
        </w:rPr>
        <w:br/>
      </w:r>
    </w:p>
    <w:p w:rsidR="005B5F97" w:rsidRDefault="00D13FFE">
      <w:pPr>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rPr>
        <w:t xml:space="preserve">sobre el ejercicio de la delegación de poderes a la Comisión para adoptar actos </w:t>
      </w:r>
      <w:r>
        <w:rPr>
          <w:rFonts w:ascii="Times New Roman" w:hAnsi="Times New Roman"/>
          <w:b/>
          <w:noProof/>
        </w:rPr>
        <w:t>delegados, de conformidad con el artículo 18, apartado 2, de la Directiva 2014/45/UE, el artículo 7, apartado 2, de la Directiva 1999/37/CE y el artículo 22, apartado 2, de la Directiva 2014/47/UE</w:t>
      </w:r>
    </w:p>
    <w:p w:rsidR="005B5F97" w:rsidRDefault="005B5F97">
      <w:pPr>
        <w:jc w:val="both"/>
        <w:rPr>
          <w:rFonts w:ascii="Times New Roman" w:hAnsi="Times New Roman"/>
          <w:noProof/>
          <w:sz w:val="24"/>
          <w:szCs w:val="24"/>
        </w:rPr>
      </w:pPr>
    </w:p>
    <w:p w:rsidR="005B5F97" w:rsidRDefault="00D13FFE">
      <w:pPr>
        <w:jc w:val="both"/>
        <w:rPr>
          <w:rFonts w:ascii="Times New Roman" w:hAnsi="Times New Roman"/>
          <w:b/>
          <w:noProof/>
          <w:sz w:val="24"/>
          <w:szCs w:val="24"/>
        </w:rPr>
      </w:pPr>
      <w:r>
        <w:rPr>
          <w:rFonts w:ascii="Times New Roman" w:hAnsi="Times New Roman"/>
          <w:b/>
          <w:noProof/>
        </w:rPr>
        <w:t>1. Introducción</w:t>
      </w:r>
    </w:p>
    <w:p w:rsidR="005B5F97" w:rsidRDefault="00D13FFE">
      <w:pPr>
        <w:spacing w:line="240" w:lineRule="auto"/>
        <w:jc w:val="both"/>
        <w:rPr>
          <w:rFonts w:ascii="Times New Roman" w:hAnsi="Times New Roman"/>
          <w:noProof/>
          <w:sz w:val="24"/>
          <w:szCs w:val="24"/>
        </w:rPr>
      </w:pPr>
      <w:r>
        <w:rPr>
          <w:rFonts w:ascii="Times New Roman" w:hAnsi="Times New Roman"/>
          <w:noProof/>
        </w:rPr>
        <w:t>El artículo 17 de la Directiva 2014/45/UE</w:t>
      </w:r>
      <w:r>
        <w:rPr>
          <w:rStyle w:val="FootnoteReference"/>
          <w:rFonts w:ascii="Times New Roman" w:hAnsi="Times New Roman"/>
          <w:noProof/>
        </w:rPr>
        <w:footnoteReference w:id="1"/>
      </w:r>
      <w:r>
        <w:rPr>
          <w:rFonts w:ascii="Times New Roman" w:hAnsi="Times New Roman"/>
          <w:noProof/>
        </w:rPr>
        <w:t>, el artículo 6 de la Directiva 1999/37/CE</w:t>
      </w:r>
      <w:r>
        <w:rPr>
          <w:rStyle w:val="FootnoteReference"/>
          <w:rFonts w:ascii="Times New Roman" w:hAnsi="Times New Roman"/>
          <w:noProof/>
        </w:rPr>
        <w:footnoteReference w:id="2"/>
      </w:r>
      <w:r>
        <w:rPr>
          <w:rFonts w:ascii="Times New Roman" w:hAnsi="Times New Roman"/>
          <w:noProof/>
        </w:rPr>
        <w:t>, modificada por el Reglamento 2014/46/UE</w:t>
      </w:r>
      <w:r>
        <w:rPr>
          <w:rStyle w:val="FootnoteReference"/>
          <w:rFonts w:ascii="Times New Roman" w:hAnsi="Times New Roman"/>
          <w:noProof/>
        </w:rPr>
        <w:footnoteReference w:id="3"/>
      </w:r>
      <w:r>
        <w:rPr>
          <w:rFonts w:ascii="Times New Roman" w:hAnsi="Times New Roman"/>
          <w:noProof/>
        </w:rPr>
        <w:t>, y el artículo 21 de la Directiva 2014/47/UE</w:t>
      </w:r>
      <w:r>
        <w:rPr>
          <w:rStyle w:val="FootnoteReference"/>
          <w:rFonts w:ascii="Times New Roman" w:hAnsi="Times New Roman"/>
          <w:noProof/>
        </w:rPr>
        <w:footnoteReference w:id="4"/>
      </w:r>
      <w:r>
        <w:rPr>
          <w:rFonts w:ascii="Times New Roman" w:hAnsi="Times New Roman"/>
          <w:noProof/>
        </w:rPr>
        <w:t xml:space="preserve"> otorgaron poderes a la Comisión para adoptar actos delegados. Estos poderes se otorgaron a la Comisión por un período de cin</w:t>
      </w:r>
      <w:r>
        <w:rPr>
          <w:rFonts w:ascii="Times New Roman" w:hAnsi="Times New Roman"/>
          <w:noProof/>
        </w:rPr>
        <w:t xml:space="preserve">co años a partir del 19 de mayo de 2014, y deben prorrogarse tácitamente por períodos de idéntica duración. </w:t>
      </w:r>
    </w:p>
    <w:p w:rsidR="005B5F97" w:rsidRDefault="00D13FFE">
      <w:pPr>
        <w:spacing w:line="240" w:lineRule="auto"/>
        <w:jc w:val="both"/>
        <w:rPr>
          <w:rFonts w:ascii="Times New Roman" w:hAnsi="Times New Roman"/>
          <w:b/>
          <w:noProof/>
          <w:sz w:val="24"/>
          <w:szCs w:val="24"/>
        </w:rPr>
      </w:pPr>
      <w:r>
        <w:rPr>
          <w:rFonts w:ascii="Times New Roman" w:hAnsi="Times New Roman"/>
          <w:noProof/>
        </w:rPr>
        <w:br/>
      </w:r>
      <w:r>
        <w:rPr>
          <w:rFonts w:ascii="Times New Roman" w:hAnsi="Times New Roman"/>
          <w:b/>
          <w:noProof/>
        </w:rPr>
        <w:t>2. Base jurídica del informe</w:t>
      </w:r>
    </w:p>
    <w:p w:rsidR="005B5F97" w:rsidRDefault="00D13FFE">
      <w:pPr>
        <w:spacing w:line="240" w:lineRule="auto"/>
        <w:jc w:val="both"/>
        <w:rPr>
          <w:rFonts w:ascii="Times New Roman" w:hAnsi="Times New Roman"/>
          <w:noProof/>
          <w:sz w:val="24"/>
          <w:szCs w:val="24"/>
        </w:rPr>
      </w:pPr>
      <w:r>
        <w:rPr>
          <w:rFonts w:ascii="Times New Roman" w:hAnsi="Times New Roman"/>
          <w:noProof/>
        </w:rPr>
        <w:t>De conformidad con el artículo 18, apartado 2, de la Directiva 2014/45/UE, el artículo 7, apartado 2, de la Directiva</w:t>
      </w:r>
      <w:r>
        <w:rPr>
          <w:rFonts w:ascii="Times New Roman" w:hAnsi="Times New Roman"/>
          <w:noProof/>
        </w:rPr>
        <w:t xml:space="preserve"> 1999/37/CE y el artículo 22, apartado 2, de la Directiva 2014/47/UE, respectivamente, la Comisión debe elaborar un informe sobre la delegación de poderes prevista en cada Directiva, a más tardar nueve meses antes de que finalice el período de cinco años, </w:t>
      </w:r>
      <w:r>
        <w:rPr>
          <w:rFonts w:ascii="Times New Roman" w:hAnsi="Times New Roman"/>
          <w:noProof/>
        </w:rPr>
        <w:t>es decir, antes del 19 de agosto de 2018. La Comisión reconoce plenamente la presentación tardía de este informe y lo lamenta profundamente.</w:t>
      </w:r>
    </w:p>
    <w:p w:rsidR="005B5F97" w:rsidRDefault="005B5F97">
      <w:pPr>
        <w:spacing w:line="240" w:lineRule="auto"/>
        <w:jc w:val="both"/>
        <w:rPr>
          <w:rFonts w:ascii="Times New Roman" w:hAnsi="Times New Roman"/>
          <w:b/>
          <w:noProof/>
          <w:sz w:val="24"/>
          <w:szCs w:val="24"/>
        </w:rPr>
      </w:pPr>
    </w:p>
    <w:p w:rsidR="005B5F97" w:rsidRDefault="00D13FFE">
      <w:pPr>
        <w:spacing w:line="240" w:lineRule="auto"/>
        <w:jc w:val="both"/>
        <w:rPr>
          <w:rFonts w:ascii="Times New Roman" w:hAnsi="Times New Roman"/>
          <w:b/>
          <w:noProof/>
          <w:sz w:val="24"/>
          <w:szCs w:val="24"/>
        </w:rPr>
      </w:pPr>
      <w:r>
        <w:rPr>
          <w:rFonts w:ascii="Times New Roman" w:hAnsi="Times New Roman"/>
          <w:b/>
          <w:noProof/>
        </w:rPr>
        <w:t>3. Ejercicio de la delegación</w:t>
      </w:r>
    </w:p>
    <w:p w:rsidR="005B5F97" w:rsidRDefault="00D13FFE">
      <w:pPr>
        <w:spacing w:line="240" w:lineRule="auto"/>
        <w:jc w:val="both"/>
        <w:rPr>
          <w:rFonts w:ascii="Times New Roman" w:hAnsi="Times New Roman"/>
          <w:noProof/>
          <w:sz w:val="24"/>
          <w:szCs w:val="24"/>
        </w:rPr>
      </w:pPr>
      <w:r>
        <w:rPr>
          <w:rFonts w:ascii="Times New Roman" w:hAnsi="Times New Roman"/>
          <w:noProof/>
        </w:rPr>
        <w:t xml:space="preserve">La Comisión todavía no ha ejercido ninguno de los poderes delegados en relación con ninguna de las tres Directivas. El cuadro siguiente muestra las medidas específicas con arreglo a los poderes delegados correspondientes: </w:t>
      </w:r>
    </w:p>
    <w:p w:rsidR="005B5F97" w:rsidRDefault="005B5F97">
      <w:pPr>
        <w:spacing w:line="240" w:lineRule="auto"/>
        <w:jc w:val="both"/>
        <w:rPr>
          <w:rFonts w:ascii="Times New Roman" w:hAnsi="Times New Roman"/>
          <w:noProof/>
          <w:sz w:val="24"/>
          <w:szCs w:val="24"/>
        </w:rPr>
      </w:pPr>
    </w:p>
    <w:p w:rsidR="005B5F97" w:rsidRDefault="005B5F97">
      <w:pPr>
        <w:spacing w:line="240" w:lineRule="auto"/>
        <w:jc w:val="both"/>
        <w:rPr>
          <w:rFonts w:ascii="Times New Roman" w:hAnsi="Times New Roman"/>
          <w:noProof/>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B5F97">
        <w:tc>
          <w:tcPr>
            <w:tcW w:w="4536" w:type="dxa"/>
            <w:shd w:val="clear" w:color="auto" w:fill="BFBFBF"/>
          </w:tcPr>
          <w:p w:rsidR="005B5F97" w:rsidRDefault="00D13FFE">
            <w:pPr>
              <w:spacing w:line="240" w:lineRule="auto"/>
              <w:jc w:val="both"/>
              <w:rPr>
                <w:rFonts w:ascii="Times New Roman" w:hAnsi="Times New Roman"/>
                <w:noProof/>
                <w:sz w:val="24"/>
                <w:szCs w:val="24"/>
              </w:rPr>
            </w:pPr>
            <w:r>
              <w:rPr>
                <w:rFonts w:ascii="Times New Roman" w:hAnsi="Times New Roman"/>
                <w:noProof/>
              </w:rPr>
              <w:t>Delegación de poderes en la Dir</w:t>
            </w:r>
            <w:r>
              <w:rPr>
                <w:rFonts w:ascii="Times New Roman" w:hAnsi="Times New Roman"/>
                <w:noProof/>
              </w:rPr>
              <w:t>ectiva 2014/45/UE</w:t>
            </w:r>
          </w:p>
        </w:tc>
        <w:tc>
          <w:tcPr>
            <w:tcW w:w="4536" w:type="dxa"/>
            <w:shd w:val="clear" w:color="auto" w:fill="BFBFBF"/>
          </w:tcPr>
          <w:p w:rsidR="005B5F97" w:rsidRDefault="00D13FFE">
            <w:pPr>
              <w:spacing w:line="240" w:lineRule="auto"/>
              <w:jc w:val="both"/>
              <w:rPr>
                <w:rFonts w:ascii="Times New Roman" w:hAnsi="Times New Roman"/>
                <w:noProof/>
                <w:sz w:val="24"/>
                <w:szCs w:val="24"/>
              </w:rPr>
            </w:pPr>
            <w:r>
              <w:rPr>
                <w:rFonts w:ascii="Times New Roman" w:hAnsi="Times New Roman"/>
                <w:noProof/>
              </w:rPr>
              <w:t xml:space="preserve">Descripción del poder conferido para adoptar actos delegados </w:t>
            </w:r>
          </w:p>
        </w:tc>
      </w:tr>
      <w:tr w:rsidR="005B5F97">
        <w:tc>
          <w:tcPr>
            <w:tcW w:w="4536" w:type="dxa"/>
            <w:shd w:val="clear" w:color="auto" w:fill="auto"/>
          </w:tcPr>
          <w:p w:rsidR="005B5F97" w:rsidRDefault="005B5F97">
            <w:pPr>
              <w:spacing w:line="240" w:lineRule="auto"/>
              <w:jc w:val="center"/>
              <w:rPr>
                <w:rFonts w:ascii="Times New Roman" w:hAnsi="Times New Roman"/>
                <w:noProof/>
                <w:sz w:val="24"/>
                <w:szCs w:val="24"/>
              </w:rPr>
            </w:pPr>
          </w:p>
          <w:p w:rsidR="005B5F97" w:rsidRDefault="005B5F97">
            <w:pPr>
              <w:spacing w:line="240" w:lineRule="auto"/>
              <w:jc w:val="center"/>
              <w:rPr>
                <w:rFonts w:ascii="Times New Roman" w:hAnsi="Times New Roman"/>
                <w:noProof/>
                <w:sz w:val="24"/>
                <w:szCs w:val="24"/>
              </w:rPr>
            </w:pPr>
          </w:p>
          <w:p w:rsidR="005B5F97" w:rsidRDefault="00D13FFE">
            <w:pPr>
              <w:spacing w:line="240" w:lineRule="auto"/>
              <w:jc w:val="center"/>
              <w:rPr>
                <w:rFonts w:ascii="Times New Roman" w:hAnsi="Times New Roman"/>
                <w:noProof/>
                <w:sz w:val="24"/>
                <w:szCs w:val="24"/>
              </w:rPr>
            </w:pPr>
            <w:r>
              <w:rPr>
                <w:rFonts w:ascii="Times New Roman" w:hAnsi="Times New Roman"/>
                <w:noProof/>
              </w:rPr>
              <w:t>Artículo 17</w:t>
            </w:r>
          </w:p>
        </w:tc>
        <w:tc>
          <w:tcPr>
            <w:tcW w:w="4536" w:type="dxa"/>
            <w:shd w:val="clear" w:color="auto" w:fill="auto"/>
          </w:tcPr>
          <w:p w:rsidR="005B5F97" w:rsidRDefault="00D13FFE">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t>Actualizar las designaciones de las categorías de vehículos, según corresponda, en caso de modificaciones de las categorías de vehículos como consecuencia de mod</w:t>
            </w:r>
            <w:r>
              <w:rPr>
                <w:rFonts w:ascii="Times New Roman" w:hAnsi="Times New Roman"/>
                <w:noProof/>
              </w:rPr>
              <w:t>ificaciones de la legislación sobre homologación de tipo, sin afectar al ámbito y a la frecuencia de las inspecciones.</w:t>
            </w:r>
          </w:p>
          <w:p w:rsidR="005B5F97" w:rsidRDefault="00D13FFE">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t>Actualizar el anexo I, punto 3, en el caso de que se llegue a disponer de métodos de inspección más eficientes y eficaces, sin ampliar la</w:t>
            </w:r>
            <w:r>
              <w:rPr>
                <w:rFonts w:ascii="Times New Roman" w:hAnsi="Times New Roman"/>
                <w:noProof/>
              </w:rPr>
              <w:t xml:space="preserve"> lista de elementos objeto de inspección.</w:t>
            </w:r>
          </w:p>
          <w:p w:rsidR="005B5F97" w:rsidRDefault="00D13FFE">
            <w:pPr>
              <w:numPr>
                <w:ilvl w:val="0"/>
                <w:numId w:val="9"/>
              </w:numPr>
              <w:tabs>
                <w:tab w:val="left" w:pos="270"/>
              </w:tabs>
              <w:spacing w:line="240" w:lineRule="auto"/>
              <w:jc w:val="both"/>
              <w:rPr>
                <w:rFonts w:ascii="Times New Roman" w:hAnsi="Times New Roman"/>
                <w:noProof/>
                <w:sz w:val="24"/>
                <w:szCs w:val="24"/>
              </w:rPr>
            </w:pPr>
            <w:r>
              <w:rPr>
                <w:rFonts w:ascii="Times New Roman" w:hAnsi="Times New Roman"/>
                <w:noProof/>
              </w:rPr>
              <w:t>Adaptar el anexo I, punto 3, tras una evaluación positiva de los costes y beneficios que supone, en relación con la lista de elementos objeto de inspección, los métodos, las causas de rechazo y la valoración de las</w:t>
            </w:r>
            <w:r>
              <w:rPr>
                <w:rFonts w:ascii="Times New Roman" w:hAnsi="Times New Roman"/>
                <w:noProof/>
              </w:rPr>
              <w:t xml:space="preserve"> deficiencias, en caso de modificarse los requisitos obligatorios pertinentes para la homologación de tipo en la legislación de la Unión en materia de seguridad y medio ambiente.</w:t>
            </w:r>
          </w:p>
        </w:tc>
      </w:tr>
    </w:tbl>
    <w:p w:rsidR="005B5F97" w:rsidRDefault="005B5F97">
      <w:pPr>
        <w:jc w:val="both"/>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44"/>
      </w:tblGrid>
      <w:tr w:rsidR="005B5F97">
        <w:tc>
          <w:tcPr>
            <w:tcW w:w="4536" w:type="dxa"/>
            <w:shd w:val="clear" w:color="auto" w:fill="BFBFBF"/>
          </w:tcPr>
          <w:p w:rsidR="005B5F97" w:rsidRDefault="00D13FFE">
            <w:pPr>
              <w:jc w:val="both"/>
              <w:rPr>
                <w:rFonts w:ascii="Times New Roman" w:hAnsi="Times New Roman"/>
                <w:noProof/>
                <w:sz w:val="24"/>
                <w:szCs w:val="24"/>
              </w:rPr>
            </w:pPr>
            <w:r>
              <w:rPr>
                <w:rFonts w:ascii="Times New Roman" w:hAnsi="Times New Roman"/>
                <w:noProof/>
              </w:rPr>
              <w:t>Delegación de poderes en la Directiva 1999/37/CE</w:t>
            </w:r>
          </w:p>
        </w:tc>
        <w:tc>
          <w:tcPr>
            <w:tcW w:w="4644" w:type="dxa"/>
            <w:shd w:val="clear" w:color="auto" w:fill="BFBFBF"/>
          </w:tcPr>
          <w:p w:rsidR="005B5F97" w:rsidRDefault="00D13FFE">
            <w:pPr>
              <w:jc w:val="both"/>
              <w:rPr>
                <w:rFonts w:ascii="Times New Roman" w:hAnsi="Times New Roman"/>
                <w:noProof/>
                <w:sz w:val="24"/>
                <w:szCs w:val="24"/>
              </w:rPr>
            </w:pPr>
            <w:r>
              <w:rPr>
                <w:rFonts w:ascii="Times New Roman" w:hAnsi="Times New Roman"/>
                <w:noProof/>
              </w:rPr>
              <w:t xml:space="preserve">Descripción del poder </w:t>
            </w:r>
            <w:r>
              <w:rPr>
                <w:rFonts w:ascii="Times New Roman" w:hAnsi="Times New Roman"/>
                <w:noProof/>
              </w:rPr>
              <w:t>conferido para adoptar actos delegados</w:t>
            </w:r>
          </w:p>
        </w:tc>
      </w:tr>
      <w:tr w:rsidR="005B5F97">
        <w:tc>
          <w:tcPr>
            <w:tcW w:w="4536" w:type="dxa"/>
            <w:shd w:val="clear" w:color="auto" w:fill="auto"/>
          </w:tcPr>
          <w:p w:rsidR="005B5F97" w:rsidRDefault="005B5F97">
            <w:pPr>
              <w:jc w:val="center"/>
              <w:rPr>
                <w:rFonts w:ascii="Times New Roman" w:hAnsi="Times New Roman"/>
                <w:noProof/>
                <w:sz w:val="24"/>
                <w:szCs w:val="24"/>
              </w:rPr>
            </w:pPr>
          </w:p>
          <w:p w:rsidR="005B5F97" w:rsidRDefault="005B5F97">
            <w:pPr>
              <w:jc w:val="center"/>
              <w:rPr>
                <w:rFonts w:ascii="Times New Roman" w:hAnsi="Times New Roman"/>
                <w:noProof/>
                <w:sz w:val="24"/>
                <w:szCs w:val="24"/>
              </w:rPr>
            </w:pPr>
          </w:p>
          <w:p w:rsidR="005B5F97" w:rsidRDefault="00D13FFE">
            <w:pPr>
              <w:jc w:val="center"/>
              <w:rPr>
                <w:rFonts w:ascii="Times New Roman" w:hAnsi="Times New Roman"/>
                <w:noProof/>
                <w:sz w:val="24"/>
                <w:szCs w:val="24"/>
              </w:rPr>
            </w:pPr>
            <w:r>
              <w:rPr>
                <w:rFonts w:ascii="Times New Roman" w:hAnsi="Times New Roman"/>
                <w:noProof/>
              </w:rPr>
              <w:t>Artículo 6</w:t>
            </w:r>
          </w:p>
        </w:tc>
        <w:tc>
          <w:tcPr>
            <w:tcW w:w="4644" w:type="dxa"/>
            <w:shd w:val="clear" w:color="auto" w:fill="auto"/>
          </w:tcPr>
          <w:p w:rsidR="005B5F97" w:rsidRDefault="00D13FFE">
            <w:pPr>
              <w:numPr>
                <w:ilvl w:val="0"/>
                <w:numId w:val="8"/>
              </w:numPr>
              <w:jc w:val="both"/>
              <w:rPr>
                <w:rFonts w:ascii="Times New Roman" w:hAnsi="Times New Roman"/>
                <w:noProof/>
                <w:sz w:val="24"/>
                <w:szCs w:val="24"/>
              </w:rPr>
            </w:pPr>
            <w:r>
              <w:rPr>
                <w:rFonts w:ascii="Times New Roman" w:hAnsi="Times New Roman"/>
                <w:noProof/>
              </w:rPr>
              <w:t xml:space="preserve">Modificar los anexos I y II en caso de ampliación de la Unión. </w:t>
            </w:r>
          </w:p>
          <w:p w:rsidR="005B5F97" w:rsidRDefault="00D13FFE">
            <w:pPr>
              <w:numPr>
                <w:ilvl w:val="0"/>
                <w:numId w:val="8"/>
              </w:numPr>
              <w:jc w:val="both"/>
              <w:rPr>
                <w:rFonts w:ascii="Times New Roman" w:hAnsi="Times New Roman"/>
                <w:noProof/>
                <w:sz w:val="24"/>
                <w:szCs w:val="24"/>
              </w:rPr>
            </w:pPr>
            <w:r>
              <w:rPr>
                <w:rFonts w:ascii="Times New Roman" w:hAnsi="Times New Roman"/>
                <w:noProof/>
              </w:rPr>
              <w:t xml:space="preserve">Modificar el anexo I en relación con los elementos no obligatorios en caso de modificación de las definiciones o del contenido de los </w:t>
            </w:r>
            <w:r>
              <w:rPr>
                <w:rFonts w:ascii="Times New Roman" w:hAnsi="Times New Roman"/>
                <w:noProof/>
              </w:rPr>
              <w:t>certificados de conformidad en la legislación pertinente sobre homologación de tipo.</w:t>
            </w:r>
          </w:p>
        </w:tc>
      </w:tr>
    </w:tbl>
    <w:p w:rsidR="005B5F97" w:rsidRDefault="005B5F97">
      <w:pPr>
        <w:jc w:val="both"/>
        <w:rPr>
          <w:rFonts w:ascii="Times New Roman" w:hAnsi="Times New Roman"/>
          <w:noProof/>
          <w:sz w:val="24"/>
          <w:szCs w:val="24"/>
        </w:rPr>
      </w:pPr>
    </w:p>
    <w:p w:rsidR="005B5F97" w:rsidRDefault="005B5F97">
      <w:pPr>
        <w:jc w:val="both"/>
        <w:rPr>
          <w:rFonts w:ascii="Times New Roman" w:hAnsi="Times New Roman"/>
          <w:noProof/>
          <w:sz w:val="24"/>
          <w:szCs w:val="24"/>
        </w:rPr>
      </w:pPr>
    </w:p>
    <w:p w:rsidR="005B5F97" w:rsidRDefault="005B5F97">
      <w:pPr>
        <w:jc w:val="both"/>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44"/>
      </w:tblGrid>
      <w:tr w:rsidR="005B5F97">
        <w:tc>
          <w:tcPr>
            <w:tcW w:w="4536" w:type="dxa"/>
            <w:shd w:val="clear" w:color="auto" w:fill="BFBFBF"/>
          </w:tcPr>
          <w:p w:rsidR="005B5F97" w:rsidRDefault="00D13FFE">
            <w:pPr>
              <w:jc w:val="both"/>
              <w:rPr>
                <w:rFonts w:ascii="Times New Roman" w:hAnsi="Times New Roman"/>
                <w:noProof/>
                <w:sz w:val="24"/>
                <w:szCs w:val="24"/>
              </w:rPr>
            </w:pPr>
            <w:r>
              <w:rPr>
                <w:rFonts w:ascii="Times New Roman" w:hAnsi="Times New Roman"/>
                <w:noProof/>
              </w:rPr>
              <w:t>Delegación de poderes en la Directiva 2014/47/UE</w:t>
            </w:r>
          </w:p>
        </w:tc>
        <w:tc>
          <w:tcPr>
            <w:tcW w:w="4644" w:type="dxa"/>
            <w:shd w:val="clear" w:color="auto" w:fill="BFBFBF"/>
          </w:tcPr>
          <w:p w:rsidR="005B5F97" w:rsidRDefault="00D13FFE">
            <w:pPr>
              <w:jc w:val="both"/>
              <w:rPr>
                <w:rFonts w:ascii="Times New Roman" w:hAnsi="Times New Roman"/>
                <w:noProof/>
                <w:sz w:val="24"/>
                <w:szCs w:val="24"/>
              </w:rPr>
            </w:pPr>
            <w:r>
              <w:rPr>
                <w:rFonts w:ascii="Times New Roman" w:hAnsi="Times New Roman"/>
                <w:noProof/>
              </w:rPr>
              <w:t>Descripción del poder conferido para adoptar actos delegados</w:t>
            </w:r>
          </w:p>
        </w:tc>
      </w:tr>
      <w:tr w:rsidR="005B5F97">
        <w:tc>
          <w:tcPr>
            <w:tcW w:w="4536" w:type="dxa"/>
            <w:shd w:val="clear" w:color="auto" w:fill="auto"/>
          </w:tcPr>
          <w:p w:rsidR="005B5F97" w:rsidRDefault="005B5F97">
            <w:pPr>
              <w:jc w:val="center"/>
              <w:rPr>
                <w:rFonts w:ascii="Times New Roman" w:hAnsi="Times New Roman"/>
                <w:noProof/>
                <w:sz w:val="24"/>
                <w:szCs w:val="24"/>
              </w:rPr>
            </w:pPr>
          </w:p>
          <w:p w:rsidR="005B5F97" w:rsidRDefault="005B5F97">
            <w:pPr>
              <w:jc w:val="center"/>
              <w:rPr>
                <w:rFonts w:ascii="Times New Roman" w:hAnsi="Times New Roman"/>
                <w:noProof/>
                <w:sz w:val="24"/>
                <w:szCs w:val="24"/>
              </w:rPr>
            </w:pPr>
          </w:p>
          <w:p w:rsidR="005B5F97" w:rsidRDefault="005B5F97">
            <w:pPr>
              <w:jc w:val="center"/>
              <w:rPr>
                <w:rFonts w:ascii="Times New Roman" w:hAnsi="Times New Roman"/>
                <w:noProof/>
                <w:sz w:val="24"/>
                <w:szCs w:val="24"/>
              </w:rPr>
            </w:pPr>
          </w:p>
          <w:p w:rsidR="005B5F97" w:rsidRDefault="00D13FFE">
            <w:pPr>
              <w:jc w:val="center"/>
              <w:rPr>
                <w:rFonts w:ascii="Times New Roman" w:hAnsi="Times New Roman"/>
                <w:noProof/>
                <w:sz w:val="24"/>
                <w:szCs w:val="24"/>
              </w:rPr>
            </w:pPr>
            <w:r>
              <w:rPr>
                <w:rFonts w:ascii="Times New Roman" w:hAnsi="Times New Roman"/>
                <w:noProof/>
              </w:rPr>
              <w:t>Artículo 21</w:t>
            </w:r>
          </w:p>
        </w:tc>
        <w:tc>
          <w:tcPr>
            <w:tcW w:w="4644" w:type="dxa"/>
            <w:shd w:val="clear" w:color="auto" w:fill="auto"/>
          </w:tcPr>
          <w:p w:rsidR="005B5F97" w:rsidRDefault="00D13FFE">
            <w:pPr>
              <w:numPr>
                <w:ilvl w:val="0"/>
                <w:numId w:val="9"/>
              </w:numPr>
              <w:ind w:right="-2"/>
              <w:jc w:val="both"/>
              <w:rPr>
                <w:rFonts w:ascii="Times New Roman" w:hAnsi="Times New Roman"/>
                <w:noProof/>
                <w:sz w:val="24"/>
                <w:szCs w:val="24"/>
              </w:rPr>
            </w:pPr>
            <w:r>
              <w:rPr>
                <w:rFonts w:ascii="Times New Roman" w:hAnsi="Times New Roman"/>
                <w:noProof/>
              </w:rPr>
              <w:t xml:space="preserve">Actualizar el anexo IV, en su caso, para </w:t>
            </w:r>
            <w:r>
              <w:rPr>
                <w:rFonts w:ascii="Times New Roman" w:hAnsi="Times New Roman"/>
                <w:noProof/>
              </w:rPr>
              <w:t>reflejar adecuadamente los cambios introducidos en las categorías de vehículos como consecuencia de modificaciones de la legislación sobre la homologación de tipo, sin afectar al ámbito de aplicación de dicha Directiva.</w:t>
            </w:r>
          </w:p>
          <w:p w:rsidR="005B5F97" w:rsidRDefault="00D13FFE">
            <w:pPr>
              <w:numPr>
                <w:ilvl w:val="0"/>
                <w:numId w:val="9"/>
              </w:numPr>
              <w:ind w:right="-2"/>
              <w:jc w:val="both"/>
              <w:rPr>
                <w:rFonts w:ascii="Times New Roman" w:hAnsi="Times New Roman"/>
                <w:noProof/>
                <w:sz w:val="24"/>
                <w:szCs w:val="24"/>
              </w:rPr>
            </w:pPr>
            <w:r>
              <w:rPr>
                <w:rFonts w:ascii="Times New Roman" w:hAnsi="Times New Roman"/>
                <w:noProof/>
              </w:rPr>
              <w:t xml:space="preserve">Actualizar el anexo II, punto 2, en </w:t>
            </w:r>
            <w:r>
              <w:rPr>
                <w:rFonts w:ascii="Times New Roman" w:hAnsi="Times New Roman"/>
                <w:noProof/>
              </w:rPr>
              <w:t>caso de que se llegue a disponer de métodos más eficientes y eficaces, sin ampliar la lista de elementos que son objeto de inspección.</w:t>
            </w:r>
          </w:p>
          <w:p w:rsidR="005B5F97" w:rsidRDefault="00D13FFE">
            <w:pPr>
              <w:numPr>
                <w:ilvl w:val="0"/>
                <w:numId w:val="9"/>
              </w:numPr>
              <w:ind w:right="-2"/>
              <w:jc w:val="both"/>
              <w:rPr>
                <w:rFonts w:ascii="Times New Roman" w:hAnsi="Times New Roman"/>
                <w:noProof/>
                <w:sz w:val="24"/>
                <w:szCs w:val="24"/>
              </w:rPr>
            </w:pPr>
            <w:r>
              <w:rPr>
                <w:rFonts w:ascii="Times New Roman" w:hAnsi="Times New Roman"/>
                <w:noProof/>
              </w:rPr>
              <w:t>Adaptar el anexo II, punto 2, en relación con la lista de elementos objeto de inspección, los métodos, las causas de rech</w:t>
            </w:r>
            <w:r>
              <w:rPr>
                <w:rFonts w:ascii="Times New Roman" w:hAnsi="Times New Roman"/>
                <w:noProof/>
              </w:rPr>
              <w:t xml:space="preserve">azo y la valoración de las deficiencias, en caso de modificarse los requisitos obligatorios para la homologación de tipo en la legislación de la Unión en materia de seguridad o de medio ambiente. </w:t>
            </w:r>
          </w:p>
        </w:tc>
      </w:tr>
    </w:tbl>
    <w:p w:rsidR="005B5F97" w:rsidRDefault="005B5F97">
      <w:pPr>
        <w:jc w:val="both"/>
        <w:rPr>
          <w:rFonts w:ascii="Times New Roman" w:hAnsi="Times New Roman"/>
          <w:noProof/>
          <w:sz w:val="24"/>
          <w:szCs w:val="24"/>
        </w:rPr>
      </w:pPr>
    </w:p>
    <w:p w:rsidR="005B5F97" w:rsidRDefault="00D13FFE">
      <w:pPr>
        <w:spacing w:line="240" w:lineRule="auto"/>
        <w:jc w:val="both"/>
        <w:rPr>
          <w:rFonts w:ascii="Times New Roman" w:hAnsi="Times New Roman"/>
          <w:noProof/>
          <w:sz w:val="24"/>
          <w:szCs w:val="24"/>
        </w:rPr>
      </w:pPr>
      <w:r>
        <w:rPr>
          <w:rFonts w:ascii="Times New Roman" w:hAnsi="Times New Roman"/>
          <w:noProof/>
        </w:rPr>
        <w:t>No se han ejercido los poderes que se delegan en el artículo 17 de la Directiva 2014/45/UE, tal como se ha mencionado anteriormente. No obstante, habida cuenta de los cambios en las designaciones de las categorías de vehículos que se derivan de las modific</w:t>
      </w:r>
      <w:r>
        <w:rPr>
          <w:rFonts w:ascii="Times New Roman" w:hAnsi="Times New Roman"/>
          <w:noProof/>
        </w:rPr>
        <w:t xml:space="preserve">aciones de la legislación sobre homologación de tipo [Reglamento (UE) 2018/858], la Comisión debe ejercer este poder que se le ha otorgado para adoptar un acto delegado. </w:t>
      </w:r>
    </w:p>
    <w:p w:rsidR="005B5F97" w:rsidRDefault="00D13FFE">
      <w:pPr>
        <w:spacing w:line="240" w:lineRule="auto"/>
        <w:jc w:val="both"/>
        <w:rPr>
          <w:rFonts w:ascii="Times New Roman" w:hAnsi="Times New Roman"/>
          <w:noProof/>
          <w:sz w:val="24"/>
          <w:szCs w:val="24"/>
        </w:rPr>
      </w:pPr>
      <w:r>
        <w:rPr>
          <w:rFonts w:ascii="Times New Roman" w:hAnsi="Times New Roman"/>
          <w:noProof/>
        </w:rPr>
        <w:t>En lo que respecta a los métodos de inspección, se mantuvieron sin cambios, por lo qu</w:t>
      </w:r>
      <w:r>
        <w:rPr>
          <w:rFonts w:ascii="Times New Roman" w:hAnsi="Times New Roman"/>
          <w:noProof/>
        </w:rPr>
        <w:t xml:space="preserve">e no fue necesario ejercer los poderes delegados en relación con este punto. </w:t>
      </w:r>
    </w:p>
    <w:p w:rsidR="005B5F97" w:rsidRDefault="00D13FFE">
      <w:pPr>
        <w:spacing w:line="240" w:lineRule="auto"/>
        <w:jc w:val="both"/>
        <w:rPr>
          <w:rFonts w:ascii="Times New Roman" w:hAnsi="Times New Roman"/>
          <w:noProof/>
          <w:sz w:val="24"/>
          <w:szCs w:val="24"/>
        </w:rPr>
      </w:pPr>
      <w:r>
        <w:rPr>
          <w:rFonts w:ascii="Times New Roman" w:hAnsi="Times New Roman"/>
          <w:noProof/>
        </w:rPr>
        <w:t xml:space="preserve">Por último, tras valorarse positivamente los costes y beneficios que implica, en relación con la lista de elementos objeto de inspección, los métodos, las causas de rechazo y la </w:t>
      </w:r>
      <w:r>
        <w:rPr>
          <w:rFonts w:ascii="Times New Roman" w:hAnsi="Times New Roman"/>
          <w:noProof/>
        </w:rPr>
        <w:t>valoración de las deficiencias, en caso de modificarse los requisitos obligatorios pertinentes para la homologación de tipo en la legislación de la Unión en materia de seguridad o de medio ambiente, la Comisión debe ejercer los poderes que se le han delega</w:t>
      </w:r>
      <w:r>
        <w:rPr>
          <w:rFonts w:ascii="Times New Roman" w:hAnsi="Times New Roman"/>
          <w:noProof/>
        </w:rPr>
        <w:t xml:space="preserve">do para adaptar el anexo I, punto 3, de la Directiva 2014/45/UE. </w:t>
      </w:r>
    </w:p>
    <w:p w:rsidR="005B5F97" w:rsidRDefault="00D13FFE">
      <w:pPr>
        <w:spacing w:line="240" w:lineRule="auto"/>
        <w:jc w:val="both"/>
        <w:rPr>
          <w:rFonts w:ascii="Times New Roman" w:hAnsi="Times New Roman"/>
          <w:noProof/>
          <w:sz w:val="24"/>
          <w:szCs w:val="24"/>
        </w:rPr>
      </w:pPr>
      <w:r>
        <w:rPr>
          <w:rFonts w:ascii="Times New Roman" w:hAnsi="Times New Roman"/>
          <w:noProof/>
        </w:rPr>
        <w:t>En concreto, se ha concluido un estudio para analizar si es rentable incluir el sistema eCall en el marco del sistema de inspección periódica de la Unión Europea, estudio en el que se recomi</w:t>
      </w:r>
      <w:r>
        <w:rPr>
          <w:rFonts w:ascii="Times New Roman" w:hAnsi="Times New Roman"/>
          <w:noProof/>
        </w:rPr>
        <w:t>enda que se añada eCall al anexo I y al anexo III de la Directiva 2014/45/UE. A este respecto, la Comisión está a punto de crear un grupo de expertos para recabar el asesoramiento y los conocimientos técnicos de los Estados miembros y otras partes interesa</w:t>
      </w:r>
      <w:r>
        <w:rPr>
          <w:rFonts w:ascii="Times New Roman" w:hAnsi="Times New Roman"/>
          <w:noProof/>
        </w:rPr>
        <w:t xml:space="preserve">das pertinentes para la preparación del acto delegado. </w:t>
      </w:r>
    </w:p>
    <w:p w:rsidR="005B5F97" w:rsidRDefault="00D13FFE">
      <w:pPr>
        <w:spacing w:line="240" w:lineRule="auto"/>
        <w:jc w:val="both"/>
        <w:rPr>
          <w:rFonts w:ascii="Times New Roman" w:hAnsi="Times New Roman"/>
          <w:noProof/>
          <w:sz w:val="24"/>
          <w:szCs w:val="24"/>
        </w:rPr>
      </w:pPr>
      <w:r>
        <w:rPr>
          <w:rFonts w:ascii="Times New Roman" w:hAnsi="Times New Roman"/>
          <w:noProof/>
        </w:rPr>
        <w:t>Tal como se ha mencionado anteriormente, no se han ejercido los poderes delegados previstos en el artículo 6 de la Directiva 1999/37/CE, ya que no se ha producido ni una ampliación de la Unión ni un c</w:t>
      </w:r>
      <w:r>
        <w:rPr>
          <w:rFonts w:ascii="Times New Roman" w:hAnsi="Times New Roman"/>
          <w:noProof/>
        </w:rPr>
        <w:t xml:space="preserve">ambio en el contenido de los certificados de conformidad en la legislación pertinente de la Unión sobre homologación de tipo (Directiva 2007/46/CE). </w:t>
      </w:r>
    </w:p>
    <w:p w:rsidR="005B5F97" w:rsidRDefault="00D13FFE">
      <w:pPr>
        <w:spacing w:line="240" w:lineRule="auto"/>
        <w:jc w:val="both"/>
        <w:rPr>
          <w:rFonts w:ascii="Times New Roman" w:hAnsi="Times New Roman"/>
          <w:noProof/>
          <w:sz w:val="24"/>
          <w:szCs w:val="24"/>
        </w:rPr>
      </w:pPr>
      <w:r>
        <w:rPr>
          <w:rFonts w:ascii="Times New Roman" w:hAnsi="Times New Roman"/>
          <w:noProof/>
        </w:rPr>
        <w:t>Tampoco se han ejercido los poderes delegados del artículo 21 de la Directiva 2014/47/UE, tal como se ha m</w:t>
      </w:r>
      <w:r>
        <w:rPr>
          <w:rFonts w:ascii="Times New Roman" w:hAnsi="Times New Roman"/>
          <w:noProof/>
        </w:rPr>
        <w:t>encionado más arriba, aunque, de manera similar a la Directiva 2014/45/UE, la Comisión está a punto de ejercer los poderes delegados para actualizar la designación de una categoría de vehículos (vehículos de la categoría T5) como consecuencia de las modifi</w:t>
      </w:r>
      <w:r>
        <w:rPr>
          <w:rFonts w:ascii="Times New Roman" w:hAnsi="Times New Roman"/>
          <w:noProof/>
        </w:rPr>
        <w:t>caciones de la legislación sobre homologación de tipo [Reglamento (UE) 2019/519]. También está a punto de asesorarse al grupo de expertos mencionado más arriba para la preparación del acto delegado para la actualización de las designaciones de las categorí</w:t>
      </w:r>
      <w:r>
        <w:rPr>
          <w:rFonts w:ascii="Times New Roman" w:hAnsi="Times New Roman"/>
          <w:noProof/>
        </w:rPr>
        <w:t>as de vehículos en las Directivas 2014/45/UE y 2014/47/UE. Además, como los métodos de inspección y la lista de los elementos objeto de inspección, los métodos, las causas de rechazo y la valoración de las deficiencias se mantienen sin cambios, no se han e</w:t>
      </w:r>
      <w:r>
        <w:rPr>
          <w:rFonts w:ascii="Times New Roman" w:hAnsi="Times New Roman"/>
          <w:noProof/>
        </w:rPr>
        <w:t xml:space="preserve">jercido otros poderes delegados.   </w:t>
      </w:r>
    </w:p>
    <w:p w:rsidR="005B5F97" w:rsidRDefault="00D13FFE">
      <w:pPr>
        <w:spacing w:line="240" w:lineRule="auto"/>
        <w:jc w:val="both"/>
        <w:rPr>
          <w:rFonts w:ascii="Times New Roman" w:hAnsi="Times New Roman"/>
          <w:b/>
          <w:noProof/>
          <w:sz w:val="24"/>
          <w:szCs w:val="24"/>
        </w:rPr>
      </w:pPr>
      <w:r>
        <w:rPr>
          <w:rFonts w:ascii="Times New Roman" w:hAnsi="Times New Roman"/>
          <w:noProof/>
        </w:rPr>
        <w:br/>
      </w:r>
      <w:r>
        <w:rPr>
          <w:rFonts w:ascii="Times New Roman" w:hAnsi="Times New Roman"/>
          <w:b/>
          <w:noProof/>
        </w:rPr>
        <w:t>4. Conclusión</w:t>
      </w:r>
    </w:p>
    <w:p w:rsidR="005B5F97" w:rsidRDefault="00D13FFE">
      <w:pPr>
        <w:spacing w:line="240" w:lineRule="auto"/>
        <w:jc w:val="both"/>
        <w:rPr>
          <w:rFonts w:ascii="Times New Roman" w:hAnsi="Times New Roman"/>
          <w:noProof/>
          <w:sz w:val="24"/>
          <w:szCs w:val="24"/>
        </w:rPr>
      </w:pPr>
      <w:r>
        <w:rPr>
          <w:rFonts w:ascii="Times New Roman" w:hAnsi="Times New Roman"/>
          <w:noProof/>
        </w:rPr>
        <w:t>Con el presente informe, la Comisión cumple la obligación de elaborar informes de conformidad con el artículo 18, apartado 2, de la Directiva 2014/45/UE, el artículo 7, apartado 2, de la Directiva 1999/37/</w:t>
      </w:r>
      <w:r>
        <w:rPr>
          <w:rFonts w:ascii="Times New Roman" w:hAnsi="Times New Roman"/>
          <w:noProof/>
        </w:rPr>
        <w:t xml:space="preserve">CE y el artículo 22, apartado 2, de la Directiva 2014/47/UE </w:t>
      </w:r>
    </w:p>
    <w:p w:rsidR="005B5F97" w:rsidRDefault="00D13FFE">
      <w:pPr>
        <w:spacing w:line="240" w:lineRule="auto"/>
        <w:jc w:val="both"/>
        <w:rPr>
          <w:rFonts w:ascii="Times New Roman" w:hAnsi="Times New Roman"/>
          <w:noProof/>
          <w:sz w:val="24"/>
          <w:szCs w:val="24"/>
        </w:rPr>
      </w:pPr>
      <w:r>
        <w:rPr>
          <w:rFonts w:ascii="Times New Roman" w:hAnsi="Times New Roman"/>
          <w:noProof/>
        </w:rPr>
        <w:t>La Comisión invita al Consejo y al Parlamento Europeo a tomar nota del presente informe.</w:t>
      </w:r>
    </w:p>
    <w:sectPr w:rsidR="005B5F97" w:rsidSect="00D13FF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97" w:rsidRDefault="00D13FFE">
      <w:pPr>
        <w:spacing w:after="0" w:line="240" w:lineRule="auto"/>
      </w:pPr>
      <w:r>
        <w:separator/>
      </w:r>
    </w:p>
  </w:endnote>
  <w:endnote w:type="continuationSeparator" w:id="0">
    <w:p w:rsidR="005B5F97" w:rsidRDefault="00D1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D13FFE">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D13FFE">
    <w:pPr>
      <w:pStyle w:val="Footer"/>
      <w:jc w:val="center"/>
    </w:pPr>
    <w:r>
      <w:fldChar w:fldCharType="begin"/>
    </w:r>
    <w:r>
      <w:instrText xml:space="preserve"> PAGE   \* MERGEFORMAT </w:instrText>
    </w:r>
    <w:r>
      <w:fldChar w:fldCharType="separate"/>
    </w:r>
    <w:r>
      <w:rPr>
        <w:noProof/>
      </w:rPr>
      <w:t>1</w:t>
    </w:r>
    <w:r>
      <w:fldChar w:fldCharType="end"/>
    </w:r>
  </w:p>
  <w:p w:rsidR="005B5F97" w:rsidRDefault="005B5F97">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97" w:rsidRDefault="00D13FFE">
      <w:pPr>
        <w:spacing w:after="0" w:line="240" w:lineRule="auto"/>
      </w:pPr>
      <w:r>
        <w:separator/>
      </w:r>
    </w:p>
  </w:footnote>
  <w:footnote w:type="continuationSeparator" w:id="0">
    <w:p w:rsidR="005B5F97" w:rsidRDefault="00D13FFE">
      <w:pPr>
        <w:spacing w:after="0" w:line="240" w:lineRule="auto"/>
      </w:pPr>
      <w:r>
        <w:continuationSeparator/>
      </w:r>
    </w:p>
  </w:footnote>
  <w:footnote w:id="1">
    <w:p w:rsidR="005B5F97" w:rsidRDefault="00D13FFE">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Directiva 2014/45/UE del Parlamento Europeo y del Consejo, de 3 de abril de 2014, relativa a las inspecciones técnicas periódicas de los vehículos de motor y de sus remolques, y por la que se deroga la Directiva 2009/40/CE (Texto pertinente a efectos del </w:t>
      </w:r>
      <w:r>
        <w:rPr>
          <w:rFonts w:ascii="Times New Roman" w:hAnsi="Times New Roman"/>
          <w:sz w:val="16"/>
          <w:szCs w:val="16"/>
        </w:rPr>
        <w:t>EEE), DO L 127 de 29.4.2014, p. 51.</w:t>
      </w:r>
    </w:p>
    <w:p w:rsidR="005B5F97" w:rsidRDefault="005B5F97">
      <w:pPr>
        <w:pStyle w:val="FootnoteText"/>
        <w:rPr>
          <w:rFonts w:ascii="Times New Roman" w:hAnsi="Times New Roman"/>
          <w:sz w:val="16"/>
          <w:szCs w:val="16"/>
        </w:rPr>
      </w:pPr>
    </w:p>
  </w:footnote>
  <w:footnote w:id="2">
    <w:p w:rsidR="005B5F97" w:rsidRDefault="00D13FFE">
      <w:pPr>
        <w:pStyle w:val="NormalWeb"/>
        <w:shd w:val="clear" w:color="auto" w:fill="FFFFFF"/>
        <w:spacing w:before="0" w:beforeAutospacing="0" w:after="75" w:afterAutospacing="0"/>
        <w:rPr>
          <w:color w:val="444444"/>
          <w:sz w:val="16"/>
          <w:szCs w:val="16"/>
        </w:rPr>
      </w:pPr>
      <w:r>
        <w:rPr>
          <w:rStyle w:val="FootnoteReference"/>
          <w:sz w:val="16"/>
          <w:szCs w:val="16"/>
        </w:rPr>
        <w:t>2</w:t>
      </w:r>
      <w:r>
        <w:rPr>
          <w:sz w:val="16"/>
          <w:szCs w:val="16"/>
        </w:rPr>
        <w:t xml:space="preserve"> </w:t>
      </w:r>
      <w:r>
        <w:rPr>
          <w:color w:val="444444"/>
          <w:sz w:val="16"/>
          <w:szCs w:val="16"/>
        </w:rPr>
        <w:t>Directiva 1999/37/CE del Consejo, de 29 de abril de 1999, relativa a los documentos de matriculación de los vehículos</w:t>
      </w:r>
      <w:r>
        <w:rPr>
          <w:sz w:val="16"/>
          <w:szCs w:val="16"/>
        </w:rPr>
        <w:t xml:space="preserve">, </w:t>
      </w:r>
      <w:r>
        <w:rPr>
          <w:rStyle w:val="Emphasis"/>
          <w:i w:val="0"/>
          <w:color w:val="444444"/>
          <w:sz w:val="16"/>
          <w:szCs w:val="16"/>
        </w:rPr>
        <w:t>DO L 138 de 1.6.1999, p 57.</w:t>
      </w:r>
    </w:p>
    <w:p w:rsidR="005B5F97" w:rsidRDefault="005B5F97">
      <w:pPr>
        <w:pStyle w:val="FootnoteText"/>
        <w:rPr>
          <w:rFonts w:ascii="Times New Roman" w:hAnsi="Times New Roman"/>
          <w:sz w:val="16"/>
          <w:szCs w:val="16"/>
        </w:rPr>
      </w:pPr>
    </w:p>
  </w:footnote>
  <w:footnote w:id="3">
    <w:p w:rsidR="005B5F97" w:rsidRDefault="00D13FFE">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Directiva 2014/46/UE del Parlamento Europeo y del Consejo, de 3 de abril de 2014 , por la que se modifica la Directiva 1999/37/CE del Consejo, relativa a los documentos de matriculación de los vehículos, DO L 127 de 29.4.2014, p. 129.</w:t>
      </w:r>
    </w:p>
    <w:p w:rsidR="005B5F97" w:rsidRDefault="005B5F97">
      <w:pPr>
        <w:pStyle w:val="FootnoteText"/>
        <w:rPr>
          <w:rFonts w:ascii="Times New Roman" w:hAnsi="Times New Roman"/>
          <w:sz w:val="16"/>
          <w:szCs w:val="16"/>
        </w:rPr>
      </w:pPr>
    </w:p>
  </w:footnote>
  <w:footnote w:id="4">
    <w:p w:rsidR="005B5F97" w:rsidRDefault="00D13FFE">
      <w:pPr>
        <w:pStyle w:val="FootnoteText"/>
        <w:rPr>
          <w:rFonts w:ascii="Times New Roman" w:hAnsi="Times New Roman"/>
          <w:sz w:val="16"/>
          <w:szCs w:val="16"/>
        </w:rPr>
      </w:pPr>
      <w:r>
        <w:rPr>
          <w:rStyle w:val="FootnoteReference"/>
          <w:rFonts w:ascii="Times New Roman" w:hAnsi="Times New Roman"/>
          <w:sz w:val="16"/>
          <w:szCs w:val="16"/>
        </w:rPr>
        <w:t>4</w:t>
      </w:r>
      <w:r>
        <w:rPr>
          <w:rFonts w:ascii="Times New Roman" w:hAnsi="Times New Roman"/>
          <w:sz w:val="16"/>
          <w:szCs w:val="16"/>
        </w:rPr>
        <w:t xml:space="preserve"> Directiva 2014/47</w:t>
      </w:r>
      <w:r>
        <w:rPr>
          <w:rFonts w:ascii="Times New Roman" w:hAnsi="Times New Roman"/>
          <w:sz w:val="16"/>
          <w:szCs w:val="16"/>
        </w:rPr>
        <w:t>/UE del Parlamento Europeo y del Consejo, de 3 de abril de 2014, relativa a las inspecciones técnicas en carretera de vehículos comerciales que circulan en la Unión y por la que se deroga la Directiva 2000/30/CE (Texto pertinente a efectos del EEE), DO L 1</w:t>
      </w:r>
      <w:r>
        <w:rPr>
          <w:rFonts w:ascii="Times New Roman" w:hAnsi="Times New Roman"/>
          <w:sz w:val="16"/>
          <w:szCs w:val="16"/>
        </w:rPr>
        <w:t>27 de 29.4.2014, p.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97" w:rsidRDefault="005B5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F19"/>
    <w:multiLevelType w:val="hybridMultilevel"/>
    <w:tmpl w:val="5226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60E20"/>
    <w:multiLevelType w:val="multilevel"/>
    <w:tmpl w:val="0D0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D6259"/>
    <w:multiLevelType w:val="hybridMultilevel"/>
    <w:tmpl w:val="852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8744C"/>
    <w:multiLevelType w:val="hybridMultilevel"/>
    <w:tmpl w:val="69C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42B"/>
    <w:multiLevelType w:val="multilevel"/>
    <w:tmpl w:val="380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703F2"/>
    <w:multiLevelType w:val="hybridMultilevel"/>
    <w:tmpl w:val="1E7AA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21B196D"/>
    <w:multiLevelType w:val="hybridMultilevel"/>
    <w:tmpl w:val="30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631B5"/>
    <w:multiLevelType w:val="multilevel"/>
    <w:tmpl w:val="4E7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9FA1ED27-2FE7-409E-BBA5-D01E86E3687A"/>
    <w:docVar w:name="LW_COVERPAGE_TYPE" w:val="1"/>
    <w:docVar w:name="LW_CROSSREFERENCE" w:val="&lt;UNUSED&gt;"/>
    <w:docVar w:name="LW_DocType" w:val="NORMAL"/>
    <w:docVar w:name="LW_EMISSION" w:val="4.3.2020"/>
    <w:docVar w:name="LW_EMISSION_ISODATE" w:val="2020-03-04"/>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bre el ejercicio de la delegación de poderes a la Comisión para adoptar actos delegados, de conformidad con el artículo 18, apartado 2, de la Directiva 2014/45/UE, el artículo 7, apartado 2, de la Directiva 1999/37/CE y el artículo 22, apartado 2, de la Directiva 2014/47/UE&lt;/FMT&gt;_x000d_"/>
    <w:docVar w:name="LW_TYPE.DOC.CP" w:val="INFORME DE LA COMISIÓN AL PARLAMENTO EUROPEO Y AL CONSEJO"/>
  </w:docVars>
  <w:rsids>
    <w:rsidRoot w:val="005B5F97"/>
    <w:rsid w:val="005B5F97"/>
    <w:rsid w:val="00D1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rPr>
      <w:vertAlign w:val="superscript"/>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val="es-E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val="es-ES"/>
    </w:rPr>
  </w:style>
  <w:style w:type="character" w:styleId="Strong">
    <w:name w:val="Strong"/>
    <w:uiPriority w:val="22"/>
    <w:qFormat/>
    <w:rPr>
      <w:b/>
      <w:bCs/>
    </w:rPr>
  </w:style>
  <w:style w:type="paragraph" w:customStyle="1" w:styleId="Datedadoption">
    <w:name w:val="Date d'adoption"/>
    <w:basedOn w:val="Normal"/>
    <w:next w:val="Normal"/>
    <w:pPr>
      <w:spacing w:before="360" w:after="0" w:line="240" w:lineRule="auto"/>
      <w:jc w:val="center"/>
    </w:pPr>
    <w:rPr>
      <w:rFonts w:ascii="Times New Roman" w:hAnsi="Times New Roman"/>
      <w:b/>
      <w:sz w:val="24"/>
      <w:lang w:eastAsia="en-GB"/>
    </w:rPr>
  </w:style>
  <w:style w:type="paragraph" w:customStyle="1" w:styleId="Typedudocument">
    <w:name w:val="Type du document"/>
    <w:basedOn w:val="Normal"/>
    <w:next w:val="Normal"/>
    <w:pPr>
      <w:spacing w:before="360" w:after="0" w:line="240" w:lineRule="auto"/>
      <w:jc w:val="center"/>
    </w:pPr>
    <w:rPr>
      <w:rFonts w:ascii="Times New Roman" w:hAnsi="Times New Roman"/>
      <w:b/>
      <w:sz w:val="24"/>
      <w:lang w:eastAsia="en-GB"/>
    </w:rPr>
  </w:style>
  <w:style w:type="character" w:customStyle="1" w:styleId="Marker">
    <w:name w:val="Marker"/>
    <w:rPr>
      <w:color w:val="0000FF"/>
      <w:shd w:val="clear" w:color="auto" w:fill="auto"/>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ind w:left="5103"/>
    </w:pPr>
    <w:rPr>
      <w:rFonts w:ascii="Times New Roman" w:hAnsi="Times New Roman"/>
      <w:sz w:val="28"/>
    </w:rPr>
  </w:style>
  <w:style w:type="paragraph" w:customStyle="1" w:styleId="DateMarking">
    <w:name w:val="DateMarking"/>
    <w:basedOn w:val="Normal"/>
    <w:pPr>
      <w:spacing w:after="0"/>
      <w:ind w:left="5103"/>
    </w:pPr>
    <w:rPr>
      <w:rFonts w:ascii="Times New Roman" w:hAnsi="Times New Roman"/>
      <w:i/>
      <w:sz w:val="28"/>
    </w:rPr>
  </w:style>
  <w:style w:type="paragraph" w:customStyle="1" w:styleId="ReleasableTo">
    <w:name w:val="ReleasableTo"/>
    <w:basedOn w:val="Normal"/>
    <w:pPr>
      <w:spacing w:after="0"/>
      <w:ind w:left="5103"/>
    </w:pPr>
    <w:rPr>
      <w:rFonts w:ascii="Times New Roman" w:hAnsi="Times New Roman"/>
      <w:i/>
      <w:sz w:val="2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styleId="Emphasis">
    <w:name w:val="Emphasis"/>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044">
      <w:bodyDiv w:val="1"/>
      <w:marLeft w:val="0"/>
      <w:marRight w:val="0"/>
      <w:marTop w:val="0"/>
      <w:marBottom w:val="0"/>
      <w:divBdr>
        <w:top w:val="none" w:sz="0" w:space="0" w:color="auto"/>
        <w:left w:val="none" w:sz="0" w:space="0" w:color="auto"/>
        <w:bottom w:val="none" w:sz="0" w:space="0" w:color="auto"/>
        <w:right w:val="none" w:sz="0" w:space="0" w:color="auto"/>
      </w:divBdr>
    </w:div>
    <w:div w:id="233324841">
      <w:bodyDiv w:val="1"/>
      <w:marLeft w:val="0"/>
      <w:marRight w:val="0"/>
      <w:marTop w:val="0"/>
      <w:marBottom w:val="0"/>
      <w:divBdr>
        <w:top w:val="none" w:sz="0" w:space="0" w:color="auto"/>
        <w:left w:val="none" w:sz="0" w:space="0" w:color="auto"/>
        <w:bottom w:val="none" w:sz="0" w:space="0" w:color="auto"/>
        <w:right w:val="none" w:sz="0" w:space="0" w:color="auto"/>
      </w:divBdr>
    </w:div>
    <w:div w:id="434790441">
      <w:bodyDiv w:val="1"/>
      <w:marLeft w:val="0"/>
      <w:marRight w:val="0"/>
      <w:marTop w:val="0"/>
      <w:marBottom w:val="0"/>
      <w:divBdr>
        <w:top w:val="none" w:sz="0" w:space="0" w:color="auto"/>
        <w:left w:val="none" w:sz="0" w:space="0" w:color="auto"/>
        <w:bottom w:val="none" w:sz="0" w:space="0" w:color="auto"/>
        <w:right w:val="none" w:sz="0" w:space="0" w:color="auto"/>
      </w:divBdr>
    </w:div>
    <w:div w:id="747842947">
      <w:bodyDiv w:val="1"/>
      <w:marLeft w:val="0"/>
      <w:marRight w:val="0"/>
      <w:marTop w:val="0"/>
      <w:marBottom w:val="0"/>
      <w:divBdr>
        <w:top w:val="none" w:sz="0" w:space="0" w:color="auto"/>
        <w:left w:val="none" w:sz="0" w:space="0" w:color="auto"/>
        <w:bottom w:val="none" w:sz="0" w:space="0" w:color="auto"/>
        <w:right w:val="none" w:sz="0" w:space="0" w:color="auto"/>
      </w:divBdr>
    </w:div>
    <w:div w:id="965698105">
      <w:bodyDiv w:val="1"/>
      <w:marLeft w:val="0"/>
      <w:marRight w:val="0"/>
      <w:marTop w:val="0"/>
      <w:marBottom w:val="0"/>
      <w:divBdr>
        <w:top w:val="none" w:sz="0" w:space="0" w:color="auto"/>
        <w:left w:val="none" w:sz="0" w:space="0" w:color="auto"/>
        <w:bottom w:val="none" w:sz="0" w:space="0" w:color="auto"/>
        <w:right w:val="none" w:sz="0" w:space="0" w:color="auto"/>
      </w:divBdr>
    </w:div>
    <w:div w:id="1099258576">
      <w:bodyDiv w:val="1"/>
      <w:marLeft w:val="0"/>
      <w:marRight w:val="0"/>
      <w:marTop w:val="0"/>
      <w:marBottom w:val="0"/>
      <w:divBdr>
        <w:top w:val="none" w:sz="0" w:space="0" w:color="auto"/>
        <w:left w:val="none" w:sz="0" w:space="0" w:color="auto"/>
        <w:bottom w:val="none" w:sz="0" w:space="0" w:color="auto"/>
        <w:right w:val="none" w:sz="0" w:space="0" w:color="auto"/>
      </w:divBdr>
      <w:divsChild>
        <w:div w:id="344091694">
          <w:marLeft w:val="0"/>
          <w:marRight w:val="0"/>
          <w:marTop w:val="0"/>
          <w:marBottom w:val="0"/>
          <w:divBdr>
            <w:top w:val="none" w:sz="0" w:space="0" w:color="auto"/>
            <w:left w:val="none" w:sz="0" w:space="0" w:color="auto"/>
            <w:bottom w:val="none" w:sz="0" w:space="0" w:color="auto"/>
            <w:right w:val="none" w:sz="0" w:space="0" w:color="auto"/>
          </w:divBdr>
          <w:divsChild>
            <w:div w:id="914513707">
              <w:marLeft w:val="0"/>
              <w:marRight w:val="0"/>
              <w:marTop w:val="0"/>
              <w:marBottom w:val="0"/>
              <w:divBdr>
                <w:top w:val="none" w:sz="0" w:space="0" w:color="auto"/>
                <w:left w:val="none" w:sz="0" w:space="0" w:color="auto"/>
                <w:bottom w:val="none" w:sz="0" w:space="0" w:color="auto"/>
                <w:right w:val="none" w:sz="0" w:space="0" w:color="auto"/>
              </w:divBdr>
              <w:divsChild>
                <w:div w:id="461193679">
                  <w:marLeft w:val="0"/>
                  <w:marRight w:val="0"/>
                  <w:marTop w:val="0"/>
                  <w:marBottom w:val="0"/>
                  <w:divBdr>
                    <w:top w:val="none" w:sz="0" w:space="0" w:color="auto"/>
                    <w:left w:val="none" w:sz="0" w:space="0" w:color="auto"/>
                    <w:bottom w:val="none" w:sz="0" w:space="0" w:color="auto"/>
                    <w:right w:val="none" w:sz="0" w:space="0" w:color="auto"/>
                  </w:divBdr>
                  <w:divsChild>
                    <w:div w:id="1626349287">
                      <w:marLeft w:val="0"/>
                      <w:marRight w:val="0"/>
                      <w:marTop w:val="0"/>
                      <w:marBottom w:val="0"/>
                      <w:divBdr>
                        <w:top w:val="none" w:sz="0" w:space="0" w:color="auto"/>
                        <w:left w:val="none" w:sz="0" w:space="0" w:color="auto"/>
                        <w:bottom w:val="none" w:sz="0" w:space="0" w:color="auto"/>
                        <w:right w:val="none" w:sz="0" w:space="0" w:color="auto"/>
                      </w:divBdr>
                      <w:divsChild>
                        <w:div w:id="1397046399">
                          <w:marLeft w:val="0"/>
                          <w:marRight w:val="0"/>
                          <w:marTop w:val="0"/>
                          <w:marBottom w:val="0"/>
                          <w:divBdr>
                            <w:top w:val="none" w:sz="0" w:space="0" w:color="auto"/>
                            <w:left w:val="none" w:sz="0" w:space="0" w:color="auto"/>
                            <w:bottom w:val="none" w:sz="0" w:space="0" w:color="auto"/>
                            <w:right w:val="none" w:sz="0" w:space="0" w:color="auto"/>
                          </w:divBdr>
                          <w:divsChild>
                            <w:div w:id="928583353">
                              <w:marLeft w:val="0"/>
                              <w:marRight w:val="0"/>
                              <w:marTop w:val="0"/>
                              <w:marBottom w:val="0"/>
                              <w:divBdr>
                                <w:top w:val="none" w:sz="0" w:space="0" w:color="auto"/>
                                <w:left w:val="none" w:sz="0" w:space="0" w:color="auto"/>
                                <w:bottom w:val="none" w:sz="0" w:space="0" w:color="auto"/>
                                <w:right w:val="none" w:sz="0" w:space="0" w:color="auto"/>
                              </w:divBdr>
                              <w:divsChild>
                                <w:div w:id="1280994997">
                                  <w:marLeft w:val="0"/>
                                  <w:marRight w:val="0"/>
                                  <w:marTop w:val="180"/>
                                  <w:marBottom w:val="0"/>
                                  <w:divBdr>
                                    <w:top w:val="none" w:sz="0" w:space="0" w:color="auto"/>
                                    <w:left w:val="none" w:sz="0" w:space="0" w:color="auto"/>
                                    <w:bottom w:val="none" w:sz="0" w:space="0" w:color="auto"/>
                                    <w:right w:val="none" w:sz="0" w:space="0" w:color="auto"/>
                                  </w:divBdr>
                                  <w:divsChild>
                                    <w:div w:id="1000088100">
                                      <w:marLeft w:val="0"/>
                                      <w:marRight w:val="0"/>
                                      <w:marTop w:val="0"/>
                                      <w:marBottom w:val="0"/>
                                      <w:divBdr>
                                        <w:top w:val="dashed" w:sz="2" w:space="0" w:color="074A8B"/>
                                        <w:left w:val="dashed" w:sz="2" w:space="0" w:color="074A8B"/>
                                        <w:bottom w:val="dashed" w:sz="6" w:space="14" w:color="074A8B"/>
                                        <w:right w:val="dashed" w:sz="2" w:space="0" w:color="074A8B"/>
                                      </w:divBdr>
                                    </w:div>
                                  </w:divsChild>
                                </w:div>
                              </w:divsChild>
                            </w:div>
                          </w:divsChild>
                        </w:div>
                      </w:divsChild>
                    </w:div>
                  </w:divsChild>
                </w:div>
              </w:divsChild>
            </w:div>
          </w:divsChild>
        </w:div>
      </w:divsChild>
    </w:div>
    <w:div w:id="1106539459">
      <w:bodyDiv w:val="1"/>
      <w:marLeft w:val="0"/>
      <w:marRight w:val="0"/>
      <w:marTop w:val="0"/>
      <w:marBottom w:val="0"/>
      <w:divBdr>
        <w:top w:val="none" w:sz="0" w:space="0" w:color="auto"/>
        <w:left w:val="none" w:sz="0" w:space="0" w:color="auto"/>
        <w:bottom w:val="none" w:sz="0" w:space="0" w:color="auto"/>
        <w:right w:val="none" w:sz="0" w:space="0" w:color="auto"/>
      </w:divBdr>
    </w:div>
    <w:div w:id="1794051883">
      <w:bodyDiv w:val="1"/>
      <w:marLeft w:val="0"/>
      <w:marRight w:val="0"/>
      <w:marTop w:val="0"/>
      <w:marBottom w:val="0"/>
      <w:divBdr>
        <w:top w:val="none" w:sz="0" w:space="0" w:color="auto"/>
        <w:left w:val="none" w:sz="0" w:space="0" w:color="auto"/>
        <w:bottom w:val="none" w:sz="0" w:space="0" w:color="auto"/>
        <w:right w:val="none" w:sz="0" w:space="0" w:color="auto"/>
      </w:divBdr>
    </w:div>
    <w:div w:id="18342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F0F1-3F02-4C21-BDFA-9BFC3A9F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2020-01-23T08:42:00Z</dcterms:created>
  <dcterms:modified xsi:type="dcterms:W3CDTF">2020-03-02T08:40:00Z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