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89" w:rsidRDefault="009C7099">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C2E0128-816E-45A6-845E-5153491E2B5D" style="width:450.8pt;height:334.2pt">
            <v:imagedata r:id="rId9" o:title=""/>
          </v:shape>
        </w:pict>
      </w:r>
    </w:p>
    <w:bookmarkEnd w:id="0"/>
    <w:p w:rsidR="00392989" w:rsidRDefault="00392989">
      <w:pPr>
        <w:rPr>
          <w:noProof/>
        </w:rPr>
        <w:sectPr w:rsidR="00392989">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392989" w:rsidRDefault="009C7099">
      <w:pPr>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rPr>
        <w:lastRenderedPageBreak/>
        <w:t>RAPPORT FRÅN KOMMISSIONEN TILL EUROPAPARLAMENTET OCH RÅDET</w:t>
      </w:r>
      <w:r>
        <w:rPr>
          <w:rFonts w:ascii="Times New Roman" w:hAnsi="Times New Roman"/>
          <w:b/>
          <w:noProof/>
        </w:rPr>
        <w:br/>
      </w:r>
    </w:p>
    <w:p w:rsidR="00392989" w:rsidRDefault="009C7099">
      <w:pPr>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rPr>
        <w:t xml:space="preserve">om utövandet av delegeringen av befogenheter till kommissionen att anta delegerade </w:t>
      </w:r>
      <w:r>
        <w:rPr>
          <w:rFonts w:ascii="Times New Roman" w:hAnsi="Times New Roman"/>
          <w:b/>
          <w:noProof/>
        </w:rPr>
        <w:t>akter i enlighet med artikel 18.2 i direktiv 2014/45/EU, artikel 7.2 i direktiv 1999/37/EG och artikel 22.2 i direktiv 2014/47/EU</w:t>
      </w:r>
    </w:p>
    <w:p w:rsidR="00392989" w:rsidRDefault="00392989">
      <w:pPr>
        <w:jc w:val="both"/>
        <w:rPr>
          <w:rFonts w:ascii="Times New Roman" w:hAnsi="Times New Roman"/>
          <w:noProof/>
          <w:sz w:val="24"/>
          <w:szCs w:val="24"/>
        </w:rPr>
      </w:pPr>
    </w:p>
    <w:p w:rsidR="00392989" w:rsidRDefault="009C7099">
      <w:pPr>
        <w:jc w:val="both"/>
        <w:rPr>
          <w:rFonts w:ascii="Times New Roman" w:hAnsi="Times New Roman"/>
          <w:b/>
          <w:noProof/>
          <w:sz w:val="24"/>
          <w:szCs w:val="24"/>
        </w:rPr>
      </w:pPr>
      <w:r>
        <w:rPr>
          <w:rFonts w:ascii="Times New Roman" w:hAnsi="Times New Roman"/>
          <w:b/>
          <w:noProof/>
        </w:rPr>
        <w:t>1. Inledning</w:t>
      </w:r>
    </w:p>
    <w:p w:rsidR="00392989" w:rsidRDefault="009C7099">
      <w:pPr>
        <w:spacing w:line="240" w:lineRule="auto"/>
        <w:jc w:val="both"/>
        <w:rPr>
          <w:rFonts w:ascii="Times New Roman" w:hAnsi="Times New Roman"/>
          <w:noProof/>
          <w:sz w:val="24"/>
          <w:szCs w:val="24"/>
        </w:rPr>
      </w:pPr>
      <w:r>
        <w:rPr>
          <w:rFonts w:ascii="Times New Roman" w:hAnsi="Times New Roman"/>
          <w:noProof/>
        </w:rPr>
        <w:t>Genom artikel 17 i direktiv 2014/45/EU</w:t>
      </w:r>
      <w:r>
        <w:rPr>
          <w:rStyle w:val="FootnoteReference"/>
          <w:rFonts w:ascii="Times New Roman" w:hAnsi="Times New Roman"/>
          <w:noProof/>
        </w:rPr>
        <w:footnoteReference w:id="1"/>
      </w:r>
      <w:r>
        <w:rPr>
          <w:rFonts w:ascii="Times New Roman" w:hAnsi="Times New Roman"/>
          <w:noProof/>
        </w:rPr>
        <w:t>, artikel 6 i direktiv 1999/37/EG</w:t>
      </w:r>
      <w:r>
        <w:rPr>
          <w:rStyle w:val="FootnoteReference"/>
          <w:rFonts w:ascii="Times New Roman" w:hAnsi="Times New Roman"/>
          <w:noProof/>
        </w:rPr>
        <w:footnoteReference w:id="2"/>
      </w:r>
      <w:r>
        <w:rPr>
          <w:rFonts w:ascii="Times New Roman" w:hAnsi="Times New Roman"/>
          <w:noProof/>
        </w:rPr>
        <w:t>, ändrat genom förordning 2014/46/EU</w:t>
      </w:r>
      <w:r>
        <w:rPr>
          <w:rStyle w:val="FootnoteReference"/>
          <w:rFonts w:ascii="Times New Roman" w:hAnsi="Times New Roman"/>
          <w:noProof/>
        </w:rPr>
        <w:footnoteReference w:id="3"/>
      </w:r>
      <w:r>
        <w:rPr>
          <w:rFonts w:ascii="Times New Roman" w:hAnsi="Times New Roman"/>
          <w:noProof/>
        </w:rPr>
        <w:t xml:space="preserve">, </w:t>
      </w:r>
      <w:r>
        <w:rPr>
          <w:rFonts w:ascii="Times New Roman" w:hAnsi="Times New Roman"/>
          <w:noProof/>
        </w:rPr>
        <w:t>och artikel 21 i direktiv 2014/47/EU</w:t>
      </w:r>
      <w:r>
        <w:rPr>
          <w:rStyle w:val="FootnoteReference"/>
          <w:rFonts w:ascii="Times New Roman" w:hAnsi="Times New Roman"/>
          <w:noProof/>
        </w:rPr>
        <w:footnoteReference w:id="4"/>
      </w:r>
      <w:r>
        <w:rPr>
          <w:rFonts w:ascii="Times New Roman" w:hAnsi="Times New Roman"/>
          <w:noProof/>
        </w:rPr>
        <w:t xml:space="preserve">, ges kommissionen befogenhet att anta delegerade akter. Dessa befogenheter har tilldelats kommissionen för en period på fem år från och med den 19 maj 2014 och bör genom tyst medgivande förlängas med perioder av samma </w:t>
      </w:r>
      <w:r>
        <w:rPr>
          <w:rFonts w:ascii="Times New Roman" w:hAnsi="Times New Roman"/>
          <w:noProof/>
        </w:rPr>
        <w:t xml:space="preserve">längd. </w:t>
      </w:r>
    </w:p>
    <w:p w:rsidR="00392989" w:rsidRDefault="009C7099">
      <w:pPr>
        <w:spacing w:line="240" w:lineRule="auto"/>
        <w:jc w:val="both"/>
        <w:rPr>
          <w:rFonts w:ascii="Times New Roman" w:hAnsi="Times New Roman"/>
          <w:b/>
          <w:noProof/>
          <w:sz w:val="24"/>
          <w:szCs w:val="24"/>
        </w:rPr>
      </w:pPr>
      <w:r>
        <w:rPr>
          <w:rFonts w:ascii="Times New Roman" w:hAnsi="Times New Roman"/>
          <w:noProof/>
        </w:rPr>
        <w:br/>
      </w:r>
      <w:r>
        <w:rPr>
          <w:rFonts w:ascii="Times New Roman" w:hAnsi="Times New Roman"/>
          <w:b/>
          <w:noProof/>
        </w:rPr>
        <w:t>2. Rättslig grund för rapporten</w:t>
      </w:r>
    </w:p>
    <w:p w:rsidR="00392989" w:rsidRDefault="009C7099">
      <w:pPr>
        <w:spacing w:line="240" w:lineRule="auto"/>
        <w:jc w:val="both"/>
        <w:rPr>
          <w:rFonts w:ascii="Times New Roman" w:hAnsi="Times New Roman"/>
          <w:noProof/>
          <w:sz w:val="24"/>
          <w:szCs w:val="24"/>
        </w:rPr>
      </w:pPr>
      <w:r>
        <w:rPr>
          <w:rFonts w:ascii="Times New Roman" w:hAnsi="Times New Roman"/>
          <w:noProof/>
        </w:rPr>
        <w:t>Enligt artikel 18.2 i direktiv 2014/45/EU, artikel 7.2 i direktiv 1999/37/EG och artikel 22.2 i direktiv 2014/47/EU bör kommissionen senast nio månader före utgången av femårsperioden, det vill säga före den 19 augu</w:t>
      </w:r>
      <w:r>
        <w:rPr>
          <w:rFonts w:ascii="Times New Roman" w:hAnsi="Times New Roman"/>
          <w:noProof/>
        </w:rPr>
        <w:t>sti 2018, utarbeta en rapport om den delegering av befogenheter som ges i respektive direktiv. Kommissionen erkänner och beklagar djupt att denna rapport lämnats in för sent.</w:t>
      </w:r>
    </w:p>
    <w:p w:rsidR="00392989" w:rsidRDefault="00392989">
      <w:pPr>
        <w:spacing w:line="240" w:lineRule="auto"/>
        <w:jc w:val="both"/>
        <w:rPr>
          <w:rFonts w:ascii="Times New Roman" w:hAnsi="Times New Roman"/>
          <w:b/>
          <w:noProof/>
          <w:sz w:val="24"/>
          <w:szCs w:val="24"/>
        </w:rPr>
      </w:pPr>
    </w:p>
    <w:p w:rsidR="00392989" w:rsidRDefault="009C7099">
      <w:pPr>
        <w:spacing w:line="240" w:lineRule="auto"/>
        <w:jc w:val="both"/>
        <w:rPr>
          <w:rFonts w:ascii="Times New Roman" w:hAnsi="Times New Roman"/>
          <w:b/>
          <w:noProof/>
          <w:sz w:val="24"/>
          <w:szCs w:val="24"/>
        </w:rPr>
      </w:pPr>
      <w:r>
        <w:rPr>
          <w:rFonts w:ascii="Times New Roman" w:hAnsi="Times New Roman"/>
          <w:b/>
          <w:noProof/>
        </w:rPr>
        <w:t>3. Utövande av delegeringen</w:t>
      </w:r>
    </w:p>
    <w:p w:rsidR="00392989" w:rsidRDefault="009C7099">
      <w:pPr>
        <w:spacing w:line="240" w:lineRule="auto"/>
        <w:jc w:val="both"/>
        <w:rPr>
          <w:rFonts w:ascii="Times New Roman" w:hAnsi="Times New Roman"/>
          <w:noProof/>
          <w:sz w:val="24"/>
          <w:szCs w:val="24"/>
        </w:rPr>
      </w:pPr>
      <w:r>
        <w:rPr>
          <w:rFonts w:ascii="Times New Roman" w:hAnsi="Times New Roman"/>
          <w:noProof/>
        </w:rPr>
        <w:t xml:space="preserve">Kommissionen har ännu inte utövat några befogenheter som anges i något av de tre direktiven. Följande tabell visar de specifika åtgärderna inom ramen för de berörda befogenheterna: </w:t>
      </w:r>
    </w:p>
    <w:p w:rsidR="00392989" w:rsidRDefault="00392989">
      <w:pPr>
        <w:spacing w:line="240" w:lineRule="auto"/>
        <w:jc w:val="both"/>
        <w:rPr>
          <w:rFonts w:ascii="Times New Roman" w:hAnsi="Times New Roman"/>
          <w:noProof/>
          <w:sz w:val="24"/>
          <w:szCs w:val="24"/>
        </w:rPr>
      </w:pPr>
    </w:p>
    <w:p w:rsidR="00392989" w:rsidRDefault="00392989">
      <w:pPr>
        <w:spacing w:line="240" w:lineRule="auto"/>
        <w:jc w:val="both"/>
        <w:rPr>
          <w:rFonts w:ascii="Times New Roman" w:hAnsi="Times New Roman"/>
          <w:noProof/>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92989">
        <w:tc>
          <w:tcPr>
            <w:tcW w:w="4536" w:type="dxa"/>
            <w:shd w:val="clear" w:color="auto" w:fill="BFBFBF"/>
          </w:tcPr>
          <w:p w:rsidR="00392989" w:rsidRDefault="009C7099">
            <w:pPr>
              <w:spacing w:line="240" w:lineRule="auto"/>
              <w:jc w:val="both"/>
              <w:rPr>
                <w:rFonts w:ascii="Times New Roman" w:hAnsi="Times New Roman"/>
                <w:noProof/>
                <w:sz w:val="24"/>
                <w:szCs w:val="24"/>
              </w:rPr>
            </w:pPr>
            <w:r>
              <w:rPr>
                <w:rFonts w:ascii="Times New Roman" w:hAnsi="Times New Roman"/>
                <w:noProof/>
              </w:rPr>
              <w:t>Befogenheter i direktiv 2014/45/EU</w:t>
            </w:r>
          </w:p>
        </w:tc>
        <w:tc>
          <w:tcPr>
            <w:tcW w:w="4536" w:type="dxa"/>
            <w:shd w:val="clear" w:color="auto" w:fill="BFBFBF"/>
          </w:tcPr>
          <w:p w:rsidR="00392989" w:rsidRDefault="009C7099">
            <w:pPr>
              <w:spacing w:line="240" w:lineRule="auto"/>
              <w:jc w:val="both"/>
              <w:rPr>
                <w:rFonts w:ascii="Times New Roman" w:hAnsi="Times New Roman"/>
                <w:noProof/>
                <w:sz w:val="24"/>
                <w:szCs w:val="24"/>
              </w:rPr>
            </w:pPr>
            <w:r>
              <w:rPr>
                <w:rFonts w:ascii="Times New Roman" w:hAnsi="Times New Roman"/>
                <w:noProof/>
              </w:rPr>
              <w:t>Beskrivning av befogenhet att anta de</w:t>
            </w:r>
            <w:r>
              <w:rPr>
                <w:rFonts w:ascii="Times New Roman" w:hAnsi="Times New Roman"/>
                <w:noProof/>
              </w:rPr>
              <w:t xml:space="preserve">legerad akt </w:t>
            </w:r>
          </w:p>
        </w:tc>
      </w:tr>
      <w:tr w:rsidR="00392989">
        <w:tc>
          <w:tcPr>
            <w:tcW w:w="4536" w:type="dxa"/>
            <w:shd w:val="clear" w:color="auto" w:fill="auto"/>
          </w:tcPr>
          <w:p w:rsidR="00392989" w:rsidRDefault="00392989">
            <w:pPr>
              <w:spacing w:line="240" w:lineRule="auto"/>
              <w:jc w:val="center"/>
              <w:rPr>
                <w:rFonts w:ascii="Times New Roman" w:hAnsi="Times New Roman"/>
                <w:noProof/>
                <w:sz w:val="24"/>
                <w:szCs w:val="24"/>
              </w:rPr>
            </w:pPr>
          </w:p>
          <w:p w:rsidR="00392989" w:rsidRDefault="00392989">
            <w:pPr>
              <w:spacing w:line="240" w:lineRule="auto"/>
              <w:jc w:val="center"/>
              <w:rPr>
                <w:rFonts w:ascii="Times New Roman" w:hAnsi="Times New Roman"/>
                <w:noProof/>
                <w:sz w:val="24"/>
                <w:szCs w:val="24"/>
              </w:rPr>
            </w:pPr>
          </w:p>
          <w:p w:rsidR="00392989" w:rsidRDefault="009C7099">
            <w:pPr>
              <w:spacing w:line="240" w:lineRule="auto"/>
              <w:jc w:val="center"/>
              <w:rPr>
                <w:rFonts w:ascii="Times New Roman" w:hAnsi="Times New Roman"/>
                <w:noProof/>
                <w:sz w:val="24"/>
                <w:szCs w:val="24"/>
              </w:rPr>
            </w:pPr>
            <w:r>
              <w:rPr>
                <w:rFonts w:ascii="Times New Roman" w:hAnsi="Times New Roman"/>
                <w:noProof/>
              </w:rPr>
              <w:t>Artikel 17</w:t>
            </w:r>
          </w:p>
        </w:tc>
        <w:tc>
          <w:tcPr>
            <w:tcW w:w="4536" w:type="dxa"/>
            <w:shd w:val="clear" w:color="auto" w:fill="auto"/>
          </w:tcPr>
          <w:p w:rsidR="00392989" w:rsidRDefault="009C7099">
            <w:pPr>
              <w:numPr>
                <w:ilvl w:val="0"/>
                <w:numId w:val="9"/>
              </w:numPr>
              <w:tabs>
                <w:tab w:val="left" w:pos="270"/>
              </w:tabs>
              <w:spacing w:line="240" w:lineRule="auto"/>
              <w:jc w:val="both"/>
              <w:rPr>
                <w:rFonts w:ascii="Times New Roman" w:hAnsi="Times New Roman"/>
                <w:noProof/>
                <w:sz w:val="24"/>
                <w:szCs w:val="24"/>
              </w:rPr>
            </w:pPr>
            <w:r>
              <w:rPr>
                <w:rFonts w:ascii="Times New Roman" w:hAnsi="Times New Roman"/>
                <w:noProof/>
              </w:rPr>
              <w:lastRenderedPageBreak/>
              <w:t xml:space="preserve">Vid behov uppdatera bestämningarna av fordonskategori om det sker ändringar i </w:t>
            </w:r>
            <w:r>
              <w:rPr>
                <w:rFonts w:ascii="Times New Roman" w:hAnsi="Times New Roman"/>
                <w:noProof/>
              </w:rPr>
              <w:lastRenderedPageBreak/>
              <w:t>fordonskategorierna till följd av ändringar av lagstiftningen för typgodkännande,</w:t>
            </w:r>
            <w:r>
              <w:rPr>
                <w:noProof/>
              </w:rPr>
              <w:t xml:space="preserve"> </w:t>
            </w:r>
            <w:r>
              <w:rPr>
                <w:rFonts w:ascii="Times New Roman" w:hAnsi="Times New Roman"/>
                <w:noProof/>
              </w:rPr>
              <w:t>utan att detta påverkar provningarnas omfattning och frekvens.</w:t>
            </w:r>
          </w:p>
          <w:p w:rsidR="00392989" w:rsidRDefault="009C7099">
            <w:pPr>
              <w:numPr>
                <w:ilvl w:val="0"/>
                <w:numId w:val="9"/>
              </w:numPr>
              <w:tabs>
                <w:tab w:val="left" w:pos="270"/>
              </w:tabs>
              <w:spacing w:line="240" w:lineRule="auto"/>
              <w:jc w:val="both"/>
              <w:rPr>
                <w:rFonts w:ascii="Times New Roman" w:hAnsi="Times New Roman"/>
                <w:noProof/>
                <w:sz w:val="24"/>
                <w:szCs w:val="24"/>
              </w:rPr>
            </w:pPr>
            <w:r>
              <w:rPr>
                <w:rFonts w:ascii="Times New Roman" w:hAnsi="Times New Roman"/>
                <w:noProof/>
              </w:rPr>
              <w:t>Uppdat</w:t>
            </w:r>
            <w:r>
              <w:rPr>
                <w:rFonts w:ascii="Times New Roman" w:hAnsi="Times New Roman"/>
                <w:noProof/>
              </w:rPr>
              <w:t>era punkt 3 i bilaga I med avseende på metoder i de fall då effektivare provningsmetoder utvecklas</w:t>
            </w:r>
            <w:r>
              <w:rPr>
                <w:noProof/>
              </w:rPr>
              <w:t xml:space="preserve"> </w:t>
            </w:r>
            <w:r>
              <w:rPr>
                <w:rFonts w:ascii="Times New Roman" w:hAnsi="Times New Roman"/>
                <w:noProof/>
              </w:rPr>
              <w:t>och utan att utvidga förteckningen över komponenter som ska provas.</w:t>
            </w:r>
          </w:p>
          <w:p w:rsidR="00392989" w:rsidRDefault="009C7099">
            <w:pPr>
              <w:numPr>
                <w:ilvl w:val="0"/>
                <w:numId w:val="9"/>
              </w:numPr>
              <w:tabs>
                <w:tab w:val="left" w:pos="270"/>
              </w:tabs>
              <w:spacing w:line="240" w:lineRule="auto"/>
              <w:jc w:val="both"/>
              <w:rPr>
                <w:rFonts w:ascii="Times New Roman" w:hAnsi="Times New Roman"/>
                <w:noProof/>
                <w:sz w:val="24"/>
                <w:szCs w:val="24"/>
              </w:rPr>
            </w:pPr>
            <w:r>
              <w:rPr>
                <w:rFonts w:ascii="Times New Roman" w:hAnsi="Times New Roman"/>
                <w:noProof/>
              </w:rPr>
              <w:t>Anpassa punkt 3 i bilaga I efter en positiv kostnads-nyttoanalys rörande förteckningen öv</w:t>
            </w:r>
            <w:r>
              <w:rPr>
                <w:rFonts w:ascii="Times New Roman" w:hAnsi="Times New Roman"/>
                <w:noProof/>
              </w:rPr>
              <w:t>er komponenter som ska provas, provningsmetoder, orsaker till underkännande och bedömning av brister, vid ändring av obligatoriska krav som är relevanta för typgodkännande i unionens säkerhets- och miljölagstiftning.</w:t>
            </w:r>
          </w:p>
        </w:tc>
      </w:tr>
    </w:tbl>
    <w:p w:rsidR="00392989" w:rsidRDefault="00392989">
      <w:pPr>
        <w:jc w:val="both"/>
        <w:rPr>
          <w:rFonts w:ascii="Times New Roman" w:hAnsi="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44"/>
      </w:tblGrid>
      <w:tr w:rsidR="00392989">
        <w:tc>
          <w:tcPr>
            <w:tcW w:w="4536" w:type="dxa"/>
            <w:shd w:val="clear" w:color="auto" w:fill="BFBFBF"/>
          </w:tcPr>
          <w:p w:rsidR="00392989" w:rsidRDefault="009C7099">
            <w:pPr>
              <w:jc w:val="both"/>
              <w:rPr>
                <w:rFonts w:ascii="Times New Roman" w:hAnsi="Times New Roman"/>
                <w:noProof/>
                <w:sz w:val="24"/>
                <w:szCs w:val="24"/>
              </w:rPr>
            </w:pPr>
            <w:r>
              <w:rPr>
                <w:rFonts w:ascii="Times New Roman" w:hAnsi="Times New Roman"/>
                <w:noProof/>
              </w:rPr>
              <w:t>Befogenheter i direktiv 1999/37/EG</w:t>
            </w:r>
          </w:p>
        </w:tc>
        <w:tc>
          <w:tcPr>
            <w:tcW w:w="4644" w:type="dxa"/>
            <w:shd w:val="clear" w:color="auto" w:fill="BFBFBF"/>
          </w:tcPr>
          <w:p w:rsidR="00392989" w:rsidRDefault="009C7099">
            <w:pPr>
              <w:jc w:val="both"/>
              <w:rPr>
                <w:rFonts w:ascii="Times New Roman" w:hAnsi="Times New Roman"/>
                <w:noProof/>
                <w:sz w:val="24"/>
                <w:szCs w:val="24"/>
              </w:rPr>
            </w:pPr>
            <w:r>
              <w:rPr>
                <w:rFonts w:ascii="Times New Roman" w:hAnsi="Times New Roman"/>
                <w:noProof/>
              </w:rPr>
              <w:t>Beskrivning av befogenhet att anta delegerad akt</w:t>
            </w:r>
          </w:p>
        </w:tc>
      </w:tr>
      <w:tr w:rsidR="00392989">
        <w:tc>
          <w:tcPr>
            <w:tcW w:w="4536" w:type="dxa"/>
            <w:shd w:val="clear" w:color="auto" w:fill="auto"/>
          </w:tcPr>
          <w:p w:rsidR="00392989" w:rsidRDefault="00392989">
            <w:pPr>
              <w:jc w:val="center"/>
              <w:rPr>
                <w:rFonts w:ascii="Times New Roman" w:hAnsi="Times New Roman"/>
                <w:noProof/>
                <w:sz w:val="24"/>
                <w:szCs w:val="24"/>
              </w:rPr>
            </w:pPr>
          </w:p>
          <w:p w:rsidR="00392989" w:rsidRDefault="00392989">
            <w:pPr>
              <w:jc w:val="center"/>
              <w:rPr>
                <w:rFonts w:ascii="Times New Roman" w:hAnsi="Times New Roman"/>
                <w:noProof/>
                <w:sz w:val="24"/>
                <w:szCs w:val="24"/>
              </w:rPr>
            </w:pPr>
          </w:p>
          <w:p w:rsidR="00392989" w:rsidRDefault="009C7099">
            <w:pPr>
              <w:jc w:val="center"/>
              <w:rPr>
                <w:rFonts w:ascii="Times New Roman" w:hAnsi="Times New Roman"/>
                <w:noProof/>
                <w:sz w:val="24"/>
                <w:szCs w:val="24"/>
              </w:rPr>
            </w:pPr>
            <w:r>
              <w:rPr>
                <w:rFonts w:ascii="Times New Roman" w:hAnsi="Times New Roman"/>
                <w:noProof/>
              </w:rPr>
              <w:t>Artikel 6</w:t>
            </w:r>
          </w:p>
        </w:tc>
        <w:tc>
          <w:tcPr>
            <w:tcW w:w="4644" w:type="dxa"/>
            <w:shd w:val="clear" w:color="auto" w:fill="auto"/>
          </w:tcPr>
          <w:p w:rsidR="00392989" w:rsidRDefault="009C7099">
            <w:pPr>
              <w:numPr>
                <w:ilvl w:val="0"/>
                <w:numId w:val="8"/>
              </w:numPr>
              <w:jc w:val="both"/>
              <w:rPr>
                <w:rFonts w:ascii="Times New Roman" w:hAnsi="Times New Roman"/>
                <w:noProof/>
                <w:sz w:val="24"/>
                <w:szCs w:val="24"/>
              </w:rPr>
            </w:pPr>
            <w:r>
              <w:rPr>
                <w:rFonts w:ascii="Times New Roman" w:hAnsi="Times New Roman"/>
                <w:noProof/>
              </w:rPr>
              <w:t xml:space="preserve">Bilagorna I och II ska ändras i samband med en utvidgning av unionen. </w:t>
            </w:r>
          </w:p>
          <w:p w:rsidR="00392989" w:rsidRDefault="009C7099">
            <w:pPr>
              <w:numPr>
                <w:ilvl w:val="0"/>
                <w:numId w:val="8"/>
              </w:numPr>
              <w:jc w:val="both"/>
              <w:rPr>
                <w:rFonts w:ascii="Times New Roman" w:hAnsi="Times New Roman"/>
                <w:noProof/>
                <w:sz w:val="24"/>
                <w:szCs w:val="24"/>
              </w:rPr>
            </w:pPr>
            <w:r>
              <w:rPr>
                <w:rFonts w:ascii="Times New Roman" w:hAnsi="Times New Roman"/>
                <w:noProof/>
              </w:rPr>
              <w:t xml:space="preserve">Bilaga I ska ändras med avseende på icke obligatoriska uppgifter i samband med ändring av definitioner eller av innehållet </w:t>
            </w:r>
            <w:r>
              <w:rPr>
                <w:rFonts w:ascii="Times New Roman" w:hAnsi="Times New Roman"/>
                <w:noProof/>
              </w:rPr>
              <w:t>i intyg om överensstämmelse i relevant lagstiftning om typgodkännande.</w:t>
            </w:r>
          </w:p>
        </w:tc>
      </w:tr>
    </w:tbl>
    <w:p w:rsidR="00392989" w:rsidRDefault="00392989">
      <w:pPr>
        <w:jc w:val="both"/>
        <w:rPr>
          <w:rFonts w:ascii="Times New Roman" w:hAnsi="Times New Roman"/>
          <w:noProof/>
          <w:sz w:val="24"/>
          <w:szCs w:val="24"/>
        </w:rPr>
      </w:pPr>
    </w:p>
    <w:p w:rsidR="00392989" w:rsidRDefault="00392989">
      <w:pPr>
        <w:jc w:val="both"/>
        <w:rPr>
          <w:rFonts w:ascii="Times New Roman" w:hAnsi="Times New Roman"/>
          <w:noProof/>
          <w:sz w:val="24"/>
          <w:szCs w:val="24"/>
        </w:rPr>
      </w:pPr>
    </w:p>
    <w:p w:rsidR="00392989" w:rsidRDefault="00392989">
      <w:pPr>
        <w:jc w:val="both"/>
        <w:rPr>
          <w:rFonts w:ascii="Times New Roman" w:hAnsi="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44"/>
      </w:tblGrid>
      <w:tr w:rsidR="00392989">
        <w:tc>
          <w:tcPr>
            <w:tcW w:w="4536" w:type="dxa"/>
            <w:shd w:val="clear" w:color="auto" w:fill="BFBFBF"/>
          </w:tcPr>
          <w:p w:rsidR="00392989" w:rsidRDefault="009C7099">
            <w:pPr>
              <w:jc w:val="both"/>
              <w:rPr>
                <w:rFonts w:ascii="Times New Roman" w:hAnsi="Times New Roman"/>
                <w:noProof/>
                <w:sz w:val="24"/>
                <w:szCs w:val="24"/>
              </w:rPr>
            </w:pPr>
            <w:r>
              <w:rPr>
                <w:rFonts w:ascii="Times New Roman" w:hAnsi="Times New Roman"/>
                <w:noProof/>
              </w:rPr>
              <w:t>Befogenheter i direktiv 2014/47/EU</w:t>
            </w:r>
          </w:p>
        </w:tc>
        <w:tc>
          <w:tcPr>
            <w:tcW w:w="4644" w:type="dxa"/>
            <w:shd w:val="clear" w:color="auto" w:fill="BFBFBF"/>
          </w:tcPr>
          <w:p w:rsidR="00392989" w:rsidRDefault="009C7099">
            <w:pPr>
              <w:jc w:val="both"/>
              <w:rPr>
                <w:rFonts w:ascii="Times New Roman" w:hAnsi="Times New Roman"/>
                <w:noProof/>
                <w:sz w:val="24"/>
                <w:szCs w:val="24"/>
              </w:rPr>
            </w:pPr>
            <w:r>
              <w:rPr>
                <w:rFonts w:ascii="Times New Roman" w:hAnsi="Times New Roman"/>
                <w:noProof/>
              </w:rPr>
              <w:t>Beskrivning av befogenhet att anta delegerad akt</w:t>
            </w:r>
          </w:p>
        </w:tc>
      </w:tr>
      <w:tr w:rsidR="00392989">
        <w:tc>
          <w:tcPr>
            <w:tcW w:w="4536" w:type="dxa"/>
            <w:shd w:val="clear" w:color="auto" w:fill="auto"/>
          </w:tcPr>
          <w:p w:rsidR="00392989" w:rsidRDefault="00392989">
            <w:pPr>
              <w:jc w:val="center"/>
              <w:rPr>
                <w:rFonts w:ascii="Times New Roman" w:hAnsi="Times New Roman"/>
                <w:noProof/>
                <w:sz w:val="24"/>
                <w:szCs w:val="24"/>
              </w:rPr>
            </w:pPr>
          </w:p>
          <w:p w:rsidR="00392989" w:rsidRDefault="00392989">
            <w:pPr>
              <w:jc w:val="center"/>
              <w:rPr>
                <w:rFonts w:ascii="Times New Roman" w:hAnsi="Times New Roman"/>
                <w:noProof/>
                <w:sz w:val="24"/>
                <w:szCs w:val="24"/>
              </w:rPr>
            </w:pPr>
          </w:p>
          <w:p w:rsidR="00392989" w:rsidRDefault="00392989">
            <w:pPr>
              <w:jc w:val="center"/>
              <w:rPr>
                <w:rFonts w:ascii="Times New Roman" w:hAnsi="Times New Roman"/>
                <w:noProof/>
                <w:sz w:val="24"/>
                <w:szCs w:val="24"/>
              </w:rPr>
            </w:pPr>
          </w:p>
          <w:p w:rsidR="00392989" w:rsidRDefault="009C7099">
            <w:pPr>
              <w:jc w:val="center"/>
              <w:rPr>
                <w:rFonts w:ascii="Times New Roman" w:hAnsi="Times New Roman"/>
                <w:noProof/>
                <w:sz w:val="24"/>
                <w:szCs w:val="24"/>
              </w:rPr>
            </w:pPr>
            <w:r>
              <w:rPr>
                <w:rFonts w:ascii="Times New Roman" w:hAnsi="Times New Roman"/>
                <w:noProof/>
              </w:rPr>
              <w:t>Artikel 21</w:t>
            </w:r>
          </w:p>
        </w:tc>
        <w:tc>
          <w:tcPr>
            <w:tcW w:w="4644" w:type="dxa"/>
            <w:shd w:val="clear" w:color="auto" w:fill="auto"/>
          </w:tcPr>
          <w:p w:rsidR="00392989" w:rsidRDefault="009C7099">
            <w:pPr>
              <w:numPr>
                <w:ilvl w:val="0"/>
                <w:numId w:val="9"/>
              </w:numPr>
              <w:ind w:right="-2"/>
              <w:jc w:val="both"/>
              <w:rPr>
                <w:rFonts w:ascii="Times New Roman" w:hAnsi="Times New Roman"/>
                <w:noProof/>
                <w:sz w:val="24"/>
                <w:szCs w:val="24"/>
              </w:rPr>
            </w:pPr>
            <w:r>
              <w:rPr>
                <w:rFonts w:ascii="Times New Roman" w:hAnsi="Times New Roman"/>
                <w:noProof/>
              </w:rPr>
              <w:t>Vid behov ska bilaga IV uppdateras för att beakta ändringar av fordonskategorierna</w:t>
            </w:r>
            <w:r>
              <w:rPr>
                <w:rFonts w:ascii="Times New Roman" w:hAnsi="Times New Roman"/>
                <w:noProof/>
              </w:rPr>
              <w:t xml:space="preserve"> till följd av ändringar av lagstiftning om typgodkännande, utan att de påverkar tillämpningsområdet för det direktivet.</w:t>
            </w:r>
          </w:p>
          <w:p w:rsidR="00392989" w:rsidRDefault="009C7099">
            <w:pPr>
              <w:numPr>
                <w:ilvl w:val="0"/>
                <w:numId w:val="9"/>
              </w:numPr>
              <w:ind w:right="-2"/>
              <w:jc w:val="both"/>
              <w:rPr>
                <w:rFonts w:ascii="Times New Roman" w:hAnsi="Times New Roman"/>
                <w:noProof/>
                <w:sz w:val="24"/>
                <w:szCs w:val="24"/>
              </w:rPr>
            </w:pPr>
            <w:r>
              <w:rPr>
                <w:rFonts w:ascii="Times New Roman" w:hAnsi="Times New Roman"/>
                <w:noProof/>
              </w:rPr>
              <w:t>Punkt 2 i bilaga II ska uppdateras med avseende på metoder i de fall där effektivare provningsmetoder utvecklas och utan att utvidga fö</w:t>
            </w:r>
            <w:r>
              <w:rPr>
                <w:rFonts w:ascii="Times New Roman" w:hAnsi="Times New Roman"/>
                <w:noProof/>
              </w:rPr>
              <w:t>rteckningen över komponenter som ska provas.</w:t>
            </w:r>
          </w:p>
          <w:p w:rsidR="00392989" w:rsidRDefault="009C7099">
            <w:pPr>
              <w:numPr>
                <w:ilvl w:val="0"/>
                <w:numId w:val="9"/>
              </w:numPr>
              <w:ind w:right="-2"/>
              <w:jc w:val="both"/>
              <w:rPr>
                <w:rFonts w:ascii="Times New Roman" w:hAnsi="Times New Roman"/>
                <w:noProof/>
                <w:sz w:val="24"/>
                <w:szCs w:val="24"/>
              </w:rPr>
            </w:pPr>
            <w:r>
              <w:rPr>
                <w:rFonts w:ascii="Times New Roman" w:hAnsi="Times New Roman"/>
                <w:noProof/>
              </w:rPr>
              <w:t>Punkt 2 i bilaga II ska anpassas rörande förteckningen över komponenter som ska provas, provningsmetoder, orsaker till underkännande och bedömning av brister, vid ändring av obligatoriska krav som är relevanta f</w:t>
            </w:r>
            <w:r>
              <w:rPr>
                <w:rFonts w:ascii="Times New Roman" w:hAnsi="Times New Roman"/>
                <w:noProof/>
              </w:rPr>
              <w:t xml:space="preserve">ör typgodkännande i unionens säkerhets- eller miljölagstiftning. </w:t>
            </w:r>
          </w:p>
        </w:tc>
      </w:tr>
    </w:tbl>
    <w:p w:rsidR="00392989" w:rsidRDefault="00392989">
      <w:pPr>
        <w:jc w:val="both"/>
        <w:rPr>
          <w:rFonts w:ascii="Times New Roman" w:hAnsi="Times New Roman"/>
          <w:noProof/>
          <w:sz w:val="24"/>
          <w:szCs w:val="24"/>
        </w:rPr>
      </w:pPr>
    </w:p>
    <w:p w:rsidR="00392989" w:rsidRDefault="009C7099">
      <w:pPr>
        <w:spacing w:line="240" w:lineRule="auto"/>
        <w:jc w:val="both"/>
        <w:rPr>
          <w:rFonts w:ascii="Times New Roman" w:hAnsi="Times New Roman"/>
          <w:noProof/>
          <w:sz w:val="24"/>
          <w:szCs w:val="24"/>
        </w:rPr>
      </w:pPr>
      <w:r>
        <w:rPr>
          <w:rFonts w:ascii="Times New Roman" w:hAnsi="Times New Roman"/>
          <w:noProof/>
        </w:rPr>
        <w:t>De befogenheter som anges i artikel 17 i direktiv 2014/45/EU enligt ovan har inte utövats. Med tanke på de ändringar av bestämningar av fordonskategori som härrör från ändringar i lagstiftningen om typgodkännande (förordning (EU) 2018/858) bör kommissionen</w:t>
      </w:r>
      <w:r>
        <w:rPr>
          <w:rFonts w:ascii="Times New Roman" w:hAnsi="Times New Roman"/>
          <w:noProof/>
        </w:rPr>
        <w:t xml:space="preserve"> dock utöva denna befogenhet för att anta en delegerad akt. </w:t>
      </w:r>
    </w:p>
    <w:p w:rsidR="00392989" w:rsidRDefault="009C7099">
      <w:pPr>
        <w:spacing w:line="240" w:lineRule="auto"/>
        <w:jc w:val="both"/>
        <w:rPr>
          <w:rFonts w:ascii="Times New Roman" w:hAnsi="Times New Roman"/>
          <w:noProof/>
          <w:sz w:val="24"/>
          <w:szCs w:val="24"/>
        </w:rPr>
      </w:pPr>
      <w:r>
        <w:rPr>
          <w:rFonts w:ascii="Times New Roman" w:hAnsi="Times New Roman"/>
          <w:noProof/>
        </w:rPr>
        <w:t xml:space="preserve">När det gäller provningsmetoderna förblev de oförändrade, så det fanns inget behov av att utöva den befogenhet som är kopplad till denna punkt. </w:t>
      </w:r>
    </w:p>
    <w:p w:rsidR="00392989" w:rsidRDefault="009C7099">
      <w:pPr>
        <w:spacing w:line="240" w:lineRule="auto"/>
        <w:jc w:val="both"/>
        <w:rPr>
          <w:rFonts w:ascii="Times New Roman" w:hAnsi="Times New Roman"/>
          <w:noProof/>
          <w:sz w:val="24"/>
          <w:szCs w:val="24"/>
        </w:rPr>
      </w:pPr>
      <w:r>
        <w:rPr>
          <w:rFonts w:ascii="Times New Roman" w:hAnsi="Times New Roman"/>
          <w:noProof/>
        </w:rPr>
        <w:t>Slutligen ska kommissionen, efter en positiv kostn</w:t>
      </w:r>
      <w:r>
        <w:rPr>
          <w:rFonts w:ascii="Times New Roman" w:hAnsi="Times New Roman"/>
          <w:noProof/>
        </w:rPr>
        <w:t>ads-nyttoanalys rörande förteckningen över komponenter som ska provas, provningsmetoder, orsaker till underkännande och bedömning av brister, vid ändring av obligatoriska krav som är relevanta för typgodkännande i unionens säkerhets- eller miljölagstiftnin</w:t>
      </w:r>
      <w:r>
        <w:rPr>
          <w:rFonts w:ascii="Times New Roman" w:hAnsi="Times New Roman"/>
          <w:noProof/>
        </w:rPr>
        <w:t xml:space="preserve">g, utöva befogenheten att anpassa punkt 3 i bilaga I till direktiv 2014/45/EU. </w:t>
      </w:r>
    </w:p>
    <w:p w:rsidR="00392989" w:rsidRDefault="009C7099">
      <w:pPr>
        <w:spacing w:line="240" w:lineRule="auto"/>
        <w:jc w:val="both"/>
        <w:rPr>
          <w:rFonts w:ascii="Times New Roman" w:hAnsi="Times New Roman"/>
          <w:noProof/>
          <w:sz w:val="24"/>
          <w:szCs w:val="24"/>
        </w:rPr>
      </w:pPr>
      <w:r>
        <w:rPr>
          <w:rFonts w:ascii="Times New Roman" w:hAnsi="Times New Roman"/>
          <w:noProof/>
        </w:rPr>
        <w:t>I synnerhet har en undersökning slutförts för att bedöma om det är kostnadseffektivt att inbegripa eCall inom ramen för Europeiska unionens periodiska inspektionssystem, varige</w:t>
      </w:r>
      <w:r>
        <w:rPr>
          <w:rFonts w:ascii="Times New Roman" w:hAnsi="Times New Roman"/>
          <w:noProof/>
        </w:rPr>
        <w:t>nom det rekommenderades att eCall ska läggas till i bilagorna I och III till direktiv 2014/45/EU. I detta avseende kommer en expertgrupp att inrättas av kommissionen för att inhämta råd och sakkunskap från medlemsstaterna och andra berörda parter vid utarb</w:t>
      </w:r>
      <w:r>
        <w:rPr>
          <w:rFonts w:ascii="Times New Roman" w:hAnsi="Times New Roman"/>
          <w:noProof/>
        </w:rPr>
        <w:t xml:space="preserve">etandet av den delegerade akten. </w:t>
      </w:r>
    </w:p>
    <w:p w:rsidR="00392989" w:rsidRDefault="009C7099">
      <w:pPr>
        <w:spacing w:line="240" w:lineRule="auto"/>
        <w:jc w:val="both"/>
        <w:rPr>
          <w:rFonts w:ascii="Times New Roman" w:hAnsi="Times New Roman"/>
          <w:noProof/>
          <w:sz w:val="24"/>
          <w:szCs w:val="24"/>
        </w:rPr>
      </w:pPr>
      <w:r>
        <w:rPr>
          <w:rFonts w:ascii="Times New Roman" w:hAnsi="Times New Roman"/>
          <w:noProof/>
        </w:rPr>
        <w:t>De befogenheter som anges i artikel 6 i direktiv 1999/37/EG enligt ovan har inte utövats, eftersom varken en utvidgning av unionen eller en ändring av innehållet i intygen om överensstämmelse i relevant lagstiftning om typ</w:t>
      </w:r>
      <w:r>
        <w:rPr>
          <w:rFonts w:ascii="Times New Roman" w:hAnsi="Times New Roman"/>
          <w:noProof/>
        </w:rPr>
        <w:t xml:space="preserve">godkännande (direktiv 2007/46/EG) har skett. </w:t>
      </w:r>
    </w:p>
    <w:p w:rsidR="00392989" w:rsidRDefault="009C7099">
      <w:pPr>
        <w:spacing w:line="240" w:lineRule="auto"/>
        <w:jc w:val="both"/>
        <w:rPr>
          <w:rFonts w:ascii="Times New Roman" w:hAnsi="Times New Roman"/>
          <w:noProof/>
          <w:sz w:val="24"/>
          <w:szCs w:val="24"/>
        </w:rPr>
      </w:pPr>
      <w:r>
        <w:rPr>
          <w:rFonts w:ascii="Times New Roman" w:hAnsi="Times New Roman"/>
          <w:noProof/>
        </w:rPr>
        <w:t>De befogenheter som avses i artikel 21 i direktiv 2014/47/EU enligt ovan har inte utövats, men på samma sätt som för direktiv 2014/45/EU kommer befogenheten att uppdatera bestämningar av fordonskategori (fordon</w:t>
      </w:r>
      <w:r>
        <w:rPr>
          <w:rFonts w:ascii="Times New Roman" w:hAnsi="Times New Roman"/>
          <w:noProof/>
        </w:rPr>
        <w:t xml:space="preserve"> i kategori T5), som härrör från ändringar i lagstiftning om typgodkännande (förordning (EU) 2019/519), att utövas av kommissionen. Ovannämnda expertgrupp kommer också att underrättas om utarbetandet av den delegerade akten för uppdatering av bestämningar </w:t>
      </w:r>
      <w:r>
        <w:rPr>
          <w:rFonts w:ascii="Times New Roman" w:hAnsi="Times New Roman"/>
          <w:noProof/>
        </w:rPr>
        <w:t>av fordonskategori i både direktiv 2014/45/EU och direktiv 2014/47/EU. Vidare har inga andra befogenheter utövats, eftersom provningsmetoderna, förteckningen över komponenter som ska provas, orsakerna till underkännande och bedömningen av brister förblir o</w:t>
      </w:r>
      <w:r>
        <w:rPr>
          <w:rFonts w:ascii="Times New Roman" w:hAnsi="Times New Roman"/>
          <w:noProof/>
        </w:rPr>
        <w:t xml:space="preserve">förändrade.   </w:t>
      </w:r>
    </w:p>
    <w:p w:rsidR="00392989" w:rsidRDefault="009C7099">
      <w:pPr>
        <w:spacing w:line="240" w:lineRule="auto"/>
        <w:jc w:val="both"/>
        <w:rPr>
          <w:rFonts w:ascii="Times New Roman" w:hAnsi="Times New Roman"/>
          <w:b/>
          <w:noProof/>
          <w:sz w:val="24"/>
          <w:szCs w:val="24"/>
        </w:rPr>
      </w:pPr>
      <w:r>
        <w:rPr>
          <w:rFonts w:ascii="Times New Roman" w:hAnsi="Times New Roman"/>
          <w:noProof/>
        </w:rPr>
        <w:br/>
      </w:r>
      <w:r>
        <w:rPr>
          <w:rFonts w:ascii="Times New Roman" w:hAnsi="Times New Roman"/>
          <w:b/>
          <w:noProof/>
        </w:rPr>
        <w:t>4. Slutsats</w:t>
      </w:r>
    </w:p>
    <w:p w:rsidR="00392989" w:rsidRDefault="009C7099">
      <w:pPr>
        <w:spacing w:line="240" w:lineRule="auto"/>
        <w:jc w:val="both"/>
        <w:rPr>
          <w:rFonts w:ascii="Times New Roman" w:hAnsi="Times New Roman"/>
          <w:noProof/>
          <w:sz w:val="24"/>
          <w:szCs w:val="24"/>
        </w:rPr>
      </w:pPr>
      <w:r>
        <w:rPr>
          <w:rFonts w:ascii="Times New Roman" w:hAnsi="Times New Roman"/>
          <w:noProof/>
        </w:rPr>
        <w:t xml:space="preserve">Genom denna rapport uppfyller kommissionen rapporteringsskyldigheterna i enlighet med artikel 18.2 i direktiv 2014/45/EU, artikel 7.2 i direktiv 1999/37/EG och artikel 22.2 i direktiv 2014/47/EU </w:t>
      </w:r>
    </w:p>
    <w:p w:rsidR="00392989" w:rsidRDefault="009C7099">
      <w:pPr>
        <w:spacing w:line="240" w:lineRule="auto"/>
        <w:jc w:val="both"/>
        <w:rPr>
          <w:rFonts w:ascii="Times New Roman" w:hAnsi="Times New Roman"/>
          <w:noProof/>
          <w:sz w:val="24"/>
          <w:szCs w:val="24"/>
        </w:rPr>
      </w:pPr>
      <w:r>
        <w:rPr>
          <w:rFonts w:ascii="Times New Roman" w:hAnsi="Times New Roman"/>
          <w:noProof/>
        </w:rPr>
        <w:t>Kommissionen uppmanar Europaparl</w:t>
      </w:r>
      <w:r>
        <w:rPr>
          <w:rFonts w:ascii="Times New Roman" w:hAnsi="Times New Roman"/>
          <w:noProof/>
        </w:rPr>
        <w:t>amentet och rådet att ta del av denna rapport.</w:t>
      </w:r>
    </w:p>
    <w:sectPr w:rsidR="00392989" w:rsidSect="009C709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89" w:rsidRDefault="009C7099">
      <w:pPr>
        <w:spacing w:after="0" w:line="240" w:lineRule="auto"/>
      </w:pPr>
      <w:r>
        <w:separator/>
      </w:r>
    </w:p>
  </w:endnote>
  <w:endnote w:type="continuationSeparator" w:id="0">
    <w:p w:rsidR="00392989" w:rsidRDefault="009C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89" w:rsidRDefault="00392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89" w:rsidRDefault="009C7099">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89" w:rsidRDefault="00392989">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89" w:rsidRDefault="003929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89" w:rsidRDefault="009C7099">
    <w:pPr>
      <w:pStyle w:val="Footer"/>
      <w:jc w:val="center"/>
    </w:pPr>
    <w:r>
      <w:fldChar w:fldCharType="begin"/>
    </w:r>
    <w:r>
      <w:instrText xml:space="preserve"> PAGE   \* MERGEFORMAT </w:instrText>
    </w:r>
    <w:r>
      <w:fldChar w:fldCharType="separate"/>
    </w:r>
    <w:r>
      <w:rPr>
        <w:noProof/>
      </w:rPr>
      <w:t>4</w:t>
    </w:r>
    <w:r>
      <w:fldChar w:fldCharType="end"/>
    </w:r>
  </w:p>
  <w:p w:rsidR="00392989" w:rsidRDefault="00392989">
    <w:pPr>
      <w:pStyle w:val="FooterCoverPage"/>
      <w:rPr>
        <w:rFonts w:ascii="Arial" w:hAnsi="Arial" w:cs="Arial"/>
        <w:b/>
        <w:sz w:val="48"/>
        <w:lang w:val="es-E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89" w:rsidRDefault="0039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89" w:rsidRDefault="009C7099">
      <w:pPr>
        <w:spacing w:after="0" w:line="240" w:lineRule="auto"/>
      </w:pPr>
      <w:r>
        <w:separator/>
      </w:r>
    </w:p>
  </w:footnote>
  <w:footnote w:type="continuationSeparator" w:id="0">
    <w:p w:rsidR="00392989" w:rsidRDefault="009C7099">
      <w:pPr>
        <w:spacing w:after="0" w:line="240" w:lineRule="auto"/>
      </w:pPr>
      <w:r>
        <w:continuationSeparator/>
      </w:r>
    </w:p>
  </w:footnote>
  <w:footnote w:id="1">
    <w:p w:rsidR="00392989" w:rsidRDefault="009C7099">
      <w:pPr>
        <w:pStyle w:val="FootnoteText"/>
        <w:rPr>
          <w:rFonts w:ascii="Times New Roman" w:hAnsi="Times New Roman"/>
          <w:sz w:val="16"/>
          <w:szCs w:val="16"/>
        </w:rPr>
      </w:pPr>
      <w:r>
        <w:rPr>
          <w:rStyle w:val="FootnoteReference"/>
          <w:rFonts w:ascii="Times New Roman" w:hAnsi="Times New Roman"/>
          <w:sz w:val="16"/>
          <w:szCs w:val="16"/>
        </w:rPr>
        <w:footnoteRef/>
      </w:r>
      <w:r>
        <w:t xml:space="preserve"> </w:t>
      </w:r>
      <w:r>
        <w:rPr>
          <w:rFonts w:ascii="Times New Roman" w:hAnsi="Times New Roman"/>
          <w:sz w:val="16"/>
          <w:szCs w:val="16"/>
        </w:rPr>
        <w:t xml:space="preserve">Europaparlamentets och rådets direktiv 2014/45/EU av den 3 april 2014 om periodisk provning av motorfordons och tillhörande släpvagnars trafiksäkerhet och om upphävande </w:t>
      </w:r>
      <w:r>
        <w:rPr>
          <w:rFonts w:ascii="Times New Roman" w:hAnsi="Times New Roman"/>
          <w:sz w:val="16"/>
          <w:szCs w:val="16"/>
        </w:rPr>
        <w:t>av direktiv 2009/40/EG (Text av betydelse för EES) (EUT L 127, 29.4.2014, s. 51).</w:t>
      </w:r>
    </w:p>
    <w:p w:rsidR="00392989" w:rsidRDefault="00392989">
      <w:pPr>
        <w:pStyle w:val="FootnoteText"/>
        <w:rPr>
          <w:rFonts w:ascii="Times New Roman" w:hAnsi="Times New Roman"/>
          <w:sz w:val="16"/>
          <w:szCs w:val="16"/>
        </w:rPr>
      </w:pPr>
    </w:p>
  </w:footnote>
  <w:footnote w:id="2">
    <w:p w:rsidR="00392989" w:rsidRDefault="009C7099">
      <w:pPr>
        <w:pStyle w:val="NormalWeb"/>
        <w:shd w:val="clear" w:color="auto" w:fill="FFFFFF"/>
        <w:spacing w:before="0" w:beforeAutospacing="0" w:after="75" w:afterAutospacing="0"/>
        <w:rPr>
          <w:color w:val="444444"/>
          <w:sz w:val="16"/>
          <w:szCs w:val="16"/>
        </w:rPr>
      </w:pPr>
      <w:r>
        <w:rPr>
          <w:rStyle w:val="FootnoteReference"/>
          <w:sz w:val="16"/>
          <w:szCs w:val="16"/>
        </w:rPr>
        <w:t>2</w:t>
      </w:r>
      <w:r>
        <w:rPr>
          <w:sz w:val="16"/>
          <w:szCs w:val="16"/>
        </w:rPr>
        <w:t xml:space="preserve"> </w:t>
      </w:r>
      <w:r>
        <w:rPr>
          <w:color w:val="444444"/>
          <w:sz w:val="16"/>
          <w:szCs w:val="16"/>
        </w:rPr>
        <w:t>Rådets direktiv 1999/37/EG av den 29 april 1999 om registreringsbevis för fordon</w:t>
      </w:r>
    </w:p>
    <w:p w:rsidR="00392989" w:rsidRDefault="009C7099">
      <w:pPr>
        <w:pStyle w:val="NormalWeb"/>
        <w:shd w:val="clear" w:color="auto" w:fill="FFFFFF"/>
        <w:spacing w:before="0" w:beforeAutospacing="0" w:after="75" w:afterAutospacing="0"/>
        <w:rPr>
          <w:color w:val="444444"/>
          <w:sz w:val="16"/>
          <w:szCs w:val="16"/>
        </w:rPr>
      </w:pPr>
      <w:r>
        <w:rPr>
          <w:rStyle w:val="Emphasis"/>
          <w:i w:val="0"/>
          <w:color w:val="444444"/>
          <w:sz w:val="16"/>
          <w:szCs w:val="16"/>
        </w:rPr>
        <w:t>(EGT L 138, 1.6.1999, s. 57).</w:t>
      </w:r>
    </w:p>
    <w:p w:rsidR="00392989" w:rsidRDefault="00392989">
      <w:pPr>
        <w:pStyle w:val="FootnoteText"/>
        <w:rPr>
          <w:rFonts w:ascii="Times New Roman" w:hAnsi="Times New Roman"/>
          <w:sz w:val="16"/>
          <w:szCs w:val="16"/>
        </w:rPr>
      </w:pPr>
    </w:p>
  </w:footnote>
  <w:footnote w:id="3">
    <w:p w:rsidR="00392989" w:rsidRDefault="009C7099">
      <w:pPr>
        <w:pStyle w:val="FootnoteText"/>
        <w:rPr>
          <w:rFonts w:ascii="Times New Roman" w:hAnsi="Times New Roman"/>
          <w:sz w:val="16"/>
          <w:szCs w:val="16"/>
        </w:rPr>
      </w:pPr>
      <w:r>
        <w:rPr>
          <w:rStyle w:val="FootnoteReference"/>
          <w:rFonts w:ascii="Times New Roman" w:hAnsi="Times New Roman"/>
          <w:sz w:val="16"/>
          <w:szCs w:val="16"/>
        </w:rPr>
        <w:footnoteRef/>
      </w:r>
      <w:r>
        <w:t xml:space="preserve"> </w:t>
      </w:r>
      <w:r>
        <w:rPr>
          <w:rFonts w:ascii="Times New Roman" w:hAnsi="Times New Roman"/>
          <w:sz w:val="16"/>
          <w:szCs w:val="16"/>
        </w:rPr>
        <w:t xml:space="preserve">Europaparlamentets och rådets direktiv 2014/46/EU av den </w:t>
      </w:r>
      <w:r>
        <w:rPr>
          <w:rFonts w:ascii="Times New Roman" w:hAnsi="Times New Roman"/>
          <w:sz w:val="16"/>
          <w:szCs w:val="16"/>
        </w:rPr>
        <w:t>3 april 2014 om ändring av rådets direktiv 1999/37/EG om registreringsbevis för fordon (EUT L 127, 29.4.2014, s. 129).</w:t>
      </w:r>
    </w:p>
    <w:p w:rsidR="00392989" w:rsidRDefault="00392989">
      <w:pPr>
        <w:pStyle w:val="FootnoteText"/>
        <w:rPr>
          <w:rFonts w:ascii="Times New Roman" w:hAnsi="Times New Roman"/>
          <w:sz w:val="16"/>
          <w:szCs w:val="16"/>
        </w:rPr>
      </w:pPr>
    </w:p>
  </w:footnote>
  <w:footnote w:id="4">
    <w:p w:rsidR="00392989" w:rsidRDefault="009C7099">
      <w:pPr>
        <w:pStyle w:val="FootnoteText"/>
        <w:rPr>
          <w:rFonts w:ascii="Times New Roman" w:hAnsi="Times New Roman"/>
          <w:sz w:val="16"/>
          <w:szCs w:val="16"/>
        </w:rPr>
      </w:pPr>
      <w:r>
        <w:rPr>
          <w:rStyle w:val="FootnoteReference"/>
          <w:rFonts w:ascii="Times New Roman" w:hAnsi="Times New Roman"/>
          <w:sz w:val="16"/>
          <w:szCs w:val="16"/>
        </w:rPr>
        <w:t>4</w:t>
      </w:r>
      <w:r>
        <w:rPr>
          <w:rFonts w:ascii="Times New Roman" w:hAnsi="Times New Roman"/>
          <w:sz w:val="16"/>
          <w:szCs w:val="16"/>
        </w:rPr>
        <w:t xml:space="preserve"> Europaparlamentets och rådets direktiv 2014/47/EU av den 3 april 2014 om tekniska vägkontroller av trafiksäkerheten hos nyttofordon i </w:t>
      </w:r>
      <w:r>
        <w:rPr>
          <w:rFonts w:ascii="Times New Roman" w:hAnsi="Times New Roman"/>
          <w:sz w:val="16"/>
          <w:szCs w:val="16"/>
        </w:rPr>
        <w:t>trafik i unionen och om upphävande av direktiv 2000/30/EG (Text av betydelse för EES) (EUT L 127, 29.4.2014, s. 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89" w:rsidRDefault="00392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89" w:rsidRDefault="00392989">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89" w:rsidRDefault="00392989">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89" w:rsidRDefault="003929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89" w:rsidRDefault="003929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89" w:rsidRDefault="00392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F19"/>
    <w:multiLevelType w:val="hybridMultilevel"/>
    <w:tmpl w:val="5226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60E20"/>
    <w:multiLevelType w:val="multilevel"/>
    <w:tmpl w:val="0D0A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D6259"/>
    <w:multiLevelType w:val="hybridMultilevel"/>
    <w:tmpl w:val="8526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8744C"/>
    <w:multiLevelType w:val="hybridMultilevel"/>
    <w:tmpl w:val="69C4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0642B"/>
    <w:multiLevelType w:val="multilevel"/>
    <w:tmpl w:val="3806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703F2"/>
    <w:multiLevelType w:val="hybridMultilevel"/>
    <w:tmpl w:val="1E7AA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21B196D"/>
    <w:multiLevelType w:val="hybridMultilevel"/>
    <w:tmpl w:val="30BA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6631B5"/>
    <w:multiLevelType w:val="multilevel"/>
    <w:tmpl w:val="4E7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4"/>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doNotTrackMoves/>
  <w:defaultTabStop w:val="720"/>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6C2E0128-816E-45A6-845E-5153491E2B5D"/>
    <w:docVar w:name="LW_COVERPAGE_TYPE" w:val="1"/>
    <w:docVar w:name="LW_CROSSREFERENCE" w:val="&lt;UNUSED&gt;"/>
    <w:docVar w:name="LW_DocType" w:val="NORMAL"/>
    <w:docVar w:name="LW_EMISSION" w:val="4.3.2020"/>
    <w:docVar w:name="LW_EMISSION_ISODATE" w:val="2020-03-04"/>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m utövandet av delegeringen av befogenheter till kommissionen att anta delegerade akter i enlighet med artikel 18.2 i direktiv 2014/45/EU, artikel 7.2 i direktiv 1999/37/EG och artikel 22.2 i direktiv 2014/47/EU&lt;/FMT&gt;_x000d__x000b_ _x000d__x000d_"/>
    <w:docVar w:name="LW_TYPE.DOC.CP" w:val="RAPPORT FRÅN KOMMISSIONEN TILL EUROPAPARLAMENTET OCH RÅDET"/>
  </w:docVars>
  <w:rsids>
    <w:rsidRoot w:val="00392989"/>
    <w:rsid w:val="00392989"/>
    <w:rsid w:val="009C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en-US"/>
    </w:rPr>
  </w:style>
  <w:style w:type="character" w:styleId="FootnoteReference">
    <w:name w:val="footnote reference"/>
    <w:rPr>
      <w:vertAlign w:val="superscript"/>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val="sv-S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val="sv-SE"/>
    </w:rPr>
  </w:style>
  <w:style w:type="character" w:styleId="Strong">
    <w:name w:val="Strong"/>
    <w:uiPriority w:val="22"/>
    <w:qFormat/>
    <w:rPr>
      <w:b/>
      <w:bCs/>
    </w:rPr>
  </w:style>
  <w:style w:type="paragraph" w:customStyle="1" w:styleId="Datedadoption">
    <w:name w:val="Date d'adoption"/>
    <w:basedOn w:val="Normal"/>
    <w:next w:val="Normal"/>
    <w:pPr>
      <w:spacing w:before="360" w:after="0" w:line="240" w:lineRule="auto"/>
      <w:jc w:val="center"/>
    </w:pPr>
    <w:rPr>
      <w:rFonts w:ascii="Times New Roman" w:hAnsi="Times New Roman"/>
      <w:b/>
      <w:sz w:val="24"/>
      <w:lang w:eastAsia="en-GB"/>
    </w:rPr>
  </w:style>
  <w:style w:type="paragraph" w:customStyle="1" w:styleId="Typedudocument">
    <w:name w:val="Type du document"/>
    <w:basedOn w:val="Normal"/>
    <w:next w:val="Normal"/>
    <w:pPr>
      <w:spacing w:before="360" w:after="0" w:line="240" w:lineRule="auto"/>
      <w:jc w:val="center"/>
    </w:pPr>
    <w:rPr>
      <w:rFonts w:ascii="Times New Roman" w:hAnsi="Times New Roman"/>
      <w:b/>
      <w:sz w:val="24"/>
      <w:lang w:eastAsia="en-GB"/>
    </w:rPr>
  </w:style>
  <w:style w:type="character" w:customStyle="1" w:styleId="Marker">
    <w:name w:val="Marker"/>
    <w:rPr>
      <w:color w:val="0000FF"/>
      <w:shd w:val="clear" w:color="auto" w:fill="auto"/>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SecurityMarking">
    <w:name w:val="SecurityMarking"/>
    <w:basedOn w:val="Normal"/>
    <w:pPr>
      <w:spacing w:after="0"/>
      <w:ind w:left="5103"/>
    </w:pPr>
    <w:rPr>
      <w:rFonts w:ascii="Times New Roman" w:hAnsi="Times New Roman"/>
      <w:sz w:val="28"/>
    </w:rPr>
  </w:style>
  <w:style w:type="paragraph" w:customStyle="1" w:styleId="DateMarking">
    <w:name w:val="DateMarking"/>
    <w:basedOn w:val="Normal"/>
    <w:pPr>
      <w:spacing w:after="0"/>
      <w:ind w:left="5103"/>
    </w:pPr>
    <w:rPr>
      <w:rFonts w:ascii="Times New Roman" w:hAnsi="Times New Roman"/>
      <w:i/>
      <w:sz w:val="28"/>
    </w:rPr>
  </w:style>
  <w:style w:type="paragraph" w:customStyle="1" w:styleId="ReleasableTo">
    <w:name w:val="ReleasableTo"/>
    <w:basedOn w:val="Normal"/>
    <w:pPr>
      <w:spacing w:after="0"/>
      <w:ind w:left="5103"/>
    </w:pPr>
    <w:rPr>
      <w:rFonts w:ascii="Times New Roman" w:hAnsi="Times New Roman"/>
      <w:i/>
      <w:sz w:val="2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character" w:styleId="Emphasis">
    <w:name w:val="Emphasis"/>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9044">
      <w:bodyDiv w:val="1"/>
      <w:marLeft w:val="0"/>
      <w:marRight w:val="0"/>
      <w:marTop w:val="0"/>
      <w:marBottom w:val="0"/>
      <w:divBdr>
        <w:top w:val="none" w:sz="0" w:space="0" w:color="auto"/>
        <w:left w:val="none" w:sz="0" w:space="0" w:color="auto"/>
        <w:bottom w:val="none" w:sz="0" w:space="0" w:color="auto"/>
        <w:right w:val="none" w:sz="0" w:space="0" w:color="auto"/>
      </w:divBdr>
    </w:div>
    <w:div w:id="233324841">
      <w:bodyDiv w:val="1"/>
      <w:marLeft w:val="0"/>
      <w:marRight w:val="0"/>
      <w:marTop w:val="0"/>
      <w:marBottom w:val="0"/>
      <w:divBdr>
        <w:top w:val="none" w:sz="0" w:space="0" w:color="auto"/>
        <w:left w:val="none" w:sz="0" w:space="0" w:color="auto"/>
        <w:bottom w:val="none" w:sz="0" w:space="0" w:color="auto"/>
        <w:right w:val="none" w:sz="0" w:space="0" w:color="auto"/>
      </w:divBdr>
    </w:div>
    <w:div w:id="434790441">
      <w:bodyDiv w:val="1"/>
      <w:marLeft w:val="0"/>
      <w:marRight w:val="0"/>
      <w:marTop w:val="0"/>
      <w:marBottom w:val="0"/>
      <w:divBdr>
        <w:top w:val="none" w:sz="0" w:space="0" w:color="auto"/>
        <w:left w:val="none" w:sz="0" w:space="0" w:color="auto"/>
        <w:bottom w:val="none" w:sz="0" w:space="0" w:color="auto"/>
        <w:right w:val="none" w:sz="0" w:space="0" w:color="auto"/>
      </w:divBdr>
    </w:div>
    <w:div w:id="747842947">
      <w:bodyDiv w:val="1"/>
      <w:marLeft w:val="0"/>
      <w:marRight w:val="0"/>
      <w:marTop w:val="0"/>
      <w:marBottom w:val="0"/>
      <w:divBdr>
        <w:top w:val="none" w:sz="0" w:space="0" w:color="auto"/>
        <w:left w:val="none" w:sz="0" w:space="0" w:color="auto"/>
        <w:bottom w:val="none" w:sz="0" w:space="0" w:color="auto"/>
        <w:right w:val="none" w:sz="0" w:space="0" w:color="auto"/>
      </w:divBdr>
    </w:div>
    <w:div w:id="965698105">
      <w:bodyDiv w:val="1"/>
      <w:marLeft w:val="0"/>
      <w:marRight w:val="0"/>
      <w:marTop w:val="0"/>
      <w:marBottom w:val="0"/>
      <w:divBdr>
        <w:top w:val="none" w:sz="0" w:space="0" w:color="auto"/>
        <w:left w:val="none" w:sz="0" w:space="0" w:color="auto"/>
        <w:bottom w:val="none" w:sz="0" w:space="0" w:color="auto"/>
        <w:right w:val="none" w:sz="0" w:space="0" w:color="auto"/>
      </w:divBdr>
    </w:div>
    <w:div w:id="1099258576">
      <w:bodyDiv w:val="1"/>
      <w:marLeft w:val="0"/>
      <w:marRight w:val="0"/>
      <w:marTop w:val="0"/>
      <w:marBottom w:val="0"/>
      <w:divBdr>
        <w:top w:val="none" w:sz="0" w:space="0" w:color="auto"/>
        <w:left w:val="none" w:sz="0" w:space="0" w:color="auto"/>
        <w:bottom w:val="none" w:sz="0" w:space="0" w:color="auto"/>
        <w:right w:val="none" w:sz="0" w:space="0" w:color="auto"/>
      </w:divBdr>
      <w:divsChild>
        <w:div w:id="344091694">
          <w:marLeft w:val="0"/>
          <w:marRight w:val="0"/>
          <w:marTop w:val="0"/>
          <w:marBottom w:val="0"/>
          <w:divBdr>
            <w:top w:val="none" w:sz="0" w:space="0" w:color="auto"/>
            <w:left w:val="none" w:sz="0" w:space="0" w:color="auto"/>
            <w:bottom w:val="none" w:sz="0" w:space="0" w:color="auto"/>
            <w:right w:val="none" w:sz="0" w:space="0" w:color="auto"/>
          </w:divBdr>
          <w:divsChild>
            <w:div w:id="914513707">
              <w:marLeft w:val="0"/>
              <w:marRight w:val="0"/>
              <w:marTop w:val="0"/>
              <w:marBottom w:val="0"/>
              <w:divBdr>
                <w:top w:val="none" w:sz="0" w:space="0" w:color="auto"/>
                <w:left w:val="none" w:sz="0" w:space="0" w:color="auto"/>
                <w:bottom w:val="none" w:sz="0" w:space="0" w:color="auto"/>
                <w:right w:val="none" w:sz="0" w:space="0" w:color="auto"/>
              </w:divBdr>
              <w:divsChild>
                <w:div w:id="461193679">
                  <w:marLeft w:val="0"/>
                  <w:marRight w:val="0"/>
                  <w:marTop w:val="0"/>
                  <w:marBottom w:val="0"/>
                  <w:divBdr>
                    <w:top w:val="none" w:sz="0" w:space="0" w:color="auto"/>
                    <w:left w:val="none" w:sz="0" w:space="0" w:color="auto"/>
                    <w:bottom w:val="none" w:sz="0" w:space="0" w:color="auto"/>
                    <w:right w:val="none" w:sz="0" w:space="0" w:color="auto"/>
                  </w:divBdr>
                  <w:divsChild>
                    <w:div w:id="1626349287">
                      <w:marLeft w:val="0"/>
                      <w:marRight w:val="0"/>
                      <w:marTop w:val="0"/>
                      <w:marBottom w:val="0"/>
                      <w:divBdr>
                        <w:top w:val="none" w:sz="0" w:space="0" w:color="auto"/>
                        <w:left w:val="none" w:sz="0" w:space="0" w:color="auto"/>
                        <w:bottom w:val="none" w:sz="0" w:space="0" w:color="auto"/>
                        <w:right w:val="none" w:sz="0" w:space="0" w:color="auto"/>
                      </w:divBdr>
                      <w:divsChild>
                        <w:div w:id="1397046399">
                          <w:marLeft w:val="0"/>
                          <w:marRight w:val="0"/>
                          <w:marTop w:val="0"/>
                          <w:marBottom w:val="0"/>
                          <w:divBdr>
                            <w:top w:val="none" w:sz="0" w:space="0" w:color="auto"/>
                            <w:left w:val="none" w:sz="0" w:space="0" w:color="auto"/>
                            <w:bottom w:val="none" w:sz="0" w:space="0" w:color="auto"/>
                            <w:right w:val="none" w:sz="0" w:space="0" w:color="auto"/>
                          </w:divBdr>
                          <w:divsChild>
                            <w:div w:id="928583353">
                              <w:marLeft w:val="0"/>
                              <w:marRight w:val="0"/>
                              <w:marTop w:val="0"/>
                              <w:marBottom w:val="0"/>
                              <w:divBdr>
                                <w:top w:val="none" w:sz="0" w:space="0" w:color="auto"/>
                                <w:left w:val="none" w:sz="0" w:space="0" w:color="auto"/>
                                <w:bottom w:val="none" w:sz="0" w:space="0" w:color="auto"/>
                                <w:right w:val="none" w:sz="0" w:space="0" w:color="auto"/>
                              </w:divBdr>
                              <w:divsChild>
                                <w:div w:id="1280994997">
                                  <w:marLeft w:val="0"/>
                                  <w:marRight w:val="0"/>
                                  <w:marTop w:val="180"/>
                                  <w:marBottom w:val="0"/>
                                  <w:divBdr>
                                    <w:top w:val="none" w:sz="0" w:space="0" w:color="auto"/>
                                    <w:left w:val="none" w:sz="0" w:space="0" w:color="auto"/>
                                    <w:bottom w:val="none" w:sz="0" w:space="0" w:color="auto"/>
                                    <w:right w:val="none" w:sz="0" w:space="0" w:color="auto"/>
                                  </w:divBdr>
                                  <w:divsChild>
                                    <w:div w:id="1000088100">
                                      <w:marLeft w:val="0"/>
                                      <w:marRight w:val="0"/>
                                      <w:marTop w:val="0"/>
                                      <w:marBottom w:val="0"/>
                                      <w:divBdr>
                                        <w:top w:val="dashed" w:sz="2" w:space="0" w:color="074A8B"/>
                                        <w:left w:val="dashed" w:sz="2" w:space="0" w:color="074A8B"/>
                                        <w:bottom w:val="dashed" w:sz="6" w:space="14" w:color="074A8B"/>
                                        <w:right w:val="dashed" w:sz="2" w:space="0" w:color="074A8B"/>
                                      </w:divBdr>
                                    </w:div>
                                  </w:divsChild>
                                </w:div>
                              </w:divsChild>
                            </w:div>
                          </w:divsChild>
                        </w:div>
                      </w:divsChild>
                    </w:div>
                  </w:divsChild>
                </w:div>
              </w:divsChild>
            </w:div>
          </w:divsChild>
        </w:div>
      </w:divsChild>
    </w:div>
    <w:div w:id="1106539459">
      <w:bodyDiv w:val="1"/>
      <w:marLeft w:val="0"/>
      <w:marRight w:val="0"/>
      <w:marTop w:val="0"/>
      <w:marBottom w:val="0"/>
      <w:divBdr>
        <w:top w:val="none" w:sz="0" w:space="0" w:color="auto"/>
        <w:left w:val="none" w:sz="0" w:space="0" w:color="auto"/>
        <w:bottom w:val="none" w:sz="0" w:space="0" w:color="auto"/>
        <w:right w:val="none" w:sz="0" w:space="0" w:color="auto"/>
      </w:divBdr>
    </w:div>
    <w:div w:id="1794051883">
      <w:bodyDiv w:val="1"/>
      <w:marLeft w:val="0"/>
      <w:marRight w:val="0"/>
      <w:marTop w:val="0"/>
      <w:marBottom w:val="0"/>
      <w:divBdr>
        <w:top w:val="none" w:sz="0" w:space="0" w:color="auto"/>
        <w:left w:val="none" w:sz="0" w:space="0" w:color="auto"/>
        <w:bottom w:val="none" w:sz="0" w:space="0" w:color="auto"/>
        <w:right w:val="none" w:sz="0" w:space="0" w:color="auto"/>
      </w:divBdr>
    </w:div>
    <w:div w:id="18342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6303-F87C-45FE-9F04-EB4FF4A0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2020-01-23T08:42:00Z</dcterms:created>
  <dcterms:modified xsi:type="dcterms:W3CDTF">2020-03-02T09:12:00Z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