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E2170E1-E623-449C-AFDC-A615F26EC2B0" style="width:450.35pt;height:6in">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2018/0148 (COD)</w:t>
      </w:r>
    </w:p>
    <w:p>
      <w:pPr>
        <w:pStyle w:val="Typedudocument"/>
        <w:rPr>
          <w:noProof/>
        </w:rPr>
      </w:pPr>
      <w:r>
        <w:rPr>
          <w:noProof/>
        </w:rPr>
        <w:t>KOMISIJAS PAZIŅOJUMS EIROPAS PARLAMENTAM,</w:t>
      </w:r>
      <w:r>
        <w:rPr>
          <w:noProof/>
        </w:rPr>
        <w:br/>
      </w:r>
      <w:r>
        <w:rPr>
          <w:noProof/>
        </w:rPr>
        <w:br/>
        <w:t>ko izstrādā atbilstīgi Līguma par Eiropas Savienības darbību 294. panta 6. punktam,</w:t>
      </w:r>
      <w:r>
        <w:rPr>
          <w:noProof/>
        </w:rPr>
        <w:br/>
      </w:r>
      <w:r>
        <w:rPr>
          <w:noProof/>
        </w:rPr>
        <w:br/>
        <w:t>par</w:t>
      </w:r>
    </w:p>
    <w:p>
      <w:pPr>
        <w:pStyle w:val="Titreobjet"/>
        <w:rPr>
          <w:noProof/>
        </w:rPr>
      </w:pPr>
      <w:r>
        <w:rPr>
          <w:noProof/>
        </w:rPr>
        <w:t>Padomes nostāju attiecībā uz Eiropas Parlamenta un Padomes regulas pieņemšanu par riepu marķēšanu attiecībā uz degvielas ekonomiju un citiem būtiskiem parametriem un Regulas (EK) Nr. 1222/2009 atcelšanu</w:t>
      </w:r>
    </w:p>
    <w:p>
      <w:pPr>
        <w:pStyle w:val="IntrtEEE"/>
        <w:rPr>
          <w:noProof/>
        </w:rPr>
      </w:pPr>
      <w:r>
        <w:rPr>
          <w:noProof/>
        </w:rPr>
        <w:t>(Dokuments attiecas uz EEZ)</w:t>
      </w:r>
    </w:p>
    <w:p>
      <w:pPr>
        <w:pStyle w:val="ManualHeading1"/>
        <w:rPr>
          <w:noProof/>
          <w:sz w:val="22"/>
        </w:rPr>
      </w:pPr>
      <w:r>
        <w:rPr>
          <w:noProof/>
        </w:rPr>
        <w:t>1.</w:t>
      </w:r>
      <w:r>
        <w:rPr>
          <w:noProof/>
        </w:rPr>
        <w:tab/>
        <w:t>Konteksts</w:t>
      </w:r>
    </w:p>
    <w:tbl>
      <w:tblPr>
        <w:tblW w:w="0" w:type="auto"/>
        <w:tblLayout w:type="fixed"/>
        <w:tblLook w:val="0000" w:firstRow="0" w:lastRow="0" w:firstColumn="0" w:lastColumn="0" w:noHBand="0" w:noVBand="0"/>
      </w:tblPr>
      <w:tblGrid>
        <w:gridCol w:w="6487"/>
        <w:gridCol w:w="2800"/>
      </w:tblGrid>
      <w:tr>
        <w:tc>
          <w:tcPr>
            <w:tcW w:w="6487" w:type="dxa"/>
          </w:tcPr>
          <w:p>
            <w:pPr>
              <w:jc w:val="left"/>
              <w:rPr>
                <w:noProof/>
              </w:rPr>
            </w:pPr>
            <w:r>
              <w:rPr>
                <w:noProof/>
              </w:rPr>
              <w:t xml:space="preserve">Datums, kad priekšlikums nosūtīts Eiropas Parlamentam un Padomei (COM(2018) 296 final, 2018/0148 (COD)): </w:t>
            </w:r>
          </w:p>
        </w:tc>
        <w:tc>
          <w:tcPr>
            <w:tcW w:w="2800" w:type="dxa"/>
          </w:tcPr>
          <w:p>
            <w:pPr>
              <w:rPr>
                <w:noProof/>
              </w:rPr>
            </w:pPr>
            <w:r>
              <w:rPr>
                <w:noProof/>
              </w:rPr>
              <w:t>2018. gada 17. maijs</w:t>
            </w:r>
          </w:p>
        </w:tc>
      </w:tr>
      <w:tr>
        <w:trPr>
          <w:cantSplit/>
        </w:trPr>
        <w:tc>
          <w:tcPr>
            <w:tcW w:w="6487" w:type="dxa"/>
          </w:tcPr>
          <w:p>
            <w:pPr>
              <w:jc w:val="left"/>
              <w:rPr>
                <w:noProof/>
              </w:rPr>
            </w:pPr>
            <w:r>
              <w:rPr>
                <w:noProof/>
              </w:rPr>
              <w:t xml:space="preserve">Eiropas Ekonomikas un sociālo lietu komitejas atzinuma datums: </w:t>
            </w:r>
          </w:p>
        </w:tc>
        <w:tc>
          <w:tcPr>
            <w:tcW w:w="2800" w:type="dxa"/>
          </w:tcPr>
          <w:p>
            <w:pPr>
              <w:jc w:val="left"/>
              <w:rPr>
                <w:noProof/>
              </w:rPr>
            </w:pPr>
            <w:r>
              <w:rPr>
                <w:noProof/>
              </w:rPr>
              <w:t>2018. gada 17. oktobris</w:t>
            </w:r>
          </w:p>
        </w:tc>
      </w:tr>
      <w:tr>
        <w:tc>
          <w:tcPr>
            <w:tcW w:w="6487" w:type="dxa"/>
          </w:tcPr>
          <w:p>
            <w:pPr>
              <w:jc w:val="left"/>
              <w:rPr>
                <w:noProof/>
              </w:rPr>
            </w:pPr>
            <w:r>
              <w:rPr>
                <w:noProof/>
              </w:rPr>
              <w:t xml:space="preserve">Eiropas Parlamenta nostājas datums (pirmais lasījums): </w:t>
            </w:r>
          </w:p>
        </w:tc>
        <w:tc>
          <w:tcPr>
            <w:tcW w:w="2800" w:type="dxa"/>
          </w:tcPr>
          <w:p>
            <w:pPr>
              <w:rPr>
                <w:noProof/>
              </w:rPr>
            </w:pPr>
            <w:r>
              <w:rPr>
                <w:noProof/>
              </w:rPr>
              <w:t>2019. gada 26. marts</w:t>
            </w:r>
          </w:p>
        </w:tc>
      </w:tr>
      <w:tr>
        <w:tc>
          <w:tcPr>
            <w:tcW w:w="6487" w:type="dxa"/>
          </w:tcPr>
          <w:p>
            <w:pPr>
              <w:jc w:val="left"/>
              <w:rPr>
                <w:noProof/>
              </w:rPr>
            </w:pPr>
            <w:r>
              <w:rPr>
                <w:noProof/>
              </w:rPr>
              <w:t xml:space="preserve">Grozītā priekšlikuma nosūtīšanas datums: </w:t>
            </w:r>
          </w:p>
        </w:tc>
        <w:tc>
          <w:tcPr>
            <w:tcW w:w="2800" w:type="dxa"/>
          </w:tcPr>
          <w:p>
            <w:pPr>
              <w:rPr>
                <w:noProof/>
              </w:rPr>
            </w:pPr>
            <w:r>
              <w:rPr>
                <w:noProof/>
              </w:rPr>
              <w:t>nav pieejams</w:t>
            </w:r>
          </w:p>
        </w:tc>
      </w:tr>
      <w:tr>
        <w:tc>
          <w:tcPr>
            <w:tcW w:w="6487" w:type="dxa"/>
          </w:tcPr>
          <w:p>
            <w:pPr>
              <w:jc w:val="left"/>
              <w:rPr>
                <w:noProof/>
              </w:rPr>
            </w:pPr>
            <w:r>
              <w:rPr>
                <w:noProof/>
              </w:rPr>
              <w:t xml:space="preserve">Padomes nostājas pieņemšanas datums: </w:t>
            </w:r>
          </w:p>
        </w:tc>
        <w:tc>
          <w:tcPr>
            <w:tcW w:w="2800" w:type="dxa"/>
          </w:tcPr>
          <w:p>
            <w:pPr>
              <w:rPr>
                <w:noProof/>
              </w:rPr>
            </w:pPr>
            <w:r>
              <w:rPr>
                <w:noProof/>
              </w:rPr>
              <w:t>2020. gada 25. februāris</w:t>
            </w:r>
          </w:p>
        </w:tc>
      </w:tr>
    </w:tbl>
    <w:p>
      <w:pPr>
        <w:pStyle w:val="ManualHeading1"/>
        <w:rPr>
          <w:noProof/>
        </w:rPr>
      </w:pPr>
      <w:r>
        <w:rPr>
          <w:noProof/>
        </w:rPr>
        <w:t>2.</w:t>
      </w:r>
      <w:r>
        <w:rPr>
          <w:noProof/>
        </w:rPr>
        <w:tab/>
        <w:t>Komisijas priekšlikuma mērķis</w:t>
      </w:r>
    </w:p>
    <w:p>
      <w:pPr>
        <w:rPr>
          <w:noProof/>
        </w:rPr>
      </w:pPr>
      <w:r>
        <w:rPr>
          <w:noProof/>
        </w:rPr>
        <w:t>Komisija 2018. gada 17. maijā pieņēma priekšlikumu Eiropas Parlamenta un Padomes regulai par riepu marķēšanu attiecībā uz degvielas ekonomiju un citiem būtiskiem parametriem un Regulas (EK) Nr. 1222/2009 atcelšanu.</w:t>
      </w:r>
    </w:p>
    <w:p>
      <w:pPr>
        <w:rPr>
          <w:noProof/>
        </w:rPr>
      </w:pPr>
      <w:r>
        <w:rPr>
          <w:noProof/>
        </w:rPr>
        <w:t xml:space="preserve">Riepu rites pretestība rada 20–30 % no transportlīdzekļa degvielas patēriņa. Ir svarīgi samazināt rites pretestību, lai tādējādi uzlabotu degvielas ekonomiju un mazinātu siltumnīcefekta gāzu emisijas. </w:t>
      </w:r>
    </w:p>
    <w:p>
      <w:pPr>
        <w:rPr>
          <w:noProof/>
        </w:rPr>
      </w:pPr>
      <w:r>
        <w:rPr>
          <w:noProof/>
        </w:rPr>
        <w:t>Riepu marķēšanas regulas pārskatīšanas mērķis ir pastiprināt informācijas prasības attiecībā uz riepu degvielas ekonomijas, trokšņa un drošības aspektiem un piemērot tās visām riepām, proti, gan vieglo automobiļu, gan furgonu, gan lielas noslodzes transportlīdzekļu riepām. Jauni riepu marķēšanas noteikumi ļaus galalietotājiem izdarīt labāko izvēli no degvielas ekonomijas un drošības viedokļa un tādējādi gūt finansiālu labumu.</w:t>
      </w:r>
    </w:p>
    <w:p>
      <w:pPr>
        <w:rPr>
          <w:noProof/>
        </w:rPr>
      </w:pPr>
      <w:r>
        <w:rPr>
          <w:noProof/>
        </w:rPr>
        <w:t xml:space="preserve">Priekšlikums paredz nākotnē marķējumā iekļaut arī nodiluma un nobraukuma informāciju (kad kļūs pieejama uzticama testēšanas metode), kas palīdzētu mazināt riepu izdalītās mikroplastmasas daudzumu atbilstoši Komisijas stratēģijai attiecībā uz plastmasu. Tas arī ļaus patērētājiem izvēlēties ilgmūžīgas riepas. </w:t>
      </w:r>
    </w:p>
    <w:p>
      <w:pPr>
        <w:rPr>
          <w:noProof/>
        </w:rPr>
      </w:pPr>
      <w:r>
        <w:rPr>
          <w:noProof/>
        </w:rPr>
        <w:t>Ar ierosināto regulu spēkā esošo regulu groza šādi:</w:t>
      </w:r>
    </w:p>
    <w:p>
      <w:pPr>
        <w:pStyle w:val="Bullet0"/>
        <w:numPr>
          <w:ilvl w:val="0"/>
          <w:numId w:val="5"/>
        </w:numPr>
        <w:rPr>
          <w:noProof/>
        </w:rPr>
      </w:pPr>
      <w:r>
        <w:rPr>
          <w:noProof/>
        </w:rPr>
        <w:t>uzlabo riepu marķējuma pamanāmību (marķējums jānorāda visās pārdošanas un reklāmas situācijās, piemēram, internetā, tālpārdošanā utt.) un palielina informētību;</w:t>
      </w:r>
    </w:p>
    <w:p>
      <w:pPr>
        <w:pStyle w:val="Bullet0"/>
        <w:rPr>
          <w:noProof/>
        </w:rPr>
      </w:pPr>
      <w:r>
        <w:rPr>
          <w:noProof/>
        </w:rPr>
        <w:lastRenderedPageBreak/>
        <w:t>uzlabo izpildi un tirgus uzraudzību (riepu marķējuma iekļaušana datubāzē, kas izveidota saskaņā ar Regulu 2017/1369);</w:t>
      </w:r>
    </w:p>
    <w:p>
      <w:pPr>
        <w:pStyle w:val="Bullet0"/>
        <w:rPr>
          <w:noProof/>
        </w:rPr>
      </w:pPr>
      <w:r>
        <w:rPr>
          <w:noProof/>
        </w:rPr>
        <w:t>atjaunina marķējumu, lai optimizētu galalietotājiem sniegto informāciju;</w:t>
      </w:r>
    </w:p>
    <w:p>
      <w:pPr>
        <w:pStyle w:val="Bullet0"/>
        <w:rPr>
          <w:noProof/>
        </w:rPr>
      </w:pPr>
      <w:r>
        <w:rPr>
          <w:noProof/>
        </w:rPr>
        <w:t>iekļauj marķējumā informāciju par riepas veiktspēju uz sniega un ledus;</w:t>
      </w:r>
    </w:p>
    <w:p>
      <w:pPr>
        <w:pStyle w:val="Bullet0"/>
        <w:rPr>
          <w:noProof/>
        </w:rPr>
      </w:pPr>
      <w:r>
        <w:rPr>
          <w:noProof/>
        </w:rPr>
        <w:t>riepu marķējumu vizuāli pieskaņo ES energomarķējumam;</w:t>
      </w:r>
    </w:p>
    <w:p>
      <w:pPr>
        <w:pStyle w:val="Bullet0"/>
        <w:rPr>
          <w:noProof/>
        </w:rPr>
      </w:pPr>
      <w:r>
        <w:rPr>
          <w:noProof/>
        </w:rPr>
        <w:t>paredz nākotnē marķējumā iekļaut informāciju par nodilumu (mikroplastmasa), nobraukumu un atjaunotām riepām;</w:t>
      </w:r>
    </w:p>
    <w:p>
      <w:pPr>
        <w:pStyle w:val="Bullet0"/>
        <w:rPr>
          <w:noProof/>
        </w:rPr>
      </w:pPr>
      <w:r>
        <w:rPr>
          <w:noProof/>
        </w:rPr>
        <w:t>lai uzlabotu marķējuma informācijas ticamību, nosaka ražotājiem pienākumu sniegt valstu iestādēm vērtības, kuras tie izmanto, lai deklarētu uz marķējuma norādītās klases.</w:t>
      </w:r>
    </w:p>
    <w:p>
      <w:pPr>
        <w:pStyle w:val="ManualHeading1"/>
        <w:spacing w:line="276" w:lineRule="auto"/>
        <w:rPr>
          <w:noProof/>
        </w:rPr>
      </w:pPr>
      <w:r>
        <w:rPr>
          <w:noProof/>
        </w:rPr>
        <w:t>3.</w:t>
      </w:r>
      <w:r>
        <w:rPr>
          <w:noProof/>
        </w:rPr>
        <w:tab/>
        <w:t>Komentāri par Padomes nostāju</w:t>
      </w:r>
    </w:p>
    <w:p>
      <w:pPr>
        <w:rPr>
          <w:noProof/>
        </w:rPr>
      </w:pPr>
      <w:r>
        <w:rPr>
          <w:noProof/>
        </w:rPr>
        <w:t xml:space="preserve">Padomes nostāja atspoguļo politisko vienošanos, kas neoficiālajā trialogā 2019. gada 13. novembrī panākta starp Eiropas Parlamentu un Padomi. </w:t>
      </w:r>
    </w:p>
    <w:p>
      <w:pPr>
        <w:rPr>
          <w:noProof/>
        </w:rPr>
      </w:pPr>
      <w:r>
        <w:rPr>
          <w:noProof/>
        </w:rPr>
        <w:t xml:space="preserve">Komisija atzinīgi vērtē Padomes piekrišanu izmantot deleģētos aktus, nevis īstenošanas aktus, lai regulas darbības jomā iekļautu </w:t>
      </w:r>
      <w:r>
        <w:rPr>
          <w:b/>
          <w:noProof/>
        </w:rPr>
        <w:t>atjaunotas riepas</w:t>
      </w:r>
      <w:r>
        <w:rPr>
          <w:noProof/>
        </w:rPr>
        <w:t xml:space="preserve">, tiklīdz būs pieejama piemērota testēšanas metode. </w:t>
      </w:r>
    </w:p>
    <w:p>
      <w:pPr>
        <w:rPr>
          <w:noProof/>
        </w:rPr>
      </w:pPr>
      <w:r>
        <w:rPr>
          <w:noProof/>
        </w:rPr>
        <w:t xml:space="preserve">Komisija atzinīgi vērtē arī to, ka Padome piekrita iekļaut regulā informāciju par </w:t>
      </w:r>
      <w:r>
        <w:rPr>
          <w:b/>
          <w:noProof/>
        </w:rPr>
        <w:t>nobraukumu un nodilumu</w:t>
      </w:r>
      <w:r>
        <w:rPr>
          <w:noProof/>
        </w:rPr>
        <w:t>, tiklīdz būs pieejama piemērota testēšanas metode, šajā nolūkā izmantojot deleģētos aktus, nevis parasto likumdošanas procedūru. Komisija ir apņēmusies cieši sadarboties ar nozari, regulatīvajām vai standartizācijas organizācijām un citām ieinteresētajām personām, lai izstrādātu piemērotas testēšanas un mērīšanas metodes. Komisija pauž nožēlu par to, ka Padome uzskatīja, ka pilnvarojumam jāpamatojas uz rūpīgu ietekmes novērtējumu un pienācīgu apspriešanu, kas jebkurā gadījumā ir nepieciešami pasākumi saskaņā ar Komisijas labāka regulējuma procesu.</w:t>
      </w:r>
    </w:p>
    <w:p>
      <w:pPr>
        <w:rPr>
          <w:noProof/>
        </w:rPr>
      </w:pPr>
      <w:r>
        <w:rPr>
          <w:noProof/>
        </w:rPr>
        <w:t xml:space="preserve">Attiecībā uz marķējuma veiktspējas klašu skalas atjaunināšanu Komisija pauž nožēlu, ka Padome nolēma neatjaunināt pašreizējo klašu robežvērtību skalu, jo Komisija uzskata, ka tā ir neizmantota iespēja stimulēt inovāciju un sniegt patērētājiem precīzāku informāciju. Komisija pauž nožēlu arī par to, ka Padome nav pilnvarojusi Komisiju ar deleģētajiem aktiem atjaunināt un koriģēt klašu skalu. </w:t>
      </w:r>
    </w:p>
    <w:p>
      <w:pPr>
        <w:rPr>
          <w:noProof/>
        </w:rPr>
      </w:pPr>
      <w:r>
        <w:rPr>
          <w:noProof/>
        </w:rPr>
        <w:t>Lai gan Komisija atzinīgi vērtē to, ka Padome ir piekritusi “tīrīt” klases attiecībā uz saķeri ar slapju virsmu un rites pretestību, t. i., svītrot klases, kas palikušas tukšas, piemērojot Vispārīgās drošības regulu (ES) 2019/2144, tā uzskata, ka būtu bijis loģiskāk tādā pašā veidā “tīrīt” arī trokšņa klases.</w:t>
      </w:r>
    </w:p>
    <w:p>
      <w:pPr>
        <w:rPr>
          <w:noProof/>
        </w:rPr>
      </w:pPr>
      <w:r>
        <w:rPr>
          <w:noProof/>
        </w:rPr>
        <w:t>Komisija atzinīgi vērtē priekšlikumu līdz 2025. gada 1. jūnijam izvērtēt regulu un uzskata par pieņemamu Padomes pieeju, ka regula būtu jāsāk piemērot no 2021. gada 1. maija.</w:t>
      </w:r>
    </w:p>
    <w:p>
      <w:pPr>
        <w:rPr>
          <w:noProof/>
        </w:rPr>
      </w:pPr>
      <w:r>
        <w:rPr>
          <w:noProof/>
        </w:rPr>
        <w:t xml:space="preserve">Komisija piekrīt Padomes nostājai, ka vizuālajā reklāmā jābūt redzamam pilnam marķējumam un ka marķējumu būtu iespējams parādīt, izmantojot ligzdoto vizualizāciju tiešsaistes reklāmās un pārdošanā, bet vienlaikus pauž nožēlu, ka Padome nevēlējās precizēt, kā ekonomikas dalībniekiem tas būtu jādara. </w:t>
      </w:r>
    </w:p>
    <w:p>
      <w:pPr>
        <w:rPr>
          <w:noProof/>
        </w:rPr>
      </w:pPr>
      <w:r>
        <w:rPr>
          <w:noProof/>
        </w:rPr>
        <w:t>Attiecībā uz tirgus uzraudzības iestāžu tiesībām atgūt izmaksas no piegādātāja Komisija atzinīgi vērtē priekšlikumu saskaņot tekstu ar Regulas 2019/1020 par tirgus uzraudzību un produktu atbilstību tekstu, kas nodrošinās tiesību aktu saskaņotību.</w:t>
      </w:r>
    </w:p>
    <w:p>
      <w:pPr>
        <w:rPr>
          <w:noProof/>
        </w:rPr>
      </w:pPr>
      <w:r>
        <w:rPr>
          <w:noProof/>
        </w:rPr>
        <w:lastRenderedPageBreak/>
        <w:t>Visbeidzot, Komisija atzinīgi vērtē priekšlikumu riepu marķējuma dizainu pieskaņot nesen publicētajam energomarķējumam</w:t>
      </w:r>
      <w:r>
        <w:rPr>
          <w:rStyle w:val="FootnoteReference"/>
          <w:noProof/>
        </w:rPr>
        <w:footnoteReference w:id="1"/>
      </w:r>
      <w:r>
        <w:rPr>
          <w:noProof/>
        </w:rPr>
        <w:t>, ko patērētāji plaši atpazīst. Atzinīgi ir vērtējama arī Padomes nostāja papildināt marķējumu ar piktogrammām, lai norādītu, vai riepa ir “smagu sniega apstākļu” riepa, “ledus” riepa vai abu šādu veidu riepa, kā to savā priekšlikumā ieteica Komisija.</w:t>
      </w:r>
    </w:p>
    <w:p>
      <w:pPr>
        <w:pStyle w:val="ManualHeading1"/>
        <w:spacing w:line="276" w:lineRule="auto"/>
        <w:rPr>
          <w:noProof/>
        </w:rPr>
      </w:pPr>
      <w:r>
        <w:rPr>
          <w:noProof/>
        </w:rPr>
        <w:t>4.</w:t>
      </w:r>
      <w:r>
        <w:rPr>
          <w:noProof/>
        </w:rPr>
        <w:tab/>
        <w:t>Secinājums</w:t>
      </w:r>
    </w:p>
    <w:p>
      <w:pPr>
        <w:keepNext/>
        <w:rPr>
          <w:noProof/>
        </w:rPr>
      </w:pPr>
      <w:r>
        <w:rPr>
          <w:noProof/>
        </w:rPr>
        <w:t xml:space="preserve">Komisija atbalsta iestāžu sarunu rezultātus, lai gan pauž nožēlu par dažiem aspektiem saistībā ar Padomes politisko vienošanos pirmajā lasījumā (t. i., nosacījumiem, kas saistīti ar pilnvarojumu iekļaut nodilumu un nobraukumu, un pilnvarojuma trūkumu attiecībā uz marķējuma klašu skalas atjaunināšanu). </w:t>
      </w:r>
    </w:p>
    <w:p>
      <w:pPr>
        <w:rPr>
          <w:noProof/>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315, 5.12.2019.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FA96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A86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40BF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780E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ACAA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188C3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0C6BC8"/>
    <w:lvl w:ilvl="0">
      <w:start w:val="1"/>
      <w:numFmt w:val="decimal"/>
      <w:pStyle w:val="ListNumber"/>
      <w:lvlText w:val="%1."/>
      <w:lvlJc w:val="left"/>
      <w:pPr>
        <w:tabs>
          <w:tab w:val="num" w:pos="360"/>
        </w:tabs>
        <w:ind w:left="360" w:hanging="360"/>
      </w:pPr>
    </w:lvl>
  </w:abstractNum>
  <w:abstractNum w:abstractNumId="7">
    <w:nsid w:val="FFFFFF89"/>
    <w:multiLevelType w:val="singleLevel"/>
    <w:tmpl w:val="A9D4D6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4 09:01: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E2170E1-E623-449C-AFDC-A615F26EC2B0"/>
    <w:docVar w:name="LW_COVERPAGE_TYPE" w:val="1"/>
    <w:docVar w:name="LW_CROSSREFERENCE" w:val="&lt;UNUSED&gt;"/>
    <w:docVar w:name="LW_DocType" w:val="COM"/>
    <w:docVar w:name="LW_EMISSION" w:val="4.3.2020"/>
    <w:docVar w:name="LW_EMISSION_ISODATE" w:val="2020-03-04"/>
    <w:docVar w:name="LW_EMISSION_LOCATION" w:val="BRX"/>
    <w:docVar w:name="LW_EMISSION_PREFIX" w:val="Brisel\u275?, "/>
    <w:docVar w:name="LW_EMISSION_SUFFIX" w:val="."/>
    <w:docVar w:name="LW_ID_DOCMODEL" w:val="SJ-028"/>
    <w:docVar w:name="LW_ID_DOCSTRUCTURE" w:val="COM/PL/CODEC"/>
    <w:docVar w:name="LW_ID_DOCTYPE" w:val="SJ-028"/>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148"/>
    <w:docVar w:name="LW_REF.II.NEW.CP_YEAR" w:val="2018"/>
    <w:docVar w:name="LW_REF.INST.NEW" w:val="COM"/>
    <w:docVar w:name="LW_REF.INST.NEW_ADOPTED" w:val="final"/>
    <w:docVar w:name="LW_REF.INST.NEW_TEXT" w:val="(2020) 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domes nost\u257?ju attiec\u299?b\u257? uz Eiropas Parlamenta un Padomes regulas pie\u326?em\u353?anu par riepu mar\u311?\u275?\u353?anu attiec\u299?b\u257? uz degvielas ekonomiju un citiem b\u363?tiskiem parametriem un Regulas (EK) Nr. 1222/2009 atcel\u353?anu"/>
    <w:docVar w:name="LW_TYPE.DOC.CP" w:val="KOMISIJAS PAZI\u325?OJUMS EIROPAS PARLAMENTAM,_x000b__x000b_ko izstr\u257?d\u257? atbilst\u299?gi L\u299?guma par Eiropas Savien\u299?bas darb\u299?bu 294. panta 6. punktam,_x000b__x000b_par"/>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8792-5FD3-49A1-BC16-CEB1FCCE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767</Words>
  <Characters>5195</Characters>
  <Application>Microsoft Office Word</Application>
  <DocSecurity>0</DocSecurity>
  <Lines>98</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2020-02-24T09:15:00Z</cp:lastPrinted>
  <dcterms:created xsi:type="dcterms:W3CDTF">2020-02-28T13:56:00Z</dcterms:created>
  <dcterms:modified xsi:type="dcterms:W3CDTF">2020-03-04T08:01:00Z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