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7F785BB8-4F75-41D5-93F3-5E2746386B4B" style="width:450.35pt;height:465.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PRÍLOHA I</w:t>
      </w:r>
    </w:p>
    <w:p>
      <w:pPr>
        <w:rPr>
          <w:noProof/>
        </w:rPr>
      </w:pPr>
      <w:r>
        <w:rPr>
          <w:noProof/>
        </w:rPr>
        <w:t>Príloha k nariadeniu (EÚ) 2019/1838 sa mení takto:</w:t>
      </w:r>
    </w:p>
    <w:p>
      <w:pPr>
        <w:pStyle w:val="Point0"/>
        <w:rPr>
          <w:noProof/>
        </w:rPr>
      </w:pPr>
      <w:r>
        <w:rPr>
          <w:noProof/>
        </w:rPr>
        <w:t>1.</w:t>
      </w:r>
      <w:r>
        <w:rPr>
          <w:noProof/>
        </w:rPr>
        <w:tab/>
        <w:t>Poznámka pod čiarou č. 2 k tabuľke rybolovných možností pre tresku škvrnitú v poddivíziách ICES 25-32 sa nahrádza takto:</w:t>
      </w:r>
    </w:p>
    <w:p>
      <w:pPr>
        <w:pStyle w:val="Text1"/>
        <w:ind w:left="0"/>
        <w:rPr>
          <w:noProof/>
        </w:rPr>
      </w:pPr>
      <w:r>
        <w:rPr>
          <w:noProof/>
        </w:rPr>
        <w:t>„V poddivíziách 25 a 26 platí zákaz loviť v rámci tejto kvóty od 1. mája do 31. augusta.</w:t>
      </w:r>
    </w:p>
    <w:p>
      <w:pPr>
        <w:pStyle w:val="Text1"/>
        <w:ind w:left="0"/>
        <w:rPr>
          <w:noProof/>
        </w:rPr>
      </w:pPr>
      <w:r>
        <w:rPr>
          <w:noProof/>
        </w:rPr>
        <w:t>Odchylne od prvého odseku sa rybolovné operácie vykonávané výhradne na účely vedeckého výskumu môžu vykonávať pod podmienkou, že sa uvedený vedecký výskum vykonáva v plnom súlade s podmienkami stanovenými v článku 25 nariadenia (EÚ) 2019/1241.</w:t>
      </w:r>
    </w:p>
    <w:p>
      <w:pPr>
        <w:pStyle w:val="Text1"/>
        <w:ind w:left="0"/>
        <w:rPr>
          <w:noProof/>
        </w:rPr>
      </w:pPr>
      <w:r>
        <w:rPr>
          <w:noProof/>
        </w:rPr>
        <w:t>Odchylne od prvého odseku sa obdobie zákazu rybolovu nevzťahuje na rybárske plavidlá Únie s celkovou dĺžkou menšou ako 12 metrov, ktoré lovia žiabrovkami, zakliesňovacími sieťami alebo viacstennými žiabrovkami, lovnými šnúrami na lov pri dne, lovnými šnúrami (okrem unášaných lovných šnúr), ručnými šnúrami a výstrojom na džigovanie alebo iným pasívnym výstrojom v oblastiach, kde hĺbka vody dosahuje menej než 20 metrov podľa súradníc na oficiálnej námornej mape, ktorú vydali príslušné vnútroštátne orgány. Kapitáni uvedených rybárskych plavidiel zabezpečia, aby kontrolné orgány členského štátu mohli ich rybolovnú činnosť kedykoľvek monitorovať.“</w:t>
      </w:r>
    </w:p>
    <w:p>
      <w:pPr>
        <w:pStyle w:val="Point0"/>
        <w:rPr>
          <w:noProof/>
        </w:rPr>
      </w:pPr>
      <w:r>
        <w:rPr>
          <w:noProof/>
        </w:rPr>
        <w:t>2.</w:t>
      </w:r>
      <w:r>
        <w:rPr>
          <w:noProof/>
        </w:rPr>
        <w:tab/>
        <w:t>Poznámka pod čiarou č. 4 k tabuľke rybolovných možností pre tresku škvrnitú v poddivíziách ICES 22-24 sa nahrádza takto:</w:t>
      </w:r>
    </w:p>
    <w:p>
      <w:pPr>
        <w:pStyle w:val="Text1"/>
        <w:ind w:left="0"/>
        <w:rPr>
          <w:noProof/>
        </w:rPr>
      </w:pPr>
      <w:r>
        <w:rPr>
          <w:noProof/>
        </w:rPr>
        <w:t xml:space="preserve">„Platí zákaz loviť v rámci tejto kvóty v poddivíziách 22 a 23 od 1. februára do 31. marca a v poddivízii 24 od 1. júna do 31. júla. </w:t>
      </w:r>
    </w:p>
    <w:p>
      <w:pPr>
        <w:pStyle w:val="Text1"/>
        <w:ind w:left="0"/>
        <w:rPr>
          <w:noProof/>
        </w:rPr>
      </w:pPr>
      <w:r>
        <w:rPr>
          <w:noProof/>
        </w:rPr>
        <w:t>Odchylne od prvého odseku sa rybolovné operácie vykonávané výhradne na účely vedeckého výskumu môžu vykonávať pod podmienkou, že sa uvedený vedecký výskum vykonáva v plnom súlade s podmienkami stanovenými v článku 25 nariadenia (EÚ) 2019/1241.</w:t>
      </w:r>
    </w:p>
    <w:p>
      <w:pPr>
        <w:pStyle w:val="Text1"/>
        <w:ind w:left="0"/>
        <w:rPr>
          <w:noProof/>
        </w:rPr>
      </w:pPr>
      <w:r>
        <w:rPr>
          <w:noProof/>
        </w:rPr>
        <w:t>Odchylne od prvého odseku sa obdobie zákazu rybolovu nevzťahuje na rybárske plavidlá Únie s celkovou dĺžkou menšou ako 12 metrov, ktoré lovia žiabrovkami, zakliesňovacími sieťami alebo viacstennými žiabrovkami, lovnými šnúrami na lov pri dne, lovnými šnúrami (okrem unášaných lovných šnúr), ručnými šnúrami a výstrojom na džigovanie alebo iným pasívnym výstrojom v oblastiach, kde hĺbka vody dosahuje menej než 20 metrov podľa súradníc na oficiálnej námornej mape, ktorú vydali príslušné vnútroštátne orgány. Kapitáni uvedených plavidiel zabezpečia, aby kontrolné orgány členského štátu mohli ich rybolovnú činnosť kedykoľvek monitorovať.“</w:t>
      </w:r>
    </w:p>
    <w:p>
      <w:pPr>
        <w:spacing w:before="0" w:after="200" w:line="276" w:lineRule="auto"/>
        <w:jc w:val="left"/>
        <w:rPr>
          <w:noProof/>
        </w:rPr>
      </w:pPr>
      <w:r>
        <w:rPr>
          <w:noProof/>
        </w:rPr>
        <w:br w:type="page"/>
      </w:r>
    </w:p>
    <w:p>
      <w:pPr>
        <w:pStyle w:val="Annexetitre"/>
        <w:rPr>
          <w:noProof/>
        </w:rPr>
      </w:pPr>
      <w:r>
        <w:rPr>
          <w:noProof/>
        </w:rPr>
        <w:lastRenderedPageBreak/>
        <w:t>PRÍLOHA II</w:t>
      </w:r>
    </w:p>
    <w:p>
      <w:pPr>
        <w:rPr>
          <w:noProof/>
        </w:rPr>
      </w:pPr>
      <w:r>
        <w:rPr>
          <w:noProof/>
        </w:rPr>
        <w:t xml:space="preserve">Prílohy I, IA, ID a IK k nariadeniu (EÚ) 2020/123 sa menia takto: </w:t>
      </w:r>
    </w:p>
    <w:p>
      <w:pPr>
        <w:pStyle w:val="Point0"/>
        <w:rPr>
          <w:noProof/>
        </w:rPr>
      </w:pPr>
      <w:r>
        <w:rPr>
          <w:noProof/>
        </w:rPr>
        <w:t>1.</w:t>
      </w:r>
      <w:r>
        <w:rPr>
          <w:noProof/>
        </w:rPr>
        <w:tab/>
        <w:t>V prílohe I sa menia porovnávacie tabuľky, ktoré obsahujú vedecké názvy a všeobecné názvy, s cieľom pridať tuniaka pruhovaného (</w:t>
      </w:r>
      <w:r>
        <w:rPr>
          <w:i/>
          <w:noProof/>
        </w:rPr>
        <w:t>Katsuwonus pelamis</w:t>
      </w:r>
      <w:r>
        <w:rPr>
          <w:noProof/>
        </w:rPr>
        <w:t xml:space="preserve">) po odkaze na gordana západoatlantického </w:t>
      </w:r>
      <w:r>
        <w:rPr>
          <w:i/>
          <w:noProof/>
        </w:rPr>
        <w:t>(Illex illecebrosus)</w:t>
      </w:r>
      <w:r>
        <w:rPr>
          <w:noProof/>
        </w:rPr>
        <w:t xml:space="preserve"> takto: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1611"/>
        <w:gridCol w:w="3565"/>
      </w:tblGrid>
      <w:tr>
        <w:trPr>
          <w:cantSplit/>
        </w:trPr>
        <w:tc>
          <w:tcPr>
            <w:tcW w:w="4113" w:type="dxa"/>
          </w:tcPr>
          <w:p>
            <w:pPr>
              <w:spacing w:before="60" w:after="60"/>
              <w:rPr>
                <w:i/>
                <w:iCs/>
                <w:noProof/>
              </w:rPr>
            </w:pPr>
            <w:r>
              <w:rPr>
                <w:i/>
                <w:iCs/>
                <w:noProof/>
              </w:rPr>
              <w:t>Katsuwonus pelamis</w:t>
            </w:r>
          </w:p>
        </w:tc>
        <w:tc>
          <w:tcPr>
            <w:tcW w:w="1611" w:type="dxa"/>
          </w:tcPr>
          <w:p>
            <w:pPr>
              <w:spacing w:before="60" w:after="60"/>
              <w:rPr>
                <w:noProof/>
              </w:rPr>
            </w:pPr>
            <w:r>
              <w:rPr>
                <w:noProof/>
              </w:rPr>
              <w:t>SKJ</w:t>
            </w:r>
          </w:p>
        </w:tc>
        <w:tc>
          <w:tcPr>
            <w:tcW w:w="3565" w:type="dxa"/>
          </w:tcPr>
          <w:p>
            <w:pPr>
              <w:spacing w:before="60" w:after="60"/>
              <w:rPr>
                <w:noProof/>
              </w:rPr>
            </w:pPr>
            <w:r>
              <w:rPr>
                <w:noProof/>
              </w:rPr>
              <w:t>tuniak pruhovaný</w:t>
            </w:r>
          </w:p>
        </w:tc>
      </w:tr>
    </w:tbl>
    <w:p>
      <w:pPr>
        <w:pStyle w:val="Point0"/>
        <w:rPr>
          <w:noProof/>
        </w:rPr>
      </w:pPr>
      <w:r>
        <w:rPr>
          <w:noProof/>
        </w:rPr>
        <w:t>2.</w:t>
      </w:r>
      <w:r>
        <w:rPr>
          <w:noProof/>
        </w:rPr>
        <w:tab/>
        <w:t>V prílohe I sa menia porovnávacie tabuľky, ktoré obsahujú vedecké názvy a všeobecné názvy, s cieľom pridať tuniaka pruhovaného (</w:t>
      </w:r>
      <w:r>
        <w:rPr>
          <w:i/>
          <w:noProof/>
        </w:rPr>
        <w:t>Katsuwonus pelamis</w:t>
      </w:r>
      <w:r>
        <w:rPr>
          <w:noProof/>
        </w:rPr>
        <w:t>) po odkaze na rajovité (</w:t>
      </w:r>
      <w:r>
        <w:rPr>
          <w:i/>
          <w:noProof/>
        </w:rPr>
        <w:t>Rajiforms</w:t>
      </w:r>
      <w:r>
        <w:rPr>
          <w:noProof/>
        </w:rPr>
        <w:t>) takto: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1639"/>
        <w:gridCol w:w="3579"/>
      </w:tblGrid>
      <w:tr>
        <w:tc>
          <w:tcPr>
            <w:tcW w:w="4071" w:type="dxa"/>
          </w:tcPr>
          <w:p>
            <w:pPr>
              <w:spacing w:before="60" w:after="60"/>
              <w:rPr>
                <w:noProof/>
              </w:rPr>
            </w:pPr>
            <w:r>
              <w:rPr>
                <w:noProof/>
              </w:rPr>
              <w:t>tuniak pruhovaný</w:t>
            </w:r>
          </w:p>
        </w:tc>
        <w:tc>
          <w:tcPr>
            <w:tcW w:w="1639" w:type="dxa"/>
          </w:tcPr>
          <w:p>
            <w:pPr>
              <w:spacing w:before="60" w:after="60"/>
              <w:rPr>
                <w:noProof/>
              </w:rPr>
            </w:pPr>
            <w:r>
              <w:rPr>
                <w:noProof/>
              </w:rPr>
              <w:t>SKJ</w:t>
            </w:r>
          </w:p>
        </w:tc>
        <w:tc>
          <w:tcPr>
            <w:tcW w:w="3579" w:type="dxa"/>
          </w:tcPr>
          <w:p>
            <w:pPr>
              <w:spacing w:before="60" w:after="60"/>
              <w:rPr>
                <w:i/>
                <w:iCs/>
                <w:noProof/>
              </w:rPr>
            </w:pPr>
            <w:r>
              <w:rPr>
                <w:i/>
                <w:iCs/>
                <w:noProof/>
              </w:rPr>
              <w:t>Katsuwonus pelamis</w:t>
            </w:r>
          </w:p>
        </w:tc>
      </w:tr>
    </w:tbl>
    <w:p>
      <w:pPr>
        <w:pStyle w:val="Point0"/>
        <w:rPr>
          <w:noProof/>
        </w:rPr>
      </w:pPr>
      <w:r>
        <w:rPr>
          <w:noProof/>
        </w:rPr>
        <w:t>3.</w:t>
      </w:r>
      <w:r>
        <w:rPr>
          <w:noProof/>
        </w:rPr>
        <w:tab/>
        <w:t>V prílohe IA sa tabuľka rybolovných možností pre piesočnice vo vodách Únie divízií ICES 2a a 3a a podoblasti ICES 4 nahrádza takto:</w:t>
      </w:r>
    </w:p>
    <w:tbl>
      <w:tblPr>
        <w:tblW w:w="9181" w:type="dxa"/>
        <w:tblInd w:w="108" w:type="dxa"/>
        <w:tblLook w:val="04A0" w:firstRow="1" w:lastRow="0" w:firstColumn="1" w:lastColumn="0" w:noHBand="0" w:noVBand="1"/>
      </w:tblPr>
      <w:tblGrid>
        <w:gridCol w:w="993"/>
        <w:gridCol w:w="1190"/>
        <w:gridCol w:w="1144"/>
        <w:gridCol w:w="1144"/>
        <w:gridCol w:w="1187"/>
        <w:gridCol w:w="1175"/>
        <w:gridCol w:w="1174"/>
        <w:gridCol w:w="1174"/>
      </w:tblGrid>
      <w:tr>
        <w:trPr>
          <w:trHeight w:val="255"/>
        </w:trPr>
        <w:tc>
          <w:tcPr>
            <w:tcW w:w="993"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sz w:val="18"/>
                <w:szCs w:val="18"/>
              </w:rPr>
              <w:t>Druh:</w:t>
            </w:r>
          </w:p>
        </w:tc>
        <w:tc>
          <w:tcPr>
            <w:tcW w:w="3478" w:type="dxa"/>
            <w:gridSpan w:val="3"/>
            <w:tcBorders>
              <w:top w:val="single" w:sz="8" w:space="0" w:color="000000"/>
              <w:left w:val="nil"/>
              <w:bottom w:val="nil"/>
              <w:right w:val="nil"/>
            </w:tcBorders>
            <w:noWrap/>
            <w:hideMark/>
          </w:tcPr>
          <w:p>
            <w:pPr>
              <w:spacing w:after="0"/>
              <w:rPr>
                <w:rFonts w:eastAsia="Times New Roman"/>
                <w:noProof/>
                <w:sz w:val="18"/>
                <w:szCs w:val="18"/>
              </w:rPr>
            </w:pPr>
            <w:r>
              <w:rPr>
                <w:noProof/>
                <w:sz w:val="18"/>
                <w:szCs w:val="18"/>
              </w:rPr>
              <w:t>piesočnice a súvisiace vedľajšie úlovky</w:t>
            </w:r>
          </w:p>
        </w:tc>
        <w:tc>
          <w:tcPr>
            <w:tcW w:w="1187" w:type="dxa"/>
            <w:tcBorders>
              <w:top w:val="single" w:sz="8" w:space="0" w:color="000000"/>
              <w:left w:val="single" w:sz="8" w:space="0" w:color="000000"/>
              <w:bottom w:val="nil"/>
              <w:right w:val="nil"/>
            </w:tcBorders>
            <w:noWrap/>
            <w:hideMark/>
          </w:tcPr>
          <w:p>
            <w:pPr>
              <w:spacing w:after="0"/>
              <w:rPr>
                <w:rFonts w:eastAsia="Times New Roman"/>
                <w:noProof/>
                <w:color w:val="000000"/>
                <w:sz w:val="18"/>
                <w:szCs w:val="18"/>
              </w:rPr>
            </w:pPr>
            <w:r>
              <w:rPr>
                <w:noProof/>
                <w:sz w:val="18"/>
                <w:szCs w:val="18"/>
              </w:rPr>
              <w:t>Zóna:</w:t>
            </w:r>
          </w:p>
        </w:tc>
        <w:tc>
          <w:tcPr>
            <w:tcW w:w="3523" w:type="dxa"/>
            <w:gridSpan w:val="3"/>
            <w:tcBorders>
              <w:top w:val="single" w:sz="8" w:space="0" w:color="000000"/>
              <w:left w:val="nil"/>
              <w:bottom w:val="nil"/>
              <w:right w:val="nil"/>
            </w:tcBorders>
            <w:noWrap/>
            <w:hideMark/>
          </w:tcPr>
          <w:p>
            <w:pPr>
              <w:spacing w:after="0"/>
              <w:rPr>
                <w:rFonts w:eastAsia="Times New Roman"/>
                <w:noProof/>
                <w:color w:val="000000"/>
                <w:sz w:val="18"/>
                <w:szCs w:val="18"/>
              </w:rPr>
            </w:pPr>
            <w:r>
              <w:rPr>
                <w:noProof/>
                <w:sz w:val="18"/>
                <w:szCs w:val="18"/>
              </w:rPr>
              <w:t xml:space="preserve">vody Únie oblastí 2a, 3a a 4 </w:t>
            </w:r>
            <w:r>
              <w:rPr>
                <w:noProof/>
                <w:sz w:val="18"/>
                <w:szCs w:val="18"/>
                <w:vertAlign w:val="superscript"/>
              </w:rPr>
              <w:t>(1)</w:t>
            </w:r>
          </w:p>
        </w:tc>
      </w:tr>
      <w:tr>
        <w:trPr>
          <w:trHeight w:val="270"/>
        </w:trPr>
        <w:tc>
          <w:tcPr>
            <w:tcW w:w="993"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sz w:val="18"/>
                <w:szCs w:val="18"/>
              </w:rPr>
              <w:t> </w:t>
            </w:r>
          </w:p>
        </w:tc>
        <w:tc>
          <w:tcPr>
            <w:tcW w:w="2334" w:type="dxa"/>
            <w:gridSpan w:val="2"/>
            <w:tcBorders>
              <w:top w:val="nil"/>
              <w:left w:val="nil"/>
              <w:bottom w:val="single" w:sz="8" w:space="0" w:color="000000"/>
              <w:right w:val="nil"/>
            </w:tcBorders>
            <w:noWrap/>
            <w:hideMark/>
          </w:tcPr>
          <w:p>
            <w:pPr>
              <w:spacing w:after="0"/>
              <w:rPr>
                <w:rFonts w:eastAsia="Times New Roman"/>
                <w:i/>
                <w:iCs/>
                <w:noProof/>
                <w:sz w:val="18"/>
                <w:szCs w:val="18"/>
              </w:rPr>
            </w:pPr>
            <w:r>
              <w:rPr>
                <w:i/>
                <w:iCs/>
                <w:noProof/>
                <w:sz w:val="18"/>
                <w:szCs w:val="18"/>
              </w:rPr>
              <w:t xml:space="preserve">Ammodytes </w:t>
            </w:r>
            <w:r>
              <w:rPr>
                <w:iCs/>
                <w:noProof/>
                <w:sz w:val="18"/>
                <w:szCs w:val="18"/>
              </w:rPr>
              <w:t>spp</w:t>
            </w:r>
            <w:r>
              <w:rPr>
                <w:i/>
                <w:iCs/>
                <w:noProof/>
                <w:sz w:val="18"/>
                <w:szCs w:val="18"/>
              </w:rPr>
              <w:t>.</w:t>
            </w:r>
          </w:p>
        </w:tc>
        <w:tc>
          <w:tcPr>
            <w:tcW w:w="1144" w:type="dxa"/>
            <w:noWrap/>
            <w:hideMark/>
          </w:tcPr>
          <w:p>
            <w:pPr>
              <w:spacing w:after="0" w:line="276" w:lineRule="auto"/>
              <w:rPr>
                <w:noProof/>
                <w:sz w:val="22"/>
              </w:rPr>
            </w:pPr>
          </w:p>
        </w:tc>
        <w:tc>
          <w:tcPr>
            <w:tcW w:w="1187" w:type="dxa"/>
            <w:tcBorders>
              <w:top w:val="nil"/>
              <w:left w:val="single" w:sz="8" w:space="0" w:color="000000"/>
              <w:bottom w:val="single" w:sz="8" w:space="0" w:color="000000"/>
              <w:right w:val="nil"/>
            </w:tcBorders>
            <w:noWrap/>
            <w:hideMark/>
          </w:tcPr>
          <w:p>
            <w:pPr>
              <w:spacing w:after="0"/>
              <w:rPr>
                <w:rFonts w:eastAsia="Times New Roman"/>
                <w:noProof/>
                <w:color w:val="000000"/>
                <w:sz w:val="18"/>
                <w:szCs w:val="18"/>
              </w:rPr>
            </w:pPr>
            <w:r>
              <w:rPr>
                <w:noProof/>
                <w:sz w:val="18"/>
                <w:szCs w:val="18"/>
              </w:rPr>
              <w:t> </w:t>
            </w:r>
          </w:p>
        </w:tc>
        <w:tc>
          <w:tcPr>
            <w:tcW w:w="1175"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sz w:val="18"/>
                <w:szCs w:val="18"/>
              </w:rPr>
              <w:t> </w:t>
            </w:r>
          </w:p>
        </w:tc>
        <w:tc>
          <w:tcPr>
            <w:tcW w:w="1174"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sz w:val="18"/>
                <w:szCs w:val="18"/>
              </w:rPr>
              <w:t> </w:t>
            </w:r>
          </w:p>
        </w:tc>
        <w:tc>
          <w:tcPr>
            <w:tcW w:w="1174"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sz w:val="18"/>
                <w:szCs w:val="18"/>
              </w:rPr>
              <w:t> </w:t>
            </w:r>
          </w:p>
        </w:tc>
      </w:tr>
      <w:tr>
        <w:trPr>
          <w:trHeight w:val="270"/>
        </w:trPr>
        <w:tc>
          <w:tcPr>
            <w:tcW w:w="993" w:type="dxa"/>
            <w:noWrap/>
            <w:hideMark/>
          </w:tcPr>
          <w:p>
            <w:pPr>
              <w:spacing w:after="0"/>
              <w:rPr>
                <w:rFonts w:eastAsia="Times New Roman"/>
                <w:noProof/>
                <w:color w:val="000000"/>
                <w:sz w:val="18"/>
                <w:szCs w:val="18"/>
              </w:rPr>
            </w:pPr>
            <w:r>
              <w:rPr>
                <w:noProof/>
                <w:sz w:val="18"/>
                <w:szCs w:val="18"/>
              </w:rPr>
              <w:t>Dánsko</w:t>
            </w:r>
          </w:p>
        </w:tc>
        <w:tc>
          <w:tcPr>
            <w:tcW w:w="1190" w:type="dxa"/>
            <w:noWrap/>
            <w:hideMark/>
          </w:tcPr>
          <w:p>
            <w:pPr>
              <w:spacing w:after="0"/>
              <w:rPr>
                <w:rFonts w:eastAsia="Times New Roman"/>
                <w:noProof/>
                <w:sz w:val="18"/>
                <w:szCs w:val="18"/>
              </w:rPr>
            </w:pPr>
            <w:r>
              <w:rPr>
                <w:noProof/>
                <w:sz w:val="18"/>
                <w:szCs w:val="18"/>
              </w:rPr>
              <w:t> </w:t>
            </w:r>
          </w:p>
        </w:tc>
        <w:tc>
          <w:tcPr>
            <w:tcW w:w="1144" w:type="dxa"/>
            <w:noWrap/>
            <w:hideMark/>
          </w:tcPr>
          <w:p>
            <w:pPr>
              <w:spacing w:after="0"/>
              <w:jc w:val="right"/>
              <w:rPr>
                <w:rFonts w:eastAsia="Times New Roman"/>
                <w:noProof/>
                <w:color w:val="000000"/>
                <w:sz w:val="18"/>
                <w:szCs w:val="18"/>
              </w:rPr>
            </w:pPr>
            <w:r>
              <w:rPr>
                <w:noProof/>
                <w:sz w:val="18"/>
                <w:szCs w:val="18"/>
              </w:rPr>
              <w:t>pm</w:t>
            </w:r>
          </w:p>
        </w:tc>
        <w:tc>
          <w:tcPr>
            <w:tcW w:w="1144"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sz w:val="18"/>
                <w:szCs w:val="18"/>
                <w:vertAlign w:val="superscript"/>
              </w:rPr>
              <w:t>(2)</w:t>
            </w:r>
          </w:p>
        </w:tc>
        <w:tc>
          <w:tcPr>
            <w:tcW w:w="2362" w:type="dxa"/>
            <w:gridSpan w:val="2"/>
            <w:tcBorders>
              <w:top w:val="single" w:sz="8" w:space="0" w:color="000000"/>
              <w:left w:val="nil"/>
              <w:bottom w:val="nil"/>
              <w:right w:val="nil"/>
            </w:tcBorders>
            <w:noWrap/>
            <w:hideMark/>
          </w:tcPr>
          <w:p>
            <w:pPr>
              <w:spacing w:after="0"/>
              <w:rPr>
                <w:rFonts w:eastAsia="Times New Roman"/>
                <w:noProof/>
                <w:color w:val="000000"/>
                <w:sz w:val="18"/>
                <w:szCs w:val="18"/>
              </w:rPr>
            </w:pPr>
            <w:r>
              <w:rPr>
                <w:noProof/>
                <w:sz w:val="18"/>
                <w:szCs w:val="18"/>
              </w:rPr>
              <w:t>Analytický TAC</w:t>
            </w:r>
          </w:p>
        </w:tc>
        <w:tc>
          <w:tcPr>
            <w:tcW w:w="1174" w:type="dxa"/>
            <w:noWrap/>
            <w:hideMark/>
          </w:tcPr>
          <w:p>
            <w:pPr>
              <w:spacing w:after="0"/>
              <w:rPr>
                <w:rFonts w:eastAsia="Times New Roman"/>
                <w:noProof/>
                <w:color w:val="000000"/>
                <w:sz w:val="18"/>
                <w:szCs w:val="18"/>
              </w:rPr>
            </w:pPr>
            <w:r>
              <w:rPr>
                <w:noProof/>
                <w:sz w:val="18"/>
                <w:szCs w:val="18"/>
              </w:rPr>
              <w:t> </w:t>
            </w:r>
          </w:p>
        </w:tc>
        <w:tc>
          <w:tcPr>
            <w:tcW w:w="1174" w:type="dxa"/>
            <w:noWrap/>
            <w:hideMark/>
          </w:tcPr>
          <w:p>
            <w:pPr>
              <w:spacing w:after="0"/>
              <w:rPr>
                <w:rFonts w:eastAsia="Times New Roman"/>
                <w:noProof/>
                <w:color w:val="000000"/>
                <w:sz w:val="18"/>
                <w:szCs w:val="18"/>
              </w:rPr>
            </w:pPr>
            <w:r>
              <w:rPr>
                <w:noProof/>
                <w:sz w:val="18"/>
                <w:szCs w:val="18"/>
              </w:rPr>
              <w:t> </w:t>
            </w:r>
          </w:p>
        </w:tc>
      </w:tr>
      <w:tr>
        <w:trPr>
          <w:trHeight w:val="270"/>
        </w:trPr>
        <w:tc>
          <w:tcPr>
            <w:tcW w:w="2183" w:type="dxa"/>
            <w:gridSpan w:val="2"/>
            <w:noWrap/>
            <w:hideMark/>
          </w:tcPr>
          <w:p>
            <w:pPr>
              <w:spacing w:after="0"/>
              <w:rPr>
                <w:rFonts w:eastAsia="Times New Roman"/>
                <w:noProof/>
                <w:color w:val="000000"/>
                <w:sz w:val="18"/>
                <w:szCs w:val="18"/>
              </w:rPr>
            </w:pPr>
            <w:r>
              <w:rPr>
                <w:noProof/>
                <w:sz w:val="18"/>
                <w:szCs w:val="18"/>
              </w:rPr>
              <w:t>Spojené kráľovstvo</w:t>
            </w:r>
          </w:p>
        </w:tc>
        <w:tc>
          <w:tcPr>
            <w:tcW w:w="1144" w:type="dxa"/>
            <w:noWrap/>
            <w:hideMark/>
          </w:tcPr>
          <w:p>
            <w:pPr>
              <w:spacing w:after="0"/>
              <w:jc w:val="right"/>
              <w:rPr>
                <w:rFonts w:eastAsia="Times New Roman"/>
                <w:noProof/>
                <w:color w:val="000000"/>
                <w:sz w:val="18"/>
                <w:szCs w:val="18"/>
              </w:rPr>
            </w:pPr>
            <w:r>
              <w:rPr>
                <w:noProof/>
                <w:sz w:val="18"/>
                <w:szCs w:val="18"/>
              </w:rPr>
              <w:t>pm</w:t>
            </w:r>
          </w:p>
        </w:tc>
        <w:tc>
          <w:tcPr>
            <w:tcW w:w="1144" w:type="dxa"/>
            <w:noWrap/>
            <w:hideMark/>
          </w:tcPr>
          <w:p>
            <w:pPr>
              <w:spacing w:after="0"/>
              <w:rPr>
                <w:rFonts w:eastAsia="Times New Roman"/>
                <w:noProof/>
                <w:color w:val="000000"/>
                <w:sz w:val="18"/>
                <w:szCs w:val="18"/>
              </w:rPr>
            </w:pPr>
            <w:r>
              <w:rPr>
                <w:noProof/>
                <w:sz w:val="18"/>
                <w:szCs w:val="18"/>
                <w:vertAlign w:val="superscript"/>
              </w:rPr>
              <w:t>(2)</w:t>
            </w:r>
          </w:p>
        </w:tc>
        <w:tc>
          <w:tcPr>
            <w:tcW w:w="4710" w:type="dxa"/>
            <w:gridSpan w:val="4"/>
            <w:noWrap/>
            <w:hideMark/>
          </w:tcPr>
          <w:p>
            <w:pPr>
              <w:spacing w:after="0"/>
              <w:rPr>
                <w:rFonts w:eastAsia="Times New Roman"/>
                <w:noProof/>
                <w:color w:val="000000"/>
                <w:sz w:val="18"/>
                <w:szCs w:val="18"/>
              </w:rPr>
            </w:pPr>
            <w:r>
              <w:rPr>
                <w:noProof/>
                <w:sz w:val="18"/>
                <w:szCs w:val="18"/>
              </w:rPr>
              <w:t>Neuplatňuje sa článok 3 nariadenia (ES) č. 847/96.</w:t>
            </w:r>
          </w:p>
        </w:tc>
      </w:tr>
      <w:tr>
        <w:trPr>
          <w:trHeight w:val="270"/>
        </w:trPr>
        <w:tc>
          <w:tcPr>
            <w:tcW w:w="993" w:type="dxa"/>
            <w:noWrap/>
            <w:hideMark/>
          </w:tcPr>
          <w:p>
            <w:pPr>
              <w:spacing w:after="0"/>
              <w:rPr>
                <w:rFonts w:eastAsia="Times New Roman"/>
                <w:noProof/>
                <w:color w:val="000000"/>
                <w:sz w:val="18"/>
                <w:szCs w:val="18"/>
              </w:rPr>
            </w:pPr>
            <w:r>
              <w:rPr>
                <w:noProof/>
                <w:sz w:val="18"/>
                <w:szCs w:val="18"/>
              </w:rPr>
              <w:t>Nemecko</w:t>
            </w:r>
          </w:p>
        </w:tc>
        <w:tc>
          <w:tcPr>
            <w:tcW w:w="1190" w:type="dxa"/>
            <w:noWrap/>
            <w:hideMark/>
          </w:tcPr>
          <w:p>
            <w:pPr>
              <w:spacing w:after="0" w:line="276" w:lineRule="auto"/>
              <w:rPr>
                <w:noProof/>
                <w:sz w:val="22"/>
              </w:rPr>
            </w:pPr>
          </w:p>
        </w:tc>
        <w:tc>
          <w:tcPr>
            <w:tcW w:w="1144" w:type="dxa"/>
            <w:noWrap/>
            <w:hideMark/>
          </w:tcPr>
          <w:p>
            <w:pPr>
              <w:spacing w:after="0"/>
              <w:jc w:val="right"/>
              <w:rPr>
                <w:rFonts w:eastAsia="Times New Roman"/>
                <w:noProof/>
                <w:color w:val="000000"/>
                <w:sz w:val="18"/>
                <w:szCs w:val="18"/>
              </w:rPr>
            </w:pPr>
            <w:r>
              <w:rPr>
                <w:noProof/>
                <w:sz w:val="18"/>
                <w:szCs w:val="18"/>
              </w:rPr>
              <w:t xml:space="preserve"> pm</w:t>
            </w:r>
          </w:p>
        </w:tc>
        <w:tc>
          <w:tcPr>
            <w:tcW w:w="1144" w:type="dxa"/>
            <w:noWrap/>
            <w:hideMark/>
          </w:tcPr>
          <w:p>
            <w:pPr>
              <w:spacing w:after="0"/>
              <w:rPr>
                <w:rFonts w:eastAsia="Times New Roman"/>
                <w:noProof/>
                <w:color w:val="000000"/>
                <w:sz w:val="18"/>
                <w:szCs w:val="18"/>
              </w:rPr>
            </w:pPr>
            <w:r>
              <w:rPr>
                <w:noProof/>
                <w:sz w:val="18"/>
                <w:szCs w:val="18"/>
                <w:vertAlign w:val="superscript"/>
              </w:rPr>
              <w:t>(2)</w:t>
            </w:r>
          </w:p>
        </w:tc>
        <w:tc>
          <w:tcPr>
            <w:tcW w:w="4710" w:type="dxa"/>
            <w:gridSpan w:val="4"/>
            <w:noWrap/>
            <w:hideMark/>
          </w:tcPr>
          <w:p>
            <w:pPr>
              <w:spacing w:after="0"/>
              <w:rPr>
                <w:rFonts w:eastAsia="Times New Roman"/>
                <w:noProof/>
                <w:color w:val="000000"/>
                <w:sz w:val="18"/>
                <w:szCs w:val="18"/>
              </w:rPr>
            </w:pPr>
            <w:r>
              <w:rPr>
                <w:noProof/>
                <w:sz w:val="18"/>
                <w:szCs w:val="18"/>
              </w:rPr>
              <w:t>Neuplatňuje sa článok 4 nariadenia (ES) č. 847/96.</w:t>
            </w:r>
          </w:p>
        </w:tc>
      </w:tr>
      <w:tr>
        <w:trPr>
          <w:trHeight w:val="270"/>
        </w:trPr>
        <w:tc>
          <w:tcPr>
            <w:tcW w:w="993" w:type="dxa"/>
            <w:noWrap/>
            <w:hideMark/>
          </w:tcPr>
          <w:p>
            <w:pPr>
              <w:spacing w:after="0"/>
              <w:rPr>
                <w:rFonts w:eastAsia="Times New Roman"/>
                <w:noProof/>
                <w:color w:val="000000"/>
                <w:sz w:val="18"/>
                <w:szCs w:val="18"/>
              </w:rPr>
            </w:pPr>
            <w:r>
              <w:rPr>
                <w:noProof/>
                <w:sz w:val="18"/>
                <w:szCs w:val="18"/>
              </w:rPr>
              <w:t>Švédsko</w:t>
            </w:r>
          </w:p>
        </w:tc>
        <w:tc>
          <w:tcPr>
            <w:tcW w:w="1190" w:type="dxa"/>
            <w:noWrap/>
            <w:hideMark/>
          </w:tcPr>
          <w:p>
            <w:pPr>
              <w:spacing w:after="0" w:line="276" w:lineRule="auto"/>
              <w:rPr>
                <w:noProof/>
                <w:sz w:val="22"/>
              </w:rPr>
            </w:pPr>
          </w:p>
        </w:tc>
        <w:tc>
          <w:tcPr>
            <w:tcW w:w="1144" w:type="dxa"/>
            <w:noWrap/>
            <w:hideMark/>
          </w:tcPr>
          <w:p>
            <w:pPr>
              <w:spacing w:after="0"/>
              <w:jc w:val="right"/>
              <w:rPr>
                <w:rFonts w:eastAsia="Times New Roman"/>
                <w:noProof/>
                <w:color w:val="000000"/>
                <w:sz w:val="18"/>
                <w:szCs w:val="18"/>
              </w:rPr>
            </w:pPr>
            <w:r>
              <w:rPr>
                <w:noProof/>
                <w:sz w:val="18"/>
                <w:szCs w:val="18"/>
              </w:rPr>
              <w:t>pm</w:t>
            </w:r>
          </w:p>
        </w:tc>
        <w:tc>
          <w:tcPr>
            <w:tcW w:w="1144" w:type="dxa"/>
            <w:noWrap/>
            <w:hideMark/>
          </w:tcPr>
          <w:p>
            <w:pPr>
              <w:spacing w:after="0"/>
              <w:rPr>
                <w:rFonts w:eastAsia="Times New Roman"/>
                <w:noProof/>
                <w:color w:val="000000"/>
                <w:sz w:val="18"/>
                <w:szCs w:val="18"/>
              </w:rPr>
            </w:pPr>
            <w:r>
              <w:rPr>
                <w:noProof/>
                <w:sz w:val="18"/>
                <w:szCs w:val="18"/>
                <w:vertAlign w:val="superscript"/>
              </w:rPr>
              <w:t>(2)</w:t>
            </w:r>
          </w:p>
        </w:tc>
        <w:tc>
          <w:tcPr>
            <w:tcW w:w="1187" w:type="dxa"/>
            <w:noWrap/>
            <w:hideMark/>
          </w:tcPr>
          <w:p>
            <w:pPr>
              <w:spacing w:after="0" w:line="276" w:lineRule="auto"/>
              <w:rPr>
                <w:noProof/>
                <w:sz w:val="22"/>
              </w:rPr>
            </w:pPr>
          </w:p>
        </w:tc>
        <w:tc>
          <w:tcPr>
            <w:tcW w:w="1175" w:type="dxa"/>
            <w:noWrap/>
            <w:hideMark/>
          </w:tcPr>
          <w:p>
            <w:pPr>
              <w:spacing w:after="0" w:line="276" w:lineRule="auto"/>
              <w:rPr>
                <w:noProof/>
                <w:sz w:val="22"/>
              </w:rPr>
            </w:pPr>
          </w:p>
        </w:tc>
        <w:tc>
          <w:tcPr>
            <w:tcW w:w="1174" w:type="dxa"/>
            <w:noWrap/>
            <w:hideMark/>
          </w:tcPr>
          <w:p>
            <w:pPr>
              <w:spacing w:after="0" w:line="276" w:lineRule="auto"/>
              <w:rPr>
                <w:noProof/>
                <w:sz w:val="22"/>
              </w:rPr>
            </w:pPr>
          </w:p>
        </w:tc>
        <w:tc>
          <w:tcPr>
            <w:tcW w:w="1174" w:type="dxa"/>
            <w:noWrap/>
            <w:hideMark/>
          </w:tcPr>
          <w:p>
            <w:pPr>
              <w:spacing w:after="0" w:line="276" w:lineRule="auto"/>
              <w:rPr>
                <w:noProof/>
                <w:sz w:val="22"/>
              </w:rPr>
            </w:pPr>
          </w:p>
        </w:tc>
      </w:tr>
      <w:tr>
        <w:trPr>
          <w:trHeight w:val="255"/>
        </w:trPr>
        <w:tc>
          <w:tcPr>
            <w:tcW w:w="993" w:type="dxa"/>
            <w:noWrap/>
            <w:hideMark/>
          </w:tcPr>
          <w:p>
            <w:pPr>
              <w:spacing w:after="0"/>
              <w:rPr>
                <w:rFonts w:eastAsia="Times New Roman"/>
                <w:noProof/>
                <w:color w:val="000000"/>
                <w:sz w:val="18"/>
                <w:szCs w:val="18"/>
              </w:rPr>
            </w:pPr>
            <w:r>
              <w:rPr>
                <w:noProof/>
                <w:sz w:val="18"/>
                <w:szCs w:val="18"/>
              </w:rPr>
              <w:t>Únia</w:t>
            </w:r>
          </w:p>
        </w:tc>
        <w:tc>
          <w:tcPr>
            <w:tcW w:w="1190" w:type="dxa"/>
            <w:noWrap/>
            <w:hideMark/>
          </w:tcPr>
          <w:p>
            <w:pPr>
              <w:spacing w:after="0" w:line="276" w:lineRule="auto"/>
              <w:rPr>
                <w:noProof/>
                <w:sz w:val="22"/>
              </w:rPr>
            </w:pPr>
          </w:p>
        </w:tc>
        <w:tc>
          <w:tcPr>
            <w:tcW w:w="1144" w:type="dxa"/>
            <w:noWrap/>
            <w:hideMark/>
          </w:tcPr>
          <w:p>
            <w:pPr>
              <w:spacing w:after="0"/>
              <w:jc w:val="right"/>
              <w:rPr>
                <w:rFonts w:eastAsia="Times New Roman"/>
                <w:noProof/>
                <w:color w:val="000000"/>
                <w:sz w:val="18"/>
                <w:szCs w:val="18"/>
              </w:rPr>
            </w:pPr>
            <w:r>
              <w:rPr>
                <w:noProof/>
                <w:sz w:val="18"/>
                <w:szCs w:val="18"/>
              </w:rPr>
              <w:t>pm</w:t>
            </w:r>
          </w:p>
        </w:tc>
        <w:tc>
          <w:tcPr>
            <w:tcW w:w="1144" w:type="dxa"/>
            <w:noWrap/>
            <w:hideMark/>
          </w:tcPr>
          <w:p>
            <w:pPr>
              <w:spacing w:after="0" w:line="276" w:lineRule="auto"/>
              <w:rPr>
                <w:noProof/>
                <w:sz w:val="22"/>
              </w:rPr>
            </w:pPr>
          </w:p>
        </w:tc>
        <w:tc>
          <w:tcPr>
            <w:tcW w:w="1187" w:type="dxa"/>
            <w:noWrap/>
            <w:hideMark/>
          </w:tcPr>
          <w:p>
            <w:pPr>
              <w:spacing w:after="0" w:line="276" w:lineRule="auto"/>
              <w:rPr>
                <w:noProof/>
                <w:sz w:val="22"/>
              </w:rPr>
            </w:pPr>
          </w:p>
        </w:tc>
        <w:tc>
          <w:tcPr>
            <w:tcW w:w="1175" w:type="dxa"/>
            <w:noWrap/>
            <w:hideMark/>
          </w:tcPr>
          <w:p>
            <w:pPr>
              <w:spacing w:after="0" w:line="276" w:lineRule="auto"/>
              <w:rPr>
                <w:noProof/>
                <w:sz w:val="22"/>
              </w:rPr>
            </w:pPr>
          </w:p>
        </w:tc>
        <w:tc>
          <w:tcPr>
            <w:tcW w:w="1174" w:type="dxa"/>
            <w:noWrap/>
            <w:hideMark/>
          </w:tcPr>
          <w:p>
            <w:pPr>
              <w:spacing w:after="0" w:line="276" w:lineRule="auto"/>
              <w:rPr>
                <w:noProof/>
                <w:sz w:val="22"/>
              </w:rPr>
            </w:pPr>
          </w:p>
        </w:tc>
        <w:tc>
          <w:tcPr>
            <w:tcW w:w="1174" w:type="dxa"/>
            <w:noWrap/>
            <w:hideMark/>
          </w:tcPr>
          <w:p>
            <w:pPr>
              <w:spacing w:after="0" w:line="276" w:lineRule="auto"/>
              <w:rPr>
                <w:noProof/>
                <w:sz w:val="22"/>
              </w:rPr>
            </w:pPr>
          </w:p>
        </w:tc>
      </w:tr>
      <w:tr>
        <w:trPr>
          <w:trHeight w:val="255"/>
        </w:trPr>
        <w:tc>
          <w:tcPr>
            <w:tcW w:w="993" w:type="dxa"/>
            <w:noWrap/>
            <w:hideMark/>
          </w:tcPr>
          <w:p>
            <w:pPr>
              <w:spacing w:after="0" w:line="276" w:lineRule="auto"/>
              <w:rPr>
                <w:noProof/>
                <w:sz w:val="22"/>
              </w:rPr>
            </w:pPr>
          </w:p>
        </w:tc>
        <w:tc>
          <w:tcPr>
            <w:tcW w:w="1190" w:type="dxa"/>
            <w:noWrap/>
            <w:hideMark/>
          </w:tcPr>
          <w:p>
            <w:pPr>
              <w:spacing w:after="0" w:line="276" w:lineRule="auto"/>
              <w:rPr>
                <w:noProof/>
                <w:sz w:val="22"/>
              </w:rPr>
            </w:pPr>
          </w:p>
        </w:tc>
        <w:tc>
          <w:tcPr>
            <w:tcW w:w="1144" w:type="dxa"/>
            <w:noWrap/>
            <w:hideMark/>
          </w:tcPr>
          <w:p>
            <w:pPr>
              <w:spacing w:after="0" w:line="276" w:lineRule="auto"/>
              <w:rPr>
                <w:noProof/>
                <w:sz w:val="22"/>
              </w:rPr>
            </w:pPr>
          </w:p>
        </w:tc>
        <w:tc>
          <w:tcPr>
            <w:tcW w:w="1144" w:type="dxa"/>
            <w:noWrap/>
            <w:hideMark/>
          </w:tcPr>
          <w:p>
            <w:pPr>
              <w:spacing w:after="0" w:line="276" w:lineRule="auto"/>
              <w:rPr>
                <w:noProof/>
                <w:sz w:val="22"/>
              </w:rPr>
            </w:pPr>
          </w:p>
        </w:tc>
        <w:tc>
          <w:tcPr>
            <w:tcW w:w="1187" w:type="dxa"/>
            <w:noWrap/>
            <w:hideMark/>
          </w:tcPr>
          <w:p>
            <w:pPr>
              <w:spacing w:after="0" w:line="276" w:lineRule="auto"/>
              <w:rPr>
                <w:noProof/>
                <w:sz w:val="22"/>
              </w:rPr>
            </w:pPr>
          </w:p>
        </w:tc>
        <w:tc>
          <w:tcPr>
            <w:tcW w:w="1175" w:type="dxa"/>
            <w:noWrap/>
            <w:hideMark/>
          </w:tcPr>
          <w:p>
            <w:pPr>
              <w:spacing w:after="0" w:line="276" w:lineRule="auto"/>
              <w:rPr>
                <w:noProof/>
                <w:sz w:val="22"/>
              </w:rPr>
            </w:pPr>
          </w:p>
        </w:tc>
        <w:tc>
          <w:tcPr>
            <w:tcW w:w="1174" w:type="dxa"/>
            <w:noWrap/>
            <w:hideMark/>
          </w:tcPr>
          <w:p>
            <w:pPr>
              <w:spacing w:after="0" w:line="276" w:lineRule="auto"/>
              <w:rPr>
                <w:noProof/>
                <w:sz w:val="22"/>
              </w:rPr>
            </w:pPr>
          </w:p>
        </w:tc>
        <w:tc>
          <w:tcPr>
            <w:tcW w:w="1174" w:type="dxa"/>
            <w:noWrap/>
            <w:hideMark/>
          </w:tcPr>
          <w:p>
            <w:pPr>
              <w:spacing w:after="0" w:line="276" w:lineRule="auto"/>
              <w:rPr>
                <w:noProof/>
                <w:sz w:val="22"/>
              </w:rPr>
            </w:pPr>
          </w:p>
        </w:tc>
      </w:tr>
      <w:tr>
        <w:trPr>
          <w:trHeight w:val="255"/>
        </w:trPr>
        <w:tc>
          <w:tcPr>
            <w:tcW w:w="993" w:type="dxa"/>
            <w:noWrap/>
            <w:hideMark/>
          </w:tcPr>
          <w:p>
            <w:pPr>
              <w:spacing w:after="0" w:line="276" w:lineRule="auto"/>
              <w:rPr>
                <w:noProof/>
                <w:sz w:val="22"/>
              </w:rPr>
            </w:pPr>
          </w:p>
        </w:tc>
        <w:tc>
          <w:tcPr>
            <w:tcW w:w="1190" w:type="dxa"/>
            <w:noWrap/>
            <w:hideMark/>
          </w:tcPr>
          <w:p>
            <w:pPr>
              <w:spacing w:after="0" w:line="276" w:lineRule="auto"/>
              <w:rPr>
                <w:noProof/>
                <w:sz w:val="22"/>
              </w:rPr>
            </w:pPr>
          </w:p>
        </w:tc>
        <w:tc>
          <w:tcPr>
            <w:tcW w:w="1144" w:type="dxa"/>
            <w:noWrap/>
            <w:hideMark/>
          </w:tcPr>
          <w:p>
            <w:pPr>
              <w:spacing w:after="0" w:line="276" w:lineRule="auto"/>
              <w:rPr>
                <w:noProof/>
                <w:sz w:val="22"/>
              </w:rPr>
            </w:pPr>
          </w:p>
        </w:tc>
        <w:tc>
          <w:tcPr>
            <w:tcW w:w="1144" w:type="dxa"/>
            <w:noWrap/>
            <w:hideMark/>
          </w:tcPr>
          <w:p>
            <w:pPr>
              <w:spacing w:after="0" w:line="276" w:lineRule="auto"/>
              <w:rPr>
                <w:noProof/>
                <w:sz w:val="22"/>
              </w:rPr>
            </w:pPr>
          </w:p>
        </w:tc>
        <w:tc>
          <w:tcPr>
            <w:tcW w:w="1187" w:type="dxa"/>
            <w:noWrap/>
            <w:hideMark/>
          </w:tcPr>
          <w:p>
            <w:pPr>
              <w:spacing w:after="0" w:line="276" w:lineRule="auto"/>
              <w:rPr>
                <w:noProof/>
                <w:sz w:val="22"/>
              </w:rPr>
            </w:pPr>
          </w:p>
        </w:tc>
        <w:tc>
          <w:tcPr>
            <w:tcW w:w="1175" w:type="dxa"/>
            <w:noWrap/>
            <w:hideMark/>
          </w:tcPr>
          <w:p>
            <w:pPr>
              <w:spacing w:after="0" w:line="276" w:lineRule="auto"/>
              <w:rPr>
                <w:noProof/>
                <w:sz w:val="22"/>
              </w:rPr>
            </w:pPr>
          </w:p>
        </w:tc>
        <w:tc>
          <w:tcPr>
            <w:tcW w:w="1174" w:type="dxa"/>
            <w:noWrap/>
            <w:hideMark/>
          </w:tcPr>
          <w:p>
            <w:pPr>
              <w:spacing w:after="0" w:line="276" w:lineRule="auto"/>
              <w:rPr>
                <w:noProof/>
                <w:sz w:val="22"/>
              </w:rPr>
            </w:pPr>
          </w:p>
        </w:tc>
        <w:tc>
          <w:tcPr>
            <w:tcW w:w="1174" w:type="dxa"/>
            <w:noWrap/>
            <w:hideMark/>
          </w:tcPr>
          <w:p>
            <w:pPr>
              <w:spacing w:after="0" w:line="276" w:lineRule="auto"/>
              <w:rPr>
                <w:noProof/>
                <w:sz w:val="22"/>
              </w:rPr>
            </w:pPr>
          </w:p>
        </w:tc>
      </w:tr>
      <w:tr>
        <w:trPr>
          <w:trHeight w:val="255"/>
        </w:trPr>
        <w:tc>
          <w:tcPr>
            <w:tcW w:w="993" w:type="dxa"/>
            <w:noWrap/>
            <w:hideMark/>
          </w:tcPr>
          <w:p>
            <w:pPr>
              <w:spacing w:after="0"/>
              <w:rPr>
                <w:rFonts w:eastAsia="Times New Roman"/>
                <w:noProof/>
                <w:color w:val="000000"/>
                <w:sz w:val="18"/>
                <w:szCs w:val="18"/>
              </w:rPr>
            </w:pPr>
            <w:r>
              <w:rPr>
                <w:noProof/>
                <w:sz w:val="18"/>
                <w:szCs w:val="18"/>
              </w:rPr>
              <w:t>TAC</w:t>
            </w:r>
          </w:p>
        </w:tc>
        <w:tc>
          <w:tcPr>
            <w:tcW w:w="1190" w:type="dxa"/>
            <w:noWrap/>
            <w:hideMark/>
          </w:tcPr>
          <w:p>
            <w:pPr>
              <w:spacing w:after="0" w:line="276" w:lineRule="auto"/>
              <w:rPr>
                <w:noProof/>
                <w:sz w:val="22"/>
              </w:rPr>
            </w:pPr>
          </w:p>
        </w:tc>
        <w:tc>
          <w:tcPr>
            <w:tcW w:w="1144" w:type="dxa"/>
            <w:noWrap/>
            <w:hideMark/>
          </w:tcPr>
          <w:p>
            <w:pPr>
              <w:spacing w:after="0"/>
              <w:jc w:val="right"/>
              <w:rPr>
                <w:rFonts w:eastAsia="Times New Roman"/>
                <w:noProof/>
                <w:color w:val="000000"/>
                <w:sz w:val="18"/>
                <w:szCs w:val="18"/>
              </w:rPr>
            </w:pPr>
            <w:r>
              <w:rPr>
                <w:noProof/>
                <w:sz w:val="18"/>
                <w:szCs w:val="18"/>
              </w:rPr>
              <w:t>pm</w:t>
            </w:r>
          </w:p>
        </w:tc>
        <w:tc>
          <w:tcPr>
            <w:tcW w:w="1144" w:type="dxa"/>
            <w:noWrap/>
            <w:hideMark/>
          </w:tcPr>
          <w:p>
            <w:pPr>
              <w:spacing w:after="0" w:line="276" w:lineRule="auto"/>
              <w:rPr>
                <w:noProof/>
                <w:sz w:val="22"/>
              </w:rPr>
            </w:pPr>
          </w:p>
        </w:tc>
        <w:tc>
          <w:tcPr>
            <w:tcW w:w="1187" w:type="dxa"/>
            <w:noWrap/>
            <w:hideMark/>
          </w:tcPr>
          <w:p>
            <w:pPr>
              <w:spacing w:after="0" w:line="276" w:lineRule="auto"/>
              <w:rPr>
                <w:noProof/>
                <w:sz w:val="22"/>
              </w:rPr>
            </w:pPr>
          </w:p>
        </w:tc>
        <w:tc>
          <w:tcPr>
            <w:tcW w:w="1175" w:type="dxa"/>
            <w:noWrap/>
            <w:hideMark/>
          </w:tcPr>
          <w:p>
            <w:pPr>
              <w:spacing w:after="0" w:line="276" w:lineRule="auto"/>
              <w:rPr>
                <w:noProof/>
                <w:sz w:val="22"/>
              </w:rPr>
            </w:pPr>
          </w:p>
        </w:tc>
        <w:tc>
          <w:tcPr>
            <w:tcW w:w="1174" w:type="dxa"/>
            <w:noWrap/>
            <w:hideMark/>
          </w:tcPr>
          <w:p>
            <w:pPr>
              <w:spacing w:after="0" w:line="276" w:lineRule="auto"/>
              <w:rPr>
                <w:noProof/>
                <w:sz w:val="22"/>
              </w:rPr>
            </w:pPr>
          </w:p>
        </w:tc>
        <w:tc>
          <w:tcPr>
            <w:tcW w:w="1174" w:type="dxa"/>
            <w:noWrap/>
            <w:hideMark/>
          </w:tcPr>
          <w:p>
            <w:pPr>
              <w:spacing w:after="0" w:line="276" w:lineRule="auto"/>
              <w:rPr>
                <w:noProof/>
                <w:sz w:val="22"/>
              </w:rPr>
            </w:pPr>
          </w:p>
        </w:tc>
      </w:tr>
      <w:tr>
        <w:trPr>
          <w:trHeight w:val="270"/>
        </w:trPr>
        <w:tc>
          <w:tcPr>
            <w:tcW w:w="993" w:type="dxa"/>
            <w:noWrap/>
            <w:hideMark/>
          </w:tcPr>
          <w:p>
            <w:pPr>
              <w:spacing w:after="0"/>
              <w:rPr>
                <w:rFonts w:eastAsia="Times New Roman"/>
                <w:noProof/>
                <w:color w:val="000000"/>
                <w:sz w:val="18"/>
                <w:szCs w:val="18"/>
              </w:rPr>
            </w:pPr>
            <w:r>
              <w:rPr>
                <w:noProof/>
                <w:sz w:val="18"/>
                <w:szCs w:val="18"/>
                <w:vertAlign w:val="superscript"/>
              </w:rPr>
              <w:t>(1)</w:t>
            </w:r>
          </w:p>
        </w:tc>
        <w:tc>
          <w:tcPr>
            <w:tcW w:w="5840" w:type="dxa"/>
            <w:gridSpan w:val="5"/>
            <w:noWrap/>
            <w:hideMark/>
          </w:tcPr>
          <w:p>
            <w:pPr>
              <w:spacing w:after="0"/>
              <w:rPr>
                <w:rFonts w:eastAsia="Times New Roman"/>
                <w:noProof/>
                <w:sz w:val="18"/>
                <w:szCs w:val="18"/>
              </w:rPr>
            </w:pPr>
            <w:r>
              <w:rPr>
                <w:noProof/>
                <w:sz w:val="18"/>
                <w:szCs w:val="18"/>
                <w:vertAlign w:val="superscript"/>
              </w:rPr>
              <w:t>Okrem vôd do šiestich námorných míľ od základných línií Spojeného kráľovstva pri ostrovoch Shetlandy, Fair a Foula.</w:t>
            </w:r>
          </w:p>
        </w:tc>
        <w:tc>
          <w:tcPr>
            <w:tcW w:w="1174" w:type="dxa"/>
            <w:noWrap/>
            <w:hideMark/>
          </w:tcPr>
          <w:p>
            <w:pPr>
              <w:spacing w:after="0" w:line="276" w:lineRule="auto"/>
              <w:rPr>
                <w:noProof/>
                <w:sz w:val="22"/>
              </w:rPr>
            </w:pPr>
          </w:p>
        </w:tc>
        <w:tc>
          <w:tcPr>
            <w:tcW w:w="1174" w:type="dxa"/>
            <w:noWrap/>
            <w:hideMark/>
          </w:tcPr>
          <w:p>
            <w:pPr>
              <w:spacing w:after="0" w:line="276" w:lineRule="auto"/>
              <w:rPr>
                <w:noProof/>
                <w:sz w:val="22"/>
              </w:rPr>
            </w:pPr>
          </w:p>
        </w:tc>
      </w:tr>
      <w:tr>
        <w:trPr>
          <w:trHeight w:val="270"/>
        </w:trPr>
        <w:tc>
          <w:tcPr>
            <w:tcW w:w="993" w:type="dxa"/>
            <w:noWrap/>
            <w:hideMark/>
          </w:tcPr>
          <w:p>
            <w:pPr>
              <w:spacing w:after="0"/>
              <w:rPr>
                <w:rFonts w:eastAsia="Times New Roman"/>
                <w:noProof/>
                <w:color w:val="000000"/>
                <w:sz w:val="18"/>
                <w:szCs w:val="18"/>
              </w:rPr>
            </w:pPr>
            <w:r>
              <w:rPr>
                <w:noProof/>
                <w:sz w:val="18"/>
                <w:szCs w:val="18"/>
                <w:vertAlign w:val="superscript"/>
              </w:rPr>
              <w:t>(2)</w:t>
            </w:r>
          </w:p>
        </w:tc>
        <w:tc>
          <w:tcPr>
            <w:tcW w:w="8188" w:type="dxa"/>
            <w:gridSpan w:val="7"/>
            <w:noWrap/>
            <w:hideMark/>
          </w:tcPr>
          <w:p>
            <w:pPr>
              <w:spacing w:after="0"/>
              <w:rPr>
                <w:rFonts w:eastAsia="Times New Roman"/>
                <w:i/>
                <w:noProof/>
                <w:szCs w:val="24"/>
                <w:vertAlign w:val="superscript"/>
              </w:rPr>
            </w:pPr>
            <w:r>
              <w:rPr>
                <w:noProof/>
                <w:sz w:val="18"/>
                <w:szCs w:val="18"/>
                <w:vertAlign w:val="superscript"/>
              </w:rPr>
              <w:t>Vedľajšie úlovky tresky merlang a makrely atlantickej môžu predstavovať maximálne 2 % kvóty (OT1/*2A3A4). Vedľajšie úlovky tresky merlang a makrely atlantickej započítané do kvóty podľa tohto ustanovenia a vedľajšie úlovky druhov započítané do kvóty podľa článku 15 ods. 8 nariadenia (EÚ) č. 1380/2013 nesmú spolu presiahnuť 9 % kvóty.</w:t>
            </w:r>
            <w:r>
              <w:rPr>
                <w:i/>
                <w:noProof/>
                <w:sz w:val="18"/>
                <w:szCs w:val="18"/>
                <w:vertAlign w:val="superscript"/>
              </w:rPr>
              <w:t xml:space="preserve"> </w:t>
            </w:r>
          </w:p>
          <w:p>
            <w:pPr>
              <w:spacing w:after="0"/>
              <w:rPr>
                <w:rFonts w:eastAsia="Times New Roman"/>
                <w:noProof/>
                <w:sz w:val="18"/>
                <w:szCs w:val="18"/>
              </w:rPr>
            </w:pPr>
          </w:p>
        </w:tc>
      </w:tr>
      <w:tr>
        <w:trPr>
          <w:trHeight w:val="255"/>
        </w:trPr>
        <w:tc>
          <w:tcPr>
            <w:tcW w:w="9181" w:type="dxa"/>
            <w:gridSpan w:val="8"/>
            <w:tcBorders>
              <w:top w:val="single" w:sz="4" w:space="0" w:color="auto"/>
              <w:left w:val="nil"/>
              <w:bottom w:val="nil"/>
              <w:right w:val="nil"/>
            </w:tcBorders>
            <w:noWrap/>
            <w:hideMark/>
          </w:tcPr>
          <w:p>
            <w:pPr>
              <w:spacing w:after="0"/>
              <w:rPr>
                <w:rFonts w:eastAsia="Times New Roman"/>
                <w:noProof/>
                <w:color w:val="000000"/>
                <w:sz w:val="18"/>
                <w:szCs w:val="18"/>
              </w:rPr>
            </w:pPr>
            <w:r>
              <w:rPr>
                <w:noProof/>
                <w:sz w:val="18"/>
                <w:szCs w:val="18"/>
              </w:rPr>
              <w:t>Osobitná podmienka: V rámci uvedených kvót nemožno v týchto oblastiach hospodárenia s piesočnicami vymedzených v prílohe IID prekročiť v rámci výlovu tieto množstvá:</w:t>
            </w:r>
          </w:p>
        </w:tc>
      </w:tr>
      <w:tr>
        <w:trPr>
          <w:trHeight w:val="255"/>
        </w:trPr>
        <w:tc>
          <w:tcPr>
            <w:tcW w:w="993" w:type="dxa"/>
            <w:noWrap/>
            <w:hideMark/>
          </w:tcPr>
          <w:p>
            <w:pPr>
              <w:spacing w:after="0" w:line="276" w:lineRule="auto"/>
              <w:rPr>
                <w:noProof/>
                <w:sz w:val="22"/>
              </w:rPr>
            </w:pPr>
          </w:p>
        </w:tc>
        <w:tc>
          <w:tcPr>
            <w:tcW w:w="5840" w:type="dxa"/>
            <w:gridSpan w:val="5"/>
            <w:noWrap/>
            <w:hideMark/>
          </w:tcPr>
          <w:p>
            <w:pPr>
              <w:spacing w:after="0"/>
              <w:rPr>
                <w:noProof/>
              </w:rPr>
            </w:pPr>
            <w:r>
              <w:rPr>
                <w:b/>
                <w:bCs/>
                <w:noProof/>
                <w:sz w:val="18"/>
                <w:szCs w:val="18"/>
              </w:rPr>
              <w:t>Zóna: vody Únie oblastí hospodárenia s piesočnicami</w:t>
            </w:r>
          </w:p>
          <w:p>
            <w:pPr>
              <w:spacing w:after="0"/>
              <w:rPr>
                <w:rFonts w:eastAsia="Times New Roman"/>
                <w:b/>
                <w:bCs/>
                <w:noProof/>
                <w:sz w:val="18"/>
                <w:szCs w:val="18"/>
              </w:rPr>
            </w:pPr>
          </w:p>
        </w:tc>
        <w:tc>
          <w:tcPr>
            <w:tcW w:w="1174" w:type="dxa"/>
            <w:noWrap/>
            <w:hideMark/>
          </w:tcPr>
          <w:p>
            <w:pPr>
              <w:spacing w:after="0" w:line="276" w:lineRule="auto"/>
              <w:rPr>
                <w:noProof/>
                <w:sz w:val="22"/>
              </w:rPr>
            </w:pPr>
          </w:p>
        </w:tc>
        <w:tc>
          <w:tcPr>
            <w:tcW w:w="1174" w:type="dxa"/>
            <w:noWrap/>
            <w:hideMark/>
          </w:tcPr>
          <w:p>
            <w:pPr>
              <w:spacing w:after="0" w:line="276" w:lineRule="auto"/>
              <w:rPr>
                <w:noProof/>
                <w:sz w:val="22"/>
              </w:rPr>
            </w:pPr>
          </w:p>
        </w:tc>
      </w:tr>
      <w:tr>
        <w:trPr>
          <w:trHeight w:val="255"/>
        </w:trPr>
        <w:tc>
          <w:tcPr>
            <w:tcW w:w="993" w:type="dxa"/>
            <w:tcBorders>
              <w:top w:val="single" w:sz="4" w:space="0" w:color="auto"/>
              <w:left w:val="single" w:sz="4" w:space="0" w:color="auto"/>
              <w:bottom w:val="single" w:sz="4" w:space="0" w:color="auto"/>
              <w:right w:val="single" w:sz="4" w:space="0" w:color="auto"/>
            </w:tcBorders>
            <w:noWrap/>
            <w:hideMark/>
          </w:tcPr>
          <w:p>
            <w:pPr>
              <w:spacing w:after="0"/>
              <w:jc w:val="center"/>
              <w:rPr>
                <w:rFonts w:eastAsia="Times New Roman"/>
                <w:noProof/>
                <w:color w:val="000000"/>
                <w:sz w:val="14"/>
                <w:szCs w:val="14"/>
              </w:rPr>
            </w:pPr>
          </w:p>
        </w:tc>
        <w:tc>
          <w:tcPr>
            <w:tcW w:w="1190" w:type="dxa"/>
            <w:tcBorders>
              <w:top w:val="single" w:sz="4" w:space="0" w:color="auto"/>
              <w:left w:val="nil"/>
              <w:bottom w:val="single" w:sz="4" w:space="0" w:color="auto"/>
              <w:right w:val="single" w:sz="4" w:space="0" w:color="auto"/>
            </w:tcBorders>
            <w:noWrap/>
            <w:hideMark/>
          </w:tcPr>
          <w:p>
            <w:pPr>
              <w:spacing w:after="0"/>
              <w:jc w:val="center"/>
              <w:rPr>
                <w:rFonts w:eastAsia="Times New Roman"/>
                <w:b/>
                <w:bCs/>
                <w:noProof/>
                <w:sz w:val="18"/>
                <w:szCs w:val="18"/>
              </w:rPr>
            </w:pPr>
            <w:r>
              <w:rPr>
                <w:b/>
                <w:bCs/>
                <w:noProof/>
                <w:sz w:val="18"/>
                <w:szCs w:val="18"/>
              </w:rPr>
              <w:t>1r</w:t>
            </w:r>
          </w:p>
        </w:tc>
        <w:tc>
          <w:tcPr>
            <w:tcW w:w="1144" w:type="dxa"/>
            <w:tcBorders>
              <w:top w:val="single" w:sz="4" w:space="0" w:color="auto"/>
              <w:left w:val="nil"/>
              <w:bottom w:val="single" w:sz="4" w:space="0" w:color="auto"/>
              <w:right w:val="single" w:sz="4" w:space="0" w:color="auto"/>
            </w:tcBorders>
            <w:noWrap/>
            <w:hideMark/>
          </w:tcPr>
          <w:p>
            <w:pPr>
              <w:spacing w:after="0"/>
              <w:jc w:val="center"/>
              <w:rPr>
                <w:rFonts w:eastAsia="Times New Roman"/>
                <w:b/>
                <w:bCs/>
                <w:noProof/>
                <w:color w:val="000000"/>
                <w:sz w:val="18"/>
                <w:szCs w:val="18"/>
              </w:rPr>
            </w:pPr>
            <w:r>
              <w:rPr>
                <w:b/>
                <w:bCs/>
                <w:noProof/>
                <w:sz w:val="18"/>
                <w:szCs w:val="18"/>
              </w:rPr>
              <w:t xml:space="preserve">2r </w:t>
            </w:r>
            <w:r>
              <w:rPr>
                <w:b/>
                <w:bCs/>
                <w:noProof/>
                <w:sz w:val="18"/>
                <w:szCs w:val="18"/>
                <w:vertAlign w:val="superscript"/>
              </w:rPr>
              <w:t>(1)</w:t>
            </w:r>
          </w:p>
        </w:tc>
        <w:tc>
          <w:tcPr>
            <w:tcW w:w="1144" w:type="dxa"/>
            <w:tcBorders>
              <w:top w:val="single" w:sz="4" w:space="0" w:color="auto"/>
              <w:left w:val="nil"/>
              <w:bottom w:val="single" w:sz="4" w:space="0" w:color="auto"/>
              <w:right w:val="single" w:sz="4" w:space="0" w:color="auto"/>
            </w:tcBorders>
            <w:noWrap/>
            <w:hideMark/>
          </w:tcPr>
          <w:p>
            <w:pPr>
              <w:spacing w:after="0"/>
              <w:jc w:val="center"/>
              <w:rPr>
                <w:rFonts w:eastAsia="Times New Roman"/>
                <w:b/>
                <w:bCs/>
                <w:noProof/>
                <w:color w:val="000000"/>
                <w:sz w:val="18"/>
                <w:szCs w:val="18"/>
              </w:rPr>
            </w:pPr>
            <w:r>
              <w:rPr>
                <w:b/>
                <w:bCs/>
                <w:noProof/>
                <w:sz w:val="18"/>
                <w:szCs w:val="18"/>
              </w:rPr>
              <w:t>3r</w:t>
            </w:r>
          </w:p>
        </w:tc>
        <w:tc>
          <w:tcPr>
            <w:tcW w:w="1187" w:type="dxa"/>
            <w:tcBorders>
              <w:top w:val="single" w:sz="4" w:space="0" w:color="auto"/>
              <w:left w:val="nil"/>
              <w:bottom w:val="single" w:sz="4" w:space="0" w:color="auto"/>
              <w:right w:val="single" w:sz="4" w:space="0" w:color="auto"/>
            </w:tcBorders>
            <w:noWrap/>
            <w:hideMark/>
          </w:tcPr>
          <w:p>
            <w:pPr>
              <w:spacing w:after="0"/>
              <w:jc w:val="center"/>
              <w:rPr>
                <w:rFonts w:eastAsia="Times New Roman"/>
                <w:b/>
                <w:bCs/>
                <w:noProof/>
                <w:color w:val="000000"/>
                <w:sz w:val="18"/>
                <w:szCs w:val="18"/>
              </w:rPr>
            </w:pPr>
            <w:r>
              <w:rPr>
                <w:b/>
                <w:bCs/>
                <w:noProof/>
                <w:sz w:val="18"/>
                <w:szCs w:val="18"/>
              </w:rPr>
              <w:t>4</w:t>
            </w:r>
          </w:p>
        </w:tc>
        <w:tc>
          <w:tcPr>
            <w:tcW w:w="1175" w:type="dxa"/>
            <w:tcBorders>
              <w:top w:val="single" w:sz="4" w:space="0" w:color="auto"/>
              <w:left w:val="nil"/>
              <w:bottom w:val="single" w:sz="4" w:space="0" w:color="auto"/>
              <w:right w:val="single" w:sz="4" w:space="0" w:color="auto"/>
            </w:tcBorders>
            <w:noWrap/>
            <w:hideMark/>
          </w:tcPr>
          <w:p>
            <w:pPr>
              <w:spacing w:after="0"/>
              <w:jc w:val="center"/>
              <w:rPr>
                <w:rFonts w:eastAsia="Times New Roman"/>
                <w:b/>
                <w:bCs/>
                <w:noProof/>
                <w:color w:val="000000"/>
                <w:sz w:val="18"/>
                <w:szCs w:val="18"/>
              </w:rPr>
            </w:pPr>
            <w:r>
              <w:rPr>
                <w:b/>
                <w:bCs/>
                <w:noProof/>
                <w:sz w:val="18"/>
                <w:szCs w:val="18"/>
              </w:rPr>
              <w:t>5r</w:t>
            </w:r>
          </w:p>
        </w:tc>
        <w:tc>
          <w:tcPr>
            <w:tcW w:w="1174" w:type="dxa"/>
            <w:tcBorders>
              <w:top w:val="single" w:sz="4" w:space="0" w:color="auto"/>
              <w:left w:val="nil"/>
              <w:bottom w:val="single" w:sz="4" w:space="0" w:color="auto"/>
              <w:right w:val="single" w:sz="4" w:space="0" w:color="auto"/>
            </w:tcBorders>
            <w:noWrap/>
            <w:hideMark/>
          </w:tcPr>
          <w:p>
            <w:pPr>
              <w:spacing w:after="0"/>
              <w:jc w:val="center"/>
              <w:rPr>
                <w:rFonts w:eastAsia="Times New Roman"/>
                <w:b/>
                <w:bCs/>
                <w:noProof/>
                <w:color w:val="000000"/>
                <w:sz w:val="18"/>
                <w:szCs w:val="18"/>
              </w:rPr>
            </w:pPr>
            <w:r>
              <w:rPr>
                <w:b/>
                <w:bCs/>
                <w:noProof/>
                <w:sz w:val="18"/>
                <w:szCs w:val="18"/>
              </w:rPr>
              <w:t>6</w:t>
            </w:r>
          </w:p>
        </w:tc>
        <w:tc>
          <w:tcPr>
            <w:tcW w:w="1174" w:type="dxa"/>
            <w:tcBorders>
              <w:top w:val="single" w:sz="4" w:space="0" w:color="auto"/>
              <w:left w:val="nil"/>
              <w:bottom w:val="single" w:sz="4" w:space="0" w:color="auto"/>
              <w:right w:val="single" w:sz="4" w:space="0" w:color="auto"/>
            </w:tcBorders>
            <w:noWrap/>
            <w:hideMark/>
          </w:tcPr>
          <w:p>
            <w:pPr>
              <w:spacing w:after="0"/>
              <w:jc w:val="center"/>
              <w:rPr>
                <w:rFonts w:eastAsia="Times New Roman"/>
                <w:b/>
                <w:bCs/>
                <w:noProof/>
                <w:color w:val="000000"/>
                <w:sz w:val="18"/>
                <w:szCs w:val="18"/>
              </w:rPr>
            </w:pPr>
            <w:r>
              <w:rPr>
                <w:b/>
                <w:bCs/>
                <w:noProof/>
                <w:sz w:val="18"/>
                <w:szCs w:val="18"/>
              </w:rPr>
              <w:t>7r</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jc w:val="center"/>
              <w:rPr>
                <w:rFonts w:eastAsia="Times New Roman"/>
                <w:noProof/>
                <w:color w:val="000000"/>
                <w:sz w:val="14"/>
                <w:szCs w:val="14"/>
              </w:rPr>
            </w:pPr>
          </w:p>
        </w:tc>
        <w:tc>
          <w:tcPr>
            <w:tcW w:w="1190" w:type="dxa"/>
            <w:tcBorders>
              <w:top w:val="nil"/>
              <w:left w:val="nil"/>
              <w:bottom w:val="single" w:sz="4" w:space="0" w:color="auto"/>
              <w:right w:val="single" w:sz="4" w:space="0" w:color="auto"/>
            </w:tcBorders>
            <w:noWrap/>
            <w:hideMark/>
          </w:tcPr>
          <w:p>
            <w:pPr>
              <w:rPr>
                <w:noProof/>
                <w:sz w:val="14"/>
                <w:szCs w:val="14"/>
              </w:rPr>
            </w:pPr>
            <w:r>
              <w:rPr>
                <w:noProof/>
                <w:sz w:val="14"/>
                <w:szCs w:val="14"/>
              </w:rPr>
              <w:t>(SAN/234_1R)</w:t>
            </w:r>
          </w:p>
        </w:tc>
        <w:tc>
          <w:tcPr>
            <w:tcW w:w="1144" w:type="dxa"/>
            <w:tcBorders>
              <w:top w:val="nil"/>
              <w:left w:val="nil"/>
              <w:bottom w:val="single" w:sz="4" w:space="0" w:color="auto"/>
              <w:right w:val="single" w:sz="4" w:space="0" w:color="auto"/>
            </w:tcBorders>
            <w:noWrap/>
            <w:hideMark/>
          </w:tcPr>
          <w:p>
            <w:pPr>
              <w:rPr>
                <w:noProof/>
                <w:sz w:val="14"/>
                <w:szCs w:val="14"/>
              </w:rPr>
            </w:pPr>
            <w:r>
              <w:rPr>
                <w:noProof/>
                <w:sz w:val="14"/>
                <w:szCs w:val="14"/>
              </w:rPr>
              <w:t xml:space="preserve">(SAN/234_2R) </w:t>
            </w:r>
          </w:p>
        </w:tc>
        <w:tc>
          <w:tcPr>
            <w:tcW w:w="1144" w:type="dxa"/>
            <w:tcBorders>
              <w:top w:val="nil"/>
              <w:left w:val="nil"/>
              <w:bottom w:val="single" w:sz="4" w:space="0" w:color="auto"/>
              <w:right w:val="single" w:sz="4" w:space="0" w:color="auto"/>
            </w:tcBorders>
            <w:noWrap/>
            <w:hideMark/>
          </w:tcPr>
          <w:p>
            <w:pPr>
              <w:rPr>
                <w:noProof/>
                <w:sz w:val="14"/>
                <w:szCs w:val="14"/>
              </w:rPr>
            </w:pPr>
            <w:r>
              <w:rPr>
                <w:noProof/>
                <w:sz w:val="14"/>
                <w:szCs w:val="14"/>
              </w:rPr>
              <w:t>(SAN/234_3R)</w:t>
            </w:r>
          </w:p>
        </w:tc>
        <w:tc>
          <w:tcPr>
            <w:tcW w:w="1187" w:type="dxa"/>
            <w:tcBorders>
              <w:top w:val="nil"/>
              <w:left w:val="nil"/>
              <w:bottom w:val="single" w:sz="4" w:space="0" w:color="auto"/>
              <w:right w:val="single" w:sz="4" w:space="0" w:color="auto"/>
            </w:tcBorders>
            <w:noWrap/>
            <w:hideMark/>
          </w:tcPr>
          <w:p>
            <w:pPr>
              <w:rPr>
                <w:noProof/>
                <w:sz w:val="14"/>
                <w:szCs w:val="14"/>
              </w:rPr>
            </w:pPr>
            <w:r>
              <w:rPr>
                <w:noProof/>
                <w:sz w:val="14"/>
                <w:szCs w:val="14"/>
              </w:rPr>
              <w:t xml:space="preserve">(SAN/234_4) </w:t>
            </w:r>
          </w:p>
        </w:tc>
        <w:tc>
          <w:tcPr>
            <w:tcW w:w="1175" w:type="dxa"/>
            <w:tcBorders>
              <w:top w:val="nil"/>
              <w:left w:val="nil"/>
              <w:bottom w:val="single" w:sz="4" w:space="0" w:color="auto"/>
              <w:right w:val="single" w:sz="4" w:space="0" w:color="auto"/>
            </w:tcBorders>
            <w:noWrap/>
            <w:hideMark/>
          </w:tcPr>
          <w:p>
            <w:pPr>
              <w:rPr>
                <w:noProof/>
                <w:sz w:val="14"/>
                <w:szCs w:val="14"/>
              </w:rPr>
            </w:pPr>
            <w:r>
              <w:rPr>
                <w:noProof/>
                <w:sz w:val="14"/>
                <w:szCs w:val="14"/>
              </w:rPr>
              <w:t xml:space="preserve">(SAN/234_5R) </w:t>
            </w:r>
          </w:p>
        </w:tc>
        <w:tc>
          <w:tcPr>
            <w:tcW w:w="1174" w:type="dxa"/>
            <w:tcBorders>
              <w:top w:val="nil"/>
              <w:left w:val="nil"/>
              <w:bottom w:val="single" w:sz="4" w:space="0" w:color="auto"/>
              <w:right w:val="single" w:sz="4" w:space="0" w:color="auto"/>
            </w:tcBorders>
            <w:noWrap/>
            <w:hideMark/>
          </w:tcPr>
          <w:p>
            <w:pPr>
              <w:rPr>
                <w:noProof/>
                <w:sz w:val="14"/>
                <w:szCs w:val="14"/>
              </w:rPr>
            </w:pPr>
            <w:r>
              <w:rPr>
                <w:noProof/>
                <w:sz w:val="14"/>
                <w:szCs w:val="14"/>
              </w:rPr>
              <w:t xml:space="preserve">(SAN/234_6) </w:t>
            </w:r>
          </w:p>
        </w:tc>
        <w:tc>
          <w:tcPr>
            <w:tcW w:w="1174" w:type="dxa"/>
            <w:tcBorders>
              <w:top w:val="nil"/>
              <w:left w:val="nil"/>
              <w:bottom w:val="single" w:sz="4" w:space="0" w:color="auto"/>
              <w:right w:val="single" w:sz="4" w:space="0" w:color="auto"/>
            </w:tcBorders>
            <w:noWrap/>
            <w:hideMark/>
          </w:tcPr>
          <w:p>
            <w:pPr>
              <w:rPr>
                <w:noProof/>
                <w:sz w:val="14"/>
                <w:szCs w:val="14"/>
              </w:rPr>
            </w:pPr>
            <w:r>
              <w:rPr>
                <w:noProof/>
                <w:sz w:val="14"/>
                <w:szCs w:val="14"/>
              </w:rPr>
              <w:t xml:space="preserve">(SAN/234_7R) </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Dánsko</w:t>
            </w:r>
          </w:p>
        </w:tc>
        <w:tc>
          <w:tcPr>
            <w:tcW w:w="1190" w:type="dxa"/>
            <w:tcBorders>
              <w:top w:val="nil"/>
              <w:left w:val="nil"/>
              <w:bottom w:val="single" w:sz="4" w:space="0" w:color="auto"/>
              <w:right w:val="single" w:sz="4" w:space="0" w:color="auto"/>
            </w:tcBorders>
            <w:noWrap/>
          </w:tcPr>
          <w:p>
            <w:pPr>
              <w:rPr>
                <w:noProof/>
              </w:rPr>
            </w:pPr>
            <w:r>
              <w:rPr>
                <w:noProof/>
                <w:sz w:val="14"/>
                <w:szCs w:val="14"/>
              </w:rPr>
              <w:t>pm</w:t>
            </w:r>
          </w:p>
        </w:tc>
        <w:tc>
          <w:tcPr>
            <w:tcW w:w="1144" w:type="dxa"/>
            <w:tcBorders>
              <w:top w:val="nil"/>
              <w:left w:val="nil"/>
              <w:bottom w:val="single" w:sz="4" w:space="0" w:color="auto"/>
              <w:right w:val="single" w:sz="4" w:space="0" w:color="auto"/>
            </w:tcBorders>
            <w:noWrap/>
          </w:tcPr>
          <w:p>
            <w:pPr>
              <w:rPr>
                <w:noProof/>
              </w:rPr>
            </w:pPr>
            <w:r>
              <w:rPr>
                <w:noProof/>
                <w:sz w:val="14"/>
                <w:szCs w:val="14"/>
              </w:rPr>
              <w:t>pm</w:t>
            </w:r>
          </w:p>
        </w:tc>
        <w:tc>
          <w:tcPr>
            <w:tcW w:w="1144" w:type="dxa"/>
            <w:tcBorders>
              <w:top w:val="nil"/>
              <w:left w:val="nil"/>
              <w:bottom w:val="single" w:sz="4" w:space="0" w:color="auto"/>
              <w:right w:val="single" w:sz="4" w:space="0" w:color="auto"/>
            </w:tcBorders>
            <w:noWrap/>
          </w:tcPr>
          <w:p>
            <w:pPr>
              <w:rPr>
                <w:noProof/>
              </w:rPr>
            </w:pPr>
            <w:r>
              <w:rPr>
                <w:noProof/>
                <w:sz w:val="14"/>
                <w:szCs w:val="14"/>
              </w:rPr>
              <w:t>pm</w:t>
            </w:r>
          </w:p>
        </w:tc>
        <w:tc>
          <w:tcPr>
            <w:tcW w:w="1187" w:type="dxa"/>
            <w:tcBorders>
              <w:top w:val="nil"/>
              <w:left w:val="nil"/>
              <w:bottom w:val="single" w:sz="4" w:space="0" w:color="auto"/>
              <w:right w:val="single" w:sz="4" w:space="0" w:color="auto"/>
            </w:tcBorders>
            <w:noWrap/>
          </w:tcPr>
          <w:p>
            <w:pPr>
              <w:rPr>
                <w:noProof/>
              </w:rPr>
            </w:pPr>
            <w:r>
              <w:rPr>
                <w:noProof/>
                <w:sz w:val="14"/>
                <w:szCs w:val="14"/>
              </w:rPr>
              <w:t>pm</w:t>
            </w:r>
          </w:p>
        </w:tc>
        <w:tc>
          <w:tcPr>
            <w:tcW w:w="1175" w:type="dxa"/>
            <w:tcBorders>
              <w:top w:val="nil"/>
              <w:left w:val="nil"/>
              <w:bottom w:val="single" w:sz="4" w:space="0" w:color="auto"/>
              <w:right w:val="single" w:sz="4" w:space="0" w:color="auto"/>
            </w:tcBorders>
            <w:noWrap/>
          </w:tcPr>
          <w:p>
            <w:pPr>
              <w:rPr>
                <w:noProof/>
              </w:rPr>
            </w:pPr>
            <w:r>
              <w:rPr>
                <w:noProof/>
                <w:sz w:val="14"/>
                <w:szCs w:val="14"/>
              </w:rPr>
              <w:t>pm</w:t>
            </w:r>
          </w:p>
        </w:tc>
        <w:tc>
          <w:tcPr>
            <w:tcW w:w="1174" w:type="dxa"/>
            <w:tcBorders>
              <w:top w:val="nil"/>
              <w:left w:val="nil"/>
              <w:bottom w:val="single" w:sz="4" w:space="0" w:color="auto"/>
              <w:right w:val="single" w:sz="4" w:space="0" w:color="auto"/>
            </w:tcBorders>
            <w:noWrap/>
          </w:tcPr>
          <w:p>
            <w:pPr>
              <w:rPr>
                <w:noProof/>
              </w:rPr>
            </w:pPr>
            <w:r>
              <w:rPr>
                <w:noProof/>
                <w:sz w:val="14"/>
                <w:szCs w:val="14"/>
              </w:rPr>
              <w:t>pm</w:t>
            </w:r>
          </w:p>
        </w:tc>
        <w:tc>
          <w:tcPr>
            <w:tcW w:w="1174" w:type="dxa"/>
            <w:tcBorders>
              <w:top w:val="nil"/>
              <w:left w:val="nil"/>
              <w:bottom w:val="single" w:sz="4" w:space="0" w:color="auto"/>
              <w:right w:val="single" w:sz="4" w:space="0" w:color="auto"/>
            </w:tcBorders>
            <w:noWrap/>
          </w:tcPr>
          <w:p>
            <w:pPr>
              <w:rPr>
                <w:noProof/>
              </w:rPr>
            </w:pPr>
            <w:r>
              <w:rPr>
                <w:noProof/>
                <w:sz w:val="14"/>
                <w:szCs w:val="14"/>
              </w:rPr>
              <w:t>pm</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Spojené kráľovstvo</w:t>
            </w:r>
          </w:p>
        </w:tc>
        <w:tc>
          <w:tcPr>
            <w:tcW w:w="1190" w:type="dxa"/>
            <w:tcBorders>
              <w:top w:val="nil"/>
              <w:left w:val="nil"/>
              <w:bottom w:val="single" w:sz="4" w:space="0" w:color="auto"/>
              <w:right w:val="single" w:sz="4" w:space="0" w:color="auto"/>
            </w:tcBorders>
            <w:noWrap/>
          </w:tcPr>
          <w:p>
            <w:pPr>
              <w:rPr>
                <w:noProof/>
              </w:rPr>
            </w:pPr>
            <w:r>
              <w:rPr>
                <w:noProof/>
                <w:sz w:val="14"/>
                <w:szCs w:val="14"/>
              </w:rPr>
              <w:t>pm</w:t>
            </w:r>
          </w:p>
        </w:tc>
        <w:tc>
          <w:tcPr>
            <w:tcW w:w="1144" w:type="dxa"/>
            <w:tcBorders>
              <w:top w:val="nil"/>
              <w:left w:val="nil"/>
              <w:bottom w:val="single" w:sz="4" w:space="0" w:color="auto"/>
              <w:right w:val="single" w:sz="4" w:space="0" w:color="auto"/>
            </w:tcBorders>
            <w:noWrap/>
          </w:tcPr>
          <w:p>
            <w:pPr>
              <w:rPr>
                <w:noProof/>
              </w:rPr>
            </w:pPr>
            <w:r>
              <w:rPr>
                <w:noProof/>
                <w:sz w:val="14"/>
                <w:szCs w:val="14"/>
              </w:rPr>
              <w:t>pm</w:t>
            </w:r>
          </w:p>
        </w:tc>
        <w:tc>
          <w:tcPr>
            <w:tcW w:w="1144" w:type="dxa"/>
            <w:tcBorders>
              <w:top w:val="nil"/>
              <w:left w:val="nil"/>
              <w:bottom w:val="single" w:sz="4" w:space="0" w:color="auto"/>
              <w:right w:val="single" w:sz="4" w:space="0" w:color="auto"/>
            </w:tcBorders>
            <w:noWrap/>
          </w:tcPr>
          <w:p>
            <w:pPr>
              <w:rPr>
                <w:noProof/>
              </w:rPr>
            </w:pPr>
            <w:r>
              <w:rPr>
                <w:noProof/>
                <w:sz w:val="14"/>
                <w:szCs w:val="14"/>
              </w:rPr>
              <w:t>pm</w:t>
            </w:r>
          </w:p>
        </w:tc>
        <w:tc>
          <w:tcPr>
            <w:tcW w:w="1187" w:type="dxa"/>
            <w:tcBorders>
              <w:top w:val="nil"/>
              <w:left w:val="nil"/>
              <w:bottom w:val="single" w:sz="4" w:space="0" w:color="auto"/>
              <w:right w:val="single" w:sz="4" w:space="0" w:color="auto"/>
            </w:tcBorders>
            <w:noWrap/>
          </w:tcPr>
          <w:p>
            <w:pPr>
              <w:rPr>
                <w:noProof/>
              </w:rPr>
            </w:pPr>
            <w:r>
              <w:rPr>
                <w:noProof/>
                <w:sz w:val="14"/>
                <w:szCs w:val="14"/>
              </w:rPr>
              <w:t>pm</w:t>
            </w:r>
          </w:p>
        </w:tc>
        <w:tc>
          <w:tcPr>
            <w:tcW w:w="1175" w:type="dxa"/>
            <w:tcBorders>
              <w:top w:val="nil"/>
              <w:left w:val="nil"/>
              <w:bottom w:val="single" w:sz="4" w:space="0" w:color="auto"/>
              <w:right w:val="single" w:sz="4" w:space="0" w:color="auto"/>
            </w:tcBorders>
            <w:noWrap/>
          </w:tcPr>
          <w:p>
            <w:pPr>
              <w:rPr>
                <w:noProof/>
              </w:rPr>
            </w:pPr>
            <w:r>
              <w:rPr>
                <w:noProof/>
                <w:sz w:val="14"/>
                <w:szCs w:val="14"/>
              </w:rPr>
              <w:t>pm</w:t>
            </w:r>
          </w:p>
        </w:tc>
        <w:tc>
          <w:tcPr>
            <w:tcW w:w="1174" w:type="dxa"/>
            <w:tcBorders>
              <w:top w:val="nil"/>
              <w:left w:val="nil"/>
              <w:bottom w:val="single" w:sz="4" w:space="0" w:color="auto"/>
              <w:right w:val="single" w:sz="4" w:space="0" w:color="auto"/>
            </w:tcBorders>
            <w:noWrap/>
          </w:tcPr>
          <w:p>
            <w:pPr>
              <w:rPr>
                <w:noProof/>
              </w:rPr>
            </w:pPr>
            <w:r>
              <w:rPr>
                <w:noProof/>
                <w:sz w:val="14"/>
                <w:szCs w:val="14"/>
              </w:rPr>
              <w:t>pm</w:t>
            </w:r>
          </w:p>
        </w:tc>
        <w:tc>
          <w:tcPr>
            <w:tcW w:w="1174" w:type="dxa"/>
            <w:tcBorders>
              <w:top w:val="nil"/>
              <w:left w:val="nil"/>
              <w:bottom w:val="single" w:sz="4" w:space="0" w:color="auto"/>
              <w:right w:val="single" w:sz="4" w:space="0" w:color="auto"/>
            </w:tcBorders>
            <w:noWrap/>
          </w:tcPr>
          <w:p>
            <w:pPr>
              <w:rPr>
                <w:noProof/>
              </w:rPr>
            </w:pPr>
            <w:r>
              <w:rPr>
                <w:noProof/>
                <w:sz w:val="14"/>
                <w:szCs w:val="14"/>
              </w:rPr>
              <w:t>pm</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Nemecko</w:t>
            </w:r>
          </w:p>
        </w:tc>
        <w:tc>
          <w:tcPr>
            <w:tcW w:w="1190" w:type="dxa"/>
            <w:tcBorders>
              <w:top w:val="nil"/>
              <w:left w:val="nil"/>
              <w:bottom w:val="single" w:sz="4" w:space="0" w:color="auto"/>
              <w:right w:val="single" w:sz="4" w:space="0" w:color="auto"/>
            </w:tcBorders>
            <w:noWrap/>
          </w:tcPr>
          <w:p>
            <w:pPr>
              <w:rPr>
                <w:noProof/>
              </w:rPr>
            </w:pPr>
            <w:r>
              <w:rPr>
                <w:noProof/>
                <w:sz w:val="14"/>
                <w:szCs w:val="14"/>
              </w:rPr>
              <w:t>pm</w:t>
            </w:r>
          </w:p>
        </w:tc>
        <w:tc>
          <w:tcPr>
            <w:tcW w:w="1144" w:type="dxa"/>
            <w:tcBorders>
              <w:top w:val="nil"/>
              <w:left w:val="nil"/>
              <w:bottom w:val="single" w:sz="4" w:space="0" w:color="auto"/>
              <w:right w:val="single" w:sz="4" w:space="0" w:color="auto"/>
            </w:tcBorders>
            <w:noWrap/>
          </w:tcPr>
          <w:p>
            <w:pPr>
              <w:rPr>
                <w:noProof/>
              </w:rPr>
            </w:pPr>
            <w:r>
              <w:rPr>
                <w:noProof/>
                <w:sz w:val="14"/>
                <w:szCs w:val="14"/>
              </w:rPr>
              <w:t>pm</w:t>
            </w:r>
          </w:p>
        </w:tc>
        <w:tc>
          <w:tcPr>
            <w:tcW w:w="1144" w:type="dxa"/>
            <w:tcBorders>
              <w:top w:val="nil"/>
              <w:left w:val="nil"/>
              <w:bottom w:val="single" w:sz="4" w:space="0" w:color="auto"/>
              <w:right w:val="single" w:sz="4" w:space="0" w:color="auto"/>
            </w:tcBorders>
            <w:noWrap/>
          </w:tcPr>
          <w:p>
            <w:pPr>
              <w:rPr>
                <w:noProof/>
              </w:rPr>
            </w:pPr>
            <w:r>
              <w:rPr>
                <w:noProof/>
                <w:sz w:val="14"/>
                <w:szCs w:val="14"/>
              </w:rPr>
              <w:t>pm</w:t>
            </w:r>
          </w:p>
        </w:tc>
        <w:tc>
          <w:tcPr>
            <w:tcW w:w="1187" w:type="dxa"/>
            <w:tcBorders>
              <w:top w:val="nil"/>
              <w:left w:val="nil"/>
              <w:bottom w:val="single" w:sz="4" w:space="0" w:color="auto"/>
              <w:right w:val="single" w:sz="4" w:space="0" w:color="auto"/>
            </w:tcBorders>
            <w:noWrap/>
          </w:tcPr>
          <w:p>
            <w:pPr>
              <w:rPr>
                <w:noProof/>
              </w:rPr>
            </w:pPr>
            <w:r>
              <w:rPr>
                <w:noProof/>
                <w:sz w:val="14"/>
                <w:szCs w:val="14"/>
              </w:rPr>
              <w:t>pm</w:t>
            </w:r>
          </w:p>
        </w:tc>
        <w:tc>
          <w:tcPr>
            <w:tcW w:w="1175" w:type="dxa"/>
            <w:tcBorders>
              <w:top w:val="nil"/>
              <w:left w:val="nil"/>
              <w:bottom w:val="single" w:sz="4" w:space="0" w:color="auto"/>
              <w:right w:val="single" w:sz="4" w:space="0" w:color="auto"/>
            </w:tcBorders>
            <w:noWrap/>
          </w:tcPr>
          <w:p>
            <w:pPr>
              <w:rPr>
                <w:noProof/>
              </w:rPr>
            </w:pPr>
            <w:r>
              <w:rPr>
                <w:noProof/>
                <w:sz w:val="14"/>
                <w:szCs w:val="14"/>
              </w:rPr>
              <w:t>pm</w:t>
            </w:r>
          </w:p>
        </w:tc>
        <w:tc>
          <w:tcPr>
            <w:tcW w:w="1174" w:type="dxa"/>
            <w:tcBorders>
              <w:top w:val="nil"/>
              <w:left w:val="nil"/>
              <w:bottom w:val="single" w:sz="4" w:space="0" w:color="auto"/>
              <w:right w:val="single" w:sz="4" w:space="0" w:color="auto"/>
            </w:tcBorders>
            <w:noWrap/>
          </w:tcPr>
          <w:p>
            <w:pPr>
              <w:rPr>
                <w:noProof/>
              </w:rPr>
            </w:pPr>
            <w:r>
              <w:rPr>
                <w:noProof/>
                <w:sz w:val="14"/>
                <w:szCs w:val="14"/>
              </w:rPr>
              <w:t>pm</w:t>
            </w:r>
          </w:p>
        </w:tc>
        <w:tc>
          <w:tcPr>
            <w:tcW w:w="1174" w:type="dxa"/>
            <w:tcBorders>
              <w:top w:val="nil"/>
              <w:left w:val="nil"/>
              <w:bottom w:val="single" w:sz="4" w:space="0" w:color="auto"/>
              <w:right w:val="single" w:sz="4" w:space="0" w:color="auto"/>
            </w:tcBorders>
            <w:noWrap/>
          </w:tcPr>
          <w:p>
            <w:pPr>
              <w:rPr>
                <w:noProof/>
              </w:rPr>
            </w:pPr>
            <w:r>
              <w:rPr>
                <w:noProof/>
                <w:sz w:val="14"/>
                <w:szCs w:val="14"/>
              </w:rPr>
              <w:t>pm</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Švédsko</w:t>
            </w:r>
          </w:p>
        </w:tc>
        <w:tc>
          <w:tcPr>
            <w:tcW w:w="1190" w:type="dxa"/>
            <w:tcBorders>
              <w:top w:val="nil"/>
              <w:left w:val="nil"/>
              <w:bottom w:val="single" w:sz="4" w:space="0" w:color="auto"/>
              <w:right w:val="single" w:sz="4" w:space="0" w:color="auto"/>
            </w:tcBorders>
            <w:noWrap/>
          </w:tcPr>
          <w:p>
            <w:pPr>
              <w:rPr>
                <w:noProof/>
              </w:rPr>
            </w:pPr>
            <w:r>
              <w:rPr>
                <w:noProof/>
                <w:sz w:val="14"/>
                <w:szCs w:val="14"/>
              </w:rPr>
              <w:t>pm</w:t>
            </w:r>
          </w:p>
        </w:tc>
        <w:tc>
          <w:tcPr>
            <w:tcW w:w="1144" w:type="dxa"/>
            <w:tcBorders>
              <w:top w:val="nil"/>
              <w:left w:val="nil"/>
              <w:bottom w:val="single" w:sz="4" w:space="0" w:color="auto"/>
              <w:right w:val="single" w:sz="4" w:space="0" w:color="auto"/>
            </w:tcBorders>
            <w:noWrap/>
          </w:tcPr>
          <w:p>
            <w:pPr>
              <w:rPr>
                <w:noProof/>
              </w:rPr>
            </w:pPr>
            <w:r>
              <w:rPr>
                <w:noProof/>
                <w:sz w:val="14"/>
                <w:szCs w:val="14"/>
              </w:rPr>
              <w:t>pm</w:t>
            </w:r>
          </w:p>
        </w:tc>
        <w:tc>
          <w:tcPr>
            <w:tcW w:w="1144" w:type="dxa"/>
            <w:tcBorders>
              <w:top w:val="nil"/>
              <w:left w:val="nil"/>
              <w:bottom w:val="single" w:sz="4" w:space="0" w:color="auto"/>
              <w:right w:val="single" w:sz="4" w:space="0" w:color="auto"/>
            </w:tcBorders>
            <w:noWrap/>
          </w:tcPr>
          <w:p>
            <w:pPr>
              <w:rPr>
                <w:noProof/>
              </w:rPr>
            </w:pPr>
            <w:r>
              <w:rPr>
                <w:noProof/>
                <w:sz w:val="14"/>
                <w:szCs w:val="14"/>
              </w:rPr>
              <w:t>pm</w:t>
            </w:r>
          </w:p>
        </w:tc>
        <w:tc>
          <w:tcPr>
            <w:tcW w:w="1187" w:type="dxa"/>
            <w:tcBorders>
              <w:top w:val="nil"/>
              <w:left w:val="nil"/>
              <w:bottom w:val="single" w:sz="4" w:space="0" w:color="auto"/>
              <w:right w:val="single" w:sz="4" w:space="0" w:color="auto"/>
            </w:tcBorders>
            <w:noWrap/>
          </w:tcPr>
          <w:p>
            <w:pPr>
              <w:rPr>
                <w:noProof/>
              </w:rPr>
            </w:pPr>
            <w:r>
              <w:rPr>
                <w:noProof/>
                <w:sz w:val="14"/>
                <w:szCs w:val="14"/>
              </w:rPr>
              <w:t>pm</w:t>
            </w:r>
          </w:p>
        </w:tc>
        <w:tc>
          <w:tcPr>
            <w:tcW w:w="1175" w:type="dxa"/>
            <w:tcBorders>
              <w:top w:val="nil"/>
              <w:left w:val="nil"/>
              <w:bottom w:val="single" w:sz="4" w:space="0" w:color="auto"/>
              <w:right w:val="single" w:sz="4" w:space="0" w:color="auto"/>
            </w:tcBorders>
            <w:noWrap/>
          </w:tcPr>
          <w:p>
            <w:pPr>
              <w:rPr>
                <w:noProof/>
              </w:rPr>
            </w:pPr>
            <w:r>
              <w:rPr>
                <w:noProof/>
                <w:sz w:val="14"/>
                <w:szCs w:val="14"/>
              </w:rPr>
              <w:t>pm</w:t>
            </w:r>
          </w:p>
        </w:tc>
        <w:tc>
          <w:tcPr>
            <w:tcW w:w="1174" w:type="dxa"/>
            <w:tcBorders>
              <w:top w:val="nil"/>
              <w:left w:val="nil"/>
              <w:bottom w:val="single" w:sz="4" w:space="0" w:color="auto"/>
              <w:right w:val="single" w:sz="4" w:space="0" w:color="auto"/>
            </w:tcBorders>
            <w:noWrap/>
          </w:tcPr>
          <w:p>
            <w:pPr>
              <w:rPr>
                <w:noProof/>
              </w:rPr>
            </w:pPr>
            <w:r>
              <w:rPr>
                <w:noProof/>
                <w:sz w:val="14"/>
                <w:szCs w:val="14"/>
              </w:rPr>
              <w:t>pm</w:t>
            </w:r>
          </w:p>
        </w:tc>
        <w:tc>
          <w:tcPr>
            <w:tcW w:w="1174" w:type="dxa"/>
            <w:tcBorders>
              <w:top w:val="nil"/>
              <w:left w:val="nil"/>
              <w:bottom w:val="single" w:sz="4" w:space="0" w:color="auto"/>
              <w:right w:val="single" w:sz="4" w:space="0" w:color="auto"/>
            </w:tcBorders>
            <w:noWrap/>
          </w:tcPr>
          <w:p>
            <w:pPr>
              <w:rPr>
                <w:noProof/>
              </w:rPr>
            </w:pPr>
            <w:r>
              <w:rPr>
                <w:noProof/>
                <w:sz w:val="14"/>
                <w:szCs w:val="14"/>
              </w:rPr>
              <w:t>pm</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Únia</w:t>
            </w:r>
          </w:p>
        </w:tc>
        <w:tc>
          <w:tcPr>
            <w:tcW w:w="1190" w:type="dxa"/>
            <w:tcBorders>
              <w:top w:val="nil"/>
              <w:left w:val="nil"/>
              <w:bottom w:val="single" w:sz="4" w:space="0" w:color="auto"/>
              <w:right w:val="single" w:sz="4" w:space="0" w:color="auto"/>
            </w:tcBorders>
            <w:noWrap/>
          </w:tcPr>
          <w:p>
            <w:pPr>
              <w:rPr>
                <w:noProof/>
              </w:rPr>
            </w:pPr>
            <w:r>
              <w:rPr>
                <w:noProof/>
                <w:sz w:val="14"/>
                <w:szCs w:val="14"/>
              </w:rPr>
              <w:t>pm</w:t>
            </w:r>
          </w:p>
        </w:tc>
        <w:tc>
          <w:tcPr>
            <w:tcW w:w="1144" w:type="dxa"/>
            <w:tcBorders>
              <w:top w:val="nil"/>
              <w:left w:val="nil"/>
              <w:bottom w:val="single" w:sz="4" w:space="0" w:color="auto"/>
              <w:right w:val="single" w:sz="4" w:space="0" w:color="auto"/>
            </w:tcBorders>
            <w:noWrap/>
          </w:tcPr>
          <w:p>
            <w:pPr>
              <w:rPr>
                <w:noProof/>
              </w:rPr>
            </w:pPr>
            <w:r>
              <w:rPr>
                <w:noProof/>
                <w:sz w:val="14"/>
                <w:szCs w:val="14"/>
              </w:rPr>
              <w:t>pm</w:t>
            </w:r>
          </w:p>
        </w:tc>
        <w:tc>
          <w:tcPr>
            <w:tcW w:w="1144" w:type="dxa"/>
            <w:tcBorders>
              <w:top w:val="nil"/>
              <w:left w:val="nil"/>
              <w:bottom w:val="single" w:sz="4" w:space="0" w:color="auto"/>
              <w:right w:val="single" w:sz="4" w:space="0" w:color="auto"/>
            </w:tcBorders>
            <w:noWrap/>
          </w:tcPr>
          <w:p>
            <w:pPr>
              <w:rPr>
                <w:noProof/>
              </w:rPr>
            </w:pPr>
            <w:r>
              <w:rPr>
                <w:noProof/>
                <w:sz w:val="14"/>
                <w:szCs w:val="14"/>
              </w:rPr>
              <w:t>pm</w:t>
            </w:r>
          </w:p>
        </w:tc>
        <w:tc>
          <w:tcPr>
            <w:tcW w:w="1187" w:type="dxa"/>
            <w:tcBorders>
              <w:top w:val="nil"/>
              <w:left w:val="nil"/>
              <w:bottom w:val="single" w:sz="4" w:space="0" w:color="auto"/>
              <w:right w:val="single" w:sz="4" w:space="0" w:color="auto"/>
            </w:tcBorders>
            <w:noWrap/>
          </w:tcPr>
          <w:p>
            <w:pPr>
              <w:rPr>
                <w:noProof/>
              </w:rPr>
            </w:pPr>
            <w:r>
              <w:rPr>
                <w:noProof/>
                <w:sz w:val="14"/>
                <w:szCs w:val="14"/>
              </w:rPr>
              <w:t>pm</w:t>
            </w:r>
          </w:p>
        </w:tc>
        <w:tc>
          <w:tcPr>
            <w:tcW w:w="1175" w:type="dxa"/>
            <w:tcBorders>
              <w:top w:val="nil"/>
              <w:left w:val="nil"/>
              <w:bottom w:val="single" w:sz="4" w:space="0" w:color="auto"/>
              <w:right w:val="single" w:sz="4" w:space="0" w:color="auto"/>
            </w:tcBorders>
            <w:noWrap/>
          </w:tcPr>
          <w:p>
            <w:pPr>
              <w:rPr>
                <w:noProof/>
              </w:rPr>
            </w:pPr>
            <w:r>
              <w:rPr>
                <w:noProof/>
                <w:sz w:val="14"/>
                <w:szCs w:val="14"/>
              </w:rPr>
              <w:t>pm</w:t>
            </w:r>
          </w:p>
        </w:tc>
        <w:tc>
          <w:tcPr>
            <w:tcW w:w="1174" w:type="dxa"/>
            <w:tcBorders>
              <w:top w:val="nil"/>
              <w:left w:val="nil"/>
              <w:bottom w:val="single" w:sz="4" w:space="0" w:color="auto"/>
              <w:right w:val="single" w:sz="4" w:space="0" w:color="auto"/>
            </w:tcBorders>
            <w:noWrap/>
          </w:tcPr>
          <w:p>
            <w:pPr>
              <w:rPr>
                <w:noProof/>
              </w:rPr>
            </w:pPr>
            <w:r>
              <w:rPr>
                <w:noProof/>
                <w:sz w:val="14"/>
                <w:szCs w:val="14"/>
              </w:rPr>
              <w:t>pm</w:t>
            </w:r>
          </w:p>
        </w:tc>
        <w:tc>
          <w:tcPr>
            <w:tcW w:w="1174" w:type="dxa"/>
            <w:tcBorders>
              <w:top w:val="nil"/>
              <w:left w:val="nil"/>
              <w:bottom w:val="single" w:sz="4" w:space="0" w:color="auto"/>
              <w:right w:val="single" w:sz="4" w:space="0" w:color="auto"/>
            </w:tcBorders>
            <w:noWrap/>
          </w:tcPr>
          <w:p>
            <w:pPr>
              <w:rPr>
                <w:noProof/>
              </w:rPr>
            </w:pPr>
            <w:r>
              <w:rPr>
                <w:noProof/>
                <w:sz w:val="14"/>
                <w:szCs w:val="14"/>
              </w:rPr>
              <w:t>pm</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 </w:t>
            </w:r>
          </w:p>
        </w:tc>
        <w:tc>
          <w:tcPr>
            <w:tcW w:w="1190" w:type="dxa"/>
            <w:tcBorders>
              <w:top w:val="nil"/>
              <w:left w:val="nil"/>
              <w:bottom w:val="single" w:sz="4" w:space="0" w:color="auto"/>
              <w:right w:val="single" w:sz="4" w:space="0" w:color="auto"/>
            </w:tcBorders>
            <w:noWrap/>
            <w:hideMark/>
          </w:tcPr>
          <w:p>
            <w:pPr>
              <w:spacing w:after="0"/>
              <w:jc w:val="right"/>
              <w:rPr>
                <w:rFonts w:eastAsia="Times New Roman"/>
                <w:noProof/>
                <w:sz w:val="14"/>
                <w:szCs w:val="14"/>
              </w:rPr>
            </w:pPr>
            <w:r>
              <w:rPr>
                <w:noProof/>
                <w:sz w:val="14"/>
                <w:szCs w:val="14"/>
              </w:rPr>
              <w:t> </w:t>
            </w:r>
          </w:p>
        </w:tc>
        <w:tc>
          <w:tcPr>
            <w:tcW w:w="114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4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87"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75"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7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7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 </w:t>
            </w:r>
          </w:p>
        </w:tc>
        <w:tc>
          <w:tcPr>
            <w:tcW w:w="1190" w:type="dxa"/>
            <w:tcBorders>
              <w:top w:val="nil"/>
              <w:left w:val="nil"/>
              <w:bottom w:val="single" w:sz="4" w:space="0" w:color="auto"/>
              <w:right w:val="single" w:sz="4" w:space="0" w:color="auto"/>
            </w:tcBorders>
            <w:noWrap/>
            <w:hideMark/>
          </w:tcPr>
          <w:p>
            <w:pPr>
              <w:spacing w:after="0"/>
              <w:jc w:val="right"/>
              <w:rPr>
                <w:rFonts w:eastAsia="Times New Roman"/>
                <w:noProof/>
                <w:sz w:val="14"/>
                <w:szCs w:val="14"/>
              </w:rPr>
            </w:pPr>
            <w:r>
              <w:rPr>
                <w:noProof/>
                <w:sz w:val="14"/>
                <w:szCs w:val="14"/>
              </w:rPr>
              <w:t> </w:t>
            </w:r>
          </w:p>
        </w:tc>
        <w:tc>
          <w:tcPr>
            <w:tcW w:w="114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4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87"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75"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7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c>
          <w:tcPr>
            <w:tcW w:w="1174" w:type="dxa"/>
            <w:tcBorders>
              <w:top w:val="nil"/>
              <w:left w:val="nil"/>
              <w:bottom w:val="single" w:sz="4" w:space="0" w:color="auto"/>
              <w:right w:val="single" w:sz="4" w:space="0" w:color="auto"/>
            </w:tcBorders>
            <w:noWrap/>
            <w:hideMark/>
          </w:tcPr>
          <w:p>
            <w:pPr>
              <w:spacing w:after="0"/>
              <w:jc w:val="right"/>
              <w:rPr>
                <w:rFonts w:eastAsia="Times New Roman"/>
                <w:noProof/>
                <w:color w:val="000000"/>
                <w:sz w:val="14"/>
                <w:szCs w:val="14"/>
              </w:rPr>
            </w:pPr>
            <w:r>
              <w:rPr>
                <w:noProof/>
                <w:sz w:val="14"/>
                <w:szCs w:val="14"/>
              </w:rPr>
              <w:t> </w:t>
            </w:r>
          </w:p>
        </w:tc>
      </w:tr>
      <w:tr>
        <w:trPr>
          <w:trHeight w:val="255"/>
        </w:trPr>
        <w:tc>
          <w:tcPr>
            <w:tcW w:w="993" w:type="dxa"/>
            <w:tcBorders>
              <w:top w:val="nil"/>
              <w:left w:val="single" w:sz="4" w:space="0" w:color="auto"/>
              <w:bottom w:val="single" w:sz="4" w:space="0" w:color="auto"/>
              <w:right w:val="single" w:sz="4" w:space="0" w:color="auto"/>
            </w:tcBorders>
            <w:noWrap/>
            <w:hideMark/>
          </w:tcPr>
          <w:p>
            <w:pPr>
              <w:spacing w:after="0"/>
              <w:rPr>
                <w:rFonts w:eastAsia="Times New Roman"/>
                <w:noProof/>
                <w:color w:val="000000"/>
                <w:sz w:val="14"/>
                <w:szCs w:val="14"/>
              </w:rPr>
            </w:pPr>
            <w:r>
              <w:rPr>
                <w:noProof/>
                <w:sz w:val="14"/>
                <w:szCs w:val="14"/>
              </w:rPr>
              <w:t>Spolu</w:t>
            </w:r>
          </w:p>
        </w:tc>
        <w:tc>
          <w:tcPr>
            <w:tcW w:w="1190" w:type="dxa"/>
            <w:tcBorders>
              <w:top w:val="nil"/>
              <w:left w:val="nil"/>
              <w:bottom w:val="single" w:sz="4" w:space="0" w:color="auto"/>
              <w:right w:val="single" w:sz="4" w:space="0" w:color="auto"/>
            </w:tcBorders>
            <w:noWrap/>
            <w:hideMark/>
          </w:tcPr>
          <w:p>
            <w:pPr>
              <w:rPr>
                <w:noProof/>
              </w:rPr>
            </w:pPr>
            <w:r>
              <w:rPr>
                <w:noProof/>
                <w:sz w:val="14"/>
                <w:szCs w:val="14"/>
              </w:rPr>
              <w:t>pm</w:t>
            </w:r>
          </w:p>
        </w:tc>
        <w:tc>
          <w:tcPr>
            <w:tcW w:w="1144" w:type="dxa"/>
            <w:tcBorders>
              <w:top w:val="nil"/>
              <w:left w:val="nil"/>
              <w:bottom w:val="single" w:sz="4" w:space="0" w:color="auto"/>
              <w:right w:val="single" w:sz="4" w:space="0" w:color="auto"/>
            </w:tcBorders>
            <w:noWrap/>
            <w:hideMark/>
          </w:tcPr>
          <w:p>
            <w:pPr>
              <w:rPr>
                <w:noProof/>
              </w:rPr>
            </w:pPr>
            <w:r>
              <w:rPr>
                <w:noProof/>
                <w:sz w:val="14"/>
                <w:szCs w:val="14"/>
              </w:rPr>
              <w:t>pm</w:t>
            </w:r>
          </w:p>
        </w:tc>
        <w:tc>
          <w:tcPr>
            <w:tcW w:w="1144" w:type="dxa"/>
            <w:tcBorders>
              <w:top w:val="nil"/>
              <w:left w:val="nil"/>
              <w:bottom w:val="single" w:sz="4" w:space="0" w:color="auto"/>
              <w:right w:val="single" w:sz="4" w:space="0" w:color="auto"/>
            </w:tcBorders>
            <w:noWrap/>
            <w:hideMark/>
          </w:tcPr>
          <w:p>
            <w:pPr>
              <w:rPr>
                <w:noProof/>
              </w:rPr>
            </w:pPr>
            <w:r>
              <w:rPr>
                <w:noProof/>
                <w:sz w:val="14"/>
                <w:szCs w:val="14"/>
              </w:rPr>
              <w:t>pm</w:t>
            </w:r>
          </w:p>
        </w:tc>
        <w:tc>
          <w:tcPr>
            <w:tcW w:w="1187" w:type="dxa"/>
            <w:tcBorders>
              <w:top w:val="nil"/>
              <w:left w:val="nil"/>
              <w:bottom w:val="single" w:sz="4" w:space="0" w:color="auto"/>
              <w:right w:val="single" w:sz="4" w:space="0" w:color="auto"/>
            </w:tcBorders>
            <w:noWrap/>
            <w:hideMark/>
          </w:tcPr>
          <w:p>
            <w:pPr>
              <w:rPr>
                <w:noProof/>
              </w:rPr>
            </w:pPr>
            <w:r>
              <w:rPr>
                <w:noProof/>
                <w:sz w:val="14"/>
                <w:szCs w:val="14"/>
              </w:rPr>
              <w:t>pm</w:t>
            </w:r>
          </w:p>
        </w:tc>
        <w:tc>
          <w:tcPr>
            <w:tcW w:w="1175" w:type="dxa"/>
            <w:tcBorders>
              <w:top w:val="nil"/>
              <w:left w:val="nil"/>
              <w:bottom w:val="single" w:sz="4" w:space="0" w:color="auto"/>
              <w:right w:val="single" w:sz="4" w:space="0" w:color="auto"/>
            </w:tcBorders>
            <w:noWrap/>
            <w:hideMark/>
          </w:tcPr>
          <w:p>
            <w:pPr>
              <w:rPr>
                <w:noProof/>
              </w:rPr>
            </w:pPr>
            <w:r>
              <w:rPr>
                <w:noProof/>
                <w:sz w:val="14"/>
                <w:szCs w:val="14"/>
              </w:rPr>
              <w:t>pm</w:t>
            </w:r>
          </w:p>
        </w:tc>
        <w:tc>
          <w:tcPr>
            <w:tcW w:w="1174" w:type="dxa"/>
            <w:tcBorders>
              <w:top w:val="nil"/>
              <w:left w:val="nil"/>
              <w:bottom w:val="single" w:sz="4" w:space="0" w:color="auto"/>
              <w:right w:val="single" w:sz="4" w:space="0" w:color="auto"/>
            </w:tcBorders>
            <w:noWrap/>
            <w:hideMark/>
          </w:tcPr>
          <w:p>
            <w:pPr>
              <w:rPr>
                <w:noProof/>
              </w:rPr>
            </w:pPr>
            <w:r>
              <w:rPr>
                <w:noProof/>
                <w:sz w:val="14"/>
                <w:szCs w:val="14"/>
              </w:rPr>
              <w:t>pm</w:t>
            </w:r>
          </w:p>
        </w:tc>
        <w:tc>
          <w:tcPr>
            <w:tcW w:w="1174" w:type="dxa"/>
            <w:tcBorders>
              <w:top w:val="nil"/>
              <w:left w:val="nil"/>
              <w:bottom w:val="single" w:sz="4" w:space="0" w:color="auto"/>
              <w:right w:val="single" w:sz="4" w:space="0" w:color="auto"/>
            </w:tcBorders>
            <w:noWrap/>
            <w:hideMark/>
          </w:tcPr>
          <w:p>
            <w:pPr>
              <w:rPr>
                <w:noProof/>
              </w:rPr>
            </w:pPr>
            <w:r>
              <w:rPr>
                <w:noProof/>
                <w:sz w:val="14"/>
                <w:szCs w:val="14"/>
              </w:rPr>
              <w:t>pm</w:t>
            </w:r>
          </w:p>
        </w:tc>
      </w:tr>
      <w:tr>
        <w:trPr>
          <w:trHeight w:val="270"/>
        </w:trPr>
        <w:tc>
          <w:tcPr>
            <w:tcW w:w="9181" w:type="dxa"/>
            <w:gridSpan w:val="8"/>
            <w:tcBorders>
              <w:top w:val="nil"/>
              <w:left w:val="nil"/>
              <w:bottom w:val="single" w:sz="8" w:space="0" w:color="000000"/>
              <w:right w:val="nil"/>
            </w:tcBorders>
            <w:noWrap/>
            <w:hideMark/>
          </w:tcPr>
          <w:p>
            <w:pPr>
              <w:rPr>
                <w:rFonts w:eastAsia="Times New Roman"/>
                <w:noProof/>
                <w:color w:val="000000"/>
                <w:sz w:val="18"/>
                <w:szCs w:val="18"/>
                <w:vertAlign w:val="superscript"/>
              </w:rPr>
            </w:pPr>
            <w:r>
              <w:rPr>
                <w:noProof/>
                <w:sz w:val="18"/>
                <w:szCs w:val="18"/>
                <w:vertAlign w:val="superscript"/>
              </w:rPr>
              <w:t> (1) V oblasti hospodárenia 2r sa môže TAC loviť iba ako TAC na účely monitorovania s pripojeným protokolom odberu vzoriek za rybolov. </w:t>
            </w:r>
          </w:p>
        </w:tc>
      </w:tr>
    </w:tbl>
    <w:p>
      <w:pPr>
        <w:pStyle w:val="Point0"/>
        <w:rPr>
          <w:noProof/>
        </w:rPr>
      </w:pPr>
      <w:r>
        <w:rPr>
          <w:noProof/>
        </w:rPr>
        <w:t>4.</w:t>
      </w:r>
      <w:r>
        <w:rPr>
          <w:noProof/>
        </w:rPr>
        <w:tab/>
        <w:t xml:space="preserve">Príloha ID, ktorá sa týka oblasti dohovoru ICCAT, sa mení takto: </w:t>
      </w:r>
    </w:p>
    <w:p>
      <w:pPr>
        <w:pStyle w:val="Point2"/>
        <w:rPr>
          <w:noProof/>
        </w:rPr>
      </w:pPr>
      <w:r>
        <w:rPr>
          <w:noProof/>
        </w:rPr>
        <w:t>a)</w:t>
      </w:r>
      <w:r>
        <w:rPr>
          <w:noProof/>
        </w:rPr>
        <w:tab/>
        <w:t>Vkladá sa táto tabuľka rybolovných možností pre tuniaka pruhovaného v Atlantickom oceáne:</w:t>
      </w:r>
    </w:p>
    <w:p>
      <w:pPr>
        <w:pStyle w:val="Text1"/>
        <w:ind w:left="0"/>
        <w:jc w:val="left"/>
        <w:rPr>
          <w:noProof/>
        </w:rPr>
      </w:pPr>
    </w:p>
    <w:tbl>
      <w:tblPr>
        <w:tblW w:w="5047" w:type="pct"/>
        <w:tblLook w:val="06A0" w:firstRow="1" w:lastRow="0" w:firstColumn="1" w:lastColumn="0" w:noHBand="1" w:noVBand="1"/>
      </w:tblPr>
      <w:tblGrid>
        <w:gridCol w:w="815"/>
        <w:gridCol w:w="803"/>
        <w:gridCol w:w="1553"/>
        <w:gridCol w:w="1255"/>
        <w:gridCol w:w="1288"/>
        <w:gridCol w:w="3662"/>
      </w:tblGrid>
      <w:tr>
        <w:trPr>
          <w:trHeight w:val="227"/>
        </w:trPr>
        <w:tc>
          <w:tcPr>
            <w:tcW w:w="435"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Druh:</w:t>
            </w:r>
          </w:p>
        </w:tc>
        <w:tc>
          <w:tcPr>
            <w:tcW w:w="1925"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tuniak pruhovaný</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Katsuwonus pelamis</w:t>
            </w:r>
          </w:p>
        </w:tc>
        <w:tc>
          <w:tcPr>
            <w:tcW w:w="687" w:type="pct"/>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Zóna:</w:t>
            </w:r>
          </w:p>
        </w:tc>
        <w:tc>
          <w:tcPr>
            <w:tcW w:w="1952"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Atlantický oceán</w:t>
            </w:r>
          </w:p>
          <w:p>
            <w:pPr>
              <w:spacing w:before="60" w:after="60"/>
              <w:rPr>
                <w:rFonts w:asciiTheme="majorBidi" w:hAnsiTheme="majorBidi" w:cstheme="majorBidi"/>
                <w:noProof/>
                <w:sz w:val="18"/>
                <w:szCs w:val="18"/>
              </w:rPr>
            </w:pPr>
            <w:r>
              <w:rPr>
                <w:rFonts w:asciiTheme="majorBidi" w:hAnsiTheme="majorBidi"/>
                <w:noProof/>
                <w:sz w:val="18"/>
                <w:szCs w:val="18"/>
              </w:rPr>
              <w:t>(SKJ/ATLANT)</w:t>
            </w:r>
          </w:p>
        </w:tc>
      </w:tr>
      <w:tr>
        <w:trPr>
          <w:trHeight w:val="227"/>
        </w:trPr>
        <w:tc>
          <w:tcPr>
            <w:tcW w:w="863"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828" w:type="pct"/>
            <w:tcBorders>
              <w:top w:val="single" w:sz="8" w:space="0" w:color="auto"/>
            </w:tcBorders>
            <w:hideMark/>
          </w:tcPr>
          <w:p>
            <w:pPr>
              <w:spacing w:after="0"/>
              <w:jc w:val="left"/>
              <w:rPr>
                <w:rFonts w:eastAsia="Times New Roman"/>
                <w:noProof/>
                <w:color w:val="000000"/>
                <w:sz w:val="18"/>
                <w:szCs w:val="18"/>
              </w:rPr>
            </w:pPr>
            <w:r>
              <w:rPr>
                <w:noProof/>
                <w:sz w:val="18"/>
                <w:szCs w:val="18"/>
              </w:rPr>
              <w:t>Neuplatňuje sa</w:t>
            </w:r>
          </w:p>
        </w:tc>
        <w:tc>
          <w:tcPr>
            <w:tcW w:w="669" w:type="pct"/>
            <w:tcBorders>
              <w:top w:val="single" w:sz="8" w:space="0" w:color="auto"/>
            </w:tcBorders>
            <w:hideMark/>
          </w:tcPr>
          <w:p>
            <w:pPr>
              <w:spacing w:before="60" w:after="60"/>
              <w:rPr>
                <w:rFonts w:asciiTheme="majorBidi" w:hAnsiTheme="majorBidi" w:cstheme="majorBidi"/>
                <w:noProof/>
                <w:sz w:val="18"/>
                <w:szCs w:val="18"/>
              </w:rPr>
            </w:pPr>
            <w:r>
              <w:rPr>
                <w:noProof/>
                <w:sz w:val="18"/>
                <w:szCs w:val="18"/>
                <w:vertAlign w:val="superscript"/>
              </w:rPr>
              <w:t>(1)</w:t>
            </w:r>
          </w:p>
        </w:tc>
        <w:tc>
          <w:tcPr>
            <w:tcW w:w="2640" w:type="pct"/>
            <w:gridSpan w:val="2"/>
            <w:tcBorders>
              <w:top w:val="single" w:sz="8" w:space="0" w:color="auto"/>
            </w:tcBorders>
            <w:hideMark/>
          </w:tcPr>
          <w:p>
            <w:pPr>
              <w:spacing w:before="60" w:after="60"/>
              <w:rPr>
                <w:rFonts w:asciiTheme="majorBidi" w:hAnsiTheme="majorBidi" w:cstheme="majorBidi"/>
                <w:noProof/>
                <w:sz w:val="18"/>
                <w:szCs w:val="18"/>
              </w:rPr>
            </w:pPr>
          </w:p>
          <w:p>
            <w:pPr>
              <w:spacing w:before="60" w:after="60"/>
              <w:rPr>
                <w:rFonts w:asciiTheme="majorBidi" w:hAnsiTheme="majorBidi" w:cstheme="majorBidi"/>
                <w:noProof/>
                <w:sz w:val="18"/>
                <w:szCs w:val="18"/>
              </w:rPr>
            </w:pPr>
          </w:p>
        </w:tc>
      </w:tr>
      <w:tr>
        <w:trPr>
          <w:trHeight w:val="227"/>
        </w:trPr>
        <w:tc>
          <w:tcPr>
            <w:tcW w:w="863" w:type="pct"/>
            <w:gridSpan w:val="2"/>
          </w:tcPr>
          <w:p>
            <w:pPr>
              <w:spacing w:before="60" w:after="60"/>
              <w:rPr>
                <w:rFonts w:eastAsia="Times New Roman"/>
                <w:noProof/>
                <w:color w:val="000000"/>
                <w:sz w:val="18"/>
                <w:szCs w:val="18"/>
                <w:vertAlign w:val="superscript"/>
              </w:rPr>
            </w:pPr>
            <w:r>
              <w:rPr>
                <w:noProof/>
                <w:sz w:val="18"/>
                <w:szCs w:val="18"/>
                <w:vertAlign w:val="superscript"/>
              </w:rPr>
              <w:t>(1)</w:t>
            </w:r>
          </w:p>
          <w:p>
            <w:pPr>
              <w:spacing w:before="60" w:after="60"/>
              <w:rPr>
                <w:rFonts w:eastAsia="Times New Roman"/>
                <w:noProof/>
                <w:color w:val="000000"/>
                <w:sz w:val="18"/>
                <w:szCs w:val="18"/>
                <w:vertAlign w:val="superscript"/>
              </w:rPr>
            </w:pPr>
          </w:p>
          <w:p>
            <w:pPr>
              <w:spacing w:before="60" w:after="60"/>
              <w:rPr>
                <w:rFonts w:asciiTheme="majorBidi" w:hAnsiTheme="majorBidi" w:cstheme="majorBidi"/>
                <w:noProof/>
                <w:sz w:val="18"/>
                <w:szCs w:val="18"/>
              </w:rPr>
            </w:pPr>
          </w:p>
        </w:tc>
        <w:tc>
          <w:tcPr>
            <w:tcW w:w="4137" w:type="pct"/>
            <w:gridSpan w:val="4"/>
          </w:tcPr>
          <w:p>
            <w:pPr>
              <w:spacing w:before="60" w:after="60"/>
              <w:rPr>
                <w:rFonts w:eastAsia="Times New Roman"/>
                <w:noProof/>
                <w:sz w:val="18"/>
                <w:szCs w:val="18"/>
                <w:vertAlign w:val="superscript"/>
              </w:rPr>
            </w:pPr>
            <w:r>
              <w:rPr>
                <w:noProof/>
                <w:sz w:val="18"/>
                <w:szCs w:val="18"/>
                <w:vertAlign w:val="superscript"/>
              </w:rPr>
              <w:t>Úlovky tuniaka pruhovaného plavidlami na lov vakovou sieťou (SKJ/* ATLPS) a plavidlami na lov lovnými šnúrami s celkovou dĺžkou 20 metrov a viac (SKJ/* ATLLS) sa nahlasujú osobitne.</w:t>
            </w:r>
          </w:p>
          <w:p>
            <w:pPr>
              <w:spacing w:before="60" w:after="60"/>
              <w:rPr>
                <w:rFonts w:eastAsia="Times New Roman"/>
                <w:noProof/>
                <w:sz w:val="18"/>
                <w:szCs w:val="18"/>
                <w:vertAlign w:val="superscript"/>
              </w:rPr>
            </w:pPr>
          </w:p>
        </w:tc>
      </w:tr>
      <w:tr>
        <w:trPr>
          <w:trHeight w:val="227"/>
        </w:trPr>
        <w:tc>
          <w:tcPr>
            <w:tcW w:w="5000" w:type="pct"/>
            <w:gridSpan w:val="6"/>
            <w:tcBorders>
              <w:top w:val="single" w:sz="8" w:space="0" w:color="auto"/>
              <w:left w:val="nil"/>
              <w:bottom w:val="single" w:sz="8" w:space="0" w:color="auto"/>
              <w:right w:val="nil"/>
            </w:tcBorders>
          </w:tcPr>
          <w:p>
            <w:pPr>
              <w:spacing w:before="60" w:after="60"/>
              <w:rPr>
                <w:rFonts w:asciiTheme="majorBidi" w:hAnsiTheme="majorBidi" w:cstheme="majorBidi"/>
                <w:noProof/>
                <w:sz w:val="18"/>
                <w:szCs w:val="18"/>
              </w:rPr>
            </w:pPr>
          </w:p>
        </w:tc>
      </w:tr>
    </w:tbl>
    <w:p>
      <w:pPr>
        <w:pStyle w:val="Point2"/>
        <w:rPr>
          <w:noProof/>
        </w:rPr>
      </w:pPr>
      <w:r>
        <w:rPr>
          <w:noProof/>
        </w:rPr>
        <w:t>b)</w:t>
      </w:r>
      <w:r>
        <w:rPr>
          <w:noProof/>
        </w:rPr>
        <w:tab/>
        <w:t>Tabuľka týkajúca sa tuniaka okatého v Atlantickom oceáne sa nahrádza takto:</w:t>
      </w:r>
    </w:p>
    <w:p>
      <w:pPr>
        <w:rPr>
          <w:noProof/>
        </w:rPr>
      </w:pPr>
    </w:p>
    <w:tbl>
      <w:tblPr>
        <w:tblW w:w="5047" w:type="pct"/>
        <w:tblLook w:val="06A0" w:firstRow="1" w:lastRow="0" w:firstColumn="1" w:lastColumn="0" w:noHBand="1" w:noVBand="1"/>
      </w:tblPr>
      <w:tblGrid>
        <w:gridCol w:w="815"/>
        <w:gridCol w:w="803"/>
        <w:gridCol w:w="1553"/>
        <w:gridCol w:w="1255"/>
        <w:gridCol w:w="1288"/>
        <w:gridCol w:w="3662"/>
      </w:tblGrid>
      <w:tr>
        <w:trPr>
          <w:trHeight w:val="227"/>
        </w:trPr>
        <w:tc>
          <w:tcPr>
            <w:tcW w:w="435" w:type="pct"/>
            <w:tcBorders>
              <w:top w:val="single" w:sz="8" w:space="0" w:color="auto"/>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Druh:</w:t>
            </w:r>
          </w:p>
        </w:tc>
        <w:tc>
          <w:tcPr>
            <w:tcW w:w="1925" w:type="pct"/>
            <w:gridSpan w:val="3"/>
            <w:tcBorders>
              <w:top w:val="single" w:sz="8" w:space="0" w:color="auto"/>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tuniak okatý</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Thunnus obesus</w:t>
            </w:r>
          </w:p>
        </w:tc>
        <w:tc>
          <w:tcPr>
            <w:tcW w:w="687" w:type="pct"/>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Zóna:</w:t>
            </w:r>
          </w:p>
        </w:tc>
        <w:tc>
          <w:tcPr>
            <w:tcW w:w="1952" w:type="pct"/>
            <w:tcBorders>
              <w:top w:val="single" w:sz="8" w:space="0" w:color="auto"/>
              <w:bottom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Atlantický oceán</w:t>
            </w:r>
          </w:p>
          <w:p>
            <w:pPr>
              <w:spacing w:before="60" w:after="60"/>
              <w:rPr>
                <w:rFonts w:asciiTheme="majorBidi" w:hAnsiTheme="majorBidi" w:cstheme="majorBidi"/>
                <w:noProof/>
                <w:sz w:val="18"/>
                <w:szCs w:val="18"/>
              </w:rPr>
            </w:pPr>
            <w:r>
              <w:rPr>
                <w:rFonts w:asciiTheme="majorBidi" w:hAnsiTheme="majorBidi"/>
                <w:noProof/>
                <w:sz w:val="18"/>
                <w:szCs w:val="18"/>
              </w:rPr>
              <w:t>(BET/ATLANT)</w:t>
            </w:r>
          </w:p>
        </w:tc>
      </w:tr>
      <w:tr>
        <w:trPr>
          <w:trHeight w:val="227"/>
        </w:trPr>
        <w:tc>
          <w:tcPr>
            <w:tcW w:w="863"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Španielsko</w:t>
            </w:r>
          </w:p>
        </w:tc>
        <w:tc>
          <w:tcPr>
            <w:tcW w:w="828" w:type="pct"/>
            <w:tcBorders>
              <w:top w:val="single" w:sz="8" w:space="0" w:color="auto"/>
            </w:tcBorders>
          </w:tcPr>
          <w:p>
            <w:pPr>
              <w:spacing w:after="0"/>
              <w:jc w:val="right"/>
              <w:rPr>
                <w:rFonts w:eastAsia="Times New Roman"/>
                <w:noProof/>
                <w:color w:val="000000"/>
                <w:sz w:val="18"/>
                <w:szCs w:val="18"/>
              </w:rPr>
            </w:pPr>
            <w:r>
              <w:rPr>
                <w:noProof/>
                <w:sz w:val="18"/>
                <w:szCs w:val="18"/>
              </w:rPr>
              <w:t>8 055,73</w:t>
            </w:r>
          </w:p>
        </w:tc>
        <w:tc>
          <w:tcPr>
            <w:tcW w:w="669" w:type="pct"/>
            <w:tcBorders>
              <w:top w:val="single" w:sz="8" w:space="0" w:color="auto"/>
            </w:tcBorders>
          </w:tcPr>
          <w:p>
            <w:pPr>
              <w:spacing w:before="60" w:after="60"/>
              <w:rPr>
                <w:rFonts w:asciiTheme="majorBidi" w:hAnsiTheme="majorBidi" w:cstheme="majorBidi"/>
                <w:noProof/>
                <w:sz w:val="18"/>
                <w:szCs w:val="18"/>
              </w:rPr>
            </w:pPr>
            <w:r>
              <w:rPr>
                <w:noProof/>
                <w:sz w:val="18"/>
                <w:szCs w:val="18"/>
                <w:vertAlign w:val="superscript"/>
              </w:rPr>
              <w:t>(1), (2)</w:t>
            </w:r>
          </w:p>
        </w:tc>
        <w:tc>
          <w:tcPr>
            <w:tcW w:w="2640" w:type="pct"/>
            <w:gridSpan w:val="2"/>
            <w:vMerge w:val="restart"/>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Analytický TAC</w:t>
            </w:r>
          </w:p>
          <w:p>
            <w:pPr>
              <w:spacing w:before="60" w:after="60"/>
              <w:rPr>
                <w:rFonts w:asciiTheme="majorBidi" w:hAnsiTheme="majorBidi" w:cstheme="majorBidi"/>
                <w:noProof/>
                <w:sz w:val="18"/>
                <w:szCs w:val="18"/>
              </w:rPr>
            </w:pPr>
            <w:r>
              <w:rPr>
                <w:rFonts w:asciiTheme="majorBidi" w:hAnsiTheme="majorBidi"/>
                <w:noProof/>
                <w:sz w:val="18"/>
                <w:szCs w:val="18"/>
              </w:rPr>
              <w:t>Neuplatňuje sa článok 3 nariadenia (ES) č. 847/96.</w:t>
            </w:r>
          </w:p>
          <w:p>
            <w:pPr>
              <w:spacing w:before="60" w:after="60"/>
              <w:rPr>
                <w:rFonts w:asciiTheme="majorBidi" w:hAnsiTheme="majorBidi" w:cstheme="majorBidi"/>
                <w:noProof/>
                <w:sz w:val="18"/>
                <w:szCs w:val="18"/>
              </w:rPr>
            </w:pPr>
            <w:r>
              <w:rPr>
                <w:rFonts w:asciiTheme="majorBidi" w:hAnsiTheme="majorBidi"/>
                <w:noProof/>
                <w:sz w:val="18"/>
                <w:szCs w:val="18"/>
              </w:rPr>
              <w:t>Neuplatňuje sa článok 4 nariadenia (ES) č. 847/96.</w:t>
            </w:r>
          </w:p>
        </w:tc>
      </w:tr>
      <w:tr>
        <w:trPr>
          <w:trHeight w:val="227"/>
        </w:trPr>
        <w:tc>
          <w:tcPr>
            <w:tcW w:w="863"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Francúzsko</w:t>
            </w:r>
          </w:p>
        </w:tc>
        <w:tc>
          <w:tcPr>
            <w:tcW w:w="828" w:type="pct"/>
          </w:tcPr>
          <w:p>
            <w:pPr>
              <w:spacing w:after="0"/>
              <w:jc w:val="right"/>
              <w:rPr>
                <w:rFonts w:eastAsia="Times New Roman"/>
                <w:noProof/>
                <w:color w:val="000000"/>
                <w:sz w:val="18"/>
                <w:szCs w:val="18"/>
              </w:rPr>
            </w:pPr>
            <w:r>
              <w:rPr>
                <w:noProof/>
                <w:sz w:val="18"/>
                <w:szCs w:val="18"/>
              </w:rPr>
              <w:t>4 428,60</w:t>
            </w:r>
          </w:p>
        </w:tc>
        <w:tc>
          <w:tcPr>
            <w:tcW w:w="669" w:type="pct"/>
          </w:tcPr>
          <w:p>
            <w:pPr>
              <w:spacing w:before="60" w:after="60"/>
              <w:rPr>
                <w:rFonts w:asciiTheme="majorBidi" w:hAnsiTheme="majorBidi" w:cstheme="majorBidi"/>
                <w:noProof/>
                <w:sz w:val="18"/>
                <w:szCs w:val="18"/>
              </w:rPr>
            </w:pPr>
            <w:r>
              <w:rPr>
                <w:noProof/>
                <w:sz w:val="18"/>
                <w:szCs w:val="18"/>
                <w:vertAlign w:val="superscript"/>
              </w:rPr>
              <w:t>(1), (2)</w:t>
            </w:r>
          </w:p>
        </w:tc>
        <w:tc>
          <w:tcPr>
            <w:tcW w:w="2640" w:type="pct"/>
            <w:gridSpan w:val="2"/>
            <w:vMerge/>
            <w:hideMark/>
          </w:tcPr>
          <w:p>
            <w:pPr>
              <w:spacing w:before="60" w:after="60"/>
              <w:rPr>
                <w:rFonts w:asciiTheme="majorBidi" w:hAnsiTheme="majorBidi" w:cstheme="majorBidi"/>
                <w:noProof/>
                <w:sz w:val="18"/>
                <w:szCs w:val="18"/>
              </w:rPr>
            </w:pPr>
          </w:p>
        </w:tc>
      </w:tr>
      <w:tr>
        <w:trPr>
          <w:trHeight w:val="227"/>
        </w:trPr>
        <w:tc>
          <w:tcPr>
            <w:tcW w:w="863"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Portugalsko</w:t>
            </w:r>
          </w:p>
        </w:tc>
        <w:tc>
          <w:tcPr>
            <w:tcW w:w="828" w:type="pct"/>
          </w:tcPr>
          <w:p>
            <w:pPr>
              <w:spacing w:after="0"/>
              <w:jc w:val="right"/>
              <w:rPr>
                <w:rFonts w:eastAsia="Times New Roman"/>
                <w:noProof/>
                <w:color w:val="000000"/>
                <w:sz w:val="18"/>
                <w:szCs w:val="18"/>
              </w:rPr>
            </w:pPr>
            <w:r>
              <w:rPr>
                <w:noProof/>
                <w:sz w:val="18"/>
                <w:szCs w:val="18"/>
              </w:rPr>
              <w:t>3 058,33</w:t>
            </w:r>
          </w:p>
        </w:tc>
        <w:tc>
          <w:tcPr>
            <w:tcW w:w="669" w:type="pct"/>
          </w:tcPr>
          <w:p>
            <w:pPr>
              <w:spacing w:before="60" w:after="60"/>
              <w:rPr>
                <w:rFonts w:asciiTheme="majorBidi" w:hAnsiTheme="majorBidi" w:cstheme="majorBidi"/>
                <w:noProof/>
                <w:sz w:val="18"/>
                <w:szCs w:val="18"/>
              </w:rPr>
            </w:pPr>
            <w:r>
              <w:rPr>
                <w:noProof/>
                <w:sz w:val="18"/>
                <w:szCs w:val="18"/>
                <w:vertAlign w:val="superscript"/>
              </w:rPr>
              <w:t>(1), (2)</w:t>
            </w:r>
          </w:p>
        </w:tc>
        <w:tc>
          <w:tcPr>
            <w:tcW w:w="2640" w:type="pct"/>
            <w:gridSpan w:val="2"/>
            <w:vMerge/>
            <w:hideMark/>
          </w:tcPr>
          <w:p>
            <w:pPr>
              <w:spacing w:before="60" w:after="60"/>
              <w:rPr>
                <w:rFonts w:asciiTheme="majorBidi" w:hAnsiTheme="majorBidi" w:cstheme="majorBidi"/>
                <w:noProof/>
                <w:sz w:val="18"/>
                <w:szCs w:val="18"/>
              </w:rPr>
            </w:pPr>
          </w:p>
        </w:tc>
      </w:tr>
      <w:tr>
        <w:trPr>
          <w:trHeight w:val="227"/>
        </w:trPr>
        <w:tc>
          <w:tcPr>
            <w:tcW w:w="863" w:type="pct"/>
            <w:gridSpan w:val="2"/>
            <w:hideMark/>
          </w:tcPr>
          <w:p>
            <w:pPr>
              <w:spacing w:before="60" w:after="60"/>
              <w:rPr>
                <w:rFonts w:asciiTheme="majorBidi" w:hAnsiTheme="majorBidi" w:cstheme="majorBidi"/>
                <w:noProof/>
                <w:sz w:val="18"/>
                <w:szCs w:val="18"/>
              </w:rPr>
            </w:pPr>
            <w:r>
              <w:rPr>
                <w:rFonts w:asciiTheme="majorBidi" w:hAnsiTheme="majorBidi"/>
                <w:noProof/>
                <w:sz w:val="18"/>
                <w:szCs w:val="18"/>
              </w:rPr>
              <w:t>Únia</w:t>
            </w:r>
          </w:p>
        </w:tc>
        <w:tc>
          <w:tcPr>
            <w:tcW w:w="828" w:type="pct"/>
          </w:tcPr>
          <w:p>
            <w:pPr>
              <w:spacing w:after="0"/>
              <w:jc w:val="right"/>
              <w:rPr>
                <w:rFonts w:eastAsia="Times New Roman"/>
                <w:noProof/>
                <w:color w:val="000000"/>
                <w:sz w:val="18"/>
                <w:szCs w:val="18"/>
              </w:rPr>
            </w:pPr>
            <w:r>
              <w:rPr>
                <w:noProof/>
                <w:sz w:val="18"/>
                <w:szCs w:val="18"/>
              </w:rPr>
              <w:t>15 542,66</w:t>
            </w:r>
          </w:p>
        </w:tc>
        <w:tc>
          <w:tcPr>
            <w:tcW w:w="669" w:type="pct"/>
          </w:tcPr>
          <w:p>
            <w:pPr>
              <w:spacing w:before="60" w:after="60"/>
              <w:rPr>
                <w:rFonts w:asciiTheme="majorBidi" w:hAnsiTheme="majorBidi" w:cstheme="majorBidi"/>
                <w:noProof/>
                <w:sz w:val="18"/>
                <w:szCs w:val="18"/>
              </w:rPr>
            </w:pPr>
            <w:r>
              <w:rPr>
                <w:noProof/>
                <w:sz w:val="18"/>
                <w:szCs w:val="18"/>
                <w:vertAlign w:val="superscript"/>
              </w:rPr>
              <w:t>(1), (2)</w:t>
            </w:r>
          </w:p>
        </w:tc>
        <w:tc>
          <w:tcPr>
            <w:tcW w:w="2640" w:type="pct"/>
            <w:gridSpan w:val="2"/>
            <w:vMerge/>
          </w:tcPr>
          <w:p>
            <w:pPr>
              <w:spacing w:before="60" w:after="60"/>
              <w:rPr>
                <w:rFonts w:asciiTheme="majorBidi" w:hAnsiTheme="majorBidi" w:cstheme="majorBidi"/>
                <w:noProof/>
                <w:sz w:val="18"/>
                <w:szCs w:val="18"/>
              </w:rPr>
            </w:pPr>
          </w:p>
        </w:tc>
      </w:tr>
      <w:tr>
        <w:trPr>
          <w:trHeight w:val="227"/>
        </w:trPr>
        <w:tc>
          <w:tcPr>
            <w:tcW w:w="863" w:type="pct"/>
            <w:gridSpan w:val="2"/>
            <w:hideMark/>
          </w:tcPr>
          <w:p>
            <w:pPr>
              <w:spacing w:before="60" w:after="60"/>
              <w:rPr>
                <w:rFonts w:asciiTheme="majorBidi" w:hAnsiTheme="majorBidi" w:cstheme="majorBidi"/>
                <w:noProof/>
                <w:sz w:val="18"/>
                <w:szCs w:val="18"/>
              </w:rPr>
            </w:pPr>
          </w:p>
        </w:tc>
        <w:tc>
          <w:tcPr>
            <w:tcW w:w="828" w:type="pct"/>
          </w:tcPr>
          <w:p>
            <w:pPr>
              <w:spacing w:before="60" w:after="60"/>
              <w:jc w:val="right"/>
              <w:rPr>
                <w:rFonts w:asciiTheme="majorBidi" w:hAnsiTheme="majorBidi" w:cstheme="majorBidi"/>
                <w:noProof/>
                <w:sz w:val="18"/>
                <w:szCs w:val="18"/>
                <w:highlight w:val="yellow"/>
              </w:rPr>
            </w:pPr>
          </w:p>
        </w:tc>
        <w:tc>
          <w:tcPr>
            <w:tcW w:w="669" w:type="pct"/>
          </w:tcPr>
          <w:p>
            <w:pPr>
              <w:spacing w:before="60" w:after="60"/>
              <w:rPr>
                <w:rFonts w:asciiTheme="majorBidi" w:hAnsiTheme="majorBidi" w:cstheme="majorBidi"/>
                <w:noProof/>
                <w:sz w:val="18"/>
                <w:szCs w:val="18"/>
              </w:rPr>
            </w:pPr>
          </w:p>
        </w:tc>
        <w:tc>
          <w:tcPr>
            <w:tcW w:w="2640" w:type="pct"/>
            <w:gridSpan w:val="2"/>
            <w:vMerge/>
            <w:hideMark/>
          </w:tcPr>
          <w:p>
            <w:pPr>
              <w:spacing w:before="60" w:after="60"/>
              <w:rPr>
                <w:rFonts w:asciiTheme="majorBidi" w:hAnsiTheme="majorBidi" w:cstheme="majorBidi"/>
                <w:noProof/>
                <w:sz w:val="18"/>
                <w:szCs w:val="18"/>
              </w:rPr>
            </w:pPr>
          </w:p>
        </w:tc>
      </w:tr>
      <w:tr>
        <w:trPr>
          <w:trHeight w:val="227"/>
        </w:trPr>
        <w:tc>
          <w:tcPr>
            <w:tcW w:w="863" w:type="pct"/>
            <w:gridSpan w:val="2"/>
            <w:tcBorders>
              <w:top w:val="nil"/>
              <w:left w:val="nil"/>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828" w:type="pct"/>
            <w:tcBorders>
              <w:top w:val="nil"/>
              <w:left w:val="nil"/>
              <w:right w:val="nil"/>
            </w:tcBorders>
          </w:tcPr>
          <w:p>
            <w:pPr>
              <w:spacing w:after="0"/>
              <w:jc w:val="right"/>
              <w:rPr>
                <w:rFonts w:eastAsia="Times New Roman"/>
                <w:noProof/>
                <w:color w:val="000000"/>
                <w:sz w:val="18"/>
                <w:szCs w:val="18"/>
              </w:rPr>
            </w:pPr>
            <w:r>
              <w:rPr>
                <w:noProof/>
                <w:sz w:val="18"/>
                <w:szCs w:val="18"/>
              </w:rPr>
              <w:t>62 500</w:t>
            </w:r>
          </w:p>
        </w:tc>
        <w:tc>
          <w:tcPr>
            <w:tcW w:w="669" w:type="pct"/>
            <w:tcBorders>
              <w:top w:val="nil"/>
              <w:left w:val="nil"/>
            </w:tcBorders>
          </w:tcPr>
          <w:p>
            <w:pPr>
              <w:spacing w:before="60" w:after="60"/>
              <w:rPr>
                <w:rFonts w:asciiTheme="majorBidi" w:hAnsiTheme="majorBidi" w:cstheme="majorBidi"/>
                <w:noProof/>
                <w:sz w:val="18"/>
                <w:szCs w:val="18"/>
              </w:rPr>
            </w:pPr>
            <w:r>
              <w:rPr>
                <w:noProof/>
                <w:sz w:val="18"/>
                <w:szCs w:val="18"/>
                <w:vertAlign w:val="superscript"/>
              </w:rPr>
              <w:t>(1), (2)</w:t>
            </w:r>
          </w:p>
        </w:tc>
        <w:tc>
          <w:tcPr>
            <w:tcW w:w="2640" w:type="pct"/>
            <w:gridSpan w:val="2"/>
            <w:vMerge/>
            <w:hideMark/>
          </w:tcPr>
          <w:p>
            <w:pPr>
              <w:spacing w:before="60" w:after="60"/>
              <w:rPr>
                <w:rFonts w:asciiTheme="majorBidi" w:hAnsiTheme="majorBidi" w:cstheme="majorBidi"/>
                <w:noProof/>
                <w:sz w:val="18"/>
                <w:szCs w:val="18"/>
              </w:rPr>
            </w:pPr>
          </w:p>
        </w:tc>
      </w:tr>
      <w:tr>
        <w:trPr>
          <w:trHeight w:val="227"/>
        </w:trPr>
        <w:tc>
          <w:tcPr>
            <w:tcW w:w="863" w:type="pct"/>
            <w:gridSpan w:val="2"/>
            <w:tcBorders>
              <w:bottom w:val="single" w:sz="4" w:space="0" w:color="auto"/>
            </w:tcBorders>
          </w:tcPr>
          <w:p>
            <w:pPr>
              <w:spacing w:before="60" w:after="60"/>
              <w:rPr>
                <w:rFonts w:eastAsia="Times New Roman"/>
                <w:noProof/>
                <w:color w:val="000000"/>
                <w:sz w:val="18"/>
                <w:szCs w:val="18"/>
                <w:vertAlign w:val="superscript"/>
              </w:rPr>
            </w:pPr>
            <w:r>
              <w:rPr>
                <w:noProof/>
                <w:sz w:val="18"/>
                <w:szCs w:val="18"/>
                <w:vertAlign w:val="superscript"/>
              </w:rPr>
              <w:t>(1)</w:t>
            </w:r>
          </w:p>
          <w:p>
            <w:pPr>
              <w:spacing w:before="60" w:after="60"/>
              <w:rPr>
                <w:rFonts w:eastAsia="Times New Roman"/>
                <w:noProof/>
                <w:color w:val="000000"/>
                <w:sz w:val="18"/>
                <w:szCs w:val="18"/>
                <w:vertAlign w:val="superscript"/>
              </w:rPr>
            </w:pPr>
          </w:p>
          <w:p>
            <w:pPr>
              <w:spacing w:before="60" w:after="60"/>
              <w:rPr>
                <w:rFonts w:asciiTheme="majorBidi" w:hAnsiTheme="majorBidi" w:cstheme="majorBidi"/>
                <w:noProof/>
                <w:sz w:val="18"/>
                <w:szCs w:val="18"/>
              </w:rPr>
            </w:pPr>
            <w:r>
              <w:rPr>
                <w:noProof/>
                <w:sz w:val="18"/>
                <w:szCs w:val="18"/>
                <w:vertAlign w:val="superscript"/>
              </w:rPr>
              <w:t>(2)</w:t>
            </w:r>
          </w:p>
        </w:tc>
        <w:tc>
          <w:tcPr>
            <w:tcW w:w="4137" w:type="pct"/>
            <w:gridSpan w:val="4"/>
            <w:tcBorders>
              <w:bottom w:val="single" w:sz="4" w:space="0" w:color="auto"/>
            </w:tcBorders>
          </w:tcPr>
          <w:p>
            <w:pPr>
              <w:spacing w:before="60" w:after="60"/>
              <w:rPr>
                <w:rFonts w:eastAsia="Times New Roman"/>
                <w:noProof/>
                <w:sz w:val="18"/>
                <w:szCs w:val="18"/>
                <w:vertAlign w:val="superscript"/>
              </w:rPr>
            </w:pPr>
            <w:r>
              <w:rPr>
                <w:noProof/>
                <w:sz w:val="18"/>
                <w:szCs w:val="18"/>
                <w:vertAlign w:val="superscript"/>
              </w:rPr>
              <w:t>Úlovky tuniaka okatého plavidlami na lov vakovou sieťou (BET/* ATLPS) a plavidlami na lov lovnými šnúrami s celkovou dĺžkou 20 metrov a viac (BET/* ATLLS) sa nahlasujú osobitne.</w:t>
            </w:r>
          </w:p>
          <w:p>
            <w:pPr>
              <w:spacing w:before="60" w:after="60"/>
              <w:rPr>
                <w:rFonts w:asciiTheme="majorBidi" w:hAnsiTheme="majorBidi" w:cstheme="majorBidi"/>
                <w:noProof/>
                <w:sz w:val="18"/>
                <w:szCs w:val="18"/>
              </w:rPr>
            </w:pPr>
            <w:r>
              <w:rPr>
                <w:noProof/>
                <w:sz w:val="18"/>
                <w:szCs w:val="18"/>
                <w:vertAlign w:val="superscript"/>
              </w:rPr>
              <w:t>Od júna 2020, keď úlovky dosiahnu 80 % kvóty, sú členské štáty povinné nahlasovať úlovky týchto plavidiel každý deň.</w:t>
            </w:r>
          </w:p>
        </w:tc>
      </w:tr>
      <w:tr>
        <w:trPr>
          <w:trHeight w:val="227"/>
        </w:trPr>
        <w:tc>
          <w:tcPr>
            <w:tcW w:w="5000" w:type="pct"/>
            <w:gridSpan w:val="6"/>
            <w:tcBorders>
              <w:top w:val="single" w:sz="4" w:space="0" w:color="auto"/>
              <w:bottom w:val="single" w:sz="8" w:space="0" w:color="auto"/>
            </w:tcBorders>
            <w:hideMark/>
          </w:tcPr>
          <w:p>
            <w:pPr>
              <w:spacing w:before="60" w:after="60"/>
              <w:rPr>
                <w:rFonts w:asciiTheme="majorBidi" w:hAnsiTheme="majorBidi" w:cstheme="majorBidi"/>
                <w:noProof/>
                <w:sz w:val="18"/>
                <w:szCs w:val="18"/>
              </w:rPr>
            </w:pPr>
          </w:p>
          <w:p>
            <w:pPr>
              <w:pStyle w:val="Point2"/>
              <w:rPr>
                <w:noProof/>
              </w:rPr>
            </w:pPr>
            <w:r>
              <w:rPr>
                <w:noProof/>
              </w:rPr>
              <w:t>c)</w:t>
            </w:r>
            <w:r>
              <w:rPr>
                <w:noProof/>
              </w:rPr>
              <w:tab/>
              <w:t>Tabuľka týkajúca sa tuniaka žltoplutvého v Atlantickom oceáne sa nahrádza takto:</w:t>
            </w:r>
          </w:p>
          <w:p>
            <w:pPr>
              <w:spacing w:before="60" w:after="60"/>
              <w:rPr>
                <w:rFonts w:asciiTheme="majorBidi" w:hAnsiTheme="majorBidi" w:cstheme="majorBidi"/>
                <w:noProof/>
                <w:sz w:val="18"/>
                <w:szCs w:val="18"/>
              </w:rPr>
            </w:pPr>
          </w:p>
        </w:tc>
      </w:tr>
      <w:tr>
        <w:trPr>
          <w:trHeight w:val="227"/>
        </w:trPr>
        <w:tc>
          <w:tcPr>
            <w:tcW w:w="435"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Druh:</w:t>
            </w:r>
          </w:p>
        </w:tc>
        <w:tc>
          <w:tcPr>
            <w:tcW w:w="1925" w:type="pct"/>
            <w:gridSpan w:val="3"/>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tuniak žltoplutvý</w:t>
            </w:r>
          </w:p>
          <w:p>
            <w:pPr>
              <w:keepNext/>
              <w:tabs>
                <w:tab w:val="left" w:pos="850"/>
              </w:tabs>
              <w:spacing w:before="60" w:after="60"/>
              <w:ind w:left="850" w:hanging="850"/>
              <w:outlineLvl w:val="0"/>
              <w:rPr>
                <w:rFonts w:asciiTheme="majorBidi" w:hAnsiTheme="majorBidi" w:cstheme="majorBidi"/>
                <w:noProof/>
                <w:sz w:val="18"/>
                <w:szCs w:val="18"/>
              </w:rPr>
            </w:pPr>
            <w:r>
              <w:rPr>
                <w:rFonts w:asciiTheme="majorBidi" w:hAnsiTheme="majorBidi"/>
                <w:i/>
                <w:iCs/>
                <w:noProof/>
                <w:sz w:val="18"/>
                <w:szCs w:val="18"/>
              </w:rPr>
              <w:t>Thunnus albacares</w:t>
            </w:r>
          </w:p>
        </w:tc>
        <w:tc>
          <w:tcPr>
            <w:tcW w:w="687" w:type="pct"/>
            <w:tcBorders>
              <w:top w:val="single" w:sz="8" w:space="0" w:color="auto"/>
              <w:left w:val="single" w:sz="8" w:space="0" w:color="auto"/>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Zóna:</w:t>
            </w:r>
          </w:p>
        </w:tc>
        <w:tc>
          <w:tcPr>
            <w:tcW w:w="1952" w:type="pct"/>
            <w:tcBorders>
              <w:top w:val="single" w:sz="8" w:space="0" w:color="auto"/>
              <w:left w:val="nil"/>
              <w:bottom w:val="single" w:sz="8" w:space="0" w:color="auto"/>
              <w:right w:val="nil"/>
            </w:tcBorders>
            <w:hideMark/>
          </w:tcPr>
          <w:p>
            <w:pPr>
              <w:spacing w:before="60" w:after="60"/>
              <w:rPr>
                <w:rFonts w:asciiTheme="majorBidi" w:hAnsiTheme="majorBidi" w:cstheme="majorBidi"/>
                <w:noProof/>
                <w:sz w:val="18"/>
                <w:szCs w:val="18"/>
              </w:rPr>
            </w:pPr>
            <w:r>
              <w:rPr>
                <w:rFonts w:asciiTheme="majorBidi" w:hAnsiTheme="majorBidi"/>
                <w:noProof/>
                <w:sz w:val="18"/>
                <w:szCs w:val="18"/>
              </w:rPr>
              <w:t>Atlantický oceán</w:t>
            </w:r>
          </w:p>
          <w:p>
            <w:pPr>
              <w:spacing w:before="60" w:after="60"/>
              <w:rPr>
                <w:rFonts w:asciiTheme="majorBidi" w:hAnsiTheme="majorBidi" w:cstheme="majorBidi"/>
                <w:noProof/>
                <w:sz w:val="18"/>
                <w:szCs w:val="18"/>
              </w:rPr>
            </w:pPr>
            <w:r>
              <w:rPr>
                <w:rFonts w:asciiTheme="majorBidi" w:hAnsiTheme="majorBidi"/>
                <w:noProof/>
                <w:sz w:val="18"/>
                <w:szCs w:val="18"/>
              </w:rPr>
              <w:t>(YFT/ATLANT)</w:t>
            </w:r>
          </w:p>
        </w:tc>
      </w:tr>
      <w:tr>
        <w:trPr>
          <w:trHeight w:val="227"/>
        </w:trPr>
        <w:tc>
          <w:tcPr>
            <w:tcW w:w="863"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TAC</w:t>
            </w:r>
          </w:p>
        </w:tc>
        <w:tc>
          <w:tcPr>
            <w:tcW w:w="828" w:type="pct"/>
            <w:tcBorders>
              <w:top w:val="single" w:sz="8" w:space="0" w:color="auto"/>
            </w:tcBorders>
            <w:hideMark/>
          </w:tcPr>
          <w:p>
            <w:pPr>
              <w:spacing w:after="0"/>
              <w:jc w:val="right"/>
              <w:rPr>
                <w:rFonts w:eastAsia="Times New Roman"/>
                <w:noProof/>
                <w:color w:val="000000"/>
                <w:sz w:val="18"/>
                <w:szCs w:val="18"/>
              </w:rPr>
            </w:pPr>
            <w:r>
              <w:rPr>
                <w:noProof/>
                <w:sz w:val="18"/>
                <w:szCs w:val="18"/>
              </w:rPr>
              <w:t>110 000</w:t>
            </w:r>
          </w:p>
        </w:tc>
        <w:tc>
          <w:tcPr>
            <w:tcW w:w="669" w:type="pct"/>
            <w:tcBorders>
              <w:top w:val="single" w:sz="8" w:space="0" w:color="auto"/>
            </w:tcBorders>
            <w:hideMark/>
          </w:tcPr>
          <w:p>
            <w:pPr>
              <w:spacing w:before="60" w:after="60"/>
              <w:rPr>
                <w:rFonts w:asciiTheme="majorBidi" w:hAnsiTheme="majorBidi" w:cstheme="majorBidi"/>
                <w:noProof/>
                <w:sz w:val="18"/>
                <w:szCs w:val="18"/>
              </w:rPr>
            </w:pPr>
            <w:r>
              <w:rPr>
                <w:noProof/>
                <w:sz w:val="18"/>
                <w:szCs w:val="18"/>
                <w:vertAlign w:val="superscript"/>
              </w:rPr>
              <w:t>(1), (2)</w:t>
            </w:r>
          </w:p>
        </w:tc>
        <w:tc>
          <w:tcPr>
            <w:tcW w:w="2640" w:type="pct"/>
            <w:gridSpan w:val="2"/>
            <w:tcBorders>
              <w:top w:val="single" w:sz="8" w:space="0" w:color="auto"/>
            </w:tcBorders>
            <w:hideMark/>
          </w:tcPr>
          <w:p>
            <w:pPr>
              <w:spacing w:before="60" w:after="60"/>
              <w:rPr>
                <w:rFonts w:asciiTheme="majorBidi" w:hAnsiTheme="majorBidi" w:cstheme="majorBidi"/>
                <w:noProof/>
                <w:sz w:val="18"/>
                <w:szCs w:val="18"/>
              </w:rPr>
            </w:pPr>
            <w:r>
              <w:rPr>
                <w:rFonts w:asciiTheme="majorBidi" w:hAnsiTheme="majorBidi"/>
                <w:noProof/>
                <w:sz w:val="18"/>
                <w:szCs w:val="18"/>
              </w:rPr>
              <w:t>Analytický TAC</w:t>
            </w:r>
          </w:p>
          <w:p>
            <w:pPr>
              <w:spacing w:before="60" w:after="60"/>
              <w:rPr>
                <w:rFonts w:asciiTheme="majorBidi" w:hAnsiTheme="majorBidi" w:cstheme="majorBidi"/>
                <w:noProof/>
                <w:sz w:val="18"/>
                <w:szCs w:val="18"/>
              </w:rPr>
            </w:pPr>
            <w:r>
              <w:rPr>
                <w:rFonts w:asciiTheme="majorBidi" w:hAnsiTheme="majorBidi"/>
                <w:noProof/>
                <w:sz w:val="18"/>
                <w:szCs w:val="18"/>
              </w:rPr>
              <w:t>Neuplatňuje sa článok 3 nariadenia (ES) č. 847/96.</w:t>
            </w:r>
          </w:p>
          <w:p>
            <w:pPr>
              <w:spacing w:before="60" w:after="60"/>
              <w:rPr>
                <w:rFonts w:asciiTheme="majorBidi" w:hAnsiTheme="majorBidi" w:cstheme="majorBidi"/>
                <w:noProof/>
                <w:sz w:val="18"/>
                <w:szCs w:val="18"/>
              </w:rPr>
            </w:pPr>
            <w:r>
              <w:rPr>
                <w:rFonts w:asciiTheme="majorBidi" w:hAnsiTheme="majorBidi"/>
                <w:noProof/>
                <w:sz w:val="18"/>
                <w:szCs w:val="18"/>
              </w:rPr>
              <w:t>Neuplatňuje sa článok 4 nariadenia (ES) č. 847/96.</w:t>
            </w:r>
          </w:p>
        </w:tc>
      </w:tr>
      <w:tr>
        <w:trPr>
          <w:trHeight w:val="227"/>
        </w:trPr>
        <w:tc>
          <w:tcPr>
            <w:tcW w:w="863" w:type="pct"/>
            <w:gridSpan w:val="2"/>
          </w:tcPr>
          <w:p>
            <w:pPr>
              <w:spacing w:before="60" w:after="60"/>
              <w:rPr>
                <w:rFonts w:eastAsia="Times New Roman"/>
                <w:noProof/>
                <w:color w:val="000000"/>
                <w:sz w:val="18"/>
                <w:szCs w:val="18"/>
                <w:vertAlign w:val="superscript"/>
              </w:rPr>
            </w:pPr>
            <w:r>
              <w:rPr>
                <w:noProof/>
                <w:sz w:val="18"/>
                <w:szCs w:val="18"/>
                <w:vertAlign w:val="superscript"/>
              </w:rPr>
              <w:t>(1)</w:t>
            </w:r>
          </w:p>
          <w:p>
            <w:pPr>
              <w:spacing w:before="60" w:after="60"/>
              <w:rPr>
                <w:rFonts w:eastAsia="Times New Roman"/>
                <w:noProof/>
                <w:color w:val="000000"/>
                <w:sz w:val="18"/>
                <w:szCs w:val="18"/>
                <w:vertAlign w:val="superscript"/>
              </w:rPr>
            </w:pPr>
          </w:p>
          <w:p>
            <w:pPr>
              <w:spacing w:before="60" w:after="60"/>
              <w:rPr>
                <w:rFonts w:asciiTheme="majorBidi" w:hAnsiTheme="majorBidi" w:cstheme="majorBidi"/>
                <w:noProof/>
                <w:sz w:val="18"/>
                <w:szCs w:val="18"/>
              </w:rPr>
            </w:pPr>
            <w:r>
              <w:rPr>
                <w:noProof/>
                <w:sz w:val="18"/>
                <w:szCs w:val="18"/>
                <w:vertAlign w:val="superscript"/>
              </w:rPr>
              <w:t>(2)</w:t>
            </w:r>
          </w:p>
        </w:tc>
        <w:tc>
          <w:tcPr>
            <w:tcW w:w="4137" w:type="pct"/>
            <w:gridSpan w:val="4"/>
          </w:tcPr>
          <w:p>
            <w:pPr>
              <w:spacing w:before="60" w:after="60"/>
              <w:rPr>
                <w:rFonts w:eastAsia="Times New Roman"/>
                <w:noProof/>
                <w:sz w:val="18"/>
                <w:szCs w:val="18"/>
                <w:vertAlign w:val="superscript"/>
              </w:rPr>
            </w:pPr>
            <w:r>
              <w:rPr>
                <w:noProof/>
                <w:sz w:val="18"/>
                <w:szCs w:val="18"/>
                <w:vertAlign w:val="superscript"/>
              </w:rPr>
              <w:t>Úlovky tuniaka žltoplutvého plavidlami na lov vakovou sieťou (YFT/*ATLPS) a plavidlami na lov lovnými šnúrami s celkovou dĺžkou 20 metrov a viac (YFT/*ATLLL) sa nahlasujú osobitne.</w:t>
            </w:r>
          </w:p>
          <w:p>
            <w:pPr>
              <w:spacing w:before="60" w:after="60"/>
              <w:rPr>
                <w:rFonts w:asciiTheme="majorBidi" w:hAnsiTheme="majorBidi" w:cstheme="majorBidi"/>
                <w:noProof/>
                <w:sz w:val="18"/>
                <w:szCs w:val="18"/>
              </w:rPr>
            </w:pPr>
            <w:r>
              <w:rPr>
                <w:noProof/>
                <w:sz w:val="18"/>
                <w:szCs w:val="18"/>
                <w:vertAlign w:val="superscript"/>
              </w:rPr>
              <w:t>Od júna 2020, keď úlovky dosiahnu 80 % kvóty, sú členské štáty povinné nahlasovať úlovky týchto plavidiel každý deň.</w:t>
            </w:r>
          </w:p>
        </w:tc>
      </w:tr>
      <w:tr>
        <w:trPr>
          <w:trHeight w:val="227"/>
        </w:trPr>
        <w:tc>
          <w:tcPr>
            <w:tcW w:w="5000" w:type="pct"/>
            <w:gridSpan w:val="6"/>
            <w:tcBorders>
              <w:top w:val="single" w:sz="8" w:space="0" w:color="auto"/>
              <w:left w:val="nil"/>
              <w:bottom w:val="single" w:sz="8" w:space="0" w:color="auto"/>
              <w:right w:val="nil"/>
            </w:tcBorders>
          </w:tcPr>
          <w:p>
            <w:pPr>
              <w:spacing w:before="60" w:after="60"/>
              <w:rPr>
                <w:rFonts w:asciiTheme="majorBidi" w:hAnsiTheme="majorBidi" w:cstheme="majorBidi"/>
                <w:noProof/>
                <w:sz w:val="18"/>
                <w:szCs w:val="18"/>
              </w:rPr>
            </w:pPr>
          </w:p>
        </w:tc>
      </w:tr>
    </w:tbl>
    <w:p>
      <w:pPr>
        <w:rPr>
          <w:b/>
          <w:noProof/>
        </w:rPr>
      </w:pPr>
    </w:p>
    <w:p>
      <w:pPr>
        <w:pStyle w:val="Point0"/>
        <w:rPr>
          <w:noProof/>
        </w:rPr>
      </w:pPr>
      <w:r>
        <w:rPr>
          <w:noProof/>
        </w:rPr>
        <w:t>5.</w:t>
      </w:r>
      <w:r>
        <w:rPr>
          <w:noProof/>
        </w:rPr>
        <w:tab/>
        <w:t xml:space="preserve">V prílohe IK týkajúcej sa oblasti dohovoru SIOFA sa dopĺňa táto časť: </w:t>
      </w:r>
    </w:p>
    <w:p>
      <w:pPr>
        <w:pStyle w:val="Text1"/>
        <w:ind w:left="0"/>
        <w:jc w:val="center"/>
        <w:rPr>
          <w:noProof/>
        </w:rPr>
      </w:pPr>
      <w:r>
        <w:rPr>
          <w:noProof/>
        </w:rPr>
        <w:t xml:space="preserve"> „Dočasné chránené oblasti</w:t>
      </w:r>
    </w:p>
    <w:p>
      <w:pPr>
        <w:pStyle w:val="Text1"/>
        <w:ind w:left="0"/>
        <w:jc w:val="center"/>
        <w:rPr>
          <w:noProof/>
        </w:rPr>
      </w:pPr>
      <w:r>
        <w:rPr>
          <w:noProof/>
        </w:rPr>
        <w:t>Atlantis Bank</w:t>
      </w:r>
    </w:p>
    <w:tbl>
      <w:tblPr>
        <w:tblStyle w:val="TableGrid"/>
        <w:tblW w:w="0" w:type="auto"/>
        <w:tblLook w:val="04A0" w:firstRow="1" w:lastRow="0" w:firstColumn="1" w:lastColumn="0" w:noHBand="0" w:noVBand="1"/>
      </w:tblPr>
      <w:tblGrid>
        <w:gridCol w:w="3071"/>
        <w:gridCol w:w="3071"/>
        <w:gridCol w:w="3071"/>
      </w:tblGrid>
      <w:tr>
        <w:tc>
          <w:tcPr>
            <w:tcW w:w="3071" w:type="dxa"/>
          </w:tcPr>
          <w:p>
            <w:pPr>
              <w:pStyle w:val="Text1"/>
              <w:ind w:left="0"/>
              <w:rPr>
                <w:noProof/>
              </w:rPr>
            </w:pPr>
            <w:r>
              <w:rPr>
                <w:noProof/>
              </w:rPr>
              <w:t xml:space="preserve">Bod </w:t>
            </w:r>
          </w:p>
        </w:tc>
        <w:tc>
          <w:tcPr>
            <w:tcW w:w="3071" w:type="dxa"/>
          </w:tcPr>
          <w:p>
            <w:pPr>
              <w:pStyle w:val="Text1"/>
              <w:ind w:left="0"/>
              <w:rPr>
                <w:noProof/>
              </w:rPr>
            </w:pPr>
            <w:r>
              <w:rPr>
                <w:noProof/>
              </w:rPr>
              <w:t>Zemepisná šírka (S)</w:t>
            </w:r>
          </w:p>
        </w:tc>
        <w:tc>
          <w:tcPr>
            <w:tcW w:w="3071" w:type="dxa"/>
          </w:tcPr>
          <w:p>
            <w:pPr>
              <w:pStyle w:val="Text1"/>
              <w:ind w:left="0"/>
              <w:rPr>
                <w:noProof/>
              </w:rPr>
            </w:pPr>
            <w:r>
              <w:rPr>
                <w:noProof/>
              </w:rPr>
              <w:t xml:space="preserve">Zemepisná dĺžka (E) </w:t>
            </w:r>
          </w:p>
        </w:tc>
      </w:tr>
      <w:tr>
        <w:tc>
          <w:tcPr>
            <w:tcW w:w="3071" w:type="dxa"/>
          </w:tcPr>
          <w:p>
            <w:pPr>
              <w:pStyle w:val="Text1"/>
              <w:ind w:left="0"/>
              <w:rPr>
                <w:noProof/>
              </w:rPr>
            </w:pPr>
            <w:r>
              <w:rPr>
                <w:noProof/>
              </w:rPr>
              <w:t>1</w:t>
            </w:r>
          </w:p>
        </w:tc>
        <w:tc>
          <w:tcPr>
            <w:tcW w:w="3071" w:type="dxa"/>
          </w:tcPr>
          <w:p>
            <w:pPr>
              <w:pStyle w:val="Text1"/>
              <w:ind w:left="0"/>
              <w:rPr>
                <w:noProof/>
              </w:rPr>
            </w:pPr>
            <w:r>
              <w:rPr>
                <w:noProof/>
              </w:rPr>
              <w:t>32° 00'</w:t>
            </w:r>
          </w:p>
        </w:tc>
        <w:tc>
          <w:tcPr>
            <w:tcW w:w="3071" w:type="dxa"/>
          </w:tcPr>
          <w:p>
            <w:pPr>
              <w:pStyle w:val="Text1"/>
              <w:ind w:left="0"/>
              <w:rPr>
                <w:noProof/>
              </w:rPr>
            </w:pPr>
            <w:r>
              <w:rPr>
                <w:noProof/>
              </w:rPr>
              <w:t>57° 00'</w:t>
            </w:r>
          </w:p>
        </w:tc>
      </w:tr>
      <w:tr>
        <w:tc>
          <w:tcPr>
            <w:tcW w:w="3071" w:type="dxa"/>
          </w:tcPr>
          <w:p>
            <w:pPr>
              <w:pStyle w:val="Text1"/>
              <w:ind w:left="0"/>
              <w:rPr>
                <w:noProof/>
              </w:rPr>
            </w:pPr>
            <w:r>
              <w:rPr>
                <w:noProof/>
              </w:rPr>
              <w:t>2</w:t>
            </w:r>
          </w:p>
        </w:tc>
        <w:tc>
          <w:tcPr>
            <w:tcW w:w="3071" w:type="dxa"/>
          </w:tcPr>
          <w:p>
            <w:pPr>
              <w:pStyle w:val="Text1"/>
              <w:ind w:left="0"/>
              <w:rPr>
                <w:noProof/>
              </w:rPr>
            </w:pPr>
            <w:r>
              <w:rPr>
                <w:noProof/>
              </w:rPr>
              <w:t>32° 50'</w:t>
            </w:r>
          </w:p>
        </w:tc>
        <w:tc>
          <w:tcPr>
            <w:tcW w:w="3071" w:type="dxa"/>
          </w:tcPr>
          <w:p>
            <w:pPr>
              <w:pStyle w:val="Text1"/>
              <w:ind w:left="0"/>
              <w:rPr>
                <w:noProof/>
              </w:rPr>
            </w:pPr>
            <w:r>
              <w:rPr>
                <w:noProof/>
              </w:rPr>
              <w:t>57° 00'</w:t>
            </w:r>
          </w:p>
        </w:tc>
      </w:tr>
      <w:tr>
        <w:tc>
          <w:tcPr>
            <w:tcW w:w="3071" w:type="dxa"/>
          </w:tcPr>
          <w:p>
            <w:pPr>
              <w:pStyle w:val="Text1"/>
              <w:ind w:left="0"/>
              <w:rPr>
                <w:noProof/>
              </w:rPr>
            </w:pPr>
            <w:r>
              <w:rPr>
                <w:noProof/>
              </w:rPr>
              <w:t>3</w:t>
            </w:r>
          </w:p>
        </w:tc>
        <w:tc>
          <w:tcPr>
            <w:tcW w:w="3071" w:type="dxa"/>
          </w:tcPr>
          <w:p>
            <w:pPr>
              <w:pStyle w:val="Text1"/>
              <w:ind w:left="0"/>
              <w:rPr>
                <w:noProof/>
              </w:rPr>
            </w:pPr>
            <w:r>
              <w:rPr>
                <w:noProof/>
              </w:rPr>
              <w:t>32° 50'</w:t>
            </w:r>
          </w:p>
        </w:tc>
        <w:tc>
          <w:tcPr>
            <w:tcW w:w="3071" w:type="dxa"/>
          </w:tcPr>
          <w:p>
            <w:pPr>
              <w:pStyle w:val="Text1"/>
              <w:ind w:left="0"/>
              <w:rPr>
                <w:noProof/>
              </w:rPr>
            </w:pPr>
            <w:r>
              <w:rPr>
                <w:noProof/>
              </w:rPr>
              <w:t>58° 00'</w:t>
            </w:r>
          </w:p>
        </w:tc>
      </w:tr>
      <w:tr>
        <w:tc>
          <w:tcPr>
            <w:tcW w:w="3071" w:type="dxa"/>
          </w:tcPr>
          <w:p>
            <w:pPr>
              <w:pStyle w:val="Text1"/>
              <w:ind w:left="0"/>
              <w:rPr>
                <w:noProof/>
              </w:rPr>
            </w:pPr>
            <w:r>
              <w:rPr>
                <w:noProof/>
              </w:rPr>
              <w:t>4</w:t>
            </w:r>
          </w:p>
        </w:tc>
        <w:tc>
          <w:tcPr>
            <w:tcW w:w="3071" w:type="dxa"/>
          </w:tcPr>
          <w:p>
            <w:pPr>
              <w:pStyle w:val="Text1"/>
              <w:ind w:left="0"/>
              <w:rPr>
                <w:noProof/>
              </w:rPr>
            </w:pPr>
            <w:r>
              <w:rPr>
                <w:noProof/>
              </w:rPr>
              <w:t>32° 00'</w:t>
            </w:r>
          </w:p>
        </w:tc>
        <w:tc>
          <w:tcPr>
            <w:tcW w:w="3071" w:type="dxa"/>
          </w:tcPr>
          <w:p>
            <w:pPr>
              <w:pStyle w:val="Text1"/>
              <w:ind w:left="0"/>
              <w:rPr>
                <w:noProof/>
              </w:rPr>
            </w:pPr>
            <w:r>
              <w:rPr>
                <w:noProof/>
              </w:rPr>
              <w:t>58° 00'</w:t>
            </w:r>
          </w:p>
        </w:tc>
      </w:tr>
    </w:tbl>
    <w:p>
      <w:pPr>
        <w:pStyle w:val="Text1"/>
        <w:ind w:left="0"/>
        <w:jc w:val="center"/>
        <w:rPr>
          <w:noProof/>
        </w:rPr>
      </w:pPr>
      <w:r>
        <w:rPr>
          <w:noProof/>
        </w:rPr>
        <w:t>Coral</w:t>
      </w:r>
    </w:p>
    <w:tbl>
      <w:tblPr>
        <w:tblStyle w:val="TableGrid"/>
        <w:tblW w:w="0" w:type="auto"/>
        <w:tblLook w:val="04A0" w:firstRow="1" w:lastRow="0" w:firstColumn="1" w:lastColumn="0" w:noHBand="0" w:noVBand="1"/>
      </w:tblPr>
      <w:tblGrid>
        <w:gridCol w:w="3071"/>
        <w:gridCol w:w="3071"/>
        <w:gridCol w:w="3071"/>
      </w:tblGrid>
      <w:tr>
        <w:tc>
          <w:tcPr>
            <w:tcW w:w="3071" w:type="dxa"/>
          </w:tcPr>
          <w:p>
            <w:pPr>
              <w:pStyle w:val="Text1"/>
              <w:ind w:left="0"/>
              <w:rPr>
                <w:noProof/>
              </w:rPr>
            </w:pPr>
            <w:r>
              <w:rPr>
                <w:noProof/>
              </w:rPr>
              <w:t xml:space="preserve">Bod </w:t>
            </w:r>
          </w:p>
        </w:tc>
        <w:tc>
          <w:tcPr>
            <w:tcW w:w="3071" w:type="dxa"/>
          </w:tcPr>
          <w:p>
            <w:pPr>
              <w:pStyle w:val="Text1"/>
              <w:ind w:left="0"/>
              <w:rPr>
                <w:noProof/>
              </w:rPr>
            </w:pPr>
            <w:r>
              <w:rPr>
                <w:noProof/>
              </w:rPr>
              <w:t>Zemepisná šírka (S)</w:t>
            </w:r>
          </w:p>
        </w:tc>
        <w:tc>
          <w:tcPr>
            <w:tcW w:w="3071" w:type="dxa"/>
          </w:tcPr>
          <w:p>
            <w:pPr>
              <w:pStyle w:val="Text1"/>
              <w:ind w:left="0"/>
              <w:rPr>
                <w:noProof/>
              </w:rPr>
            </w:pPr>
            <w:r>
              <w:rPr>
                <w:noProof/>
              </w:rPr>
              <w:t xml:space="preserve">Zemepisná dĺžka (E) </w:t>
            </w:r>
          </w:p>
        </w:tc>
      </w:tr>
      <w:tr>
        <w:tc>
          <w:tcPr>
            <w:tcW w:w="3071" w:type="dxa"/>
          </w:tcPr>
          <w:p>
            <w:pPr>
              <w:pStyle w:val="Text1"/>
              <w:ind w:left="0"/>
              <w:rPr>
                <w:noProof/>
              </w:rPr>
            </w:pPr>
            <w:r>
              <w:rPr>
                <w:noProof/>
              </w:rPr>
              <w:t>1</w:t>
            </w:r>
          </w:p>
        </w:tc>
        <w:tc>
          <w:tcPr>
            <w:tcW w:w="3071" w:type="dxa"/>
          </w:tcPr>
          <w:p>
            <w:pPr>
              <w:pStyle w:val="Text1"/>
              <w:ind w:left="0"/>
              <w:rPr>
                <w:noProof/>
              </w:rPr>
            </w:pPr>
            <w:r>
              <w:rPr>
                <w:noProof/>
              </w:rPr>
              <w:t>41° 00'</w:t>
            </w:r>
          </w:p>
        </w:tc>
        <w:tc>
          <w:tcPr>
            <w:tcW w:w="3071" w:type="dxa"/>
          </w:tcPr>
          <w:p>
            <w:pPr>
              <w:pStyle w:val="Text1"/>
              <w:ind w:left="0"/>
              <w:rPr>
                <w:noProof/>
              </w:rPr>
            </w:pPr>
            <w:r>
              <w:rPr>
                <w:noProof/>
              </w:rPr>
              <w:t>42° 00'</w:t>
            </w:r>
          </w:p>
        </w:tc>
      </w:tr>
      <w:tr>
        <w:tc>
          <w:tcPr>
            <w:tcW w:w="3071" w:type="dxa"/>
          </w:tcPr>
          <w:p>
            <w:pPr>
              <w:pStyle w:val="Text1"/>
              <w:ind w:left="0"/>
              <w:rPr>
                <w:noProof/>
              </w:rPr>
            </w:pPr>
            <w:r>
              <w:rPr>
                <w:noProof/>
              </w:rPr>
              <w:t>2</w:t>
            </w:r>
          </w:p>
        </w:tc>
        <w:tc>
          <w:tcPr>
            <w:tcW w:w="3071" w:type="dxa"/>
          </w:tcPr>
          <w:p>
            <w:pPr>
              <w:pStyle w:val="Text1"/>
              <w:ind w:left="0"/>
              <w:rPr>
                <w:noProof/>
              </w:rPr>
            </w:pPr>
            <w:r>
              <w:rPr>
                <w:noProof/>
              </w:rPr>
              <w:t>41° 40'</w:t>
            </w:r>
          </w:p>
        </w:tc>
        <w:tc>
          <w:tcPr>
            <w:tcW w:w="3071" w:type="dxa"/>
          </w:tcPr>
          <w:p>
            <w:pPr>
              <w:pStyle w:val="Text1"/>
              <w:ind w:left="0"/>
              <w:rPr>
                <w:noProof/>
              </w:rPr>
            </w:pPr>
            <w:r>
              <w:rPr>
                <w:noProof/>
              </w:rPr>
              <w:t>42° 00'</w:t>
            </w:r>
          </w:p>
        </w:tc>
      </w:tr>
      <w:tr>
        <w:tc>
          <w:tcPr>
            <w:tcW w:w="3071" w:type="dxa"/>
          </w:tcPr>
          <w:p>
            <w:pPr>
              <w:pStyle w:val="Text1"/>
              <w:ind w:left="0"/>
              <w:rPr>
                <w:noProof/>
              </w:rPr>
            </w:pPr>
            <w:r>
              <w:rPr>
                <w:noProof/>
              </w:rPr>
              <w:t>3</w:t>
            </w:r>
          </w:p>
        </w:tc>
        <w:tc>
          <w:tcPr>
            <w:tcW w:w="3071" w:type="dxa"/>
          </w:tcPr>
          <w:p>
            <w:pPr>
              <w:pStyle w:val="Text1"/>
              <w:ind w:left="0"/>
              <w:rPr>
                <w:noProof/>
              </w:rPr>
            </w:pPr>
            <w:r>
              <w:rPr>
                <w:noProof/>
              </w:rPr>
              <w:t>41° 40'</w:t>
            </w:r>
          </w:p>
        </w:tc>
        <w:tc>
          <w:tcPr>
            <w:tcW w:w="3071" w:type="dxa"/>
          </w:tcPr>
          <w:p>
            <w:pPr>
              <w:pStyle w:val="Text1"/>
              <w:ind w:left="0"/>
              <w:rPr>
                <w:noProof/>
              </w:rPr>
            </w:pPr>
            <w:r>
              <w:rPr>
                <w:noProof/>
              </w:rPr>
              <w:t>44° 00'</w:t>
            </w:r>
          </w:p>
        </w:tc>
      </w:tr>
      <w:tr>
        <w:tc>
          <w:tcPr>
            <w:tcW w:w="3071" w:type="dxa"/>
          </w:tcPr>
          <w:p>
            <w:pPr>
              <w:pStyle w:val="Text1"/>
              <w:ind w:left="0"/>
              <w:rPr>
                <w:noProof/>
              </w:rPr>
            </w:pPr>
            <w:r>
              <w:rPr>
                <w:noProof/>
              </w:rPr>
              <w:t>4</w:t>
            </w:r>
          </w:p>
        </w:tc>
        <w:tc>
          <w:tcPr>
            <w:tcW w:w="3071" w:type="dxa"/>
          </w:tcPr>
          <w:p>
            <w:pPr>
              <w:pStyle w:val="Text1"/>
              <w:ind w:left="0"/>
              <w:rPr>
                <w:noProof/>
              </w:rPr>
            </w:pPr>
            <w:r>
              <w:rPr>
                <w:noProof/>
              </w:rPr>
              <w:t>41° 00'</w:t>
            </w:r>
          </w:p>
        </w:tc>
        <w:tc>
          <w:tcPr>
            <w:tcW w:w="3071" w:type="dxa"/>
          </w:tcPr>
          <w:p>
            <w:pPr>
              <w:pStyle w:val="Text1"/>
              <w:ind w:left="0"/>
              <w:rPr>
                <w:noProof/>
              </w:rPr>
            </w:pPr>
            <w:r>
              <w:rPr>
                <w:noProof/>
              </w:rPr>
              <w:t>44° 00'</w:t>
            </w:r>
          </w:p>
        </w:tc>
      </w:tr>
    </w:tbl>
    <w:p>
      <w:pPr>
        <w:pStyle w:val="Text1"/>
        <w:ind w:left="0"/>
        <w:jc w:val="center"/>
        <w:rPr>
          <w:noProof/>
        </w:rPr>
      </w:pPr>
      <w:r>
        <w:rPr>
          <w:noProof/>
        </w:rPr>
        <w:t>Fools Flat</w:t>
      </w:r>
    </w:p>
    <w:tbl>
      <w:tblPr>
        <w:tblStyle w:val="TableGrid"/>
        <w:tblW w:w="0" w:type="auto"/>
        <w:tblLook w:val="04A0" w:firstRow="1" w:lastRow="0" w:firstColumn="1" w:lastColumn="0" w:noHBand="0" w:noVBand="1"/>
      </w:tblPr>
      <w:tblGrid>
        <w:gridCol w:w="3071"/>
        <w:gridCol w:w="3071"/>
        <w:gridCol w:w="3071"/>
      </w:tblGrid>
      <w:tr>
        <w:tc>
          <w:tcPr>
            <w:tcW w:w="3071" w:type="dxa"/>
          </w:tcPr>
          <w:p>
            <w:pPr>
              <w:pStyle w:val="Text1"/>
              <w:ind w:left="0"/>
              <w:rPr>
                <w:noProof/>
              </w:rPr>
            </w:pPr>
            <w:r>
              <w:rPr>
                <w:noProof/>
              </w:rPr>
              <w:t xml:space="preserve">Bod </w:t>
            </w:r>
          </w:p>
        </w:tc>
        <w:tc>
          <w:tcPr>
            <w:tcW w:w="3071" w:type="dxa"/>
          </w:tcPr>
          <w:p>
            <w:pPr>
              <w:pStyle w:val="Text1"/>
              <w:ind w:left="0"/>
              <w:rPr>
                <w:noProof/>
              </w:rPr>
            </w:pPr>
            <w:r>
              <w:rPr>
                <w:noProof/>
              </w:rPr>
              <w:t>Zemepisná šírka (S)</w:t>
            </w:r>
          </w:p>
        </w:tc>
        <w:tc>
          <w:tcPr>
            <w:tcW w:w="3071" w:type="dxa"/>
          </w:tcPr>
          <w:p>
            <w:pPr>
              <w:pStyle w:val="Text1"/>
              <w:ind w:left="0"/>
              <w:rPr>
                <w:noProof/>
              </w:rPr>
            </w:pPr>
            <w:r>
              <w:rPr>
                <w:noProof/>
              </w:rPr>
              <w:t xml:space="preserve">Zemepisná dĺžka (E) </w:t>
            </w:r>
          </w:p>
        </w:tc>
      </w:tr>
      <w:tr>
        <w:tc>
          <w:tcPr>
            <w:tcW w:w="3071" w:type="dxa"/>
          </w:tcPr>
          <w:p>
            <w:pPr>
              <w:pStyle w:val="Text1"/>
              <w:ind w:left="0"/>
              <w:rPr>
                <w:noProof/>
              </w:rPr>
            </w:pPr>
            <w:r>
              <w:rPr>
                <w:noProof/>
              </w:rPr>
              <w:t>1</w:t>
            </w:r>
          </w:p>
        </w:tc>
        <w:tc>
          <w:tcPr>
            <w:tcW w:w="3071" w:type="dxa"/>
          </w:tcPr>
          <w:p>
            <w:pPr>
              <w:pStyle w:val="Text1"/>
              <w:ind w:left="0"/>
              <w:rPr>
                <w:noProof/>
              </w:rPr>
            </w:pPr>
            <w:r>
              <w:rPr>
                <w:noProof/>
              </w:rPr>
              <w:t>31°30'</w:t>
            </w:r>
          </w:p>
        </w:tc>
        <w:tc>
          <w:tcPr>
            <w:tcW w:w="3071" w:type="dxa"/>
          </w:tcPr>
          <w:p>
            <w:pPr>
              <w:pStyle w:val="Text1"/>
              <w:ind w:left="0"/>
              <w:rPr>
                <w:noProof/>
              </w:rPr>
            </w:pPr>
            <w:r>
              <w:rPr>
                <w:noProof/>
              </w:rPr>
              <w:t>94° 40'</w:t>
            </w:r>
          </w:p>
        </w:tc>
      </w:tr>
      <w:tr>
        <w:tc>
          <w:tcPr>
            <w:tcW w:w="3071" w:type="dxa"/>
          </w:tcPr>
          <w:p>
            <w:pPr>
              <w:pStyle w:val="Text1"/>
              <w:ind w:left="0"/>
              <w:rPr>
                <w:noProof/>
              </w:rPr>
            </w:pPr>
            <w:r>
              <w:rPr>
                <w:noProof/>
              </w:rPr>
              <w:t>2</w:t>
            </w:r>
          </w:p>
        </w:tc>
        <w:tc>
          <w:tcPr>
            <w:tcW w:w="3071" w:type="dxa"/>
          </w:tcPr>
          <w:p>
            <w:pPr>
              <w:pStyle w:val="Text1"/>
              <w:ind w:left="0"/>
              <w:rPr>
                <w:noProof/>
              </w:rPr>
            </w:pPr>
            <w:r>
              <w:rPr>
                <w:noProof/>
              </w:rPr>
              <w:t>31°40'</w:t>
            </w:r>
          </w:p>
        </w:tc>
        <w:tc>
          <w:tcPr>
            <w:tcW w:w="3071" w:type="dxa"/>
          </w:tcPr>
          <w:p>
            <w:pPr>
              <w:pStyle w:val="Text1"/>
              <w:ind w:left="0"/>
              <w:rPr>
                <w:noProof/>
              </w:rPr>
            </w:pPr>
            <w:r>
              <w:rPr>
                <w:noProof/>
              </w:rPr>
              <w:t>94° 40'</w:t>
            </w:r>
          </w:p>
        </w:tc>
      </w:tr>
      <w:tr>
        <w:tc>
          <w:tcPr>
            <w:tcW w:w="3071" w:type="dxa"/>
          </w:tcPr>
          <w:p>
            <w:pPr>
              <w:pStyle w:val="Text1"/>
              <w:ind w:left="0"/>
              <w:rPr>
                <w:noProof/>
              </w:rPr>
            </w:pPr>
            <w:r>
              <w:rPr>
                <w:noProof/>
              </w:rPr>
              <w:t>3</w:t>
            </w:r>
          </w:p>
        </w:tc>
        <w:tc>
          <w:tcPr>
            <w:tcW w:w="3071" w:type="dxa"/>
          </w:tcPr>
          <w:p>
            <w:pPr>
              <w:pStyle w:val="Text1"/>
              <w:ind w:left="0"/>
              <w:rPr>
                <w:noProof/>
              </w:rPr>
            </w:pPr>
            <w:r>
              <w:rPr>
                <w:noProof/>
              </w:rPr>
              <w:t>31°40</w:t>
            </w:r>
          </w:p>
        </w:tc>
        <w:tc>
          <w:tcPr>
            <w:tcW w:w="3071" w:type="dxa"/>
          </w:tcPr>
          <w:p>
            <w:pPr>
              <w:pStyle w:val="Text1"/>
              <w:ind w:left="0"/>
              <w:rPr>
                <w:noProof/>
              </w:rPr>
            </w:pPr>
            <w:r>
              <w:rPr>
                <w:noProof/>
              </w:rPr>
              <w:t>95° 00'</w:t>
            </w:r>
          </w:p>
        </w:tc>
      </w:tr>
      <w:tr>
        <w:tc>
          <w:tcPr>
            <w:tcW w:w="3071" w:type="dxa"/>
          </w:tcPr>
          <w:p>
            <w:pPr>
              <w:pStyle w:val="Text1"/>
              <w:ind w:left="0"/>
              <w:rPr>
                <w:noProof/>
              </w:rPr>
            </w:pPr>
            <w:r>
              <w:rPr>
                <w:noProof/>
              </w:rPr>
              <w:t>4</w:t>
            </w:r>
          </w:p>
        </w:tc>
        <w:tc>
          <w:tcPr>
            <w:tcW w:w="3071" w:type="dxa"/>
          </w:tcPr>
          <w:p>
            <w:pPr>
              <w:pStyle w:val="Text1"/>
              <w:ind w:left="0"/>
              <w:rPr>
                <w:noProof/>
              </w:rPr>
            </w:pPr>
            <w:r>
              <w:rPr>
                <w:noProof/>
              </w:rPr>
              <w:t>31°30'</w:t>
            </w:r>
          </w:p>
        </w:tc>
        <w:tc>
          <w:tcPr>
            <w:tcW w:w="3071" w:type="dxa"/>
          </w:tcPr>
          <w:p>
            <w:pPr>
              <w:pStyle w:val="Text1"/>
              <w:ind w:left="0"/>
              <w:rPr>
                <w:noProof/>
              </w:rPr>
            </w:pPr>
            <w:r>
              <w:rPr>
                <w:noProof/>
              </w:rPr>
              <w:t>95° 00'</w:t>
            </w:r>
          </w:p>
        </w:tc>
      </w:tr>
    </w:tbl>
    <w:p>
      <w:pPr>
        <w:pStyle w:val="Text1"/>
        <w:ind w:left="0"/>
        <w:jc w:val="center"/>
        <w:rPr>
          <w:noProof/>
        </w:rPr>
      </w:pPr>
      <w:r>
        <w:rPr>
          <w:noProof/>
        </w:rPr>
        <w:t>Middle of What</w:t>
      </w:r>
    </w:p>
    <w:tbl>
      <w:tblPr>
        <w:tblStyle w:val="TableGrid"/>
        <w:tblW w:w="0" w:type="auto"/>
        <w:tblLook w:val="04A0" w:firstRow="1" w:lastRow="0" w:firstColumn="1" w:lastColumn="0" w:noHBand="0" w:noVBand="1"/>
      </w:tblPr>
      <w:tblGrid>
        <w:gridCol w:w="3071"/>
        <w:gridCol w:w="3071"/>
        <w:gridCol w:w="3071"/>
      </w:tblGrid>
      <w:tr>
        <w:tc>
          <w:tcPr>
            <w:tcW w:w="3071" w:type="dxa"/>
          </w:tcPr>
          <w:p>
            <w:pPr>
              <w:pStyle w:val="Text1"/>
              <w:ind w:left="0"/>
              <w:rPr>
                <w:noProof/>
              </w:rPr>
            </w:pPr>
            <w:r>
              <w:rPr>
                <w:noProof/>
              </w:rPr>
              <w:t xml:space="preserve">Bod </w:t>
            </w:r>
          </w:p>
        </w:tc>
        <w:tc>
          <w:tcPr>
            <w:tcW w:w="3071" w:type="dxa"/>
          </w:tcPr>
          <w:p>
            <w:pPr>
              <w:pStyle w:val="Text1"/>
              <w:ind w:left="0"/>
              <w:rPr>
                <w:noProof/>
              </w:rPr>
            </w:pPr>
            <w:r>
              <w:rPr>
                <w:noProof/>
              </w:rPr>
              <w:t>Zemepisná šírka (S)</w:t>
            </w:r>
          </w:p>
        </w:tc>
        <w:tc>
          <w:tcPr>
            <w:tcW w:w="3071" w:type="dxa"/>
          </w:tcPr>
          <w:p>
            <w:pPr>
              <w:pStyle w:val="Text1"/>
              <w:ind w:left="0"/>
              <w:rPr>
                <w:noProof/>
              </w:rPr>
            </w:pPr>
            <w:r>
              <w:rPr>
                <w:noProof/>
              </w:rPr>
              <w:t xml:space="preserve">Zemepisná dĺžka (E) </w:t>
            </w:r>
          </w:p>
        </w:tc>
      </w:tr>
      <w:tr>
        <w:tc>
          <w:tcPr>
            <w:tcW w:w="3071" w:type="dxa"/>
          </w:tcPr>
          <w:p>
            <w:pPr>
              <w:pStyle w:val="Text1"/>
              <w:ind w:left="0"/>
              <w:rPr>
                <w:noProof/>
              </w:rPr>
            </w:pPr>
            <w:r>
              <w:rPr>
                <w:noProof/>
              </w:rPr>
              <w:t>1</w:t>
            </w:r>
          </w:p>
        </w:tc>
        <w:tc>
          <w:tcPr>
            <w:tcW w:w="3071" w:type="dxa"/>
          </w:tcPr>
          <w:p>
            <w:pPr>
              <w:pStyle w:val="Text1"/>
              <w:ind w:left="0"/>
              <w:rPr>
                <w:noProof/>
              </w:rPr>
            </w:pPr>
            <w:r>
              <w:rPr>
                <w:noProof/>
              </w:rPr>
              <w:t>37° 54'</w:t>
            </w:r>
          </w:p>
        </w:tc>
        <w:tc>
          <w:tcPr>
            <w:tcW w:w="3071" w:type="dxa"/>
          </w:tcPr>
          <w:p>
            <w:pPr>
              <w:pStyle w:val="Text1"/>
              <w:ind w:left="0"/>
              <w:rPr>
                <w:noProof/>
              </w:rPr>
            </w:pPr>
            <w:r>
              <w:rPr>
                <w:noProof/>
              </w:rPr>
              <w:t>50° 23'</w:t>
            </w:r>
          </w:p>
        </w:tc>
      </w:tr>
      <w:tr>
        <w:tc>
          <w:tcPr>
            <w:tcW w:w="3071" w:type="dxa"/>
          </w:tcPr>
          <w:p>
            <w:pPr>
              <w:pStyle w:val="Text1"/>
              <w:ind w:left="0"/>
              <w:rPr>
                <w:noProof/>
              </w:rPr>
            </w:pPr>
            <w:r>
              <w:rPr>
                <w:noProof/>
              </w:rPr>
              <w:t>2</w:t>
            </w:r>
          </w:p>
        </w:tc>
        <w:tc>
          <w:tcPr>
            <w:tcW w:w="3071" w:type="dxa"/>
          </w:tcPr>
          <w:p>
            <w:pPr>
              <w:pStyle w:val="Text1"/>
              <w:ind w:left="0"/>
              <w:rPr>
                <w:noProof/>
              </w:rPr>
            </w:pPr>
            <w:r>
              <w:rPr>
                <w:noProof/>
              </w:rPr>
              <w:t>37° 56,5'</w:t>
            </w:r>
          </w:p>
        </w:tc>
        <w:tc>
          <w:tcPr>
            <w:tcW w:w="3071" w:type="dxa"/>
          </w:tcPr>
          <w:p>
            <w:pPr>
              <w:pStyle w:val="Text1"/>
              <w:ind w:left="0"/>
              <w:rPr>
                <w:noProof/>
              </w:rPr>
            </w:pPr>
            <w:r>
              <w:rPr>
                <w:noProof/>
              </w:rPr>
              <w:t>50° 23'</w:t>
            </w:r>
          </w:p>
        </w:tc>
      </w:tr>
      <w:tr>
        <w:tc>
          <w:tcPr>
            <w:tcW w:w="3071" w:type="dxa"/>
          </w:tcPr>
          <w:p>
            <w:pPr>
              <w:pStyle w:val="Text1"/>
              <w:ind w:left="0"/>
              <w:rPr>
                <w:noProof/>
              </w:rPr>
            </w:pPr>
            <w:r>
              <w:rPr>
                <w:noProof/>
              </w:rPr>
              <w:t>3</w:t>
            </w:r>
          </w:p>
        </w:tc>
        <w:tc>
          <w:tcPr>
            <w:tcW w:w="3071" w:type="dxa"/>
          </w:tcPr>
          <w:p>
            <w:pPr>
              <w:pStyle w:val="Text1"/>
              <w:ind w:left="0"/>
              <w:rPr>
                <w:noProof/>
              </w:rPr>
            </w:pPr>
            <w:r>
              <w:rPr>
                <w:noProof/>
              </w:rPr>
              <w:t>37° 56,5'</w:t>
            </w:r>
          </w:p>
        </w:tc>
        <w:tc>
          <w:tcPr>
            <w:tcW w:w="3071" w:type="dxa"/>
          </w:tcPr>
          <w:p>
            <w:pPr>
              <w:pStyle w:val="Text1"/>
              <w:ind w:left="0"/>
              <w:rPr>
                <w:noProof/>
              </w:rPr>
            </w:pPr>
            <w:r>
              <w:rPr>
                <w:noProof/>
              </w:rPr>
              <w:t>50° 27'</w:t>
            </w:r>
          </w:p>
        </w:tc>
      </w:tr>
      <w:tr>
        <w:tc>
          <w:tcPr>
            <w:tcW w:w="3071" w:type="dxa"/>
          </w:tcPr>
          <w:p>
            <w:pPr>
              <w:pStyle w:val="Text1"/>
              <w:ind w:left="0"/>
              <w:rPr>
                <w:noProof/>
              </w:rPr>
            </w:pPr>
            <w:r>
              <w:rPr>
                <w:noProof/>
              </w:rPr>
              <w:t>4</w:t>
            </w:r>
          </w:p>
        </w:tc>
        <w:tc>
          <w:tcPr>
            <w:tcW w:w="3071" w:type="dxa"/>
          </w:tcPr>
          <w:p>
            <w:pPr>
              <w:pStyle w:val="Text1"/>
              <w:ind w:left="0"/>
              <w:rPr>
                <w:noProof/>
              </w:rPr>
            </w:pPr>
            <w:r>
              <w:rPr>
                <w:noProof/>
              </w:rPr>
              <w:t>37° 54'</w:t>
            </w:r>
          </w:p>
        </w:tc>
        <w:tc>
          <w:tcPr>
            <w:tcW w:w="3071" w:type="dxa"/>
          </w:tcPr>
          <w:p>
            <w:pPr>
              <w:pStyle w:val="Text1"/>
              <w:ind w:left="0"/>
              <w:rPr>
                <w:noProof/>
              </w:rPr>
            </w:pPr>
            <w:r>
              <w:rPr>
                <w:noProof/>
              </w:rPr>
              <w:t>50° 27'</w:t>
            </w:r>
          </w:p>
        </w:tc>
      </w:tr>
    </w:tbl>
    <w:p>
      <w:pPr>
        <w:pStyle w:val="Text1"/>
        <w:keepNext/>
        <w:ind w:left="0"/>
        <w:jc w:val="center"/>
        <w:rPr>
          <w:noProof/>
        </w:rPr>
      </w:pPr>
      <w:r>
        <w:rPr>
          <w:noProof/>
        </w:rPr>
        <w:t>Walter’s Shoal</w:t>
      </w:r>
    </w:p>
    <w:tbl>
      <w:tblPr>
        <w:tblStyle w:val="TableGrid"/>
        <w:tblW w:w="0" w:type="auto"/>
        <w:tblLook w:val="04A0" w:firstRow="1" w:lastRow="0" w:firstColumn="1" w:lastColumn="0" w:noHBand="0" w:noVBand="1"/>
      </w:tblPr>
      <w:tblGrid>
        <w:gridCol w:w="3071"/>
        <w:gridCol w:w="3071"/>
        <w:gridCol w:w="3071"/>
      </w:tblGrid>
      <w:tr>
        <w:tc>
          <w:tcPr>
            <w:tcW w:w="3071" w:type="dxa"/>
          </w:tcPr>
          <w:p>
            <w:pPr>
              <w:pStyle w:val="Text1"/>
              <w:ind w:left="0"/>
              <w:rPr>
                <w:noProof/>
              </w:rPr>
            </w:pPr>
            <w:r>
              <w:rPr>
                <w:noProof/>
              </w:rPr>
              <w:t xml:space="preserve">Bod </w:t>
            </w:r>
          </w:p>
        </w:tc>
        <w:tc>
          <w:tcPr>
            <w:tcW w:w="3071" w:type="dxa"/>
          </w:tcPr>
          <w:p>
            <w:pPr>
              <w:pStyle w:val="Text1"/>
              <w:ind w:left="0"/>
              <w:rPr>
                <w:noProof/>
              </w:rPr>
            </w:pPr>
            <w:r>
              <w:rPr>
                <w:noProof/>
              </w:rPr>
              <w:t>Zemepisná šírka (S)</w:t>
            </w:r>
          </w:p>
        </w:tc>
        <w:tc>
          <w:tcPr>
            <w:tcW w:w="3071" w:type="dxa"/>
          </w:tcPr>
          <w:p>
            <w:pPr>
              <w:pStyle w:val="Text1"/>
              <w:ind w:left="0"/>
              <w:rPr>
                <w:noProof/>
              </w:rPr>
            </w:pPr>
            <w:r>
              <w:rPr>
                <w:noProof/>
              </w:rPr>
              <w:t xml:space="preserve">Zemepisná dĺžka (E) </w:t>
            </w:r>
          </w:p>
        </w:tc>
      </w:tr>
      <w:tr>
        <w:tc>
          <w:tcPr>
            <w:tcW w:w="3071" w:type="dxa"/>
          </w:tcPr>
          <w:p>
            <w:pPr>
              <w:pStyle w:val="Text1"/>
              <w:ind w:left="0"/>
              <w:rPr>
                <w:noProof/>
              </w:rPr>
            </w:pPr>
            <w:r>
              <w:rPr>
                <w:noProof/>
              </w:rPr>
              <w:t>1</w:t>
            </w:r>
          </w:p>
        </w:tc>
        <w:tc>
          <w:tcPr>
            <w:tcW w:w="3071" w:type="dxa"/>
          </w:tcPr>
          <w:p>
            <w:pPr>
              <w:pStyle w:val="Text1"/>
              <w:ind w:left="0"/>
              <w:rPr>
                <w:noProof/>
              </w:rPr>
            </w:pPr>
            <w:r>
              <w:rPr>
                <w:noProof/>
              </w:rPr>
              <w:t>33° 00'</w:t>
            </w:r>
          </w:p>
        </w:tc>
        <w:tc>
          <w:tcPr>
            <w:tcW w:w="3071" w:type="dxa"/>
          </w:tcPr>
          <w:p>
            <w:pPr>
              <w:pStyle w:val="Text1"/>
              <w:ind w:left="0"/>
              <w:rPr>
                <w:noProof/>
              </w:rPr>
            </w:pPr>
            <w:r>
              <w:rPr>
                <w:noProof/>
              </w:rPr>
              <w:t>43° 10'</w:t>
            </w:r>
          </w:p>
        </w:tc>
      </w:tr>
      <w:tr>
        <w:tc>
          <w:tcPr>
            <w:tcW w:w="3071" w:type="dxa"/>
          </w:tcPr>
          <w:p>
            <w:pPr>
              <w:pStyle w:val="Text1"/>
              <w:ind w:left="0"/>
              <w:rPr>
                <w:noProof/>
              </w:rPr>
            </w:pPr>
            <w:r>
              <w:rPr>
                <w:noProof/>
              </w:rPr>
              <w:t>2</w:t>
            </w:r>
          </w:p>
        </w:tc>
        <w:tc>
          <w:tcPr>
            <w:tcW w:w="3071" w:type="dxa"/>
          </w:tcPr>
          <w:p>
            <w:pPr>
              <w:pStyle w:val="Text1"/>
              <w:ind w:left="0"/>
              <w:rPr>
                <w:noProof/>
              </w:rPr>
            </w:pPr>
            <w:r>
              <w:rPr>
                <w:noProof/>
              </w:rPr>
              <w:t>33° 20'</w:t>
            </w:r>
          </w:p>
        </w:tc>
        <w:tc>
          <w:tcPr>
            <w:tcW w:w="3071" w:type="dxa"/>
          </w:tcPr>
          <w:p>
            <w:pPr>
              <w:pStyle w:val="Text1"/>
              <w:ind w:left="0"/>
              <w:rPr>
                <w:noProof/>
              </w:rPr>
            </w:pPr>
            <w:r>
              <w:rPr>
                <w:noProof/>
              </w:rPr>
              <w:t>43° 10'</w:t>
            </w:r>
          </w:p>
        </w:tc>
      </w:tr>
      <w:tr>
        <w:tc>
          <w:tcPr>
            <w:tcW w:w="3071" w:type="dxa"/>
          </w:tcPr>
          <w:p>
            <w:pPr>
              <w:pStyle w:val="Text1"/>
              <w:ind w:left="0"/>
              <w:rPr>
                <w:noProof/>
              </w:rPr>
            </w:pPr>
            <w:r>
              <w:rPr>
                <w:noProof/>
              </w:rPr>
              <w:t>3</w:t>
            </w:r>
          </w:p>
        </w:tc>
        <w:tc>
          <w:tcPr>
            <w:tcW w:w="3071" w:type="dxa"/>
          </w:tcPr>
          <w:p>
            <w:pPr>
              <w:pStyle w:val="Text1"/>
              <w:ind w:left="0"/>
              <w:rPr>
                <w:noProof/>
              </w:rPr>
            </w:pPr>
            <w:r>
              <w:rPr>
                <w:noProof/>
              </w:rPr>
              <w:t>33° 20'</w:t>
            </w:r>
          </w:p>
        </w:tc>
        <w:tc>
          <w:tcPr>
            <w:tcW w:w="3071" w:type="dxa"/>
            <w:vAlign w:val="bottom"/>
          </w:tcPr>
          <w:p>
            <w:pPr>
              <w:pStyle w:val="Text1"/>
              <w:ind w:left="0"/>
              <w:rPr>
                <w:noProof/>
              </w:rPr>
            </w:pPr>
            <w:r>
              <w:rPr>
                <w:noProof/>
              </w:rPr>
              <w:t>44° 10'</w:t>
            </w:r>
          </w:p>
        </w:tc>
      </w:tr>
      <w:tr>
        <w:tc>
          <w:tcPr>
            <w:tcW w:w="3071" w:type="dxa"/>
          </w:tcPr>
          <w:p>
            <w:pPr>
              <w:pStyle w:val="Text1"/>
              <w:ind w:left="0"/>
              <w:rPr>
                <w:noProof/>
              </w:rPr>
            </w:pPr>
            <w:r>
              <w:rPr>
                <w:noProof/>
              </w:rPr>
              <w:t>4</w:t>
            </w:r>
          </w:p>
        </w:tc>
        <w:tc>
          <w:tcPr>
            <w:tcW w:w="3071" w:type="dxa"/>
          </w:tcPr>
          <w:p>
            <w:pPr>
              <w:pStyle w:val="Text1"/>
              <w:ind w:left="0"/>
              <w:rPr>
                <w:noProof/>
              </w:rPr>
            </w:pPr>
            <w:r>
              <w:rPr>
                <w:noProof/>
              </w:rPr>
              <w:t>33° 00'</w:t>
            </w:r>
          </w:p>
        </w:tc>
        <w:tc>
          <w:tcPr>
            <w:tcW w:w="3071" w:type="dxa"/>
            <w:vAlign w:val="bottom"/>
          </w:tcPr>
          <w:p>
            <w:pPr>
              <w:pStyle w:val="Text1"/>
              <w:ind w:left="0"/>
              <w:rPr>
                <w:noProof/>
              </w:rPr>
            </w:pPr>
            <w:r>
              <w:rPr>
                <w:noProof/>
              </w:rPr>
              <w:t>44° 10'</w:t>
            </w:r>
          </w:p>
        </w:tc>
      </w:tr>
    </w:tbl>
    <w:p>
      <w:pPr>
        <w:rPr>
          <w:noProof/>
        </w:rPr>
      </w:pPr>
      <w:r>
        <w:rPr>
          <w:noProof/>
        </w:rPr>
        <w:t>“.</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51620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15232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B885C0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7F010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39EA7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9C0DF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69A5608"/>
    <w:lvl w:ilvl="0">
      <w:start w:val="1"/>
      <w:numFmt w:val="decimal"/>
      <w:pStyle w:val="ListNumber"/>
      <w:lvlText w:val="%1."/>
      <w:lvlJc w:val="left"/>
      <w:pPr>
        <w:tabs>
          <w:tab w:val="num" w:pos="360"/>
        </w:tabs>
        <w:ind w:left="360" w:hanging="360"/>
      </w:pPr>
    </w:lvl>
  </w:abstractNum>
  <w:abstractNum w:abstractNumId="7">
    <w:nsid w:val="FFFFFF89"/>
    <w:multiLevelType w:val="singleLevel"/>
    <w:tmpl w:val="F2AE89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3-04 14:17: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k"/>
    <w:docVar w:name="LW_ACCOMPAGNANT.CP" w:val="k"/>
    <w:docVar w:name="LW_ANNEX_NBR_FIRST" w:val="1"/>
    <w:docVar w:name="LW_ANNEX_NBR_LAST" w:val="2"/>
    <w:docVar w:name="LW_ANNEX_UNIQUE" w:val="0"/>
    <w:docVar w:name="LW_CORRIGENDUM" w:val="&lt;UNUSED&gt;"/>
    <w:docVar w:name="LW_COVERPAGE_EXISTS" w:val="True"/>
    <w:docVar w:name="LW_COVERPAGE_GUID" w:val="7F785BB8-4F75-41D5-93F3-5E2746386B4B"/>
    <w:docVar w:name="LW_COVERPAGE_TYPE" w:val="1"/>
    <w:docVar w:name="LW_CROSSREFERENCE" w:val="&lt;UNUSED&gt;"/>
    <w:docVar w:name="LW_DocType" w:val="ANNEX"/>
    <w:docVar w:name="LW_EMISSION" w:val="4. 3. 2020"/>
    <w:docVar w:name="LW_EMISSION_ISODATE" w:val="2020-03-04"/>
    <w:docVar w:name="LW_EMISSION_LOCATION" w:val="BRX"/>
    <w:docVar w:name="LW_EMISSION_PREFIX" w:val="V Bruseli"/>
    <w:docVar w:name="LW_EMISSION_SUFFIX" w:val="&lt;EMPTY&gt;"/>
    <w:docVar w:name="LW_ID_DOCSTRUCTURE" w:val="COM/ANNEX"/>
    <w:docVar w:name="LW_ID_DOCTYPE" w:val="SG-017"/>
    <w:docVar w:name="LW_LANGUE" w:val="SK"/>
    <w:docVar w:name="LW_LEVEL_OF_SENSITIVITY" w:val="Standard treatment"/>
    <w:docVar w:name="LW_NOM.INST" w:val="EURÓPSKA KOMISIA"/>
    <w:docVar w:name="LW_NOM.INST_JOINTDOC" w:val="&lt;EMPTY&gt;"/>
    <w:docVar w:name="LW_OBJETACTEPRINCIPAL" w:val="ktorým sa mení nariadenie (EÚ) 2019/1838, pokia\u318? ide o ur\u269?ité rybolovné mo\u382?nosti na rok 2020 v Baltskom mori a iných vodách, a ktorým sa opravuje a mení nariadenie (EÚ) 2020/123, pokia\u318? ide o ur\u269?ité rybolovné mo\u382?nosti na rok 2020 vo vodách Únie a vo vodách nepatriacich Únii"/>
    <w:docVar w:name="LW_OBJETACTEPRINCIPAL.CP" w:val="ktorým sa mení nariadenie (EÚ) 2019/1838, pokia\u318? ide o ur\u269?ité rybolovné mo\u382?nosti na rok 2020 v Baltskom mori a iných vodách, a ktorým sa opravuje a mení nariadenie (EÚ) 2020/123, pokia\u318? ide o ur\u269?ité rybolovné mo\u382?nosti na rok 2020 vo vodách Únie a vo vodách nepatriacich Únii"/>
    <w:docVar w:name="LW_PART_NBR" w:val="&lt;UNUSED&gt;"/>
    <w:docVar w:name="LW_PART_NBR_TOTAL" w:val="&lt;UNUSED&gt;"/>
    <w:docVar w:name="LW_REF.INST.NEW" w:val="COM"/>
    <w:docVar w:name="LW_REF.INST.NEW_ADOPTED" w:val="final"/>
    <w:docVar w:name="LW_REF.INST.NEW_TEXT" w:val="(2020) 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ÍLOHY"/>
    <w:docVar w:name="LW_TYPE.DOC.CP" w:val="PRÍLOHY"/>
    <w:docVar w:name="LW_TYPEACTEPRINCIPAL" w:val="návrhu _x000b__x000b_NARIADENIA RADY, _x000b__x000b_"/>
    <w:docVar w:name="LW_TYPEACTEPRINCIPAL.CP" w:val="návrhu _x000b__x000b_NARIADENIA RADY, _x000b_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HeadingCentered">
    <w:name w:val="Heading Centered"/>
    <w:basedOn w:val="Normal"/>
    <w:next w:val="Normal"/>
    <w:pPr>
      <w:spacing w:before="360" w:line="360" w:lineRule="auto"/>
      <w:jc w:val="center"/>
      <w:outlineLvl w:val="0"/>
    </w:pPr>
    <w:rPr>
      <w:b/>
      <w:caps/>
      <w:u w:val="single"/>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basedOn w:val="DefaultParagraphFont"/>
    <w:semiHidden/>
    <w:unhideWhenUsed/>
    <w:rPr>
      <w:rFonts w:ascii="Cambria" w:eastAsia="Cambria" w:hAnsi="Cambria" w:cs="Cambria"/>
      <w:b w:val="0"/>
      <w:bCs w:val="0"/>
      <w:i w:val="0"/>
      <w:iCs w:val="0"/>
      <w:smallCaps w:val="0"/>
      <w:strike w:val="0"/>
      <w:color w:val="000000"/>
      <w:spacing w:val="0"/>
      <w:w w:val="100"/>
      <w:position w:val="0"/>
      <w:sz w:val="21"/>
      <w:szCs w:val="21"/>
      <w:u w:val="none"/>
      <w:lang w:val="sk-SK" w:eastAsia="en-US" w:bidi="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HeadingCentered">
    <w:name w:val="Heading Centered"/>
    <w:basedOn w:val="Normal"/>
    <w:next w:val="Normal"/>
    <w:pPr>
      <w:spacing w:before="360" w:line="360" w:lineRule="auto"/>
      <w:jc w:val="center"/>
      <w:outlineLvl w:val="0"/>
    </w:pPr>
    <w:rPr>
      <w:b/>
      <w:caps/>
      <w:u w:val="single"/>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basedOn w:val="DefaultParagraphFont"/>
    <w:semiHidden/>
    <w:unhideWhenUsed/>
    <w:rPr>
      <w:rFonts w:ascii="Cambria" w:eastAsia="Cambria" w:hAnsi="Cambria" w:cs="Cambria"/>
      <w:b w:val="0"/>
      <w:bCs w:val="0"/>
      <w:i w:val="0"/>
      <w:iCs w:val="0"/>
      <w:smallCaps w:val="0"/>
      <w:strike w:val="0"/>
      <w:color w:val="000000"/>
      <w:spacing w:val="0"/>
      <w:w w:val="100"/>
      <w:position w:val="0"/>
      <w:sz w:val="21"/>
      <w:szCs w:val="21"/>
      <w:u w:val="none"/>
      <w:lang w:val="sk-SK" w:eastAsia="en-US" w:bidi="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8792">
      <w:bodyDiv w:val="1"/>
      <w:marLeft w:val="0"/>
      <w:marRight w:val="0"/>
      <w:marTop w:val="0"/>
      <w:marBottom w:val="0"/>
      <w:divBdr>
        <w:top w:val="none" w:sz="0" w:space="0" w:color="auto"/>
        <w:left w:val="none" w:sz="0" w:space="0" w:color="auto"/>
        <w:bottom w:val="none" w:sz="0" w:space="0" w:color="auto"/>
        <w:right w:val="none" w:sz="0" w:space="0" w:color="auto"/>
      </w:divBdr>
    </w:div>
    <w:div w:id="636378832">
      <w:bodyDiv w:val="1"/>
      <w:marLeft w:val="0"/>
      <w:marRight w:val="0"/>
      <w:marTop w:val="0"/>
      <w:marBottom w:val="0"/>
      <w:divBdr>
        <w:top w:val="none" w:sz="0" w:space="0" w:color="auto"/>
        <w:left w:val="none" w:sz="0" w:space="0" w:color="auto"/>
        <w:bottom w:val="none" w:sz="0" w:space="0" w:color="auto"/>
        <w:right w:val="none" w:sz="0" w:space="0" w:color="auto"/>
      </w:divBdr>
    </w:div>
    <w:div w:id="751313522">
      <w:bodyDiv w:val="1"/>
      <w:marLeft w:val="0"/>
      <w:marRight w:val="0"/>
      <w:marTop w:val="0"/>
      <w:marBottom w:val="0"/>
      <w:divBdr>
        <w:top w:val="none" w:sz="0" w:space="0" w:color="auto"/>
        <w:left w:val="none" w:sz="0" w:space="0" w:color="auto"/>
        <w:bottom w:val="none" w:sz="0" w:space="0" w:color="auto"/>
        <w:right w:val="none" w:sz="0" w:space="0" w:color="auto"/>
      </w:divBdr>
    </w:div>
    <w:div w:id="1056006936">
      <w:bodyDiv w:val="1"/>
      <w:marLeft w:val="0"/>
      <w:marRight w:val="0"/>
      <w:marTop w:val="0"/>
      <w:marBottom w:val="0"/>
      <w:divBdr>
        <w:top w:val="none" w:sz="0" w:space="0" w:color="auto"/>
        <w:left w:val="none" w:sz="0" w:space="0" w:color="auto"/>
        <w:bottom w:val="none" w:sz="0" w:space="0" w:color="auto"/>
        <w:right w:val="none" w:sz="0" w:space="0" w:color="auto"/>
      </w:divBdr>
    </w:div>
    <w:div w:id="1066222954">
      <w:bodyDiv w:val="1"/>
      <w:marLeft w:val="0"/>
      <w:marRight w:val="0"/>
      <w:marTop w:val="0"/>
      <w:marBottom w:val="0"/>
      <w:divBdr>
        <w:top w:val="none" w:sz="0" w:space="0" w:color="auto"/>
        <w:left w:val="none" w:sz="0" w:space="0" w:color="auto"/>
        <w:bottom w:val="none" w:sz="0" w:space="0" w:color="auto"/>
        <w:right w:val="none" w:sz="0" w:space="0" w:color="auto"/>
      </w:divBdr>
    </w:div>
    <w:div w:id="1217666504">
      <w:bodyDiv w:val="1"/>
      <w:marLeft w:val="0"/>
      <w:marRight w:val="0"/>
      <w:marTop w:val="0"/>
      <w:marBottom w:val="0"/>
      <w:divBdr>
        <w:top w:val="none" w:sz="0" w:space="0" w:color="auto"/>
        <w:left w:val="none" w:sz="0" w:space="0" w:color="auto"/>
        <w:bottom w:val="none" w:sz="0" w:space="0" w:color="auto"/>
        <w:right w:val="none" w:sz="0" w:space="0" w:color="auto"/>
      </w:divBdr>
    </w:div>
    <w:div w:id="1586182480">
      <w:bodyDiv w:val="1"/>
      <w:marLeft w:val="0"/>
      <w:marRight w:val="0"/>
      <w:marTop w:val="0"/>
      <w:marBottom w:val="0"/>
      <w:divBdr>
        <w:top w:val="none" w:sz="0" w:space="0" w:color="auto"/>
        <w:left w:val="none" w:sz="0" w:space="0" w:color="auto"/>
        <w:bottom w:val="none" w:sz="0" w:space="0" w:color="auto"/>
        <w:right w:val="none" w:sz="0" w:space="0" w:color="auto"/>
      </w:divBdr>
    </w:div>
    <w:div w:id="187480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522CEB-9EF0-4EE1-9F61-2F3E9972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6</Pages>
  <Words>1145</Words>
  <Characters>5981</Characters>
  <Application>Microsoft Office Word</Application>
  <DocSecurity>0</DocSecurity>
  <Lines>398</Lines>
  <Paragraphs>309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 SANZ Carmen (MARE)</dc:creator>
  <cp:lastModifiedBy>WES PDFC Administrator</cp:lastModifiedBy>
  <cp:revision>9</cp:revision>
  <cp:lastPrinted>2020-02-21T08:58:00Z</cp:lastPrinted>
  <dcterms:created xsi:type="dcterms:W3CDTF">2020-03-04T10:57:00Z</dcterms:created>
  <dcterms:modified xsi:type="dcterms:W3CDTF">2020-03-04T13:17:00Z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7.0.1, Build 20190916</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