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8BA4FF1-DB2E-47C2-9AA1-4A50BA3BB320" style="width:450.75pt;height:492.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p>
    <w:p>
      <w:pPr>
        <w:rPr>
          <w:noProof/>
        </w:rPr>
      </w:pPr>
      <w:r>
        <w:rPr>
          <w:noProof/>
        </w:rPr>
        <w:t>El anexo del Reglamento (UE) 2019/1838 se modifica como sigue:</w:t>
      </w:r>
    </w:p>
    <w:p>
      <w:pPr>
        <w:pStyle w:val="Point0"/>
        <w:rPr>
          <w:noProof/>
        </w:rPr>
      </w:pPr>
      <w:r>
        <w:rPr>
          <w:noProof/>
        </w:rPr>
        <w:t>1)</w:t>
      </w:r>
      <w:r>
        <w:rPr>
          <w:noProof/>
        </w:rPr>
        <w:tab/>
        <w:t>La nota a pie de página n.º 2 del cuadro de posibilidades de pesca del bacalao en las subdivisiones CIEM 25-32 se sustituye por el texto siguiente:</w:t>
      </w:r>
    </w:p>
    <w:p>
      <w:pPr>
        <w:pStyle w:val="Text1"/>
        <w:ind w:left="0"/>
        <w:rPr>
          <w:noProof/>
        </w:rPr>
      </w:pPr>
      <w:r>
        <w:rPr>
          <w:noProof/>
        </w:rPr>
        <w:t>«En las subdivisiones 25 y 26, se prohíbe pescar esta cuota desde el 1 de mayo hasta el 31 de agosto.</w:t>
      </w:r>
    </w:p>
    <w:p>
      <w:pPr>
        <w:pStyle w:val="Text1"/>
        <w:ind w:left="0"/>
        <w:rPr>
          <w:noProof/>
        </w:rPr>
      </w:pPr>
      <w:r>
        <w:rPr>
          <w:noProof/>
        </w:rPr>
        <w:t>No obstante lo dispuesto en el párrafo primero, podrán llevarse a cabo las operaciones de pesca realizadas exclusivamente con vistas a efectuar investigaciones científicas, siempre que dichas investigaciones se lleven a cabo cumpliendo plenamente las condiciones establecidas en el artículo 25 del Reglamento (UE) 2019/1241.</w:t>
      </w:r>
    </w:p>
    <w:p>
      <w:pPr>
        <w:pStyle w:val="Text1"/>
        <w:ind w:left="0"/>
        <w:rPr>
          <w:noProof/>
        </w:rPr>
      </w:pPr>
      <w:r>
        <w:rPr>
          <w:noProof/>
        </w:rPr>
        <w:t>No obstante lo dispuesto en el párrafo primero, dicho período de veda no será aplicable a los buques pesqueros de la Unión de menos de 12 metros de eslora total que pesquen con redes de enmalle, de enredo o de trasmallo, con palangres de fondo, palangres (excepto palangres de deriva), líneas de mano y poteras u otros artes pasivos en zonas donde la profundidad del agua sea inferior a 20 metros, según las coordenadas de la carta de navegación oficial expedida por las autoridades nacionales competentes. Los capitanes de estos buques pesqueros velarán por que su actividad pesquera pueda ser controlada en todo momento por las autoridades de control del Estado miembro.».</w:t>
      </w:r>
    </w:p>
    <w:p>
      <w:pPr>
        <w:pStyle w:val="Point0"/>
        <w:rPr>
          <w:noProof/>
        </w:rPr>
      </w:pPr>
      <w:r>
        <w:rPr>
          <w:noProof/>
        </w:rPr>
        <w:t>2)</w:t>
      </w:r>
      <w:r>
        <w:rPr>
          <w:noProof/>
        </w:rPr>
        <w:tab/>
        <w:t>La nota a pie de página n.º 4 del cuadro de posibilidades de pesca del bacalao en las subdivisiones CIEM 22-24 se sustituye por el texto siguiente:</w:t>
      </w:r>
    </w:p>
    <w:p>
      <w:pPr>
        <w:pStyle w:val="Text1"/>
        <w:ind w:left="0"/>
        <w:rPr>
          <w:noProof/>
        </w:rPr>
      </w:pPr>
      <w:r>
        <w:rPr>
          <w:noProof/>
        </w:rPr>
        <w:t xml:space="preserve">«Se prohíbe pescar esta cuota en las subdivisiones 22 y 23 desde el 1 de febrero hasta el 31 de marzo y en la subdivisión 24 desde el 1 de junio hasta el 31 de julio. </w:t>
      </w:r>
    </w:p>
    <w:p>
      <w:pPr>
        <w:pStyle w:val="Text1"/>
        <w:ind w:left="0"/>
        <w:rPr>
          <w:noProof/>
        </w:rPr>
      </w:pPr>
      <w:r>
        <w:rPr>
          <w:noProof/>
        </w:rPr>
        <w:t>No obstante lo dispuesto en el párrafo primero, podrán llevarse a cabo las operaciones de pesca realizadas exclusivamente con vistas a efectuar investigaciones científicas, siempre que dichas investigaciones se lleven a cabo cumpliendo plenamente las condiciones establecidas en el artículo 25 del Reglamento (UE) 2019/1241.</w:t>
      </w:r>
    </w:p>
    <w:p>
      <w:pPr>
        <w:pStyle w:val="Text1"/>
        <w:ind w:left="0"/>
        <w:rPr>
          <w:noProof/>
        </w:rPr>
      </w:pPr>
      <w:r>
        <w:rPr>
          <w:noProof/>
        </w:rPr>
        <w:t>No obstante lo dispuesto en el párrafo primero, dicho período de veda no será aplicable a los buques pesqueros de la Unión de menos de 12 metros de eslora total que pesquen con redes de enmalle, de enredo o de trasmallo, con palangres de fondo, palangres (excepto palangres de deriva), líneas de mano y poteras u otros artes pasivos en zonas donde la profundidad del agua sea inferior a 20 metros, según las coordenadas de la carta de navegación oficial expedida por las autoridades nacionales competentes. Los capitanes de estos buques pesqueros velarán por que su actividad pesquera pueda ser controlada en todo momento por las autoridades de control del Estado miembro.».</w:t>
      </w:r>
    </w:p>
    <w:p>
      <w:pPr>
        <w:spacing w:before="0" w:after="200" w:line="276" w:lineRule="auto"/>
        <w:jc w:val="left"/>
        <w:rPr>
          <w:noProof/>
        </w:rPr>
      </w:pPr>
      <w:r>
        <w:rPr>
          <w:noProof/>
        </w:rPr>
        <w:br w:type="page"/>
      </w:r>
    </w:p>
    <w:p>
      <w:pPr>
        <w:pStyle w:val="Annexetitre"/>
        <w:rPr>
          <w:noProof/>
        </w:rPr>
      </w:pPr>
      <w:r>
        <w:rPr>
          <w:noProof/>
        </w:rPr>
        <w:t>ANEXO II</w:t>
      </w:r>
    </w:p>
    <w:p>
      <w:pPr>
        <w:rPr>
          <w:noProof/>
        </w:rPr>
      </w:pPr>
      <w:r>
        <w:rPr>
          <w:noProof/>
        </w:rPr>
        <w:t xml:space="preserve">Los anexos I, IA, ID y IK del Reglamento (UE) 2020/123 se modifican como sigue:  </w:t>
      </w:r>
    </w:p>
    <w:p>
      <w:pPr>
        <w:pStyle w:val="Point0"/>
        <w:rPr>
          <w:noProof/>
        </w:rPr>
      </w:pPr>
      <w:r>
        <w:rPr>
          <w:noProof/>
        </w:rPr>
        <w:t>1)</w:t>
      </w:r>
      <w:r>
        <w:rPr>
          <w:noProof/>
        </w:rPr>
        <w:tab/>
        <w:t>En el anexo I, la tabla de correspondencias de los nombres científicos y los nombres comunes se modifica para añadir el listado (</w:t>
      </w:r>
      <w:r>
        <w:rPr>
          <w:i/>
          <w:noProof/>
        </w:rPr>
        <w:t>Katsuwonus pelamis</w:t>
      </w:r>
      <w:r>
        <w:rPr>
          <w:noProof/>
        </w:rPr>
        <w:t>) después de la referencia a la pota (</w:t>
      </w:r>
      <w:r>
        <w:rPr>
          <w:i/>
          <w:noProof/>
        </w:rPr>
        <w:t>Illex illecebrosus</w:t>
      </w:r>
      <w:r>
        <w:rPr>
          <w:noProof/>
        </w:rPr>
        <w:t>),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611"/>
        <w:gridCol w:w="3565"/>
      </w:tblGrid>
      <w:tr>
        <w:trPr>
          <w:cantSplit/>
        </w:trPr>
        <w:tc>
          <w:tcPr>
            <w:tcW w:w="4113" w:type="dxa"/>
          </w:tcPr>
          <w:p>
            <w:pPr>
              <w:spacing w:before="60" w:after="60"/>
              <w:rPr>
                <w:i/>
                <w:iCs/>
                <w:noProof/>
              </w:rPr>
            </w:pPr>
            <w:r>
              <w:rPr>
                <w:i/>
                <w:iCs/>
                <w:noProof/>
              </w:rPr>
              <w:t>Katsuwonus pelamis</w:t>
            </w:r>
          </w:p>
        </w:tc>
        <w:tc>
          <w:tcPr>
            <w:tcW w:w="1611" w:type="dxa"/>
          </w:tcPr>
          <w:p>
            <w:pPr>
              <w:spacing w:before="60" w:after="60"/>
              <w:rPr>
                <w:noProof/>
              </w:rPr>
            </w:pPr>
            <w:r>
              <w:rPr>
                <w:noProof/>
              </w:rPr>
              <w:t>SKJ</w:t>
            </w:r>
          </w:p>
        </w:tc>
        <w:tc>
          <w:tcPr>
            <w:tcW w:w="3565" w:type="dxa"/>
          </w:tcPr>
          <w:p>
            <w:pPr>
              <w:spacing w:before="60" w:after="60"/>
              <w:rPr>
                <w:noProof/>
              </w:rPr>
            </w:pPr>
            <w:r>
              <w:rPr>
                <w:noProof/>
              </w:rPr>
              <w:t>Listado</w:t>
            </w:r>
          </w:p>
        </w:tc>
      </w:tr>
    </w:tbl>
    <w:p>
      <w:pPr>
        <w:pStyle w:val="Point0"/>
        <w:rPr>
          <w:noProof/>
        </w:rPr>
      </w:pPr>
      <w:r>
        <w:rPr>
          <w:noProof/>
        </w:rPr>
        <w:t>2)</w:t>
      </w:r>
      <w:r>
        <w:rPr>
          <w:noProof/>
        </w:rPr>
        <w:tab/>
        <w:t>En el anexo I, la tabla comparativa de los nombres comunes y las denominaciones científicas se modifica para añadir el listado (</w:t>
      </w:r>
      <w:r>
        <w:rPr>
          <w:i/>
          <w:noProof/>
        </w:rPr>
        <w:t>Katsuwonus pelamis</w:t>
      </w:r>
      <w:r>
        <w:rPr>
          <w:noProof/>
        </w:rPr>
        <w:t>) después de la referencia a las rayas, pastinacas y mantas (</w:t>
      </w:r>
      <w:r>
        <w:rPr>
          <w:i/>
          <w:noProof/>
        </w:rPr>
        <w:t>Rajiformes</w:t>
      </w:r>
      <w:r>
        <w:rPr>
          <w:noProof/>
        </w:rPr>
        <w:t>),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639"/>
        <w:gridCol w:w="3579"/>
      </w:tblGrid>
      <w:tr>
        <w:tc>
          <w:tcPr>
            <w:tcW w:w="4071" w:type="dxa"/>
          </w:tcPr>
          <w:p>
            <w:pPr>
              <w:spacing w:before="60" w:after="60"/>
              <w:rPr>
                <w:noProof/>
              </w:rPr>
            </w:pPr>
            <w:r>
              <w:rPr>
                <w:noProof/>
              </w:rPr>
              <w:t>Listado</w:t>
            </w:r>
          </w:p>
        </w:tc>
        <w:tc>
          <w:tcPr>
            <w:tcW w:w="1639" w:type="dxa"/>
          </w:tcPr>
          <w:p>
            <w:pPr>
              <w:spacing w:before="60" w:after="60"/>
              <w:rPr>
                <w:noProof/>
              </w:rPr>
            </w:pPr>
            <w:r>
              <w:rPr>
                <w:noProof/>
              </w:rPr>
              <w:t>SKJ</w:t>
            </w:r>
          </w:p>
        </w:tc>
        <w:tc>
          <w:tcPr>
            <w:tcW w:w="3579" w:type="dxa"/>
          </w:tcPr>
          <w:p>
            <w:pPr>
              <w:spacing w:before="60" w:after="60"/>
              <w:rPr>
                <w:i/>
                <w:iCs/>
                <w:noProof/>
              </w:rPr>
            </w:pPr>
            <w:r>
              <w:rPr>
                <w:i/>
                <w:iCs/>
                <w:noProof/>
              </w:rPr>
              <w:t>Katsuwonus pelamis</w:t>
            </w:r>
          </w:p>
        </w:tc>
      </w:tr>
    </w:tbl>
    <w:p>
      <w:pPr>
        <w:pStyle w:val="Point0"/>
        <w:rPr>
          <w:noProof/>
        </w:rPr>
      </w:pPr>
      <w:r>
        <w:rPr>
          <w:noProof/>
        </w:rPr>
        <w:t>3)</w:t>
      </w:r>
      <w:r>
        <w:rPr>
          <w:noProof/>
        </w:rPr>
        <w:tab/>
        <w:t>En el anexo IA, el cuadro de posibilidades de pesca del lanzón en aguas de la Unión de las divisiones CIEM 2a y 3a y de la subzona CIEM 4 se sustituye por el siguiente:</w:t>
      </w:r>
    </w:p>
    <w:tbl>
      <w:tblPr>
        <w:tblW w:w="9181" w:type="dxa"/>
        <w:tblInd w:w="108" w:type="dxa"/>
        <w:tblLook w:val="04A0" w:firstRow="1" w:lastRow="0" w:firstColumn="1" w:lastColumn="0" w:noHBand="0" w:noVBand="1"/>
      </w:tblPr>
      <w:tblGrid>
        <w:gridCol w:w="1006"/>
        <w:gridCol w:w="1189"/>
        <w:gridCol w:w="1142"/>
        <w:gridCol w:w="1142"/>
        <w:gridCol w:w="1185"/>
        <w:gridCol w:w="1173"/>
        <w:gridCol w:w="1172"/>
        <w:gridCol w:w="1172"/>
      </w:tblGrid>
      <w:tr>
        <w:trPr>
          <w:trHeight w:val="255"/>
        </w:trPr>
        <w:tc>
          <w:tcPr>
            <w:tcW w:w="993"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Especie:</w:t>
            </w:r>
          </w:p>
        </w:tc>
        <w:tc>
          <w:tcPr>
            <w:tcW w:w="3478" w:type="dxa"/>
            <w:gridSpan w:val="3"/>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Lanzón y capturas accesorias asociadas</w:t>
            </w:r>
          </w:p>
        </w:tc>
        <w:tc>
          <w:tcPr>
            <w:tcW w:w="1187"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sz w:val="18"/>
                <w:szCs w:val="18"/>
              </w:rPr>
              <w:t>Zona:</w:t>
            </w:r>
          </w:p>
        </w:tc>
        <w:tc>
          <w:tcPr>
            <w:tcW w:w="3523"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Aguas de la Unión de las zonas 2a, 3a y 4</w:t>
            </w:r>
            <w:r>
              <w:rPr>
                <w:noProof/>
                <w:sz w:val="18"/>
                <w:szCs w:val="18"/>
                <w:vertAlign w:val="superscript"/>
              </w:rPr>
              <w:t>(1)</w:t>
            </w:r>
          </w:p>
        </w:tc>
      </w:tr>
      <w:tr>
        <w:trPr>
          <w:trHeight w:val="270"/>
        </w:trPr>
        <w:tc>
          <w:tcPr>
            <w:tcW w:w="993"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2334" w:type="dxa"/>
            <w:gridSpan w:val="2"/>
            <w:tcBorders>
              <w:top w:val="nil"/>
              <w:left w:val="nil"/>
              <w:bottom w:val="single" w:sz="8" w:space="0" w:color="000000"/>
              <w:right w:val="nil"/>
            </w:tcBorders>
            <w:noWrap/>
            <w:hideMark/>
          </w:tcPr>
          <w:p>
            <w:pPr>
              <w:spacing w:after="0"/>
              <w:rPr>
                <w:rFonts w:eastAsia="Times New Roman"/>
                <w:i/>
                <w:iCs/>
                <w:noProof/>
                <w:sz w:val="18"/>
                <w:szCs w:val="18"/>
              </w:rPr>
            </w:pPr>
            <w:r>
              <w:rPr>
                <w:i/>
                <w:iCs/>
                <w:noProof/>
                <w:sz w:val="18"/>
                <w:szCs w:val="18"/>
              </w:rPr>
              <w:t>Ammodytes spp.</w:t>
            </w:r>
          </w:p>
        </w:tc>
        <w:tc>
          <w:tcPr>
            <w:tcW w:w="1144" w:type="dxa"/>
            <w:noWrap/>
            <w:hideMark/>
          </w:tcPr>
          <w:p>
            <w:pPr>
              <w:spacing w:after="0" w:line="276" w:lineRule="auto"/>
              <w:rPr>
                <w:noProof/>
                <w:sz w:val="22"/>
              </w:rPr>
            </w:pPr>
          </w:p>
        </w:tc>
        <w:tc>
          <w:tcPr>
            <w:tcW w:w="1187"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5"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r>
      <w:tr>
        <w:trPr>
          <w:trHeight w:val="270"/>
        </w:trPr>
        <w:tc>
          <w:tcPr>
            <w:tcW w:w="993" w:type="dxa"/>
            <w:noWrap/>
            <w:hideMark/>
          </w:tcPr>
          <w:p>
            <w:pPr>
              <w:spacing w:after="0"/>
              <w:rPr>
                <w:rFonts w:eastAsia="Times New Roman"/>
                <w:noProof/>
                <w:color w:val="000000"/>
                <w:sz w:val="18"/>
                <w:szCs w:val="18"/>
              </w:rPr>
            </w:pPr>
            <w:r>
              <w:rPr>
                <w:noProof/>
                <w:sz w:val="18"/>
                <w:szCs w:val="18"/>
              </w:rPr>
              <w:t>Dinamarca</w:t>
            </w:r>
          </w:p>
        </w:tc>
        <w:tc>
          <w:tcPr>
            <w:tcW w:w="1190" w:type="dxa"/>
            <w:noWrap/>
            <w:hideMark/>
          </w:tcPr>
          <w:p>
            <w:pPr>
              <w:spacing w:after="0"/>
              <w:rPr>
                <w:rFonts w:eastAsia="Times New Roman"/>
                <w:noProof/>
                <w:sz w:val="18"/>
                <w:szCs w:val="18"/>
              </w:rPr>
            </w:pPr>
            <w:r>
              <w:rPr>
                <w:noProof/>
                <w:sz w:val="18"/>
                <w:szCs w:val="18"/>
              </w:rPr>
              <w:t> </w:t>
            </w:r>
          </w:p>
        </w:tc>
        <w:tc>
          <w:tcPr>
            <w:tcW w:w="1144" w:type="dxa"/>
            <w:noWrap/>
            <w:hideMark/>
          </w:tcPr>
          <w:p>
            <w:pPr>
              <w:spacing w:after="0"/>
              <w:jc w:val="right"/>
              <w:rPr>
                <w:rFonts w:eastAsia="Times New Roman"/>
                <w:noProof/>
                <w:color w:val="000000"/>
                <w:sz w:val="18"/>
                <w:szCs w:val="18"/>
              </w:rPr>
            </w:pPr>
            <w:r>
              <w:rPr>
                <w:i/>
                <w:iCs/>
                <w:noProof/>
                <w:sz w:val="18"/>
                <w:szCs w:val="18"/>
              </w:rPr>
              <w:t>p. m.</w:t>
            </w:r>
          </w:p>
        </w:tc>
        <w:tc>
          <w:tcPr>
            <w:tcW w:w="1144"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vertAlign w:val="superscript"/>
              </w:rPr>
              <w:t>(2)</w:t>
            </w:r>
          </w:p>
        </w:tc>
        <w:tc>
          <w:tcPr>
            <w:tcW w:w="2362"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TAC analítico</w:t>
            </w:r>
          </w:p>
        </w:tc>
        <w:tc>
          <w:tcPr>
            <w:tcW w:w="1174" w:type="dxa"/>
            <w:noWrap/>
            <w:hideMark/>
          </w:tcPr>
          <w:p>
            <w:pPr>
              <w:spacing w:after="0"/>
              <w:rPr>
                <w:rFonts w:eastAsia="Times New Roman"/>
                <w:noProof/>
                <w:color w:val="000000"/>
                <w:sz w:val="18"/>
                <w:szCs w:val="18"/>
              </w:rPr>
            </w:pPr>
            <w:r>
              <w:rPr>
                <w:noProof/>
                <w:sz w:val="18"/>
                <w:szCs w:val="18"/>
              </w:rPr>
              <w:t> </w:t>
            </w:r>
          </w:p>
        </w:tc>
        <w:tc>
          <w:tcPr>
            <w:tcW w:w="1174" w:type="dxa"/>
            <w:noWrap/>
            <w:hideMark/>
          </w:tcPr>
          <w:p>
            <w:pPr>
              <w:spacing w:after="0"/>
              <w:rPr>
                <w:rFonts w:eastAsia="Times New Roman"/>
                <w:noProof/>
                <w:color w:val="000000"/>
                <w:sz w:val="18"/>
                <w:szCs w:val="18"/>
              </w:rPr>
            </w:pPr>
            <w:r>
              <w:rPr>
                <w:noProof/>
                <w:sz w:val="18"/>
                <w:szCs w:val="18"/>
              </w:rPr>
              <w:t> </w:t>
            </w:r>
          </w:p>
        </w:tc>
      </w:tr>
      <w:tr>
        <w:trPr>
          <w:trHeight w:val="270"/>
        </w:trPr>
        <w:tc>
          <w:tcPr>
            <w:tcW w:w="2183" w:type="dxa"/>
            <w:gridSpan w:val="2"/>
            <w:noWrap/>
            <w:hideMark/>
          </w:tcPr>
          <w:p>
            <w:pPr>
              <w:spacing w:after="0"/>
              <w:rPr>
                <w:rFonts w:eastAsia="Times New Roman"/>
                <w:noProof/>
                <w:color w:val="000000"/>
                <w:sz w:val="18"/>
                <w:szCs w:val="18"/>
              </w:rPr>
            </w:pPr>
            <w:r>
              <w:rPr>
                <w:noProof/>
                <w:sz w:val="18"/>
                <w:szCs w:val="18"/>
              </w:rPr>
              <w:t>Reino Unido</w:t>
            </w:r>
          </w:p>
        </w:tc>
        <w:tc>
          <w:tcPr>
            <w:tcW w:w="1144" w:type="dxa"/>
            <w:noWrap/>
            <w:hideMark/>
          </w:tcPr>
          <w:p>
            <w:pPr>
              <w:spacing w:after="0"/>
              <w:jc w:val="right"/>
              <w:rPr>
                <w:rFonts w:eastAsia="Times New Roman"/>
                <w:noProof/>
                <w:color w:val="000000"/>
                <w:sz w:val="18"/>
                <w:szCs w:val="18"/>
              </w:rPr>
            </w:pPr>
            <w:r>
              <w:rPr>
                <w:i/>
                <w:iCs/>
                <w:noProof/>
                <w:sz w:val="18"/>
                <w:szCs w:val="18"/>
              </w:rPr>
              <w:t>p. 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No será aplicable el artículo 3 del Reglamento (CE) n.º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Alemania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 xml:space="preserve"> </w:t>
            </w:r>
            <w:r>
              <w:rPr>
                <w:i/>
                <w:iCs/>
                <w:noProof/>
                <w:sz w:val="18"/>
                <w:szCs w:val="18"/>
              </w:rPr>
              <w:t>p. 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No será aplicable el artículo 4 del Reglamento (CE) n.º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Suecia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i/>
                <w:iCs/>
                <w:noProof/>
                <w:sz w:val="18"/>
                <w:szCs w:val="18"/>
              </w:rPr>
              <w:t>p. 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Unión</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i/>
                <w:iCs/>
                <w:noProof/>
                <w:sz w:val="18"/>
                <w:szCs w:val="18"/>
              </w:rPr>
              <w:t>p. 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TAC</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i/>
                <w:iCs/>
                <w:noProof/>
                <w:sz w:val="18"/>
                <w:szCs w:val="18"/>
              </w:rPr>
              <w:t>p. 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(1)</w:t>
            </w:r>
          </w:p>
        </w:tc>
        <w:tc>
          <w:tcPr>
            <w:tcW w:w="5840" w:type="dxa"/>
            <w:gridSpan w:val="5"/>
            <w:noWrap/>
            <w:hideMark/>
          </w:tcPr>
          <w:p>
            <w:pPr>
              <w:spacing w:after="0"/>
              <w:rPr>
                <w:rFonts w:eastAsia="Times New Roman"/>
                <w:noProof/>
                <w:sz w:val="18"/>
                <w:szCs w:val="18"/>
              </w:rPr>
            </w:pPr>
            <w:r>
              <w:rPr>
                <w:noProof/>
                <w:sz w:val="18"/>
                <w:szCs w:val="18"/>
                <w:vertAlign w:val="superscript"/>
              </w:rPr>
              <w:t>Excluidas las aguas situadas a menos de seis millas náuticas de distancia de las líneas de base británicas en las islas Shetland, Fair Isle y Foula.</w:t>
            </w: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(2)</w:t>
            </w:r>
          </w:p>
        </w:tc>
        <w:tc>
          <w:tcPr>
            <w:tcW w:w="8188" w:type="dxa"/>
            <w:gridSpan w:val="7"/>
            <w:noWrap/>
            <w:hideMark/>
          </w:tcPr>
          <w:p>
            <w:pPr>
              <w:spacing w:after="0"/>
              <w:rPr>
                <w:rFonts w:eastAsia="Times New Roman"/>
                <w:i/>
                <w:noProof/>
                <w:szCs w:val="24"/>
                <w:vertAlign w:val="superscript"/>
              </w:rPr>
            </w:pPr>
            <w:r>
              <w:rPr>
                <w:noProof/>
                <w:sz w:val="18"/>
                <w:szCs w:val="18"/>
                <w:vertAlign w:val="superscript"/>
              </w:rPr>
              <w:t>Hasta un 2 % de la cuota podrá corresponder a capturas accesorias de merlán y caballa (OT1/*2A3A4). Las capturas accesorias de merlán y caballa que se deduzcan de la cuota con arreglo a esta disposición y las capturas accesorias de especies que se deduzcan de la cuota de conformidad con el artículo 15, apartado 8, del Reglamento (UE) n.º 1380/2013 no excederán, conjuntamente, del 9 % de la cuota.</w:t>
            </w:r>
            <w:r>
              <w:rPr>
                <w:i/>
                <w:noProof/>
                <w:sz w:val="18"/>
                <w:szCs w:val="18"/>
                <w:vertAlign w:val="superscript"/>
              </w:rPr>
              <w:t xml:space="preserve"> </w:t>
            </w:r>
          </w:p>
          <w:p>
            <w:pPr>
              <w:spacing w:after="0"/>
              <w:rPr>
                <w:rFonts w:eastAsia="Times New Roman"/>
                <w:noProof/>
                <w:sz w:val="18"/>
                <w:szCs w:val="18"/>
              </w:rPr>
            </w:pPr>
          </w:p>
        </w:tc>
      </w:tr>
      <w:tr>
        <w:trPr>
          <w:trHeight w:val="255"/>
        </w:trPr>
        <w:tc>
          <w:tcPr>
            <w:tcW w:w="9181" w:type="dxa"/>
            <w:gridSpan w:val="8"/>
            <w:tcBorders>
              <w:top w:val="single" w:sz="4" w:space="0" w:color="auto"/>
              <w:left w:val="nil"/>
              <w:bottom w:val="nil"/>
              <w:right w:val="nil"/>
            </w:tcBorders>
            <w:noWrap/>
            <w:hideMark/>
          </w:tcPr>
          <w:p>
            <w:pPr>
              <w:spacing w:after="0"/>
              <w:rPr>
                <w:rFonts w:eastAsia="Times New Roman"/>
                <w:noProof/>
                <w:color w:val="000000"/>
                <w:sz w:val="18"/>
                <w:szCs w:val="18"/>
              </w:rPr>
            </w:pPr>
            <w:r>
              <w:rPr>
                <w:noProof/>
                <w:sz w:val="18"/>
                <w:szCs w:val="18"/>
              </w:rPr>
              <w:t>Condición especial: dentro de los límites de las cuotas antes mencionadas, no podrán capturarse cantidades superiores a las que figuran a continuación en las siguientes zonas de gestión de lanzón, según se definen en el anexo IID:</w:t>
            </w:r>
          </w:p>
        </w:tc>
      </w:tr>
      <w:tr>
        <w:trPr>
          <w:trHeight w:val="255"/>
        </w:trPr>
        <w:tc>
          <w:tcPr>
            <w:tcW w:w="993" w:type="dxa"/>
            <w:noWrap/>
            <w:hideMark/>
          </w:tcPr>
          <w:p>
            <w:pPr>
              <w:spacing w:after="0" w:line="276" w:lineRule="auto"/>
              <w:rPr>
                <w:noProof/>
                <w:sz w:val="22"/>
              </w:rPr>
            </w:pPr>
          </w:p>
        </w:tc>
        <w:tc>
          <w:tcPr>
            <w:tcW w:w="5840" w:type="dxa"/>
            <w:gridSpan w:val="5"/>
            <w:noWrap/>
            <w:hideMark/>
          </w:tcPr>
          <w:p>
            <w:pPr>
              <w:spacing w:after="0"/>
              <w:rPr>
                <w:noProof/>
              </w:rPr>
            </w:pPr>
            <w:r>
              <w:rPr>
                <w:b/>
                <w:bCs/>
                <w:noProof/>
                <w:sz w:val="18"/>
                <w:szCs w:val="18"/>
              </w:rPr>
              <w:t>Zona: aguas de la Unión de las zonas de gestión del lanzón</w:t>
            </w:r>
          </w:p>
          <w:p>
            <w:pPr>
              <w:spacing w:after="0"/>
              <w:rPr>
                <w:rFonts w:eastAsia="Times New Roman"/>
                <w:b/>
                <w:bCs/>
                <w:noProof/>
                <w:sz w:val="18"/>
                <w:szCs w:val="18"/>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tcBorders>
              <w:top w:val="single" w:sz="4" w:space="0" w:color="auto"/>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sz w:val="18"/>
                <w:szCs w:val="18"/>
              </w:rPr>
            </w:pPr>
            <w:r>
              <w:rPr>
                <w:b/>
                <w:bCs/>
                <w:noProof/>
                <w:sz w:val="18"/>
                <w:szCs w:val="18"/>
              </w:rPr>
              <w:t>1r</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2r</w:t>
            </w:r>
            <w:r>
              <w:rPr>
                <w:b/>
                <w:bCs/>
                <w:noProof/>
                <w:sz w:val="18"/>
                <w:szCs w:val="18"/>
                <w:vertAlign w:val="superscript"/>
              </w:rPr>
              <w:t>(1)</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3r</w:t>
            </w:r>
          </w:p>
        </w:tc>
        <w:tc>
          <w:tcPr>
            <w:tcW w:w="1187"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4</w:t>
            </w:r>
          </w:p>
        </w:tc>
        <w:tc>
          <w:tcPr>
            <w:tcW w:w="1175"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5r</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6</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7r</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nil"/>
              <w:left w:val="nil"/>
              <w:bottom w:val="single" w:sz="4" w:space="0" w:color="auto"/>
              <w:right w:val="single" w:sz="4" w:space="0" w:color="auto"/>
            </w:tcBorders>
            <w:noWrap/>
            <w:hideMark/>
          </w:tcPr>
          <w:p>
            <w:pPr>
              <w:rPr>
                <w:noProof/>
                <w:sz w:val="14"/>
                <w:szCs w:val="14"/>
              </w:rPr>
            </w:pPr>
            <w:r>
              <w:rPr>
                <w:noProof/>
                <w:sz w:val="14"/>
                <w:szCs w:val="14"/>
              </w:rPr>
              <w:t>(SAN/234_1R)</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(SAN/234_2R) </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(SAN/234_3R)</w:t>
            </w:r>
          </w:p>
        </w:tc>
        <w:tc>
          <w:tcPr>
            <w:tcW w:w="1187"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(SAN/234_4) </w:t>
            </w:r>
          </w:p>
        </w:tc>
        <w:tc>
          <w:tcPr>
            <w:tcW w:w="1175"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(SAN/234_5R)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(SAN/234_6)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(SAN/234_7R)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Dinamarca</w:t>
            </w:r>
          </w:p>
        </w:tc>
        <w:tc>
          <w:tcPr>
            <w:tcW w:w="1190"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Reino Unido</w:t>
            </w:r>
          </w:p>
        </w:tc>
        <w:tc>
          <w:tcPr>
            <w:tcW w:w="1190"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Alemania</w:t>
            </w:r>
          </w:p>
        </w:tc>
        <w:tc>
          <w:tcPr>
            <w:tcW w:w="1190"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Suecia</w:t>
            </w:r>
          </w:p>
        </w:tc>
        <w:tc>
          <w:tcPr>
            <w:tcW w:w="1190"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Unión</w:t>
            </w:r>
          </w:p>
        </w:tc>
        <w:tc>
          <w:tcPr>
            <w:tcW w:w="1190"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tcPr>
          <w:p>
            <w:pPr>
              <w:rPr>
                <w:noProof/>
              </w:rPr>
            </w:pPr>
            <w:r>
              <w:rPr>
                <w:i/>
                <w:iCs/>
                <w:noProof/>
                <w:sz w:val="14"/>
                <w:szCs w:val="14"/>
              </w:rPr>
              <w:t>p. 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Total</w:t>
            </w:r>
          </w:p>
        </w:tc>
        <w:tc>
          <w:tcPr>
            <w:tcW w:w="1190"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44"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87"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75"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hideMark/>
          </w:tcPr>
          <w:p>
            <w:pPr>
              <w:rPr>
                <w:noProof/>
              </w:rPr>
            </w:pPr>
            <w:r>
              <w:rPr>
                <w:i/>
                <w:iCs/>
                <w:noProof/>
                <w:sz w:val="14"/>
                <w:szCs w:val="14"/>
              </w:rPr>
              <w:t>p. m.</w:t>
            </w:r>
          </w:p>
        </w:tc>
        <w:tc>
          <w:tcPr>
            <w:tcW w:w="1174" w:type="dxa"/>
            <w:tcBorders>
              <w:top w:val="nil"/>
              <w:left w:val="nil"/>
              <w:bottom w:val="single" w:sz="4" w:space="0" w:color="auto"/>
              <w:right w:val="single" w:sz="4" w:space="0" w:color="auto"/>
            </w:tcBorders>
            <w:noWrap/>
            <w:hideMark/>
          </w:tcPr>
          <w:p>
            <w:pPr>
              <w:rPr>
                <w:noProof/>
              </w:rPr>
            </w:pPr>
            <w:r>
              <w:rPr>
                <w:i/>
                <w:iCs/>
                <w:noProof/>
                <w:sz w:val="14"/>
                <w:szCs w:val="14"/>
              </w:rPr>
              <w:t>p. m.</w:t>
            </w:r>
          </w:p>
        </w:tc>
      </w:tr>
      <w:tr>
        <w:trPr>
          <w:trHeight w:val="270"/>
        </w:trPr>
        <w:tc>
          <w:tcPr>
            <w:tcW w:w="9181" w:type="dxa"/>
            <w:gridSpan w:val="8"/>
            <w:tcBorders>
              <w:top w:val="nil"/>
              <w:left w:val="nil"/>
              <w:bottom w:val="single" w:sz="8" w:space="0" w:color="000000"/>
              <w:right w:val="nil"/>
            </w:tcBorders>
            <w:noWrap/>
            <w:hideMark/>
          </w:tcPr>
          <w:p>
            <w:pPr>
              <w:rPr>
                <w:rFonts w:eastAsia="Times New Roman"/>
                <w:noProof/>
                <w:color w:val="000000"/>
                <w:sz w:val="18"/>
                <w:szCs w:val="18"/>
                <w:vertAlign w:val="superscript"/>
              </w:rPr>
            </w:pPr>
            <w:r>
              <w:rPr>
                <w:noProof/>
                <w:sz w:val="18"/>
                <w:szCs w:val="18"/>
                <w:vertAlign w:val="superscript"/>
              </w:rPr>
              <w:t> (1) En la zona de gestión 2r, el TAC solo podrá pescarse en calidad de TAC de seguimiento con un protocolo de muestreo asociado para la pesquería. </w:t>
            </w:r>
          </w:p>
        </w:tc>
      </w:tr>
    </w:tbl>
    <w:p>
      <w:pPr>
        <w:pStyle w:val="Point0"/>
        <w:rPr>
          <w:noProof/>
        </w:rPr>
      </w:pPr>
      <w:r>
        <w:rPr>
          <w:noProof/>
        </w:rPr>
        <w:t>4)</w:t>
      </w:r>
      <w:r>
        <w:rPr>
          <w:noProof/>
        </w:rPr>
        <w:tab/>
        <w:t xml:space="preserve">El anexo ID relativo a la zona del Convenio CICAA se modifica como sigue: </w:t>
      </w:r>
    </w:p>
    <w:p>
      <w:pPr>
        <w:pStyle w:val="Point2"/>
        <w:rPr>
          <w:noProof/>
        </w:rPr>
      </w:pPr>
      <w:r>
        <w:rPr>
          <w:noProof/>
        </w:rPr>
        <w:t>a)</w:t>
      </w:r>
      <w:r>
        <w:rPr>
          <w:noProof/>
        </w:rPr>
        <w:tab/>
        <w:t>Se inserta el siguiente cuadro de posibilidades de pesca para el listado en el Océano Atlántico:</w:t>
      </w:r>
    </w:p>
    <w:p>
      <w:pPr>
        <w:pStyle w:val="Text1"/>
        <w:ind w:left="0"/>
        <w:jc w:val="left"/>
        <w:rPr>
          <w:noProof/>
        </w:rPr>
      </w:pPr>
    </w:p>
    <w:tbl>
      <w:tblPr>
        <w:tblW w:w="5047" w:type="pct"/>
        <w:tblLook w:val="06A0" w:firstRow="1" w:lastRow="0" w:firstColumn="1" w:lastColumn="0" w:noHBand="1" w:noVBand="1"/>
      </w:tblPr>
      <w:tblGrid>
        <w:gridCol w:w="826"/>
        <w:gridCol w:w="800"/>
        <w:gridCol w:w="1551"/>
        <w:gridCol w:w="1253"/>
        <w:gridCol w:w="1286"/>
        <w:gridCol w:w="3660"/>
      </w:tblGrid>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Especie:</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Listado</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Katsuwonus pelamis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Océano Atlántico</w:t>
            </w:r>
          </w:p>
          <w:p>
            <w:pPr>
              <w:spacing w:before="60" w:after="60"/>
              <w:rPr>
                <w:rFonts w:asciiTheme="majorBidi" w:hAnsiTheme="majorBidi" w:cstheme="majorBidi"/>
                <w:noProof/>
                <w:sz w:val="18"/>
                <w:szCs w:val="18"/>
              </w:rPr>
            </w:pPr>
            <w:r>
              <w:rPr>
                <w:rFonts w:asciiTheme="majorBidi" w:hAnsiTheme="majorBidi"/>
                <w:noProof/>
                <w:sz w:val="18"/>
                <w:szCs w:val="18"/>
              </w:rPr>
              <w:t>(SKJ/ATLANT)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left"/>
              <w:rPr>
                <w:rFonts w:eastAsia="Times New Roman"/>
                <w:noProof/>
                <w:color w:val="000000"/>
                <w:sz w:val="18"/>
                <w:szCs w:val="18"/>
              </w:rPr>
            </w:pPr>
            <w:r>
              <w:rPr>
                <w:noProof/>
                <w:sz w:val="18"/>
                <w:szCs w:val="18"/>
              </w:rPr>
              <w:t>No aplicable.</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p>
          <w:p>
            <w:pPr>
              <w:spacing w:before="60" w:after="60"/>
              <w:rPr>
                <w:rFonts w:asciiTheme="majorBidi" w:hAnsiTheme="majorBidi" w:cstheme="majorBidi"/>
                <w:noProof/>
                <w:sz w:val="18"/>
                <w:szCs w:val="18"/>
              </w:rPr>
            </w:pP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Se comunicarán por separado las capturas de listado por cerqueros de jareta (SKJ/* ATLPS) y palangreros con una eslora total igual o superior a 20 metros (SKJ/* ATLLL) .</w:t>
            </w:r>
          </w:p>
          <w:p>
            <w:pPr>
              <w:spacing w:before="60" w:after="60"/>
              <w:rPr>
                <w:rFonts w:eastAsia="Times New Roman"/>
                <w:noProof/>
                <w:sz w:val="18"/>
                <w:szCs w:val="18"/>
                <w:vertAlign w:val="superscript"/>
              </w:rPr>
            </w:pP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pStyle w:val="Point2"/>
        <w:rPr>
          <w:noProof/>
        </w:rPr>
      </w:pPr>
      <w:r>
        <w:rPr>
          <w:noProof/>
        </w:rPr>
        <w:t>b)</w:t>
      </w:r>
      <w:r>
        <w:rPr>
          <w:noProof/>
        </w:rPr>
        <w:tab/>
        <w:t>El cuadro que se refiere al patudo en el Océano Atlántico se sustituye por el siguiente:</w:t>
      </w:r>
    </w:p>
    <w:p>
      <w:pPr>
        <w:rPr>
          <w:noProof/>
        </w:rPr>
      </w:pPr>
    </w:p>
    <w:tbl>
      <w:tblPr>
        <w:tblW w:w="5047" w:type="pct"/>
        <w:tblLook w:val="06A0" w:firstRow="1" w:lastRow="0" w:firstColumn="1" w:lastColumn="0" w:noHBand="1" w:noVBand="1"/>
      </w:tblPr>
      <w:tblGrid>
        <w:gridCol w:w="826"/>
        <w:gridCol w:w="800"/>
        <w:gridCol w:w="1551"/>
        <w:gridCol w:w="1253"/>
        <w:gridCol w:w="1286"/>
        <w:gridCol w:w="3660"/>
      </w:tblGrid>
      <w:tr>
        <w:trPr>
          <w:trHeight w:val="227"/>
        </w:trPr>
        <w:tc>
          <w:tcPr>
            <w:tcW w:w="435"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Especie:</w:t>
            </w:r>
          </w:p>
        </w:tc>
        <w:tc>
          <w:tcPr>
            <w:tcW w:w="1925" w:type="pct"/>
            <w:gridSpan w:val="3"/>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Patudo</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obesus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Océano Atlántico</w:t>
            </w:r>
          </w:p>
          <w:p>
            <w:pPr>
              <w:spacing w:before="60" w:after="60"/>
              <w:rPr>
                <w:rFonts w:asciiTheme="majorBidi" w:hAnsiTheme="majorBidi" w:cstheme="majorBidi"/>
                <w:noProof/>
                <w:sz w:val="18"/>
                <w:szCs w:val="18"/>
              </w:rPr>
            </w:pPr>
            <w:r>
              <w:rPr>
                <w:rFonts w:asciiTheme="majorBidi" w:hAnsiTheme="majorBidi"/>
                <w:noProof/>
                <w:sz w:val="18"/>
                <w:szCs w:val="18"/>
              </w:rPr>
              <w:t>(BET/ATLANT)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España</w:t>
            </w:r>
          </w:p>
        </w:tc>
        <w:tc>
          <w:tcPr>
            <w:tcW w:w="828" w:type="pct"/>
            <w:tcBorders>
              <w:top w:val="single" w:sz="8" w:space="0" w:color="auto"/>
            </w:tcBorders>
          </w:tcPr>
          <w:p>
            <w:pPr>
              <w:spacing w:after="0"/>
              <w:jc w:val="right"/>
              <w:rPr>
                <w:rFonts w:eastAsia="Times New Roman"/>
                <w:noProof/>
                <w:color w:val="000000"/>
                <w:sz w:val="18"/>
                <w:szCs w:val="18"/>
              </w:rPr>
            </w:pPr>
            <w:r>
              <w:rPr>
                <w:noProof/>
                <w:sz w:val="18"/>
                <w:szCs w:val="18"/>
              </w:rPr>
              <w:t>8 055,73</w:t>
            </w:r>
          </w:p>
        </w:tc>
        <w:tc>
          <w:tcPr>
            <w:tcW w:w="669" w:type="pct"/>
            <w:tcBorders>
              <w:top w:val="single" w:sz="8" w:space="0" w:color="auto"/>
            </w:tcBorders>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 analítico</w:t>
            </w:r>
          </w:p>
          <w:p>
            <w:pPr>
              <w:spacing w:before="60" w:after="60"/>
              <w:rPr>
                <w:rFonts w:asciiTheme="majorBidi" w:hAnsiTheme="majorBidi" w:cstheme="majorBidi"/>
                <w:noProof/>
                <w:sz w:val="18"/>
                <w:szCs w:val="18"/>
              </w:rPr>
            </w:pPr>
            <w:r>
              <w:rPr>
                <w:rFonts w:asciiTheme="majorBidi" w:hAnsiTheme="majorBidi"/>
                <w:noProof/>
                <w:sz w:val="18"/>
                <w:szCs w:val="18"/>
              </w:rPr>
              <w:t>No será aplicable el artículo 3 del Reglamento (CE) n.º 847/96.</w:t>
            </w:r>
          </w:p>
          <w:p>
            <w:pPr>
              <w:spacing w:before="60" w:after="60"/>
              <w:rPr>
                <w:rFonts w:asciiTheme="majorBidi" w:hAnsiTheme="majorBidi" w:cstheme="majorBidi"/>
                <w:noProof/>
                <w:sz w:val="18"/>
                <w:szCs w:val="18"/>
              </w:rPr>
            </w:pPr>
            <w:r>
              <w:rPr>
                <w:rFonts w:asciiTheme="majorBidi" w:hAnsiTheme="majorBidi"/>
                <w:noProof/>
                <w:sz w:val="18"/>
                <w:szCs w:val="18"/>
              </w:rPr>
              <w:t>No será aplicable el artículo 4 del Reglamento (CE) n.º 847/96.</w:t>
            </w: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Francia</w:t>
            </w:r>
          </w:p>
        </w:tc>
        <w:tc>
          <w:tcPr>
            <w:tcW w:w="828" w:type="pct"/>
          </w:tcPr>
          <w:p>
            <w:pPr>
              <w:spacing w:after="0"/>
              <w:jc w:val="right"/>
              <w:rPr>
                <w:rFonts w:eastAsia="Times New Roman"/>
                <w:noProof/>
                <w:color w:val="000000"/>
                <w:sz w:val="18"/>
                <w:szCs w:val="18"/>
              </w:rPr>
            </w:pPr>
            <w:r>
              <w:rPr>
                <w:noProof/>
                <w:sz w:val="18"/>
                <w:szCs w:val="18"/>
              </w:rPr>
              <w:t>4 428,60</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28" w:type="pct"/>
          </w:tcPr>
          <w:p>
            <w:pPr>
              <w:spacing w:after="0"/>
              <w:jc w:val="right"/>
              <w:rPr>
                <w:rFonts w:eastAsia="Times New Roman"/>
                <w:noProof/>
                <w:color w:val="000000"/>
                <w:sz w:val="18"/>
                <w:szCs w:val="18"/>
              </w:rPr>
            </w:pPr>
            <w:r>
              <w:rPr>
                <w:noProof/>
                <w:sz w:val="18"/>
                <w:szCs w:val="18"/>
              </w:rPr>
              <w:t>3 058,33</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Unión</w:t>
            </w:r>
          </w:p>
        </w:tc>
        <w:tc>
          <w:tcPr>
            <w:tcW w:w="828" w:type="pct"/>
          </w:tcPr>
          <w:p>
            <w:pPr>
              <w:spacing w:after="0"/>
              <w:jc w:val="right"/>
              <w:rPr>
                <w:rFonts w:eastAsia="Times New Roman"/>
                <w:noProof/>
                <w:color w:val="000000"/>
                <w:sz w:val="18"/>
                <w:szCs w:val="18"/>
              </w:rPr>
            </w:pPr>
            <w:r>
              <w:rPr>
                <w:noProof/>
                <w:sz w:val="18"/>
                <w:szCs w:val="18"/>
              </w:rPr>
              <w:t>15 542,66</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p>
        </w:tc>
        <w:tc>
          <w:tcPr>
            <w:tcW w:w="828" w:type="pct"/>
          </w:tcPr>
          <w:p>
            <w:pPr>
              <w:spacing w:before="60" w:after="60"/>
              <w:jc w:val="right"/>
              <w:rPr>
                <w:rFonts w:asciiTheme="majorBidi" w:hAnsiTheme="majorBidi" w:cstheme="majorBidi"/>
                <w:noProof/>
                <w:sz w:val="18"/>
                <w:szCs w:val="18"/>
                <w:highlight w:val="yellow"/>
              </w:rPr>
            </w:pPr>
          </w:p>
        </w:tc>
        <w:tc>
          <w:tcPr>
            <w:tcW w:w="669" w:type="pct"/>
          </w:tcPr>
          <w:p>
            <w:pPr>
              <w:spacing w:before="60" w:after="60"/>
              <w:rPr>
                <w:rFonts w:asciiTheme="majorBidi" w:hAnsiTheme="majorBidi" w:cstheme="majorBidi"/>
                <w:noProof/>
                <w:sz w:val="18"/>
                <w:szCs w:val="18"/>
              </w:rPr>
            </w:pP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top w:val="nil"/>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nil"/>
              <w:left w:val="nil"/>
              <w:right w:val="nil"/>
            </w:tcBorders>
          </w:tcPr>
          <w:p>
            <w:pPr>
              <w:spacing w:after="0"/>
              <w:jc w:val="right"/>
              <w:rPr>
                <w:rFonts w:eastAsia="Times New Roman"/>
                <w:noProof/>
                <w:color w:val="000000"/>
                <w:sz w:val="18"/>
                <w:szCs w:val="18"/>
              </w:rPr>
            </w:pPr>
            <w:r>
              <w:rPr>
                <w:noProof/>
                <w:sz w:val="18"/>
                <w:szCs w:val="18"/>
              </w:rPr>
              <w:t>62 500</w:t>
            </w:r>
          </w:p>
        </w:tc>
        <w:tc>
          <w:tcPr>
            <w:tcW w:w="669" w:type="pct"/>
            <w:tcBorders>
              <w:top w:val="nil"/>
              <w:left w:val="nil"/>
            </w:tcBorders>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bottom w:val="single" w:sz="4" w:space="0" w:color="auto"/>
            </w:tcBorders>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Borders>
              <w:bottom w:val="single" w:sz="4" w:space="0" w:color="auto"/>
            </w:tcBorders>
          </w:tcPr>
          <w:p>
            <w:pPr>
              <w:spacing w:before="60" w:after="60"/>
              <w:rPr>
                <w:rFonts w:eastAsia="Times New Roman"/>
                <w:noProof/>
                <w:sz w:val="18"/>
                <w:szCs w:val="18"/>
                <w:vertAlign w:val="superscript"/>
              </w:rPr>
            </w:pPr>
            <w:r>
              <w:rPr>
                <w:noProof/>
                <w:sz w:val="18"/>
                <w:szCs w:val="18"/>
                <w:vertAlign w:val="superscript"/>
              </w:rPr>
              <w:t>Se comunicarán por separado las capturas de patudo por cerqueros de jareta (BET/* ATLPS) y palangreros con una eslora total igual o superior a 20 metros (BET/* ATLLL) .</w:t>
            </w:r>
          </w:p>
          <w:p>
            <w:pPr>
              <w:spacing w:before="60" w:after="60"/>
              <w:rPr>
                <w:rFonts w:asciiTheme="majorBidi" w:hAnsiTheme="majorBidi" w:cstheme="majorBidi"/>
                <w:noProof/>
                <w:sz w:val="18"/>
                <w:szCs w:val="18"/>
              </w:rPr>
            </w:pPr>
            <w:r>
              <w:rPr>
                <w:noProof/>
                <w:sz w:val="18"/>
                <w:szCs w:val="18"/>
                <w:vertAlign w:val="superscript"/>
              </w:rPr>
              <w:t>A partir de junio de 2020, cuando las capturas alcancen el 80 % de la cuota, los Estados miembros deben transmitir las capturas de estos buques semanalmente.</w:t>
            </w:r>
          </w:p>
        </w:tc>
      </w:tr>
      <w:tr>
        <w:trPr>
          <w:trHeight w:val="227"/>
        </w:trPr>
        <w:tc>
          <w:tcPr>
            <w:tcW w:w="5000" w:type="pct"/>
            <w:gridSpan w:val="6"/>
            <w:tcBorders>
              <w:top w:val="single" w:sz="4" w:space="0" w:color="auto"/>
              <w:bottom w:val="single" w:sz="8" w:space="0" w:color="auto"/>
            </w:tcBorders>
            <w:hideMark/>
          </w:tcPr>
          <w:p>
            <w:pPr>
              <w:spacing w:before="60" w:after="60"/>
              <w:rPr>
                <w:rFonts w:asciiTheme="majorBidi" w:hAnsiTheme="majorBidi" w:cstheme="majorBidi"/>
                <w:noProof/>
                <w:sz w:val="18"/>
                <w:szCs w:val="18"/>
              </w:rPr>
            </w:pPr>
          </w:p>
          <w:p>
            <w:pPr>
              <w:pStyle w:val="Point2"/>
              <w:rPr>
                <w:noProof/>
              </w:rPr>
            </w:pPr>
            <w:r>
              <w:rPr>
                <w:noProof/>
              </w:rPr>
              <w:t>c)</w:t>
            </w:r>
            <w:r>
              <w:rPr>
                <w:noProof/>
              </w:rPr>
              <w:tab/>
              <w:t>El cuadro que se refiere al rabil en el Océano Atlántico se sustituye por el siguiente:</w:t>
            </w:r>
          </w:p>
          <w:p>
            <w:pPr>
              <w:spacing w:before="60" w:after="60"/>
              <w:rPr>
                <w:rFonts w:asciiTheme="majorBidi" w:hAnsiTheme="majorBidi" w:cstheme="majorBidi"/>
                <w:noProof/>
                <w:sz w:val="18"/>
                <w:szCs w:val="18"/>
              </w:rPr>
            </w:pPr>
          </w:p>
        </w:tc>
      </w:tr>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Especie:</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Rabil</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albacares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Océano Atlántico</w:t>
            </w:r>
          </w:p>
          <w:p>
            <w:pPr>
              <w:spacing w:before="60" w:after="60"/>
              <w:rPr>
                <w:rFonts w:asciiTheme="majorBidi" w:hAnsiTheme="majorBidi" w:cstheme="majorBidi"/>
                <w:noProof/>
                <w:sz w:val="18"/>
                <w:szCs w:val="18"/>
              </w:rPr>
            </w:pPr>
            <w:r>
              <w:rPr>
                <w:rFonts w:asciiTheme="majorBidi" w:hAnsiTheme="majorBidi"/>
                <w:noProof/>
                <w:sz w:val="18"/>
                <w:szCs w:val="18"/>
              </w:rPr>
              <w:t>(YFT/ATLANT)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right"/>
              <w:rPr>
                <w:rFonts w:eastAsia="Times New Roman"/>
                <w:noProof/>
                <w:color w:val="000000"/>
                <w:sz w:val="18"/>
                <w:szCs w:val="18"/>
              </w:rPr>
            </w:pPr>
            <w:r>
              <w:rPr>
                <w:noProof/>
                <w:sz w:val="18"/>
                <w:szCs w:val="18"/>
              </w:rPr>
              <w:t>110 000</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 analítico</w:t>
            </w:r>
          </w:p>
          <w:p>
            <w:pPr>
              <w:spacing w:before="60" w:after="60"/>
              <w:rPr>
                <w:rFonts w:asciiTheme="majorBidi" w:hAnsiTheme="majorBidi" w:cstheme="majorBidi"/>
                <w:noProof/>
                <w:sz w:val="18"/>
                <w:szCs w:val="18"/>
              </w:rPr>
            </w:pPr>
            <w:r>
              <w:rPr>
                <w:rFonts w:asciiTheme="majorBidi" w:hAnsiTheme="majorBidi"/>
                <w:noProof/>
                <w:sz w:val="18"/>
                <w:szCs w:val="18"/>
              </w:rPr>
              <w:t>No será aplicable el artículo 3 del Reglamento (CE) n.º 847/96.</w:t>
            </w:r>
          </w:p>
          <w:p>
            <w:pPr>
              <w:spacing w:before="60" w:after="60"/>
              <w:rPr>
                <w:rFonts w:asciiTheme="majorBidi" w:hAnsiTheme="majorBidi" w:cstheme="majorBidi"/>
                <w:noProof/>
                <w:sz w:val="18"/>
                <w:szCs w:val="18"/>
              </w:rPr>
            </w:pPr>
            <w:r>
              <w:rPr>
                <w:rFonts w:asciiTheme="majorBidi" w:hAnsiTheme="majorBidi"/>
                <w:noProof/>
                <w:sz w:val="18"/>
                <w:szCs w:val="18"/>
              </w:rPr>
              <w:t>No será aplicable el artículo 4 del Reglamento (CE) n.º 847/96.</w:t>
            </w: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Se comunicarán por separado las capturas de rabil por cerqueros de jareta (YFT/* ATLPS) y palangreros con una eslora total igual o superior a 20 metros (YFT/* ATLLL) .</w:t>
            </w:r>
          </w:p>
          <w:p>
            <w:pPr>
              <w:spacing w:before="60" w:after="60"/>
              <w:rPr>
                <w:rFonts w:asciiTheme="majorBidi" w:hAnsiTheme="majorBidi" w:cstheme="majorBidi"/>
                <w:noProof/>
                <w:sz w:val="18"/>
                <w:szCs w:val="18"/>
              </w:rPr>
            </w:pPr>
            <w:r>
              <w:rPr>
                <w:noProof/>
                <w:sz w:val="18"/>
                <w:szCs w:val="18"/>
                <w:vertAlign w:val="superscript"/>
              </w:rPr>
              <w:t>A partir de junio de 2020, cuando las capturas alcancen el 80 % de la cuota, los Estados miembros deben transmitir las capturas de estos buques semanalmente.</w:t>
            </w: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rPr>
          <w:b/>
          <w:noProof/>
        </w:rPr>
      </w:pPr>
    </w:p>
    <w:p>
      <w:pPr>
        <w:pStyle w:val="Point0"/>
        <w:rPr>
          <w:noProof/>
        </w:rPr>
      </w:pPr>
      <w:r>
        <w:rPr>
          <w:noProof/>
        </w:rPr>
        <w:t>5)</w:t>
      </w:r>
      <w:r>
        <w:rPr>
          <w:noProof/>
        </w:rPr>
        <w:tab/>
        <w:t xml:space="preserve">En el anexo IK relativo a la zona del Convenio SIOFA se añade la siguiente parte: </w:t>
      </w:r>
    </w:p>
    <w:p>
      <w:pPr>
        <w:pStyle w:val="Text1"/>
        <w:ind w:left="0"/>
        <w:jc w:val="center"/>
        <w:rPr>
          <w:noProof/>
        </w:rPr>
      </w:pPr>
      <w:r>
        <w:rPr>
          <w:noProof/>
        </w:rPr>
        <w:t xml:space="preserve"> «Zonas protegidas temporales</w:t>
      </w:r>
    </w:p>
    <w:p>
      <w:pPr>
        <w:pStyle w:val="Text1"/>
        <w:ind w:left="0"/>
        <w:jc w:val="center"/>
        <w:rPr>
          <w:noProof/>
        </w:rPr>
      </w:pPr>
      <w:r>
        <w:rPr>
          <w:noProof/>
        </w:rPr>
        <w:t>Atlantis Bank</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Punto </w:t>
            </w:r>
          </w:p>
        </w:tc>
        <w:tc>
          <w:tcPr>
            <w:tcW w:w="3071" w:type="dxa"/>
          </w:tcPr>
          <w:p>
            <w:pPr>
              <w:pStyle w:val="Text1"/>
              <w:ind w:left="0"/>
              <w:rPr>
                <w:noProof/>
              </w:rPr>
            </w:pPr>
            <w:r>
              <w:rPr>
                <w:noProof/>
              </w:rPr>
              <w:t>Latitud (S)</w:t>
            </w:r>
          </w:p>
        </w:tc>
        <w:tc>
          <w:tcPr>
            <w:tcW w:w="3071" w:type="dxa"/>
          </w:tcPr>
          <w:p>
            <w:pPr>
              <w:pStyle w:val="Text1"/>
              <w:ind w:left="0"/>
              <w:rPr>
                <w:noProof/>
              </w:rPr>
            </w:pPr>
            <w:r>
              <w:rPr>
                <w:noProof/>
              </w:rPr>
              <w:t xml:space="preserve">Longitud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32° 00'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32° 50'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32° 50'</w:t>
            </w:r>
          </w:p>
        </w:tc>
        <w:tc>
          <w:tcPr>
            <w:tcW w:w="3071" w:type="dxa"/>
          </w:tcPr>
          <w:p>
            <w:pPr>
              <w:pStyle w:val="Text1"/>
              <w:ind w:left="0"/>
              <w:rPr>
                <w:noProof/>
              </w:rPr>
            </w:pPr>
            <w:r>
              <w:rPr>
                <w:noProof/>
              </w:rPr>
              <w:t>58°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32° 00'</w:t>
            </w:r>
          </w:p>
        </w:tc>
        <w:tc>
          <w:tcPr>
            <w:tcW w:w="3071" w:type="dxa"/>
          </w:tcPr>
          <w:p>
            <w:pPr>
              <w:pStyle w:val="Text1"/>
              <w:ind w:left="0"/>
              <w:rPr>
                <w:noProof/>
              </w:rPr>
            </w:pPr>
            <w:r>
              <w:rPr>
                <w:noProof/>
              </w:rPr>
              <w:t>58° 00'</w:t>
            </w:r>
          </w:p>
        </w:tc>
      </w:tr>
    </w:tbl>
    <w:p>
      <w:pPr>
        <w:pStyle w:val="Text1"/>
        <w:ind w:left="0"/>
        <w:jc w:val="center"/>
        <w:rPr>
          <w:noProof/>
        </w:rPr>
      </w:pPr>
      <w:r>
        <w:rPr>
          <w:noProof/>
        </w:rPr>
        <w:t>Coral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Punto </w:t>
            </w:r>
          </w:p>
        </w:tc>
        <w:tc>
          <w:tcPr>
            <w:tcW w:w="3071" w:type="dxa"/>
          </w:tcPr>
          <w:p>
            <w:pPr>
              <w:pStyle w:val="Text1"/>
              <w:ind w:left="0"/>
              <w:rPr>
                <w:noProof/>
              </w:rPr>
            </w:pPr>
            <w:r>
              <w:rPr>
                <w:noProof/>
              </w:rPr>
              <w:t>Latitud (S)</w:t>
            </w:r>
          </w:p>
        </w:tc>
        <w:tc>
          <w:tcPr>
            <w:tcW w:w="3071" w:type="dxa"/>
          </w:tcPr>
          <w:p>
            <w:pPr>
              <w:pStyle w:val="Text1"/>
              <w:ind w:left="0"/>
              <w:rPr>
                <w:noProof/>
              </w:rPr>
            </w:pPr>
            <w:r>
              <w:rPr>
                <w:noProof/>
              </w:rPr>
              <w:t xml:space="preserve">Longitud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41° 00'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41° 40'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41° 40'</w:t>
            </w:r>
          </w:p>
        </w:tc>
        <w:tc>
          <w:tcPr>
            <w:tcW w:w="3071" w:type="dxa"/>
          </w:tcPr>
          <w:p>
            <w:pPr>
              <w:pStyle w:val="Text1"/>
              <w:ind w:left="0"/>
              <w:rPr>
                <w:noProof/>
              </w:rPr>
            </w:pPr>
            <w:r>
              <w:rPr>
                <w:noProof/>
              </w:rPr>
              <w:t>44°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41° 00'</w:t>
            </w:r>
          </w:p>
        </w:tc>
        <w:tc>
          <w:tcPr>
            <w:tcW w:w="3071" w:type="dxa"/>
          </w:tcPr>
          <w:p>
            <w:pPr>
              <w:pStyle w:val="Text1"/>
              <w:ind w:left="0"/>
              <w:rPr>
                <w:noProof/>
              </w:rPr>
            </w:pPr>
            <w:r>
              <w:rPr>
                <w:noProof/>
              </w:rPr>
              <w:t>44° 00'</w:t>
            </w:r>
          </w:p>
        </w:tc>
      </w:tr>
    </w:tbl>
    <w:p>
      <w:pPr>
        <w:pStyle w:val="Text1"/>
        <w:ind w:left="0"/>
        <w:jc w:val="center"/>
        <w:rPr>
          <w:noProof/>
        </w:rPr>
      </w:pPr>
      <w:r>
        <w:rPr>
          <w:noProof/>
        </w:rPr>
        <w:t>Fools Flat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Punto </w:t>
            </w:r>
          </w:p>
        </w:tc>
        <w:tc>
          <w:tcPr>
            <w:tcW w:w="3071" w:type="dxa"/>
          </w:tcPr>
          <w:p>
            <w:pPr>
              <w:pStyle w:val="Text1"/>
              <w:ind w:left="0"/>
              <w:rPr>
                <w:noProof/>
              </w:rPr>
            </w:pPr>
            <w:r>
              <w:rPr>
                <w:noProof/>
              </w:rPr>
              <w:t>Latitud (S)</w:t>
            </w:r>
          </w:p>
        </w:tc>
        <w:tc>
          <w:tcPr>
            <w:tcW w:w="3071" w:type="dxa"/>
          </w:tcPr>
          <w:p>
            <w:pPr>
              <w:pStyle w:val="Text1"/>
              <w:ind w:left="0"/>
              <w:rPr>
                <w:noProof/>
              </w:rPr>
            </w:pPr>
            <w:r>
              <w:rPr>
                <w:noProof/>
              </w:rPr>
              <w:t xml:space="preserve">Longitud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31° 30'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31° 40'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31° 40</w:t>
            </w:r>
          </w:p>
        </w:tc>
        <w:tc>
          <w:tcPr>
            <w:tcW w:w="3071" w:type="dxa"/>
          </w:tcPr>
          <w:p>
            <w:pPr>
              <w:pStyle w:val="Text1"/>
              <w:ind w:left="0"/>
              <w:rPr>
                <w:noProof/>
              </w:rPr>
            </w:pPr>
            <w:r>
              <w:rPr>
                <w:noProof/>
              </w:rPr>
              <w:t>95°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31° 30'</w:t>
            </w:r>
          </w:p>
        </w:tc>
        <w:tc>
          <w:tcPr>
            <w:tcW w:w="3071" w:type="dxa"/>
          </w:tcPr>
          <w:p>
            <w:pPr>
              <w:pStyle w:val="Text1"/>
              <w:ind w:left="0"/>
              <w:rPr>
                <w:noProof/>
              </w:rPr>
            </w:pPr>
            <w:r>
              <w:rPr>
                <w:noProof/>
              </w:rPr>
              <w:t>95° 00'</w:t>
            </w:r>
          </w:p>
        </w:tc>
      </w:tr>
    </w:tbl>
    <w:p>
      <w:pPr>
        <w:pStyle w:val="Text1"/>
        <w:ind w:left="0"/>
        <w:jc w:val="center"/>
        <w:rPr>
          <w:noProof/>
        </w:rPr>
      </w:pPr>
      <w:r>
        <w:rPr>
          <w:noProof/>
        </w:rPr>
        <w:t>Middle of What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Punto </w:t>
            </w:r>
          </w:p>
        </w:tc>
        <w:tc>
          <w:tcPr>
            <w:tcW w:w="3071" w:type="dxa"/>
          </w:tcPr>
          <w:p>
            <w:pPr>
              <w:pStyle w:val="Text1"/>
              <w:ind w:left="0"/>
              <w:rPr>
                <w:noProof/>
              </w:rPr>
            </w:pPr>
            <w:r>
              <w:rPr>
                <w:noProof/>
              </w:rPr>
              <w:t>Latitud (S)</w:t>
            </w:r>
          </w:p>
        </w:tc>
        <w:tc>
          <w:tcPr>
            <w:tcW w:w="3071" w:type="dxa"/>
          </w:tcPr>
          <w:p>
            <w:pPr>
              <w:pStyle w:val="Text1"/>
              <w:ind w:left="0"/>
              <w:rPr>
                <w:noProof/>
              </w:rPr>
            </w:pPr>
            <w:r>
              <w:rPr>
                <w:noProof/>
              </w:rPr>
              <w:t xml:space="preserve">Longitud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27'</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27'</w:t>
            </w:r>
          </w:p>
        </w:tc>
      </w:tr>
    </w:tbl>
    <w:p>
      <w:pPr>
        <w:pStyle w:val="Text1"/>
        <w:ind w:left="0"/>
        <w:jc w:val="center"/>
        <w:rPr>
          <w:noProof/>
        </w:rPr>
      </w:pPr>
      <w:r>
        <w:rPr>
          <w:noProof/>
        </w:rPr>
        <w:t>Walter’s Shoal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Punto </w:t>
            </w:r>
          </w:p>
        </w:tc>
        <w:tc>
          <w:tcPr>
            <w:tcW w:w="3071" w:type="dxa"/>
          </w:tcPr>
          <w:p>
            <w:pPr>
              <w:pStyle w:val="Text1"/>
              <w:ind w:left="0"/>
              <w:rPr>
                <w:noProof/>
              </w:rPr>
            </w:pPr>
            <w:r>
              <w:rPr>
                <w:noProof/>
              </w:rPr>
              <w:t>Latitud (S)</w:t>
            </w:r>
          </w:p>
        </w:tc>
        <w:tc>
          <w:tcPr>
            <w:tcW w:w="3071" w:type="dxa"/>
          </w:tcPr>
          <w:p>
            <w:pPr>
              <w:pStyle w:val="Text1"/>
              <w:ind w:left="0"/>
              <w:rPr>
                <w:noProof/>
              </w:rPr>
            </w:pPr>
            <w:r>
              <w:rPr>
                <w:noProof/>
              </w:rPr>
              <w:t xml:space="preserve">Longitud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33° 00'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33° 20'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33° 20'</w:t>
            </w:r>
          </w:p>
        </w:tc>
        <w:tc>
          <w:tcPr>
            <w:tcW w:w="3071" w:type="dxa"/>
            <w:vAlign w:val="bottom"/>
          </w:tcPr>
          <w:p>
            <w:pPr>
              <w:pStyle w:val="Text1"/>
              <w:ind w:left="0"/>
              <w:rPr>
                <w:noProof/>
              </w:rPr>
            </w:pPr>
            <w:r>
              <w:rPr>
                <w:noProof/>
              </w:rPr>
              <w:t>44° 10'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33° 00'</w:t>
            </w:r>
          </w:p>
        </w:tc>
        <w:tc>
          <w:tcPr>
            <w:tcW w:w="3071" w:type="dxa"/>
            <w:vAlign w:val="bottom"/>
          </w:tcPr>
          <w:p>
            <w:pPr>
              <w:pStyle w:val="Text1"/>
              <w:ind w:left="0"/>
              <w:rPr>
                <w:noProof/>
              </w:rPr>
            </w:pPr>
            <w:r>
              <w:rPr>
                <w:noProof/>
              </w:rPr>
              <w:t>44° 10'</w:t>
            </w:r>
          </w:p>
        </w:tc>
      </w:tr>
    </w:tbl>
    <w:p>
      <w:pPr>
        <w:rPr>
          <w:noProof/>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1620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5232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885C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F010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9EA7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C0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9A5608"/>
    <w:lvl w:ilvl="0">
      <w:start w:val="1"/>
      <w:numFmt w:val="decimal"/>
      <w:pStyle w:val="ListNumber"/>
      <w:lvlText w:val="%1."/>
      <w:lvlJc w:val="left"/>
      <w:pPr>
        <w:tabs>
          <w:tab w:val="num" w:pos="360"/>
        </w:tabs>
        <w:ind w:left="360" w:hanging="360"/>
      </w:pPr>
    </w:lvl>
  </w:abstractNum>
  <w:abstractNum w:abstractNumId="7">
    <w:nsid w:val="FFFFFF89"/>
    <w:multiLevelType w:val="singleLevel"/>
    <w:tmpl w:val="F2AE89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5: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D8BA4FF1-DB2E-47C2-9AA1-4A50BA3BB320"/>
    <w:docVar w:name="LW_COVERPAGE_TYPE" w:val="1"/>
    <w:docVar w:name="LW_CROSSREFERENCE" w:val="&lt;UNUSED&gt;"/>
    <w:docVar w:name="LW_DocType" w:val="ANNEX"/>
    <w:docVar w:name="LW_EMISSION" w:val="4.3.2020"/>
    <w:docVar w:name="LW_EMISSION_ISODATE" w:val="2020-03-04"/>
    <w:docVar w:name="LW_EMISSION_LOCATION" w:val="BRX"/>
    <w:docVar w:name="LW_EMISSION_PREFIX" w:val="Bruselas, "/>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lt;FMT:Bold&gt;por el que se modifica el Reglamento (UE) 2019/1838 en lo que respecta a determinadas posibilidades de pesca, para 2020, en el mar Báltico y otras aguas, y por el que se corrige y se modifica el Reglamento (UE) 2020/123 en lo que respecta a determinadas posibilidades de pesca, para 2020, en aguas de la Unión y en aguas no pertenecientes a la Unión  &lt;/FMT&gt;_x000d__x000d__x000b_"/>
    <w:docVar w:name="LW_OBJETACTEPRINCIPAL.CP" w:val="&lt;FMT:Bold&gt;por el que se modifica el Reglamento (UE) 2019/1838 en lo que respecta a determinadas posibilidades de pesca, para 2020, en el mar Báltico y otras aguas, y por el que se corrige y se modifica el Reglamento (UE) 2020/123 en lo que respecta a determinadas posibilidades de pesca, para 2020, en aguas de la Unión y en aguas no pertenecientes a la Unión  &lt;/FMT&gt;_x000d__x000d__x000b_"/>
    <w:docVar w:name="LW_PART_NBR" w:val="&lt;UNUSED&gt;"/>
    <w:docVar w:name="LW_PART_NBR_TOTAL" w:val="&lt;UNUSED&gt;"/>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S"/>
    <w:docVar w:name="LW_TYPE.DOC.CP" w:val="ANEXOS"/>
    <w:docVar w:name="LW_TYPEACTEPRINCIPAL" w:val="propuesta de_x000b__x000b_REGLAMENTO DEL CONSEJO_x000b__x000b_"/>
    <w:docVar w:name="LW_TYPEACTEPRINCIPAL.CP" w:val="propuesta de_x000b__x000b_REGLAMENTO DEL CONSEJO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es-ES"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es-ES"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792">
      <w:bodyDiv w:val="1"/>
      <w:marLeft w:val="0"/>
      <w:marRight w:val="0"/>
      <w:marTop w:val="0"/>
      <w:marBottom w:val="0"/>
      <w:divBdr>
        <w:top w:val="none" w:sz="0" w:space="0" w:color="auto"/>
        <w:left w:val="none" w:sz="0" w:space="0" w:color="auto"/>
        <w:bottom w:val="none" w:sz="0" w:space="0" w:color="auto"/>
        <w:right w:val="none" w:sz="0" w:space="0" w:color="auto"/>
      </w:divBdr>
    </w:div>
    <w:div w:id="636378832">
      <w:bodyDiv w:val="1"/>
      <w:marLeft w:val="0"/>
      <w:marRight w:val="0"/>
      <w:marTop w:val="0"/>
      <w:marBottom w:val="0"/>
      <w:divBdr>
        <w:top w:val="none" w:sz="0" w:space="0" w:color="auto"/>
        <w:left w:val="none" w:sz="0" w:space="0" w:color="auto"/>
        <w:bottom w:val="none" w:sz="0" w:space="0" w:color="auto"/>
        <w:right w:val="none" w:sz="0" w:space="0" w:color="auto"/>
      </w:divBdr>
    </w:div>
    <w:div w:id="751313522">
      <w:bodyDiv w:val="1"/>
      <w:marLeft w:val="0"/>
      <w:marRight w:val="0"/>
      <w:marTop w:val="0"/>
      <w:marBottom w:val="0"/>
      <w:divBdr>
        <w:top w:val="none" w:sz="0" w:space="0" w:color="auto"/>
        <w:left w:val="none" w:sz="0" w:space="0" w:color="auto"/>
        <w:bottom w:val="none" w:sz="0" w:space="0" w:color="auto"/>
        <w:right w:val="none" w:sz="0" w:space="0" w:color="auto"/>
      </w:divBdr>
    </w:div>
    <w:div w:id="1056006936">
      <w:bodyDiv w:val="1"/>
      <w:marLeft w:val="0"/>
      <w:marRight w:val="0"/>
      <w:marTop w:val="0"/>
      <w:marBottom w:val="0"/>
      <w:divBdr>
        <w:top w:val="none" w:sz="0" w:space="0" w:color="auto"/>
        <w:left w:val="none" w:sz="0" w:space="0" w:color="auto"/>
        <w:bottom w:val="none" w:sz="0" w:space="0" w:color="auto"/>
        <w:right w:val="none" w:sz="0" w:space="0" w:color="auto"/>
      </w:divBdr>
    </w:div>
    <w:div w:id="1066222954">
      <w:bodyDiv w:val="1"/>
      <w:marLeft w:val="0"/>
      <w:marRight w:val="0"/>
      <w:marTop w:val="0"/>
      <w:marBottom w:val="0"/>
      <w:divBdr>
        <w:top w:val="none" w:sz="0" w:space="0" w:color="auto"/>
        <w:left w:val="none" w:sz="0" w:space="0" w:color="auto"/>
        <w:bottom w:val="none" w:sz="0" w:space="0" w:color="auto"/>
        <w:right w:val="none" w:sz="0" w:space="0" w:color="auto"/>
      </w:divBdr>
    </w:div>
    <w:div w:id="1217666504">
      <w:bodyDiv w:val="1"/>
      <w:marLeft w:val="0"/>
      <w:marRight w:val="0"/>
      <w:marTop w:val="0"/>
      <w:marBottom w:val="0"/>
      <w:divBdr>
        <w:top w:val="none" w:sz="0" w:space="0" w:color="auto"/>
        <w:left w:val="none" w:sz="0" w:space="0" w:color="auto"/>
        <w:bottom w:val="none" w:sz="0" w:space="0" w:color="auto"/>
        <w:right w:val="none" w:sz="0" w:space="0" w:color="auto"/>
      </w:divBdr>
    </w:div>
    <w:div w:id="1586182480">
      <w:bodyDiv w:val="1"/>
      <w:marLeft w:val="0"/>
      <w:marRight w:val="0"/>
      <w:marTop w:val="0"/>
      <w:marBottom w:val="0"/>
      <w:divBdr>
        <w:top w:val="none" w:sz="0" w:space="0" w:color="auto"/>
        <w:left w:val="none" w:sz="0" w:space="0" w:color="auto"/>
        <w:bottom w:val="none" w:sz="0" w:space="0" w:color="auto"/>
        <w:right w:val="none" w:sz="0" w:space="0" w:color="auto"/>
      </w:divBdr>
    </w:div>
    <w:div w:id="18748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3AC987-8878-4178-9D20-3C2C6015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6</Pages>
  <Words>1425</Words>
  <Characters>6517</Characters>
  <Application>Microsoft Office Word</Application>
  <DocSecurity>0</DocSecurity>
  <Lines>407</Lines>
  <Paragraphs>317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SANZ Carmen (MARE)</dc:creator>
  <cp:lastModifiedBy>WES PDFC Administrator</cp:lastModifiedBy>
  <cp:revision>9</cp:revision>
  <cp:lastPrinted>2020-02-21T08:58:00Z</cp:lastPrinted>
  <dcterms:created xsi:type="dcterms:W3CDTF">2020-03-04T11:41:00Z</dcterms:created>
  <dcterms:modified xsi:type="dcterms:W3CDTF">2020-03-04T13:15:00Z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