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797ADC2-71FE-4489-855A-550B2B7B0F94" style="width:449.65pt;height:389.2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1"/>
        <w:rPr>
          <w:noProof/>
          <w:szCs w:val="24"/>
        </w:rPr>
      </w:pPr>
      <w:bookmarkStart w:id="1" w:name="_GoBack"/>
      <w:bookmarkEnd w:id="1"/>
      <w:r>
        <w:rPr>
          <w:noProof/>
        </w:rPr>
        <w:lastRenderedPageBreak/>
        <w:t xml:space="preserve">Uvod </w:t>
      </w:r>
    </w:p>
    <w:p>
      <w:pPr>
        <w:spacing w:before="120" w:after="120" w:line="240" w:lineRule="auto"/>
        <w:jc w:val="both"/>
        <w:rPr>
          <w:noProof/>
          <w:sz w:val="24"/>
        </w:rPr>
      </w:pPr>
      <w:r>
        <w:rPr>
          <w:rFonts w:ascii="Times New Roman" w:hAnsi="Times New Roman"/>
          <w:noProof/>
          <w:sz w:val="24"/>
        </w:rPr>
        <w:t>U studenome 2017. Europska komisija donijela je akcijski plan EU-a o borbi protiv razlike u plaćama između spolova (akcijski plan)</w:t>
      </w:r>
      <w:r>
        <w:rPr>
          <w:rStyle w:val="FootnoteReference"/>
          <w:rFonts w:ascii="Times New Roman" w:hAnsi="Times New Roman" w:cs="Times New Roman"/>
          <w:noProof/>
          <w:sz w:val="24"/>
        </w:rPr>
        <w:footnoteReference w:id="2"/>
      </w:r>
      <w:r>
        <w:rPr>
          <w:rFonts w:ascii="Times New Roman" w:hAnsi="Times New Roman"/>
          <w:noProof/>
          <w:sz w:val="24"/>
        </w:rPr>
        <w:t xml:space="preserve">. Cilj je bio uspostaviti opsežan i usklađen skup aktivnosti za borbu protiv razlike u plaćama između spolova kroz uzajamno jačanje zakonodavnih i nezakonodavnih inicijativa. Do listopada 2019. Komisija je dovršila veliku većinu od </w:t>
      </w:r>
      <w:r>
        <w:rPr>
          <w:rFonts w:ascii="Times New Roman" w:hAnsi="Times New Roman"/>
          <w:b/>
          <w:noProof/>
          <w:sz w:val="24"/>
        </w:rPr>
        <w:t>24 točke djelovanja</w:t>
      </w:r>
      <w:r>
        <w:rPr>
          <w:rFonts w:ascii="Times New Roman" w:hAnsi="Times New Roman"/>
          <w:noProof/>
          <w:sz w:val="24"/>
        </w:rPr>
        <w:t xml:space="preserve"> iz akcijskog plana.</w:t>
      </w:r>
      <w:r>
        <w:rPr>
          <w:rFonts w:ascii="Times New Roman" w:hAnsi="Times New Roman"/>
          <w:b/>
          <w:noProof/>
          <w:sz w:val="24"/>
        </w:rPr>
        <w:t xml:space="preserve"> </w:t>
      </w:r>
      <w:r>
        <w:rPr>
          <w:rFonts w:ascii="Times New Roman" w:hAnsi="Times New Roman"/>
          <w:noProof/>
          <w:sz w:val="24"/>
        </w:rPr>
        <w:t>Uz to, nastavit će se provedba većine točaka djelovanja</w:t>
      </w:r>
      <w:r>
        <w:rPr>
          <w:rStyle w:val="FootnoteReference"/>
          <w:rFonts w:ascii="Times New Roman" w:hAnsi="Times New Roman" w:cs="Times New Roman"/>
          <w:noProof/>
          <w:sz w:val="24"/>
        </w:rPr>
        <w:footnoteReference w:id="3"/>
      </w:r>
      <w:r>
        <w:rPr>
          <w:rFonts w:ascii="Times New Roman" w:hAnsi="Times New Roman"/>
          <w:noProof/>
          <w:sz w:val="24"/>
        </w:rPr>
        <w:t>.</w:t>
      </w:r>
      <w:r>
        <w:rPr>
          <w:noProof/>
          <w:sz w:val="24"/>
        </w:rPr>
        <w:t xml:space="preserve"> </w:t>
      </w:r>
    </w:p>
    <w:p>
      <w:pPr>
        <w:spacing w:before="120" w:after="120" w:line="240" w:lineRule="auto"/>
        <w:jc w:val="both"/>
        <w:rPr>
          <w:rFonts w:ascii="Times New Roman" w:hAnsi="Times New Roman" w:cs="Times New Roman"/>
          <w:noProof/>
          <w:sz w:val="28"/>
          <w:szCs w:val="24"/>
        </w:rPr>
      </w:pPr>
      <w:r>
        <w:rPr>
          <w:rFonts w:ascii="Times New Roman" w:hAnsi="Times New Roman"/>
          <w:noProof/>
          <w:sz w:val="24"/>
        </w:rPr>
        <w:t>Akcijski plan bio je izraz namjere Komisije da ciljano djeluje kako bi smanjila razliku u plaćama između spolova, koja je tijekom petogodišnjeg razdoblja ostala na stabilnoj razini, što je dovelo do donošenja plana. U akcijskom planu opisan je niz glavnih uzroka kao što su sveprisutna segregacija na tržištu rada, neujednačena podjela obveza skrbi, neodgovarajuće politike za postizanje ravnoteže između poslovnog i privatnog života i nedovoljna transparentnost u plaćama, s kojima se treba odlučno suočiti s dalekosežnijim mjerama na razini EU-a. U skladu s političkim prioritetima Komisije, utvrđeno je osam glavnih područja djelovanja, s 24 konkretne točke djelovanja kako bi se Komisiji pomoglo da se na koordiniran i međusektorski način bori protiv razlike u plaćama.</w:t>
      </w:r>
    </w:p>
    <w:p>
      <w:pPr>
        <w:spacing w:before="120" w:after="120" w:line="240" w:lineRule="auto"/>
        <w:jc w:val="both"/>
        <w:rPr>
          <w:rFonts w:ascii="Times New Roman" w:hAnsi="Times New Roman" w:cs="Times New Roman"/>
          <w:noProof/>
          <w:sz w:val="28"/>
          <w:szCs w:val="24"/>
        </w:rPr>
      </w:pPr>
      <w:r>
        <w:rPr>
          <w:rFonts w:ascii="Times New Roman" w:hAnsi="Times New Roman"/>
          <w:noProof/>
          <w:sz w:val="24"/>
        </w:rPr>
        <w:t xml:space="preserve">Tijekom provedbe akcijskog plana, od njegova donošenja u studenome 2017. do listopada 2019., smanjenje razlike u plaćama između spolova bilo je jedno od glavnih područja na koje je bila usmjerena </w:t>
      </w:r>
      <w:r>
        <w:rPr>
          <w:rFonts w:ascii="Times New Roman" w:hAnsi="Times New Roman"/>
          <w:b/>
          <w:noProof/>
          <w:sz w:val="24"/>
        </w:rPr>
        <w:t>politika Komisije u području rodne ravnopravnosti</w:t>
      </w:r>
      <w:r>
        <w:rPr>
          <w:rFonts w:ascii="Times New Roman" w:hAnsi="Times New Roman"/>
          <w:noProof/>
          <w:sz w:val="24"/>
        </w:rPr>
        <w:t>. Akcijski plan pokazao se kao širok i sveobuhvatan način na koji Komisija djeluje u cilju rješavanja razlike u plaćama između spolova, ne samo kroz svoju politiku jednakosti spolova, već i u okviru nekoliko sektorskih politika. Sektorske mjere i nacionalni projekti predviđeni akcijskim planom isto su tako pokazali da je za rješavanje problema temeljnih društvenih struktura i rodnih stereotipa potrebno višedimenzionalno djelovanje.</w:t>
      </w:r>
    </w:p>
    <w:p>
      <w:pPr>
        <w:spacing w:before="120" w:after="120" w:line="240" w:lineRule="auto"/>
        <w:jc w:val="both"/>
        <w:rPr>
          <w:rFonts w:ascii="Times New Roman" w:hAnsi="Times New Roman" w:cs="Times New Roman"/>
          <w:noProof/>
          <w:sz w:val="28"/>
          <w:szCs w:val="24"/>
        </w:rPr>
      </w:pPr>
      <w:r>
        <w:rPr>
          <w:rFonts w:ascii="Times New Roman" w:hAnsi="Times New Roman"/>
          <w:noProof/>
          <w:sz w:val="24"/>
        </w:rPr>
        <w:t xml:space="preserve">Konkretno, mjere poduzete u okviru akcijskog plana pridonijele su provedbi </w:t>
      </w:r>
      <w:r>
        <w:rPr>
          <w:rFonts w:ascii="Times New Roman" w:hAnsi="Times New Roman"/>
          <w:b/>
          <w:noProof/>
          <w:sz w:val="24"/>
        </w:rPr>
        <w:t>europskog stupa socijalnih prava</w:t>
      </w:r>
      <w:r>
        <w:rPr>
          <w:rFonts w:ascii="Times New Roman" w:hAnsi="Times New Roman"/>
          <w:noProof/>
          <w:sz w:val="24"/>
        </w:rPr>
        <w:t xml:space="preserve">, posebice njegova 2. načela jednakosti spolova. Na temelju tog načela, od Komisije se zahtijeva da svima osigura pravo na jednako postupanje i promiče mogućnosti za žene i muškarce u svim područjima, uključujući sudjelovanje na tržištu rada, uvjete zaposlenja i napredovanje u karijeri. Tim se načelom također konkretno propisuje da žene i muškarci imaju pravo na jednaku plaću za rad jednake vrijednosti. Mjere poduzete u okviru akcijskog plana bile su ujedno relevantne za provedbu nekoliko drugih načela europskog stupa socijalnih prava kao što su ona koja se odnose na jednake mogućnosti, plaće, ravnotežu između privatnog i poslovnog života te dohodak u starosti i mirovine. Provedba akcijskog plana pridonijela je i postizanju </w:t>
      </w:r>
      <w:r>
        <w:rPr>
          <w:rFonts w:ascii="Times New Roman" w:hAnsi="Times New Roman"/>
          <w:b/>
          <w:noProof/>
          <w:sz w:val="24"/>
        </w:rPr>
        <w:t>Programa UN-a za održivi razvoj do 2030.</w:t>
      </w:r>
      <w:r>
        <w:rPr>
          <w:rFonts w:ascii="Times New Roman" w:hAnsi="Times New Roman"/>
          <w:noProof/>
          <w:sz w:val="24"/>
        </w:rPr>
        <w:t>, posebice petog UN-ova cilja održivog razvoja koji se odnosi na postizanje rodne ravnopravnosti i osnaživanje svih žena i djevojčica.</w:t>
      </w:r>
    </w:p>
    <w:p>
      <w:pPr>
        <w:spacing w:before="120" w:after="120" w:line="240" w:lineRule="auto"/>
        <w:jc w:val="both"/>
        <w:rPr>
          <w:rFonts w:ascii="Times New Roman" w:hAnsi="Times New Roman" w:cs="Times New Roman"/>
          <w:noProof/>
          <w:sz w:val="28"/>
          <w:szCs w:val="24"/>
        </w:rPr>
      </w:pPr>
      <w:r>
        <w:rPr>
          <w:rFonts w:ascii="Times New Roman" w:hAnsi="Times New Roman"/>
          <w:noProof/>
          <w:sz w:val="24"/>
        </w:rPr>
        <w:t xml:space="preserve">Tijekom provedbe akcijskog plana, Komisija je dodijelila </w:t>
      </w:r>
      <w:r>
        <w:rPr>
          <w:rFonts w:ascii="Times New Roman" w:hAnsi="Times New Roman"/>
          <w:b/>
          <w:noProof/>
          <w:sz w:val="24"/>
        </w:rPr>
        <w:t>14 milijuna eura</w:t>
      </w:r>
      <w:r>
        <w:rPr>
          <w:rFonts w:ascii="Times New Roman" w:hAnsi="Times New Roman"/>
          <w:noProof/>
          <w:sz w:val="24"/>
        </w:rPr>
        <w:t xml:space="preserve"> za financiranje projekata koji doprinose borbi protiv razlike u plaćama između spolova u državama članicama kroz borbu protiv rodnih stereotipa, jačanje profesionalne orijentacije, povećanje zastupljenosti žena na vodećim položajima, poboljšanje ravnoteže između poslovnog i privatnog života žena i muškaraca te otklanjanje razlika na temelju spola tijekom nečijeg </w:t>
      </w:r>
      <w:r>
        <w:rPr>
          <w:rFonts w:ascii="Times New Roman" w:hAnsi="Times New Roman"/>
          <w:noProof/>
          <w:sz w:val="24"/>
        </w:rPr>
        <w:lastRenderedPageBreak/>
        <w:t xml:space="preserve">životnog ciklusa smanjivanjem razlika na temelju spola u pogledu zapošljavanja, plaće i mirovine. </w:t>
      </w:r>
    </w:p>
    <w:p>
      <w:pPr>
        <w:spacing w:before="120" w:after="120" w:line="240" w:lineRule="auto"/>
        <w:jc w:val="both"/>
        <w:rPr>
          <w:rFonts w:ascii="Times New Roman" w:hAnsi="Times New Roman" w:cs="Times New Roman"/>
          <w:noProof/>
          <w:sz w:val="28"/>
          <w:szCs w:val="24"/>
        </w:rPr>
      </w:pPr>
      <w:r>
        <w:rPr>
          <w:rFonts w:ascii="Times New Roman" w:hAnsi="Times New Roman"/>
          <w:noProof/>
          <w:sz w:val="24"/>
        </w:rPr>
        <w:t xml:space="preserve">U tom su razdoblju provedbe poduzete i </w:t>
      </w:r>
      <w:r>
        <w:rPr>
          <w:rFonts w:ascii="Times New Roman" w:hAnsi="Times New Roman"/>
          <w:b/>
          <w:noProof/>
          <w:sz w:val="24"/>
        </w:rPr>
        <w:t>zakonodavne mjere</w:t>
      </w:r>
      <w:r>
        <w:rPr>
          <w:rFonts w:ascii="Times New Roman" w:hAnsi="Times New Roman"/>
          <w:noProof/>
          <w:sz w:val="24"/>
        </w:rPr>
        <w:t>. U lipnju 2019. donesena je Direktiva o ravnoteži između poslovnog i privatnog života</w:t>
      </w:r>
      <w:r>
        <w:rPr>
          <w:rStyle w:val="FootnoteReference"/>
          <w:rFonts w:ascii="Times New Roman" w:hAnsi="Times New Roman" w:cs="Times New Roman"/>
          <w:noProof/>
          <w:sz w:val="24"/>
        </w:rPr>
        <w:footnoteReference w:id="4"/>
      </w:r>
      <w:r>
        <w:rPr>
          <w:rFonts w:ascii="Times New Roman" w:hAnsi="Times New Roman"/>
          <w:noProof/>
          <w:sz w:val="24"/>
        </w:rPr>
        <w:t>, kojom su uvedeni minimalni standardi za dopuste iz obiteljskih razloga i fleksibilni radni uvjeti za radnike te je potaknuta ravnopravna raspodjela poslova skrbi između majki i očeva. Nadalje, Preporuka Komisije o standardima za tijela za jednakost</w:t>
      </w:r>
      <w:r>
        <w:rPr>
          <w:rStyle w:val="FootnoteReference"/>
          <w:rFonts w:ascii="Times New Roman" w:hAnsi="Times New Roman" w:cs="Times New Roman"/>
          <w:noProof/>
          <w:sz w:val="24"/>
        </w:rPr>
        <w:footnoteReference w:id="5"/>
      </w:r>
      <w:r>
        <w:rPr>
          <w:rFonts w:ascii="Times New Roman" w:hAnsi="Times New Roman"/>
          <w:noProof/>
          <w:sz w:val="24"/>
        </w:rPr>
        <w:t>, donesena u lipnju 2018., utrla je put ka pružanju bolje podrške žrtvama diskriminacije, uključujući diskriminaciju u plaćama. Komisija je 2018. pokrenula ocjenu odredbi o jednakoj plaći</w:t>
      </w:r>
      <w:r>
        <w:rPr>
          <w:rStyle w:val="FootnoteReference"/>
          <w:rFonts w:ascii="Times New Roman" w:hAnsi="Times New Roman" w:cs="Times New Roman"/>
          <w:noProof/>
          <w:sz w:val="24"/>
        </w:rPr>
        <w:footnoteReference w:id="6"/>
      </w:r>
      <w:r>
        <w:rPr>
          <w:rFonts w:ascii="Times New Roman" w:hAnsi="Times New Roman"/>
          <w:noProof/>
          <w:sz w:val="24"/>
        </w:rPr>
        <w:t>, što je osnova za daljnje zakonodavne prijedloge o obvezujućim mjerama za transparentnost plaća u 2020., kako je navedeno u političkim smjernicama Komisije za razdoblje 2019. – 2024. i u programu rada Komisije za 2020.</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Do kraja razdoblja provedbe akcijskog plana u listopadu 2019., sve 24 točke djelovanja dovršene su u cijelosti ili djelomično. Određene mjere dovele su do opipljivih rezultata u obliku novog zakonodavstva ili politika, a velika većina mjera nastavit će se u okviru različitih politika Komisije. Ovo izvješće doprinos je cilju otklanjanja razlike u plaćama između spolova.</w:t>
      </w:r>
      <w:r>
        <w:rPr>
          <w:noProof/>
          <w:sz w:val="24"/>
        </w:rPr>
        <w:t xml:space="preserve"> </w:t>
      </w:r>
      <w:r>
        <w:rPr>
          <w:rFonts w:ascii="Times New Roman" w:hAnsi="Times New Roman"/>
          <w:noProof/>
          <w:sz w:val="24"/>
        </w:rPr>
        <w:t>U njemu se analiziraju provedene mjere, razmatraju neka od ključnih postignuća ostvarenih u akcijskom planu i otvara put daljnjim inicijativama za primjenu načela jednake plaće za jednak rad ili za rad jednake vrijednosti.</w:t>
      </w:r>
      <w:r>
        <w:rPr>
          <w:rFonts w:ascii="Times New Roman" w:hAnsi="Times New Roman"/>
          <w:noProof/>
        </w:rPr>
        <w:t xml:space="preserve"> </w:t>
      </w:r>
    </w:p>
    <w:p>
      <w:pPr>
        <w:pStyle w:val="Heading1"/>
        <w:rPr>
          <w:noProof/>
          <w:szCs w:val="24"/>
        </w:rPr>
      </w:pPr>
      <w:r>
        <w:rPr>
          <w:noProof/>
        </w:rPr>
        <w:t xml:space="preserve">Podaci o razlici u plaćama između spolova u Europskoj uniji pokazuju spor napredak </w:t>
      </w:r>
    </w:p>
    <w:p>
      <w:pPr>
        <w:spacing w:before="120" w:after="120" w:line="240" w:lineRule="auto"/>
        <w:jc w:val="both"/>
        <w:rPr>
          <w:rFonts w:ascii="Times New Roman" w:hAnsi="Times New Roman" w:cs="Times New Roman"/>
          <w:noProof/>
          <w:sz w:val="28"/>
          <w:szCs w:val="24"/>
        </w:rPr>
      </w:pPr>
      <w:r>
        <w:rPr>
          <w:rFonts w:ascii="Times New Roman" w:hAnsi="Times New Roman"/>
          <w:noProof/>
          <w:sz w:val="24"/>
        </w:rPr>
        <w:t xml:space="preserve">U nekoliko točaka djelovanja iz akcijskog plana (10., 17., 18.) Komisija je pozvana da prikupi podatke o razlici u plaćama između spolova. Komisija redovito izvješćuje o razlikama u plaćama, dohocima i mirovinama u državama članicama u svojem godišnjem izvješću o jednakosti žena i muškaraca u Europskoj uniji. Ti podaci </w:t>
      </w:r>
      <w:r>
        <w:rPr>
          <w:rStyle w:val="FootnoteReference"/>
          <w:rFonts w:ascii="Times New Roman" w:hAnsi="Times New Roman" w:cs="Times New Roman"/>
          <w:noProof/>
          <w:sz w:val="24"/>
        </w:rPr>
        <w:footnoteReference w:id="7"/>
      </w:r>
      <w:r>
        <w:rPr>
          <w:rFonts w:ascii="Times New Roman" w:hAnsi="Times New Roman"/>
          <w:noProof/>
          <w:sz w:val="24"/>
        </w:rPr>
        <w:t xml:space="preserve"> (točka djelovanja 17.) prikazuju jasnu i trajnu strukturalnu potplaćenost žena u EU-u. Tijekom provedbe akcijskog plana, </w:t>
      </w:r>
      <w:r>
        <w:rPr>
          <w:rFonts w:ascii="Times New Roman" w:hAnsi="Times New Roman"/>
          <w:b/>
          <w:noProof/>
          <w:sz w:val="24"/>
        </w:rPr>
        <w:t>prosječna razlika u plaćama između spolova u državama članicama smanjila se sa 16 posto u 2017. na 15,7 posto u 2018.</w:t>
      </w:r>
      <w:r>
        <w:rPr>
          <w:rFonts w:ascii="Times New Roman" w:hAnsi="Times New Roman"/>
          <w:noProof/>
          <w:sz w:val="24"/>
        </w:rPr>
        <w:t xml:space="preserve"> Ako se uz razlike u plaćama između spolova uzmu u obzir i razlike u radnom vremenu i ukupno trajanje radnog vijeka žena i muškaraca, može se primijetiti veća razlika između muškaraca i žena u njihovoj ekonomskoj neovisnosti. Ta razlika u ukupnom dohotku između spolova dosegla je gotovo 40 posto u Uniji u 2014.</w:t>
      </w:r>
      <w:r>
        <w:rPr>
          <w:rStyle w:val="FootnoteReference"/>
          <w:rFonts w:ascii="Times New Roman" w:hAnsi="Times New Roman" w:cs="Times New Roman"/>
          <w:noProof/>
          <w:sz w:val="24"/>
        </w:rPr>
        <w:footnoteReference w:id="8"/>
      </w:r>
      <w:r>
        <w:rPr>
          <w:rFonts w:ascii="Times New Roman" w:hAnsi="Times New Roman"/>
          <w:noProof/>
          <w:sz w:val="24"/>
        </w:rPr>
        <w:t xml:space="preserve"> Jedan od razloga ukupne razlike u dohotku je taj što u prosjeku žene u odnosu na muškarce odrade manje sati koji su im plaćeni. Tako žene čine ukupno 78 posto osoba koje ostvaruju drugi prihod u Uniji.</w:t>
      </w:r>
    </w:p>
    <w:tbl>
      <w:tblPr>
        <w:tblStyle w:val="TableGrid"/>
        <w:tblW w:w="0" w:type="auto"/>
        <w:tblInd w:w="108" w:type="dxa"/>
        <w:tblLook w:val="04A0" w:firstRow="1" w:lastRow="0" w:firstColumn="1" w:lastColumn="0" w:noHBand="0" w:noVBand="1"/>
      </w:tblPr>
      <w:tblGrid>
        <w:gridCol w:w="9180"/>
      </w:tblGrid>
      <w:tr>
        <w:trPr>
          <w:trHeight w:val="59"/>
        </w:trPr>
        <w:tc>
          <w:tcPr>
            <w:tcW w:w="9180" w:type="dxa"/>
            <w:shd w:val="clear" w:color="auto" w:fill="F2F2F2" w:themeFill="background1" w:themeFillShade="F2"/>
          </w:tcPr>
          <w:p>
            <w:pPr>
              <w:spacing w:before="120" w:after="120"/>
              <w:jc w:val="center"/>
              <w:rPr>
                <w:rFonts w:ascii="Times New Roman" w:hAnsi="Times New Roman" w:cs="Times New Roman"/>
                <w:noProof/>
                <w:sz w:val="24"/>
              </w:rPr>
            </w:pPr>
            <w:r>
              <w:rPr>
                <w:rFonts w:ascii="Times New Roman" w:hAnsi="Times New Roman"/>
                <w:noProof/>
                <w:sz w:val="24"/>
              </w:rPr>
              <w:t>Prema podacima Eurostata, prosječna razlika u plaćama između spolova u državama članicama EU-a samo se neznatno smanjila sa 16 posto u 2017. na 15,7 posto u 2018.</w:t>
            </w:r>
          </w:p>
        </w:tc>
      </w:tr>
    </w:tbl>
    <w:p>
      <w:pPr>
        <w:spacing w:before="120" w:after="120" w:line="240" w:lineRule="auto"/>
        <w:jc w:val="both"/>
        <w:rPr>
          <w:rFonts w:ascii="Times New Roman" w:hAnsi="Times New Roman" w:cs="Times New Roman"/>
          <w:noProof/>
          <w:sz w:val="28"/>
          <w:szCs w:val="24"/>
        </w:rPr>
      </w:pPr>
      <w:r>
        <w:rPr>
          <w:rFonts w:ascii="Times New Roman" w:hAnsi="Times New Roman"/>
          <w:noProof/>
          <w:sz w:val="24"/>
        </w:rPr>
        <w:t>Komisija je u okviru akcijskog plana isto tako nastojala steći dublje razumijevanje razlika u plaćama između žena i muškaraca. Više istraživanja</w:t>
      </w:r>
      <w:r>
        <w:rPr>
          <w:rStyle w:val="FootnoteReference"/>
          <w:rFonts w:ascii="Times New Roman" w:hAnsi="Times New Roman" w:cs="Times New Roman"/>
          <w:noProof/>
          <w:sz w:val="24"/>
        </w:rPr>
        <w:footnoteReference w:id="9"/>
      </w:r>
      <w:r>
        <w:rPr>
          <w:rFonts w:ascii="Times New Roman" w:hAnsi="Times New Roman"/>
          <w:noProof/>
          <w:sz w:val="24"/>
        </w:rPr>
        <w:t xml:space="preserve"> o čimbenicima koji utječu na razlike u plaćama između spolova pokazuju da se </w:t>
      </w:r>
      <w:r>
        <w:rPr>
          <w:rFonts w:ascii="Times New Roman" w:hAnsi="Times New Roman"/>
          <w:b/>
          <w:noProof/>
          <w:sz w:val="24"/>
        </w:rPr>
        <w:t>oko dvije trećine prosječne razlike ne može objasniti</w:t>
      </w:r>
      <w:r>
        <w:rPr>
          <w:rFonts w:ascii="Times New Roman" w:hAnsi="Times New Roman"/>
          <w:noProof/>
          <w:sz w:val="24"/>
        </w:rPr>
        <w:t xml:space="preserve"> osobnim karakteristikama radnika i radnica ili karakteristikama povezanima s radnim mjestom ili poduzećem. Na primjer, kao razlozi koji objašnjavaju razliku u plaćama navode se manje sudjelovanje žena na tržištu rada, manji broj plaćenih sati koje žene odrade, visoki postotak žena koje rade s nepunim radnim vremenom te žene koje su obično primarni pružatelji skrbi u obitelji</w:t>
      </w:r>
      <w:r>
        <w:rPr>
          <w:rStyle w:val="FootnoteReference"/>
          <w:rFonts w:ascii="Times New Roman" w:hAnsi="Times New Roman" w:cs="Times New Roman"/>
          <w:noProof/>
          <w:sz w:val="24"/>
        </w:rPr>
        <w:footnoteReference w:id="10"/>
      </w:r>
      <w:r>
        <w:rPr>
          <w:rFonts w:ascii="Times New Roman" w:hAnsi="Times New Roman"/>
          <w:noProof/>
          <w:sz w:val="24"/>
        </w:rPr>
        <w:t>.</w:t>
      </w:r>
    </w:p>
    <w:p>
      <w:pPr>
        <w:spacing w:before="120" w:after="120" w:line="240" w:lineRule="auto"/>
        <w:jc w:val="both"/>
        <w:rPr>
          <w:rFonts w:ascii="Times New Roman" w:hAnsi="Times New Roman" w:cs="Times New Roman"/>
          <w:noProof/>
          <w:sz w:val="28"/>
          <w:szCs w:val="24"/>
        </w:rPr>
      </w:pPr>
      <w:r>
        <w:rPr>
          <w:rFonts w:ascii="Times New Roman" w:hAnsi="Times New Roman"/>
          <w:noProof/>
          <w:sz w:val="24"/>
        </w:rPr>
        <w:t xml:space="preserve">Nejednakosti u plaćama, zajedno s razlikama u radnom intenzitetu i godinama zaposlenosti, pretvorile su se u </w:t>
      </w:r>
      <w:r>
        <w:rPr>
          <w:rFonts w:ascii="Times New Roman" w:hAnsi="Times New Roman"/>
          <w:b/>
          <w:noProof/>
          <w:sz w:val="24"/>
        </w:rPr>
        <w:t>procijenjenu prosječnu razliku u mirovinama od 30,1 posto</w:t>
      </w:r>
      <w:r>
        <w:rPr>
          <w:rFonts w:ascii="Times New Roman" w:hAnsi="Times New Roman"/>
          <w:noProof/>
          <w:sz w:val="24"/>
        </w:rPr>
        <w:t xml:space="preserve"> između žena i muškaraca u Uniji za dobnu skupinu od 65 godina ili više u 2018.</w:t>
      </w:r>
      <w:r>
        <w:rPr>
          <w:rStyle w:val="FootnoteReference"/>
          <w:rFonts w:ascii="Times New Roman" w:hAnsi="Times New Roman" w:cs="Times New Roman"/>
          <w:noProof/>
          <w:sz w:val="24"/>
        </w:rPr>
        <w:footnoteReference w:id="11"/>
      </w:r>
      <w:r>
        <w:rPr>
          <w:rFonts w:ascii="Times New Roman" w:hAnsi="Times New Roman"/>
          <w:noProof/>
          <w:sz w:val="24"/>
        </w:rPr>
        <w:t xml:space="preserve"> To pak često dovodi do veće opasnosti od siromaštva za starije žene. Stopa opasnosti od siromaštva bila je deset postotnih bodova viša za umirovljenice nego za umirovljenike u 2018. u šest država članica</w:t>
      </w:r>
      <w:r>
        <w:rPr>
          <w:rStyle w:val="FootnoteReference"/>
          <w:rFonts w:ascii="Times New Roman" w:hAnsi="Times New Roman" w:cs="Times New Roman"/>
          <w:noProof/>
          <w:sz w:val="24"/>
        </w:rPr>
        <w:footnoteReference w:id="12"/>
      </w:r>
      <w:r>
        <w:rPr>
          <w:rFonts w:ascii="Times New Roman" w:hAnsi="Times New Roman"/>
          <w:noProof/>
          <w:sz w:val="24"/>
        </w:rPr>
        <w:t>. Isto tako, u Izvješću o primjerenosti mirovina (točka djelovanja 17.) ističe se činjenica da postojeći mirovinski sustavi samo blago kompenziraju nelinearne karijere žena, a starije žene ostaju glavni korisnici programa minimalnog dohotka</w:t>
      </w:r>
      <w:r>
        <w:rPr>
          <w:rStyle w:val="FootnoteReference"/>
          <w:rFonts w:ascii="Times New Roman" w:hAnsi="Times New Roman" w:cs="Times New Roman"/>
          <w:noProof/>
          <w:sz w:val="24"/>
        </w:rPr>
        <w:footnoteReference w:id="13"/>
      </w:r>
      <w:r>
        <w:rPr>
          <w:rFonts w:ascii="Times New Roman" w:hAnsi="Times New Roman"/>
          <w:noProof/>
          <w:sz w:val="24"/>
        </w:rPr>
        <w:t xml:space="preserve">. </w:t>
      </w:r>
    </w:p>
    <w:tbl>
      <w:tblPr>
        <w:tblStyle w:val="TableGrid"/>
        <w:tblW w:w="0" w:type="auto"/>
        <w:tblInd w:w="108" w:type="dxa"/>
        <w:tblLook w:val="04A0" w:firstRow="1" w:lastRow="0" w:firstColumn="1" w:lastColumn="0" w:noHBand="0" w:noVBand="1"/>
      </w:tblPr>
      <w:tblGrid>
        <w:gridCol w:w="9180"/>
      </w:tblGrid>
      <w:tr>
        <w:trPr>
          <w:trHeight w:val="59"/>
        </w:trPr>
        <w:tc>
          <w:tcPr>
            <w:tcW w:w="9180" w:type="dxa"/>
            <w:shd w:val="clear" w:color="auto" w:fill="F2F2F2" w:themeFill="background1" w:themeFillShade="F2"/>
          </w:tcPr>
          <w:p>
            <w:pPr>
              <w:spacing w:before="120" w:after="120"/>
              <w:jc w:val="center"/>
              <w:rPr>
                <w:noProof/>
                <w:sz w:val="24"/>
              </w:rPr>
            </w:pPr>
            <w:r>
              <w:rPr>
                <w:rFonts w:ascii="Times New Roman" w:hAnsi="Times New Roman"/>
                <w:noProof/>
                <w:sz w:val="24"/>
              </w:rPr>
              <w:t>Prosječna razlika u mirovinama za žene i muškarce u Europskoj uniji u 2018. iznosila je 30,1 posto. To doprinosi nejednakosti spolova u pogledu dohotka u starosti.</w:t>
            </w:r>
          </w:p>
        </w:tc>
      </w:tr>
    </w:tbl>
    <w:p>
      <w:pPr>
        <w:spacing w:line="240" w:lineRule="auto"/>
        <w:jc w:val="both"/>
        <w:rPr>
          <w:rFonts w:ascii="Times New Roman" w:hAnsi="Times New Roman" w:cs="Times New Roman"/>
          <w:noProof/>
          <w:sz w:val="28"/>
          <w:szCs w:val="24"/>
        </w:rPr>
      </w:pPr>
    </w:p>
    <w:p>
      <w:pPr>
        <w:spacing w:line="240" w:lineRule="auto"/>
        <w:jc w:val="both"/>
        <w:rPr>
          <w:rFonts w:ascii="Times New Roman" w:hAnsi="Times New Roman" w:cs="Times New Roman"/>
          <w:noProof/>
          <w:sz w:val="28"/>
          <w:szCs w:val="24"/>
        </w:rPr>
      </w:pPr>
      <w:r>
        <w:rPr>
          <w:rFonts w:ascii="Times New Roman" w:hAnsi="Times New Roman"/>
          <w:noProof/>
          <w:sz w:val="24"/>
        </w:rPr>
        <w:t>Što se tiče podataka o profesionalnoj segregaciji, prema izvješću „She Figures” za 2018. koji je objavila Komisija</w:t>
      </w:r>
      <w:r>
        <w:rPr>
          <w:rStyle w:val="FootnoteReference"/>
          <w:rFonts w:ascii="Times New Roman" w:hAnsi="Times New Roman" w:cs="Times New Roman"/>
          <w:noProof/>
          <w:sz w:val="24"/>
        </w:rPr>
        <w:footnoteReference w:id="14"/>
      </w:r>
      <w:r>
        <w:rPr>
          <w:rFonts w:ascii="Times New Roman" w:hAnsi="Times New Roman"/>
          <w:noProof/>
          <w:sz w:val="24"/>
        </w:rPr>
        <w:t>, žene općenito nadmašuju muškarce u znanstvenom obrazovanju na dodiplomskoj i diplomskoj razini, dok je na razini doktorata postignuta veća ravnoteža između spolova.</w:t>
      </w:r>
    </w:p>
    <w:p>
      <w:pPr>
        <w:spacing w:line="240" w:lineRule="auto"/>
        <w:jc w:val="both"/>
        <w:rPr>
          <w:rFonts w:ascii="Times New Roman" w:hAnsi="Times New Roman" w:cs="Times New Roman"/>
          <w:noProof/>
          <w:sz w:val="24"/>
          <w:szCs w:val="24"/>
        </w:rPr>
      </w:pPr>
      <w:r>
        <w:rPr>
          <w:rFonts w:ascii="Times New Roman" w:hAnsi="Times New Roman"/>
          <w:noProof/>
          <w:sz w:val="24"/>
        </w:rPr>
        <w:t>Međutim, žene i muškarci i dalje su neravnomjerno zastupljeni u različitim znanstvenim područjima, što pokazuje da rodni stereotipi i dalje postoje. Stereotipi su posebno snažni u području znanosti, tehnologije, inženjerstva i matematike (STEM), gdje su žene i dalje manje zastupljene na svim razinama (s 32 posto žena na dodiplomskoj, magistarskoj ili ekvivalentnoj razini) sve do najviših akademskih položaja (s prosječno 15 posto studentica). Udio radnica bio je veći na poslovima u javnom sektoru kao što su zdravstvo, obrazovanje i socijalni rad.</w:t>
      </w:r>
      <w:r>
        <w:rPr>
          <w:rFonts w:ascii="Times New Roman" w:hAnsi="Times New Roman"/>
          <w:noProof/>
        </w:rPr>
        <w:t xml:space="preserve"> </w:t>
      </w:r>
    </w:p>
    <w:p>
      <w:pPr>
        <w:pStyle w:val="Heading1"/>
        <w:rPr>
          <w:noProof/>
        </w:rPr>
      </w:pPr>
      <w:r>
        <w:rPr>
          <w:noProof/>
        </w:rPr>
        <w:t xml:space="preserve">Borba protiv razlike u plaćama između spolova – primjeri mjera poduzetih u okviru akcijskog plana </w:t>
      </w:r>
    </w:p>
    <w:p>
      <w:pPr>
        <w:pStyle w:val="Heading1"/>
        <w:numPr>
          <w:ilvl w:val="0"/>
          <w:numId w:val="0"/>
        </w:numPr>
        <w:rPr>
          <w:rFonts w:eastAsiaTheme="minorHAnsi"/>
          <w:b w:val="0"/>
          <w:smallCaps w:val="0"/>
          <w:noProof/>
          <w:szCs w:val="24"/>
        </w:rPr>
      </w:pPr>
      <w:r>
        <w:rPr>
          <w:b w:val="0"/>
          <w:smallCaps w:val="0"/>
          <w:noProof/>
        </w:rPr>
        <w:t xml:space="preserve">Akcijski plan obuhvaćao je 24 točke djelovanja razvrstane u osam mjera. U ovom će poglavlju biti opisani neki primjeri mjera poduzetih u okviru akcijskog plana. Detaljniji opis provedbe svih mjera dostupan je u radnom dokumentu službi u prilogu.  </w:t>
      </w:r>
    </w:p>
    <w:p>
      <w:pPr>
        <w:pStyle w:val="Heading1"/>
        <w:numPr>
          <w:ilvl w:val="0"/>
          <w:numId w:val="0"/>
        </w:numPr>
        <w:rPr>
          <w:rFonts w:eastAsiaTheme="minorHAnsi"/>
          <w:smallCaps w:val="0"/>
          <w:noProof/>
          <w:szCs w:val="24"/>
        </w:rPr>
      </w:pPr>
      <w:r>
        <w:rPr>
          <w:smallCaps w:val="0"/>
          <w:noProof/>
        </w:rPr>
        <w:t>3.1. Inicijativa za ravnotežu između poslovnog i privatnog života</w:t>
      </w:r>
    </w:p>
    <w:p>
      <w:pPr>
        <w:spacing w:before="120" w:after="120" w:line="240" w:lineRule="auto"/>
        <w:jc w:val="both"/>
        <w:rPr>
          <w:rFonts w:ascii="Times New Roman" w:hAnsi="Times New Roman" w:cs="Times New Roman"/>
          <w:noProof/>
          <w:sz w:val="28"/>
          <w:szCs w:val="24"/>
        </w:rPr>
      </w:pPr>
      <w:r>
        <w:rPr>
          <w:rFonts w:ascii="Times New Roman" w:hAnsi="Times New Roman"/>
          <w:noProof/>
          <w:sz w:val="24"/>
        </w:rPr>
        <w:t>Priopćenje Komisije „Inicijativa za ravnotežu između poslovnog i privatnog života za zaposlene roditelje i skrbnike”</w:t>
      </w:r>
      <w:r>
        <w:rPr>
          <w:rStyle w:val="FootnoteReference"/>
          <w:rFonts w:ascii="Times New Roman" w:hAnsi="Times New Roman" w:cs="Times New Roman"/>
          <w:noProof/>
          <w:sz w:val="24"/>
        </w:rPr>
        <w:footnoteReference w:id="15"/>
      </w:r>
      <w:r>
        <w:rPr>
          <w:rFonts w:ascii="Times New Roman" w:hAnsi="Times New Roman"/>
          <w:noProof/>
          <w:sz w:val="24"/>
        </w:rPr>
        <w:t>, uključujući prijedlog direktive o ravnoteži između poslovnog i privatnog života za roditelje i skrbnike</w:t>
      </w:r>
      <w:r>
        <w:rPr>
          <w:rStyle w:val="FootnoteReference"/>
          <w:rFonts w:ascii="Times New Roman" w:hAnsi="Times New Roman" w:cs="Times New Roman"/>
          <w:noProof/>
          <w:sz w:val="24"/>
        </w:rPr>
        <w:footnoteReference w:id="16"/>
      </w:r>
      <w:r>
        <w:rPr>
          <w:rFonts w:ascii="Times New Roman" w:hAnsi="Times New Roman"/>
          <w:noProof/>
          <w:sz w:val="24"/>
        </w:rPr>
        <w:t xml:space="preserve">, ključni su rezultati europskog stupa socijalnih prava. Cilj tog paketa mjera koje se međusobno nadopunjuju i podupiru bio je borba protiv premale zastupljenosti žena na tržištu rada otklanjanjem jednog od njezinih glavnih pokretača, nejednake podjele obveza skrbi između žena i muškaraca (točka djelovanja 14.). </w:t>
      </w:r>
    </w:p>
    <w:p>
      <w:pPr>
        <w:spacing w:before="120" w:after="120" w:line="240" w:lineRule="auto"/>
        <w:jc w:val="both"/>
        <w:rPr>
          <w:rFonts w:ascii="Times New Roman" w:hAnsi="Times New Roman" w:cs="Times New Roman"/>
          <w:noProof/>
          <w:sz w:val="28"/>
          <w:szCs w:val="24"/>
        </w:rPr>
      </w:pPr>
      <w:r>
        <w:rPr>
          <w:rFonts w:ascii="Times New Roman" w:hAnsi="Times New Roman"/>
          <w:b/>
          <w:noProof/>
          <w:sz w:val="24"/>
        </w:rPr>
        <w:t>Direktiva o ravnoteži između poslovnog i privatnog života</w:t>
      </w:r>
      <w:r>
        <w:rPr>
          <w:rFonts w:ascii="Times New Roman" w:hAnsi="Times New Roman"/>
          <w:noProof/>
          <w:sz w:val="24"/>
        </w:rPr>
        <w:t xml:space="preserve"> donesena je 20. lipnja 2019.</w:t>
      </w:r>
      <w:r>
        <w:rPr>
          <w:rStyle w:val="FootnoteReference"/>
          <w:rFonts w:ascii="Times New Roman" w:hAnsi="Times New Roman" w:cs="Times New Roman"/>
          <w:noProof/>
          <w:sz w:val="24"/>
        </w:rPr>
        <w:footnoteReference w:id="17"/>
      </w:r>
      <w:r>
        <w:rPr>
          <w:rFonts w:ascii="Times New Roman" w:hAnsi="Times New Roman"/>
          <w:noProof/>
          <w:sz w:val="24"/>
        </w:rPr>
        <w:t xml:space="preserve"> Njezina je svrha modernizirati zakonodavni okvir Unije dopustima zbog obiteljskih razloga i fleksibilnim radnim uvjetima Direktivom je utvrđeno pravo očeva na plaćeni očinski dopust (deset radnih dana plaćenih na nacionalnoj razini plaće tijekom bolovanja) kao i pravo na četiri mjeseca roditeljskog dopusta za svakog roditelja, od kojih se najmanje dva mjeseca ne mogu prenijeti između roditelja i moraju biti primjereno plaćena (na razini o kojoj odlučuje svaka država članica). Štoviše, svaki pružatelj skrbi – definiran kao radnik koji pruža osobnu skrb ili potporu članu obitelji kojem je potrebna znatna skrb ili potpora zbog ozbiljnog zdravstvenog razloga – ima pravo na dopust za pružatelje skrbi od najmanje pet radnih dana godišnje. Naposljetku, roditelji s djecom do osme godine i pružatelji skrbi imaju pravo zatražiti fleksibilne radne uvjete (rad na daljinu, fleksibilan raspored rada i skraćeno radno vrijeme). Države članice moraju u roku od tri godine (do 2. kolovoza 2022.)</w:t>
      </w:r>
      <w:r>
        <w:rPr>
          <w:rStyle w:val="FootnoteReference"/>
          <w:rFonts w:ascii="Times New Roman" w:hAnsi="Times New Roman" w:cs="Times New Roman"/>
          <w:noProof/>
          <w:sz w:val="24"/>
        </w:rPr>
        <w:footnoteReference w:id="18"/>
      </w:r>
      <w:r>
        <w:rPr>
          <w:rFonts w:ascii="Times New Roman" w:hAnsi="Times New Roman"/>
          <w:noProof/>
          <w:sz w:val="24"/>
        </w:rPr>
        <w:t xml:space="preserve"> prenijeti Direktivu u nacionalno zakonodavstvo. Komisija će pomno nadzirati postupak provedbe i pružiti potrebnu potporu državama članicama.</w:t>
      </w:r>
    </w:p>
    <w:p>
      <w:pPr>
        <w:snapToGrid w:val="0"/>
        <w:spacing w:before="120" w:after="120" w:line="240" w:lineRule="auto"/>
        <w:ind w:left="57" w:right="57"/>
        <w:jc w:val="both"/>
        <w:rPr>
          <w:rFonts w:ascii="Times New Roman" w:hAnsi="Times New Roman" w:cs="Times New Roman"/>
          <w:noProof/>
          <w:sz w:val="28"/>
          <w:szCs w:val="24"/>
        </w:rPr>
      </w:pPr>
      <w:r>
        <w:rPr>
          <w:rFonts w:ascii="Times New Roman" w:hAnsi="Times New Roman"/>
          <w:noProof/>
          <w:sz w:val="24"/>
        </w:rPr>
        <w:t>Inicijativa za ravnotežu između poslovnog i privatnog života sadržavala je i niz nezakonodavnih mjera. Da bi ih provela, Komisija je zajedno s Europskom mrežom tijela za jednakost (EQUINET) organizirala seminar o povećanju kapaciteta u pogledu ravnoteže između poslovnog i privatnog života za tijela za jednakost i inspekcije rada. U okviru Programa o pravima, jednakosti i građanstvu (REC) financirali su se i projekti</w:t>
      </w:r>
      <w:r>
        <w:rPr>
          <w:rStyle w:val="FootnoteReference"/>
          <w:rFonts w:ascii="Times New Roman" w:hAnsi="Times New Roman" w:cs="Times New Roman"/>
          <w:noProof/>
          <w:sz w:val="24"/>
        </w:rPr>
        <w:footnoteReference w:id="19"/>
      </w:r>
      <w:r>
        <w:rPr>
          <w:rFonts w:ascii="Times New Roman" w:hAnsi="Times New Roman"/>
          <w:noProof/>
          <w:sz w:val="24"/>
        </w:rPr>
        <w:t xml:space="preserve"> o uklanjanju rodnih stereotipa kako bi se u pogledu zastupljenosti spolova potaknulo uravnoteženije korištenje dopusta zbog obiteljskih razloga i fleksibilnih radnih uvjeta. Iz programa EU-a za zapošljavanje i socijalne inovacije financirani su projekti za promicanje inovativnih strategija za postizanje ravnoteže između privatnog i poslovnog života kako bi se olakšalo usklađivanje poslovnih obveza i obveza skrbi </w:t>
      </w:r>
      <w:r>
        <w:rPr>
          <w:rStyle w:val="FootnoteReference"/>
          <w:rFonts w:ascii="Times New Roman" w:hAnsi="Times New Roman" w:cs="Times New Roman"/>
          <w:noProof/>
          <w:sz w:val="24"/>
        </w:rPr>
        <w:footnoteReference w:id="20"/>
      </w:r>
      <w:r>
        <w:rPr>
          <w:rFonts w:ascii="Times New Roman" w:hAnsi="Times New Roman"/>
          <w:noProof/>
          <w:sz w:val="24"/>
        </w:rPr>
        <w:t>. Osim toga, Europska mreža pravnih stručnjaka za rodnu ravnopravnost i nediskriminaciju provela je studiju o poboljšanju zaštite od diskriminacije i otpuštanja trudnica i radnica koje koriste dopuste iz obiteljskih razloga</w:t>
      </w:r>
      <w:r>
        <w:rPr>
          <w:rStyle w:val="FootnoteReference"/>
          <w:rFonts w:ascii="Times New Roman" w:hAnsi="Times New Roman" w:cs="Times New Roman"/>
          <w:noProof/>
          <w:sz w:val="24"/>
        </w:rPr>
        <w:footnoteReference w:id="21"/>
      </w:r>
      <w:r>
        <w:rPr>
          <w:rFonts w:ascii="Times New Roman" w:hAnsi="Times New Roman"/>
          <w:noProof/>
          <w:sz w:val="24"/>
        </w:rPr>
        <w:t>, a Komisija je donijela izvještaj o trenutačnom stanju ciljeva iz Barcelone o udjelu djece mlađe od dobi za početak obveznog obrazovanja u skrbi o djeci</w:t>
      </w:r>
      <w:r>
        <w:rPr>
          <w:rStyle w:val="FootnoteReference"/>
          <w:rFonts w:ascii="Times New Roman" w:hAnsi="Times New Roman" w:cs="Times New Roman"/>
          <w:noProof/>
          <w:sz w:val="24"/>
        </w:rPr>
        <w:footnoteReference w:id="22"/>
      </w:r>
      <w:r>
        <w:rPr>
          <w:rFonts w:ascii="Times New Roman" w:hAnsi="Times New Roman"/>
          <w:noProof/>
          <w:sz w:val="24"/>
        </w:rPr>
        <w:t xml:space="preserve">.  </w:t>
      </w:r>
    </w:p>
    <w:p>
      <w:pPr>
        <w:snapToGrid w:val="0"/>
        <w:spacing w:before="120" w:after="120" w:line="240" w:lineRule="auto"/>
        <w:ind w:left="57" w:right="57"/>
        <w:jc w:val="both"/>
        <w:rPr>
          <w:noProof/>
          <w:sz w:val="24"/>
        </w:rPr>
      </w:pPr>
      <w:r>
        <w:rPr>
          <w:rFonts w:ascii="Times New Roman" w:hAnsi="Times New Roman"/>
          <w:noProof/>
          <w:sz w:val="24"/>
        </w:rPr>
        <w:t>Konačno, Odbor za zapošljavanje i Odbor za socijalnu zaštitu, koji su savjetodavni odbori ministara pri Vijeću za zapošljavanje i socijalna pitanja (EPSCO), razvijaju i poboljšavaju pokazatelje ravnoteže između poslovnog i privatnog života, uključujući i korištenje dopusta i fleksibilnih radnih uvjeta te u pogledu skrbi o djeci i dugotrajne skrbi. Skrb o djeci i dugotrajna skrb te negativni ekonomski čimbenici za osobe koje ostvaruju drugi prihod u kućanstvu također se ocjenjuju u kontekstu Europskog semestra (točka djelovanja 24.). Za poboljšanje tih usluga na raspolaganju su financijska sredstva u okviru europskih strukturnih i investicijskih fondova. Prethodno navedene mjere pridonijele su uklanjanju stereotipa o ulozi muškaraca i žena u društvu, a time i jednog od glavnih uzroka razlike u plaćama između spolova.</w:t>
      </w:r>
    </w:p>
    <w:p>
      <w:pPr>
        <w:pStyle w:val="Heading2"/>
        <w:numPr>
          <w:ilvl w:val="0"/>
          <w:numId w:val="0"/>
        </w:numPr>
        <w:ind w:left="576" w:hanging="576"/>
        <w:rPr>
          <w:noProof/>
        </w:rPr>
      </w:pPr>
      <w:r>
        <w:rPr>
          <w:noProof/>
        </w:rPr>
        <w:t xml:space="preserve">3.2. Platforma EU-a za promjene kako bi se povećale stopa zaposlenosti i jednake mogućnosti žena u prometnom sektoru </w:t>
      </w:r>
    </w:p>
    <w:p>
      <w:pPr>
        <w:spacing w:before="120" w:after="120" w:line="240" w:lineRule="auto"/>
        <w:jc w:val="both"/>
        <w:rPr>
          <w:rFonts w:ascii="Times New Roman" w:hAnsi="Times New Roman" w:cs="Times New Roman"/>
          <w:noProof/>
          <w:sz w:val="28"/>
          <w:szCs w:val="24"/>
        </w:rPr>
      </w:pPr>
      <w:r>
        <w:rPr>
          <w:rFonts w:ascii="Times New Roman" w:hAnsi="Times New Roman"/>
          <w:noProof/>
          <w:sz w:val="24"/>
        </w:rPr>
        <w:t xml:space="preserve">Kako je navedeno u akcijskom planu, sektorska profesionalna segregacija jedan je od glavnih uzročnika razlike u plaćama između spolova. Da bi se to riješilo, akcijski plan uključuje skup mjera usmjerenih na borbu protiv segregacije u pojedinim zanimanjima i sektorima, kao što su provedba određenih inicijativa za iskorjenjivanje stereotipa o vještinama, sposobnostima i ulogama žena i muškaraca. </w:t>
      </w:r>
    </w:p>
    <w:p>
      <w:pPr>
        <w:spacing w:before="120" w:after="120" w:line="240" w:lineRule="auto"/>
        <w:jc w:val="both"/>
        <w:rPr>
          <w:rFonts w:ascii="Times New Roman" w:hAnsi="Times New Roman" w:cs="Times New Roman"/>
          <w:noProof/>
          <w:sz w:val="28"/>
          <w:szCs w:val="24"/>
        </w:rPr>
      </w:pPr>
      <w:r>
        <w:rPr>
          <w:rFonts w:ascii="Times New Roman" w:hAnsi="Times New Roman"/>
          <w:noProof/>
          <w:sz w:val="24"/>
        </w:rPr>
        <w:t>Jedan od dotičnih sektora bio je prometni sektor, za koji se Komisija obvezala poduzeti niz mjera u okviru akcijskog plana (točka djelovanja 9.). U prometnom sektoru snažno dominiraju muškarci s obzirom na to da žene čine samo 22 % radnika u tom sektoru</w:t>
      </w:r>
      <w:r>
        <w:rPr>
          <w:rStyle w:val="FootnoteReference"/>
          <w:rFonts w:ascii="Times New Roman" w:hAnsi="Times New Roman" w:cs="Times New Roman"/>
          <w:noProof/>
          <w:sz w:val="24"/>
        </w:rPr>
        <w:footnoteReference w:id="23"/>
      </w:r>
      <w:r>
        <w:rPr>
          <w:rFonts w:ascii="Times New Roman" w:hAnsi="Times New Roman"/>
          <w:noProof/>
          <w:sz w:val="24"/>
        </w:rPr>
        <w:t>. Osim toga, za pojedina zanimanja unutar sektora, čak i ako su žene manje ili više jednako zastupljene na administrativnim položajima, i dalje su nedovoljno zastupljene na bolje plaćenim rukovodećim položajima te na tehničkim i mobilnim radnim mjestima. Na primjer, manje od pet posto pilota su žene, ali žene čine većinu kabinskog osoblja.</w:t>
      </w:r>
    </w:p>
    <w:p>
      <w:pPr>
        <w:spacing w:before="120" w:after="120" w:line="240" w:lineRule="auto"/>
        <w:jc w:val="both"/>
        <w:rPr>
          <w:rFonts w:ascii="Times New Roman" w:hAnsi="Times New Roman" w:cs="Times New Roman"/>
          <w:noProof/>
          <w:sz w:val="28"/>
          <w:szCs w:val="24"/>
        </w:rPr>
      </w:pPr>
      <w:r>
        <w:rPr>
          <w:rFonts w:ascii="Times New Roman" w:hAnsi="Times New Roman"/>
          <w:noProof/>
          <w:sz w:val="24"/>
        </w:rPr>
        <w:t xml:space="preserve">Kako bi povećala zaposlenost žena u prometnom sektoru, Komisija je razvila niz alata usmjerenih na djelovanje koji su prilagođeni potrebama sektora. Platforma </w:t>
      </w:r>
      <w:r>
        <w:rPr>
          <w:rFonts w:ascii="Times New Roman" w:hAnsi="Times New Roman"/>
          <w:b/>
          <w:noProof/>
          <w:sz w:val="24"/>
        </w:rPr>
        <w:t>„Žene u prometu – platforma EU-a za promjene”</w:t>
      </w:r>
      <w:r>
        <w:rPr>
          <w:rFonts w:ascii="Times New Roman" w:hAnsi="Times New Roman"/>
          <w:noProof/>
          <w:sz w:val="24"/>
        </w:rPr>
        <w:t xml:space="preserve"> pokrenuta je 27. studenoga 2017.</w:t>
      </w:r>
      <w:r>
        <w:rPr>
          <w:rStyle w:val="FootnoteReference"/>
          <w:rFonts w:ascii="Times New Roman" w:hAnsi="Times New Roman" w:cs="Times New Roman"/>
          <w:noProof/>
          <w:sz w:val="24"/>
        </w:rPr>
        <w:footnoteReference w:id="24"/>
      </w:r>
      <w:r>
        <w:rPr>
          <w:rFonts w:ascii="Times New Roman" w:hAnsi="Times New Roman"/>
          <w:noProof/>
          <w:sz w:val="24"/>
        </w:rPr>
        <w:t xml:space="preserve"> Dionici kao što su države članice, prijevozničke organizacije EU-a i agencije i tijela EU-a mogu se pridružiti platformi i obvezati se na povećanje zaposlenosti žena i borbu protiv profesionalne segregacije primjenjivanjem namjenskih mjera. Oni mogu potpisati deklaraciju o jednakim mogućnostima za žene i muškarce u prometnom sektoru, čime se obvezuju da će promicati jednake plaće kao dio pozitivne organizacijske kulture.</w:t>
      </w:r>
    </w:p>
    <w:p>
      <w:pPr>
        <w:spacing w:before="120" w:after="120" w:line="240" w:lineRule="auto"/>
        <w:jc w:val="both"/>
        <w:rPr>
          <w:rFonts w:ascii="Times New Roman" w:hAnsi="Times New Roman" w:cs="Times New Roman"/>
          <w:noProof/>
          <w:sz w:val="28"/>
          <w:szCs w:val="24"/>
        </w:rPr>
      </w:pPr>
      <w:r>
        <w:rPr>
          <w:rFonts w:ascii="Times New Roman" w:hAnsi="Times New Roman"/>
          <w:noProof/>
          <w:sz w:val="24"/>
        </w:rPr>
        <w:t xml:space="preserve">Iako je sveukupno zalaganje dionika platforme konkretno i broj mjera se povećava, prethodno navedene obveze potrebno je pratiti na nacionalnoj i lokalnoj razini. Da bi to olakšala, Komisija je pokrenula i </w:t>
      </w:r>
      <w:r>
        <w:rPr>
          <w:rFonts w:ascii="Times New Roman" w:hAnsi="Times New Roman"/>
          <w:b/>
          <w:noProof/>
          <w:sz w:val="24"/>
        </w:rPr>
        <w:t>Europsku mrežu veleposlanika za različitost u prometu</w:t>
      </w:r>
      <w:r>
        <w:rPr>
          <w:rStyle w:val="FootnoteReference"/>
          <w:rFonts w:ascii="Times New Roman" w:hAnsi="Times New Roman" w:cs="Times New Roman"/>
          <w:noProof/>
          <w:sz w:val="24"/>
        </w:rPr>
        <w:footnoteReference w:id="25"/>
      </w:r>
      <w:r>
        <w:rPr>
          <w:rFonts w:ascii="Times New Roman" w:hAnsi="Times New Roman"/>
          <w:noProof/>
          <w:sz w:val="24"/>
        </w:rPr>
        <w:t>.</w:t>
      </w:r>
    </w:p>
    <w:p>
      <w:pPr>
        <w:spacing w:before="120" w:after="120" w:line="240" w:lineRule="auto"/>
        <w:jc w:val="both"/>
        <w:rPr>
          <w:rFonts w:ascii="Times New Roman" w:hAnsi="Times New Roman" w:cs="Times New Roman"/>
          <w:noProof/>
          <w:sz w:val="28"/>
          <w:szCs w:val="24"/>
        </w:rPr>
      </w:pPr>
      <w:r>
        <w:rPr>
          <w:rFonts w:ascii="Times New Roman" w:hAnsi="Times New Roman"/>
          <w:noProof/>
          <w:sz w:val="24"/>
        </w:rPr>
        <w:t>Uz to, Komisija je financirala i objavila izvješće o poslovnom modelu kako bi se utvrdili troškovi i koristi zapošljavanja žena u prometnom sektoru, koje je dopunjeno popisom mjera koje su predložili autori izvješća za poboljšanje ravnoteže između spolova, na primjer, uklanjanjem razlike u plaćama između spolova</w:t>
      </w:r>
      <w:r>
        <w:rPr>
          <w:rStyle w:val="FootnoteReference"/>
          <w:rFonts w:ascii="Times New Roman" w:hAnsi="Times New Roman" w:cs="Times New Roman"/>
          <w:noProof/>
          <w:sz w:val="24"/>
        </w:rPr>
        <w:footnoteReference w:id="26"/>
      </w:r>
      <w:r>
        <w:rPr>
          <w:rFonts w:ascii="Times New Roman" w:hAnsi="Times New Roman"/>
          <w:noProof/>
          <w:sz w:val="24"/>
        </w:rPr>
        <w:t>. Te se preporuke temelje na konkretnim studijama slučajeva prikupljenih iz sektora. One obuhvaćaju: 1. odabir zaposlenika, osposobljavanje i napredovanje u službi (uključujući mjere protiv stereotipa i rodne pristranosti); 2. podizanje svijesti (uključujući izvještavanje o razlikama u plaćama između spolova); 3. mjere za ostvarenje ravnoteže između poslovnog i privatnog života; i 4. mjere koje se odnose na zdravlje i sigurnost (uključujući mjere protiv nasilja i uznemiravanja u radnom kontekstu). Studija je uključivala i preporuke prijevozničkim poduzećima, uključujući o potrebi da se započne s izvješćivanjem o razlici u plaćama između spolova na razini poduzeća. Mjere za otklanjanje razlike u plaćama između spolova uključivale su utvrđivanje kriterija transparentne plaće i politika za otklanjanje razlike u plaćama u poduzećima.</w:t>
      </w:r>
    </w:p>
    <w:tbl>
      <w:tblPr>
        <w:tblStyle w:val="TableGrid"/>
        <w:tblW w:w="0" w:type="auto"/>
        <w:tblInd w:w="108" w:type="dxa"/>
        <w:tblLook w:val="04A0" w:firstRow="1" w:lastRow="0" w:firstColumn="1" w:lastColumn="0" w:noHBand="0" w:noVBand="1"/>
      </w:tblPr>
      <w:tblGrid>
        <w:gridCol w:w="9180"/>
      </w:tblGrid>
      <w:tr>
        <w:trPr>
          <w:trHeight w:val="59"/>
        </w:trPr>
        <w:tc>
          <w:tcPr>
            <w:tcW w:w="9180" w:type="dxa"/>
            <w:shd w:val="clear" w:color="auto" w:fill="F2F2F2" w:themeFill="background1" w:themeFillShade="F2"/>
          </w:tcPr>
          <w:p>
            <w:pPr>
              <w:spacing w:before="120" w:after="120"/>
              <w:jc w:val="center"/>
              <w:rPr>
                <w:noProof/>
                <w:sz w:val="24"/>
              </w:rPr>
            </w:pPr>
            <w:r>
              <w:rPr>
                <w:rFonts w:ascii="Times New Roman" w:hAnsi="Times New Roman"/>
                <w:noProof/>
                <w:sz w:val="24"/>
              </w:rPr>
              <w:t xml:space="preserve">Kao prvi korak u rješavanju problema premale zastupljenosti žena u prometnom sektoru, u izvješću o poslovnom modelu poduzećima se preporučuje da počnu koristiti lako prikupljive, rodno specifične pokazatelje za praćenje uspješnosti poduzeća.  </w:t>
            </w:r>
          </w:p>
        </w:tc>
      </w:tr>
    </w:tbl>
    <w:p>
      <w:pPr>
        <w:spacing w:before="120" w:after="120" w:line="240" w:lineRule="auto"/>
        <w:jc w:val="both"/>
        <w:rPr>
          <w:rFonts w:ascii="Times New Roman" w:hAnsi="Times New Roman" w:cs="Times New Roman"/>
          <w:b/>
          <w:noProof/>
          <w:sz w:val="24"/>
          <w:szCs w:val="24"/>
        </w:rPr>
      </w:pPr>
      <w:r>
        <w:rPr>
          <w:rFonts w:ascii="Times New Roman" w:hAnsi="Times New Roman"/>
          <w:noProof/>
          <w:sz w:val="24"/>
        </w:rPr>
        <w:t>Komisija je pokrenula dodatne studije namijenjene uklanjanju prepreka s kojima se suočavaju žene prilikom zapošljavanja u sektoru prometa, a koje će biti dostupne početkom 2021. Tema je prve studije ravnoteža između poslovnog i privatnog života (tj. što se može učiniti na razini pojedinačnih prijevozničkih poduzeća na financijski održiv način kako bi se radnicima omogućilo bolje usklađivanje rasporeda rada s njihovim privatnim životom), dok se u drugoj studiji pruža alat učiteljima za bolju borbu protiv rodnih stereotipa od rane dobi. U trećoj studiji, usmjerenoj na budućnost, ocijenit će se učinci digitalizacije prometa kao izazova ili prilike za žene i procijeniti trebaju li se poduzeti posebne mjere kojima bi se popratio taj prijelaz. U dodatnoj studiji analizirano je sudjelovanje žena u istraživačkim i inovacijskim aktivnostima povezanima s prometnim sektorom i dane su preporuke za istraživanje namijenjene nadilaženju prepreka u postizanju jednakosti žena u prometu</w:t>
      </w:r>
      <w:r>
        <w:rPr>
          <w:rStyle w:val="FootnoteReference"/>
          <w:rFonts w:ascii="Times New Roman" w:hAnsi="Times New Roman" w:cs="Times New Roman"/>
          <w:noProof/>
          <w:sz w:val="24"/>
        </w:rPr>
        <w:footnoteReference w:id="27"/>
      </w:r>
      <w:r>
        <w:rPr>
          <w:rFonts w:ascii="Times New Roman" w:hAnsi="Times New Roman"/>
          <w:noProof/>
          <w:sz w:val="24"/>
        </w:rPr>
        <w:t>.</w:t>
      </w:r>
    </w:p>
    <w:p>
      <w:pPr>
        <w:spacing w:before="120" w:after="120" w:line="240" w:lineRule="auto"/>
        <w:jc w:val="both"/>
        <w:rPr>
          <w:rFonts w:ascii="Times New Roman" w:hAnsi="Times New Roman" w:cs="Times New Roman"/>
          <w:b/>
          <w:noProof/>
          <w:sz w:val="28"/>
          <w:szCs w:val="24"/>
        </w:rPr>
      </w:pPr>
      <w:r>
        <w:rPr>
          <w:rFonts w:ascii="Times New Roman" w:hAnsi="Times New Roman"/>
          <w:b/>
          <w:noProof/>
          <w:sz w:val="24"/>
        </w:rPr>
        <w:t>3.3. Promicanje institucijskih promjena planovima za rodnu ravnopravnost radi poticanja ravnopravnosti u znanstvenim karijerama</w:t>
      </w:r>
    </w:p>
    <w:p>
      <w:pPr>
        <w:spacing w:before="120" w:after="120" w:line="240" w:lineRule="auto"/>
        <w:jc w:val="both"/>
        <w:rPr>
          <w:rFonts w:ascii="Times New Roman" w:hAnsi="Times New Roman" w:cs="Times New Roman"/>
          <w:noProof/>
          <w:sz w:val="28"/>
          <w:szCs w:val="24"/>
        </w:rPr>
      </w:pPr>
      <w:r>
        <w:rPr>
          <w:rFonts w:ascii="Times New Roman" w:hAnsi="Times New Roman"/>
          <w:noProof/>
          <w:sz w:val="24"/>
        </w:rPr>
        <w:t xml:space="preserve">Drugi sektor za koji su u akcijskom planu predviđene posebne mjere bio je istraživanja i inovacije (akcijska točka djelovanja 8.). U razdoblju od 2017. do 2019. Komisija je financirala mjere za promicanje rodne ravnopravnosti u sektoru istraživanja i inovacija u okviru </w:t>
      </w:r>
      <w:r>
        <w:rPr>
          <w:rFonts w:ascii="Times New Roman" w:hAnsi="Times New Roman"/>
          <w:b/>
          <w:noProof/>
          <w:sz w:val="24"/>
        </w:rPr>
        <w:t>radnog programa</w:t>
      </w:r>
      <w:r>
        <w:rPr>
          <w:rFonts w:ascii="Times New Roman" w:hAnsi="Times New Roman"/>
          <w:noProof/>
          <w:sz w:val="24"/>
        </w:rPr>
        <w:t xml:space="preserve"> </w:t>
      </w:r>
      <w:r>
        <w:rPr>
          <w:rFonts w:ascii="Times New Roman" w:hAnsi="Times New Roman"/>
          <w:b/>
          <w:noProof/>
          <w:sz w:val="24"/>
        </w:rPr>
        <w:t>Znanost s društvom i za društvo</w:t>
      </w:r>
      <w:r>
        <w:rPr>
          <w:rFonts w:ascii="Times New Roman" w:hAnsi="Times New Roman"/>
          <w:noProof/>
          <w:sz w:val="24"/>
        </w:rPr>
        <w:t xml:space="preserve"> iz okvirnog programa Obzor 2020.</w:t>
      </w:r>
      <w:r>
        <w:rPr>
          <w:rStyle w:val="FootnoteReference"/>
          <w:rFonts w:ascii="Times New Roman" w:hAnsi="Times New Roman" w:cs="Times New Roman"/>
          <w:noProof/>
          <w:sz w:val="24"/>
        </w:rPr>
        <w:footnoteReference w:id="28"/>
      </w:r>
      <w:r>
        <w:rPr>
          <w:rFonts w:ascii="Times New Roman" w:hAnsi="Times New Roman"/>
          <w:noProof/>
          <w:sz w:val="24"/>
        </w:rPr>
        <w:t xml:space="preserve"> Financijska potpora dodijeljena je i za deset projekata suradnje koji uključuju gotovo 60 istraživačkih organizacija u provedbi planova za rodnu ravnopravnost</w:t>
      </w:r>
      <w:r>
        <w:rPr>
          <w:rStyle w:val="FootnoteReference"/>
          <w:rFonts w:ascii="Times New Roman" w:hAnsi="Times New Roman" w:cs="Times New Roman"/>
          <w:noProof/>
          <w:sz w:val="24"/>
        </w:rPr>
        <w:footnoteReference w:id="29"/>
      </w:r>
      <w:r>
        <w:rPr>
          <w:rFonts w:ascii="Times New Roman" w:hAnsi="Times New Roman"/>
          <w:noProof/>
          <w:sz w:val="24"/>
        </w:rPr>
        <w:t>. Uz to, osnovano je sedam tematskih i zemljopisnih zajednica kako bi se omogućila razmjena znanja o planovima za rodnu ravnopravnost</w:t>
      </w:r>
      <w:r>
        <w:rPr>
          <w:rStyle w:val="FootnoteReference"/>
          <w:rFonts w:ascii="Times New Roman" w:hAnsi="Times New Roman" w:cs="Times New Roman"/>
          <w:noProof/>
          <w:sz w:val="24"/>
        </w:rPr>
        <w:footnoteReference w:id="30"/>
      </w:r>
      <w:r>
        <w:rPr>
          <w:rFonts w:ascii="Times New Roman" w:hAnsi="Times New Roman"/>
          <w:noProof/>
          <w:sz w:val="24"/>
        </w:rPr>
        <w:t>. Kako bi se nadopunio ovaj sveobuhvatni pristup, posebnim projektom podržano je stvaranje akademije za podučavanje o rodnoj ravnopravnosti za sektor istraživanja i inovacija s javno dostupnim resursima</w:t>
      </w:r>
      <w:r>
        <w:rPr>
          <w:rStyle w:val="FootnoteReference"/>
          <w:rFonts w:ascii="Times New Roman" w:hAnsi="Times New Roman" w:cs="Times New Roman"/>
          <w:noProof/>
          <w:sz w:val="24"/>
        </w:rPr>
        <w:footnoteReference w:id="31"/>
      </w:r>
      <w:r>
        <w:rPr>
          <w:rFonts w:ascii="Times New Roman" w:hAnsi="Times New Roman"/>
          <w:noProof/>
          <w:sz w:val="24"/>
        </w:rPr>
        <w:t xml:space="preserve">. Rezultati i najbolje prakse koji su proizašli iz projekata uključeni su i u </w:t>
      </w:r>
      <w:r>
        <w:rPr>
          <w:rFonts w:ascii="Times New Roman" w:hAnsi="Times New Roman"/>
          <w:b/>
          <w:noProof/>
          <w:sz w:val="24"/>
        </w:rPr>
        <w:t>alat za rodnu ravnopravnost u akademskom i istraživačkom sektoru</w:t>
      </w:r>
      <w:r>
        <w:rPr>
          <w:rFonts w:ascii="Times New Roman" w:hAnsi="Times New Roman"/>
          <w:noProof/>
          <w:sz w:val="24"/>
        </w:rPr>
        <w:t xml:space="preserve"> </w:t>
      </w:r>
      <w:r>
        <w:rPr>
          <w:rFonts w:ascii="Times New Roman" w:hAnsi="Times New Roman"/>
          <w:b/>
          <w:noProof/>
          <w:sz w:val="24"/>
        </w:rPr>
        <w:t>(GEAR)</w:t>
      </w:r>
      <w:r>
        <w:rPr>
          <w:rStyle w:val="FootnoteReference"/>
          <w:rFonts w:ascii="Times New Roman" w:hAnsi="Times New Roman" w:cs="Times New Roman"/>
          <w:noProof/>
          <w:sz w:val="24"/>
        </w:rPr>
        <w:footnoteReference w:id="32"/>
      </w:r>
      <w:r>
        <w:rPr>
          <w:rFonts w:ascii="Times New Roman" w:hAnsi="Times New Roman"/>
          <w:b/>
          <w:noProof/>
          <w:sz w:val="24"/>
        </w:rPr>
        <w:t>,</w:t>
      </w:r>
      <w:r>
        <w:rPr>
          <w:rFonts w:ascii="Times New Roman" w:hAnsi="Times New Roman"/>
          <w:noProof/>
          <w:sz w:val="24"/>
        </w:rPr>
        <w:t xml:space="preserve"> čiji je domaćin Europski institut za ravnopravnost spolova.</w:t>
      </w:r>
    </w:p>
    <w:tbl>
      <w:tblPr>
        <w:tblStyle w:val="TableGrid"/>
        <w:tblW w:w="0" w:type="auto"/>
        <w:tblLook w:val="04A0" w:firstRow="1" w:lastRow="0" w:firstColumn="1" w:lastColumn="0" w:noHBand="0" w:noVBand="1"/>
      </w:tblPr>
      <w:tblGrid>
        <w:gridCol w:w="9288"/>
      </w:tblGrid>
      <w:tr>
        <w:trPr>
          <w:trHeight w:val="59"/>
        </w:trPr>
        <w:tc>
          <w:tcPr>
            <w:tcW w:w="0" w:type="auto"/>
            <w:shd w:val="clear" w:color="auto" w:fill="F2F2F2" w:themeFill="background1" w:themeFillShade="F2"/>
          </w:tcPr>
          <w:p>
            <w:pPr>
              <w:spacing w:before="120" w:after="120"/>
              <w:jc w:val="center"/>
              <w:rPr>
                <w:noProof/>
                <w:sz w:val="24"/>
              </w:rPr>
            </w:pPr>
            <w:r>
              <w:rPr>
                <w:rFonts w:ascii="Times New Roman" w:hAnsi="Times New Roman"/>
                <w:noProof/>
                <w:sz w:val="24"/>
              </w:rPr>
              <w:t>Alat za rodnu ravnopravnost u akademskom i istraživačkom sektoru (GEAR) pruža sveučilištima i istraživačkim organizacijama najbolje prakse i savjete o uspostavi planova za rodnu ravnopravnost i ocjenjivanju njihovih učinaka.</w:t>
            </w:r>
          </w:p>
        </w:tc>
      </w:tr>
    </w:tbl>
    <w:p>
      <w:pPr>
        <w:spacing w:before="120" w:after="120" w:line="240" w:lineRule="auto"/>
        <w:jc w:val="both"/>
        <w:rPr>
          <w:rFonts w:ascii="Times New Roman" w:hAnsi="Times New Roman" w:cs="Times New Roman"/>
          <w:noProof/>
          <w:sz w:val="28"/>
          <w:szCs w:val="24"/>
        </w:rPr>
      </w:pPr>
      <w:r>
        <w:rPr>
          <w:rFonts w:ascii="Times New Roman" w:hAnsi="Times New Roman"/>
          <w:noProof/>
          <w:sz w:val="24"/>
        </w:rPr>
        <w:t>Nadalje</w:t>
      </w:r>
      <w:r>
        <w:rPr>
          <w:rFonts w:ascii="Times New Roman" w:hAnsi="Times New Roman"/>
          <w:i/>
          <w:noProof/>
          <w:sz w:val="24"/>
        </w:rPr>
        <w:t xml:space="preserve">, </w:t>
      </w:r>
      <w:r>
        <w:rPr>
          <w:rFonts w:ascii="Times New Roman" w:hAnsi="Times New Roman"/>
          <w:noProof/>
          <w:sz w:val="24"/>
        </w:rPr>
        <w:t xml:space="preserve">vodeća publikacija Komisije o ključnim trendovima u pogledu rodne ravnopravnosti u sektoru znanosti i istraživanja </w:t>
      </w:r>
      <w:r>
        <w:rPr>
          <w:rFonts w:ascii="Times New Roman" w:hAnsi="Times New Roman"/>
          <w:b/>
          <w:bCs/>
          <w:noProof/>
          <w:sz w:val="24"/>
        </w:rPr>
        <w:t xml:space="preserve">She Figures </w:t>
      </w:r>
      <w:r>
        <w:rPr>
          <w:rFonts w:ascii="Times New Roman" w:hAnsi="Times New Roman"/>
          <w:noProof/>
          <w:sz w:val="24"/>
        </w:rPr>
        <w:t>objavljuje se svake tri godine. Izdanje za 2018.</w:t>
      </w:r>
      <w:r>
        <w:rPr>
          <w:rStyle w:val="FootnoteReference"/>
          <w:rFonts w:ascii="Times New Roman" w:hAnsi="Times New Roman" w:cs="Times New Roman"/>
          <w:noProof/>
          <w:sz w:val="24"/>
        </w:rPr>
        <w:footnoteReference w:id="33"/>
      </w:r>
      <w:r>
        <w:rPr>
          <w:rFonts w:ascii="Times New Roman" w:hAnsi="Times New Roman"/>
          <w:noProof/>
          <w:sz w:val="24"/>
        </w:rPr>
        <w:t>, objavljeno 8. ožujka 2019., sadržava sveobuhvatne podatke o razlici u plaćama između spolova u sektoru znanstvenog istraživanja i razvoja. Razlika u plaćama između spolova u sektoru istraživanja i inovacija i dalje je neznatno veća nego u ukupnom gospodarstvu u EU-u (17 posto u odnosu na 16,6 posto prema podacima iz 2014.). She Figures koriste države članice kao alat za utvrđivanje referentnih vrijednosti za donošenje nacionalnih politika, jer podaci pomažu da se dobije uvid u prevladavajuće nejednakosti spolova u pojedinim državama članicama.</w:t>
      </w:r>
    </w:p>
    <w:p>
      <w:pPr>
        <w:spacing w:before="120" w:after="120" w:line="240" w:lineRule="auto"/>
        <w:jc w:val="both"/>
        <w:rPr>
          <w:rFonts w:ascii="Times New Roman" w:hAnsi="Times New Roman" w:cs="Times New Roman"/>
          <w:noProof/>
          <w:sz w:val="28"/>
          <w:szCs w:val="24"/>
        </w:rPr>
      </w:pPr>
      <w:r>
        <w:rPr>
          <w:rFonts w:ascii="Times New Roman" w:hAnsi="Times New Roman"/>
          <w:noProof/>
          <w:sz w:val="24"/>
        </w:rPr>
        <w:t xml:space="preserve">S obzirom na to da bi se privlačenje više žena u sektor znanosti, tehnologije, inženjerstva i matematike (STEM) moglo nadovezivati na nove trendove kao što su pojava novoosnovanih poduzeća na čijem su čelu žene, </w:t>
      </w:r>
      <w:r>
        <w:rPr>
          <w:rFonts w:ascii="Times New Roman" w:hAnsi="Times New Roman"/>
          <w:b/>
          <w:noProof/>
          <w:sz w:val="24"/>
        </w:rPr>
        <w:t>nagradom EU-a za inovatorice</w:t>
      </w:r>
      <w:r>
        <w:rPr>
          <w:rFonts w:ascii="Times New Roman" w:hAnsi="Times New Roman"/>
          <w:noProof/>
          <w:sz w:val="24"/>
        </w:rPr>
        <w:t xml:space="preserve"> ističu se postignuća žena u znanosti i doprinosi uklanjanju stereotipa o ženskim i muškim vještinama, sposobnostima i ulogama. U 2017., 2018. i 2019. Komisija je stoga nastavila slaviti nadahnjujuće primjere ženskih vođa u području inovacija koje se temelje na istraživanjima nagradom EU-a za inovatorice, koja se dodjeljuje ženama koje su uspjele ostvariti revolucionarne inovacije i kojom se odaje priznanje za izvanredna postignuća žena poduzetnica. Pobjednice iz prethodnih godina nadahnule su žene iz cijele Europe i šire da pokrenu sjajne inovacije i osnuju vlastita poduzeća.  </w:t>
      </w:r>
    </w:p>
    <w:p>
      <w:pPr>
        <w:spacing w:before="120" w:after="120" w:line="240" w:lineRule="auto"/>
        <w:jc w:val="both"/>
        <w:rPr>
          <w:rFonts w:ascii="Times New Roman" w:hAnsi="Times New Roman" w:cs="Times New Roman"/>
          <w:b/>
          <w:noProof/>
          <w:sz w:val="28"/>
          <w:szCs w:val="24"/>
        </w:rPr>
      </w:pPr>
      <w:r>
        <w:rPr>
          <w:rFonts w:ascii="Times New Roman" w:hAnsi="Times New Roman"/>
          <w:b/>
          <w:noProof/>
          <w:sz w:val="24"/>
        </w:rPr>
        <w:t xml:space="preserve">3.4. Poboljšanje primjene načela jednake plaće  </w:t>
      </w:r>
    </w:p>
    <w:p>
      <w:pPr>
        <w:spacing w:before="120" w:after="120" w:line="240" w:lineRule="auto"/>
        <w:jc w:val="both"/>
        <w:rPr>
          <w:rFonts w:ascii="Times New Roman" w:hAnsi="Times New Roman" w:cs="Times New Roman"/>
          <w:noProof/>
          <w:sz w:val="28"/>
          <w:szCs w:val="24"/>
        </w:rPr>
      </w:pPr>
      <w:r>
        <w:rPr>
          <w:rFonts w:ascii="Times New Roman" w:hAnsi="Times New Roman"/>
          <w:noProof/>
          <w:sz w:val="24"/>
        </w:rPr>
        <w:t>Što se tiče općenito primjene načela jednake plaće, akcijskim planom predviđeno je da Komisija procijeni mogućnost ciljanih izmjena Direktive o ravnopravnosti spolova</w:t>
      </w:r>
      <w:r>
        <w:rPr>
          <w:rStyle w:val="FootnoteReference"/>
          <w:rFonts w:ascii="Times New Roman" w:hAnsi="Times New Roman" w:cs="Times New Roman"/>
          <w:noProof/>
          <w:sz w:val="24"/>
        </w:rPr>
        <w:footnoteReference w:id="34"/>
      </w:r>
      <w:r>
        <w:rPr>
          <w:rFonts w:ascii="Times New Roman" w:hAnsi="Times New Roman"/>
          <w:noProof/>
          <w:sz w:val="24"/>
        </w:rPr>
        <w:t xml:space="preserve"> te potrebu i mogućnost da se neke ili sve mjere predviđene u Preporuci o transparentnosti plaće za 2014.</w:t>
      </w:r>
      <w:r>
        <w:rPr>
          <w:rStyle w:val="FootnoteReference"/>
          <w:rFonts w:ascii="Times New Roman" w:hAnsi="Times New Roman" w:cs="Times New Roman"/>
          <w:noProof/>
          <w:sz w:val="24"/>
        </w:rPr>
        <w:footnoteReference w:id="35"/>
      </w:r>
      <w:r>
        <w:rPr>
          <w:rFonts w:ascii="Times New Roman" w:hAnsi="Times New Roman"/>
          <w:noProof/>
          <w:sz w:val="24"/>
        </w:rPr>
        <w:t xml:space="preserve"> učine obvezujućima (vidjeti točku djelovanja 1.). Komisija je tu obvezu ispunila pokretanjem </w:t>
      </w:r>
      <w:r>
        <w:rPr>
          <w:rFonts w:ascii="Times New Roman" w:hAnsi="Times New Roman"/>
          <w:b/>
          <w:noProof/>
          <w:sz w:val="24"/>
        </w:rPr>
        <w:t>ocjene relevantnih odredbi Direktive 2006/54/EZ</w:t>
      </w:r>
      <w:r>
        <w:rPr>
          <w:rFonts w:ascii="Times New Roman" w:hAnsi="Times New Roman"/>
          <w:noProof/>
          <w:sz w:val="24"/>
        </w:rPr>
        <w:t xml:space="preserve"> o provedbi načela Ugovora o „jednakoj plaći za jednaki rad ili za rad jednake vrijednosti” u listopadu 2018. Cjelokupni rezultati ocjene predstavljeni su u radnom dokumentu službi Komisije</w:t>
      </w:r>
      <w:r>
        <w:rPr>
          <w:rStyle w:val="FootnoteReference"/>
          <w:rFonts w:ascii="Times New Roman" w:hAnsi="Times New Roman" w:cs="Times New Roman"/>
          <w:noProof/>
          <w:sz w:val="24"/>
        </w:rPr>
        <w:footnoteReference w:id="36"/>
      </w:r>
      <w:r>
        <w:rPr>
          <w:rFonts w:ascii="Times New Roman" w:hAnsi="Times New Roman"/>
          <w:noProof/>
          <w:sz w:val="24"/>
        </w:rPr>
        <w:t xml:space="preserve"> objavljenom istodobno s ovim izvješćem. </w:t>
      </w:r>
    </w:p>
    <w:p>
      <w:pPr>
        <w:spacing w:before="120" w:after="120" w:line="240" w:lineRule="auto"/>
        <w:jc w:val="both"/>
        <w:rPr>
          <w:rFonts w:ascii="Times New Roman" w:hAnsi="Times New Roman" w:cs="Times New Roman"/>
          <w:noProof/>
          <w:sz w:val="28"/>
          <w:szCs w:val="24"/>
        </w:rPr>
      </w:pPr>
      <w:r>
        <w:rPr>
          <w:rFonts w:ascii="Times New Roman" w:hAnsi="Times New Roman"/>
          <w:noProof/>
          <w:sz w:val="24"/>
        </w:rPr>
        <w:t>U okviru ocjene ispitano je kako su postojeće zakonske odredbe o jednakoj plaći djelovale u praksi, pristupi koje su države članice donijele za provedbu tih odredbi, u kojoj su mjeri postignuti njihovi početni ciljevi, koliko su učinkovito provedene i sveukupni utjecaj koji su te odredbe imale na smanjivanje razlike u plaćama između spolova. Konkretnije, ocjena je bila usmjerena na primjenu i provedbu preinake Direktive o ravnopravnosti spolova nakon što je 2014. donesena Preporuka o transparentnosti plaće.</w:t>
      </w:r>
    </w:p>
    <w:p>
      <w:pPr>
        <w:spacing w:before="120" w:after="120" w:line="240" w:lineRule="auto"/>
        <w:jc w:val="both"/>
        <w:rPr>
          <w:rFonts w:ascii="Times New Roman" w:hAnsi="Times New Roman" w:cs="Times New Roman"/>
          <w:noProof/>
          <w:sz w:val="28"/>
          <w:szCs w:val="24"/>
        </w:rPr>
      </w:pPr>
      <w:r>
        <w:rPr>
          <w:rFonts w:ascii="Times New Roman" w:hAnsi="Times New Roman"/>
          <w:noProof/>
          <w:sz w:val="24"/>
        </w:rPr>
        <w:t xml:space="preserve">Ocjenom je potvrđeno da </w:t>
      </w:r>
      <w:r>
        <w:rPr>
          <w:rFonts w:ascii="Times New Roman" w:hAnsi="Times New Roman"/>
          <w:b/>
          <w:noProof/>
          <w:sz w:val="24"/>
        </w:rPr>
        <w:t>su se postojećim pravnim okvirom pokrenule značajne promjene na nacionalnoj razini u cijeloj Uniji</w:t>
      </w:r>
      <w:r>
        <w:rPr>
          <w:rFonts w:ascii="Times New Roman" w:hAnsi="Times New Roman"/>
          <w:noProof/>
          <w:sz w:val="24"/>
        </w:rPr>
        <w:t xml:space="preserve">. Države članice i dalje se suočavaju s izazovima u učinkovitoj provedbi načela jednake plaće, na primjer, oni se mogu razlikovati u načinu definiranja ključnih pravnih koncepata kao što su „plaća“ i „jednaka plaća za jednaku vrijednost“ u njihovu nacionalnom zakonodavstvu; razlike u diskriminaciji u plaćama često ostaju neprimijećene zbog nedostatka transparentnosti u pogledu razina plaća; a utvrđivanje da je došlo do diskriminacije koje je potkrepljeno činjenicama i dalje je izazov. Nalazi također ukazuju na poteškoće koje su pretrpjele pojedinačne žrtve diskriminacije u plaćama kod prijave povrede bez zakonskog zastupanja ili potpore. Razine novčanih kazni i odšteta uglavnom nisu bile dovoljno odvraćajuće.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Osim toga, Komisija je u akcijskom planu pozvana da poveća razinu osviještenosti i pruži smjernice o načelu jednake plaće (točke djelovanja 20. i 21.). U tu svrhu, Europska mreža pravnih stručnjaka za rodnu ravnopravnost i nediskriminaciju objavila je u studenome 2019. </w:t>
      </w:r>
      <w:r>
        <w:rPr>
          <w:rFonts w:ascii="Times New Roman" w:hAnsi="Times New Roman"/>
          <w:b/>
          <w:noProof/>
          <w:sz w:val="24"/>
        </w:rPr>
        <w:t>studiju „Nacionalni slučajevi i dobre prakse o jednakoj plaći”</w:t>
      </w:r>
      <w:r>
        <w:rPr>
          <w:rStyle w:val="FootnoteReference"/>
          <w:rFonts w:ascii="Times New Roman" w:hAnsi="Times New Roman" w:cs="Times New Roman"/>
          <w:noProof/>
          <w:sz w:val="24"/>
        </w:rPr>
        <w:footnoteReference w:id="37"/>
      </w:r>
      <w:r>
        <w:rPr>
          <w:rFonts w:ascii="Times New Roman" w:hAnsi="Times New Roman"/>
          <w:noProof/>
          <w:sz w:val="24"/>
        </w:rPr>
        <w:t xml:space="preserve">. Studija obuhvaća sastavljanje sudske prakse o jednakoj plaći od 28 država članica EU-a i tri države Europskog gospodarskog prostora, a prikazuje dobre prakse i analizu rješenja donesenih na nacionalnoj razini. Uz to, Komisija je u studenome 2019. objavila </w:t>
      </w:r>
      <w:r>
        <w:rPr>
          <w:rFonts w:ascii="Times New Roman" w:hAnsi="Times New Roman"/>
          <w:b/>
          <w:noProof/>
          <w:sz w:val="24"/>
        </w:rPr>
        <w:t>ažurirani sažetak sudske prakse o jednakoj plaći</w:t>
      </w:r>
      <w:r>
        <w:rPr>
          <w:rFonts w:ascii="Times New Roman" w:hAnsi="Times New Roman"/>
          <w:noProof/>
          <w:sz w:val="24"/>
        </w:rPr>
        <w:t xml:space="preserve"> Suda Europske unije</w:t>
      </w:r>
      <w:r>
        <w:rPr>
          <w:rStyle w:val="FootnoteReference"/>
          <w:rFonts w:ascii="Times New Roman" w:hAnsi="Times New Roman" w:cs="Times New Roman"/>
          <w:noProof/>
          <w:sz w:val="24"/>
        </w:rPr>
        <w:footnoteReference w:id="38"/>
      </w:r>
      <w:r>
        <w:rPr>
          <w:rFonts w:ascii="Times New Roman" w:hAnsi="Times New Roman"/>
          <w:noProof/>
          <w:sz w:val="24"/>
        </w:rPr>
        <w:t>.</w:t>
      </w:r>
    </w:p>
    <w:p>
      <w:pPr>
        <w:pStyle w:val="Heading1"/>
        <w:rPr>
          <w:noProof/>
          <w:szCs w:val="24"/>
        </w:rPr>
      </w:pPr>
      <w:r>
        <w:rPr>
          <w:noProof/>
        </w:rPr>
        <w:t xml:space="preserve">Doseg i suradnja </w:t>
      </w:r>
    </w:p>
    <w:p>
      <w:pPr>
        <w:spacing w:before="120" w:after="120" w:line="240" w:lineRule="auto"/>
        <w:jc w:val="both"/>
        <w:rPr>
          <w:rFonts w:ascii="Times New Roman" w:hAnsi="Times New Roman" w:cs="Times New Roman"/>
          <w:b/>
          <w:noProof/>
          <w:sz w:val="24"/>
          <w:szCs w:val="24"/>
        </w:rPr>
      </w:pPr>
      <w:r>
        <w:rPr>
          <w:rFonts w:ascii="Times New Roman" w:hAnsi="Times New Roman"/>
          <w:b/>
          <w:noProof/>
          <w:sz w:val="24"/>
          <w:szCs w:val="24"/>
        </w:rPr>
        <w:t xml:space="preserve">4.1. Suzbijanje razlike u plaćama između spolova u suradnji s državama članicama </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Akcijski plan potaknuo je Komisiju da traži sinergije između mjera koje su poduzeli ključni dionici na europskoj, nacionalnoj i korporativnoj razini kako bi osigurali njegovu učinkovitu provedbu. Komisija je stoga u mjere koje je poduzela uključila širok krug dionika kako bi ispunila obveze utvrđene akcijskim planom.</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Preko Skupine na visokoj razini za rodno osviještenu politiku koja okuplja visoke predstavnike zadužene za promicanje rodno osviještene politike u državama članicama, Komisija je državama članicama prenijela informacije o akcijskom planu (točka djelovanja 3.). Skupina na visokoj razini raspravljala je 2018. o planu u okviru bugarskog predsjedanja Vijećem i dala primjere mjera poduzetih u državama članicama za uklanjanje razlike u plaćama između spolova. Uključenost civilnog društva i aktivno sudjelovanje socijalnih partnera te mjere podizanja svijesti i transparentnost plaće smatrani su važnim elementima za smanjivanje razlike u plaćama. Bugarsko predsjedništvo održalo je i ministarsku raspravu o „Smanjivanju razlika u plaćama između spolova” u Vijeću EPSCO-a u ožujku 2018.</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Ti su se napori nastavili tijekom rumunjskog predsjedanja 2019., kada je skupina na visokoj razini raspravljala o povezanosti između razlike u plaćama između spolova i ravnoteže poslovnog i privatnog života na temelju zapažanja iz istraživanja Europskog instituta za ravnopravnost spolova</w:t>
      </w:r>
      <w:r>
        <w:rPr>
          <w:rStyle w:val="FootnoteReference"/>
          <w:rFonts w:ascii="Times New Roman" w:hAnsi="Times New Roman" w:cs="Times New Roman"/>
          <w:noProof/>
          <w:sz w:val="24"/>
          <w:szCs w:val="24"/>
        </w:rPr>
        <w:footnoteReference w:id="39"/>
      </w:r>
      <w:r>
        <w:rPr>
          <w:rFonts w:ascii="Times New Roman" w:hAnsi="Times New Roman"/>
          <w:noProof/>
          <w:sz w:val="24"/>
          <w:szCs w:val="24"/>
        </w:rPr>
        <w:t xml:space="preserve">. Zapažanje je poslužilo i kao osnova za </w:t>
      </w:r>
      <w:r>
        <w:rPr>
          <w:rFonts w:ascii="Times New Roman" w:hAnsi="Times New Roman"/>
          <w:b/>
          <w:noProof/>
          <w:sz w:val="24"/>
          <w:szCs w:val="24"/>
        </w:rPr>
        <w:t>zaključke Vijeća o „Smanjivanju razlike u plaćama između spolova: ključne politike i mjere</w:t>
      </w:r>
      <w:r>
        <w:rPr>
          <w:rFonts w:ascii="Times New Roman" w:hAnsi="Times New Roman"/>
          <w:noProof/>
          <w:sz w:val="24"/>
          <w:szCs w:val="24"/>
        </w:rPr>
        <w:t>”</w:t>
      </w:r>
      <w:r>
        <w:rPr>
          <w:rStyle w:val="FootnoteReference"/>
          <w:rFonts w:ascii="Times New Roman" w:hAnsi="Times New Roman" w:cs="Times New Roman"/>
          <w:noProof/>
          <w:sz w:val="24"/>
          <w:szCs w:val="24"/>
        </w:rPr>
        <w:footnoteReference w:id="40"/>
      </w:r>
      <w:r>
        <w:rPr>
          <w:rFonts w:ascii="Times New Roman" w:hAnsi="Times New Roman"/>
          <w:noProof/>
          <w:sz w:val="24"/>
          <w:szCs w:val="24"/>
        </w:rPr>
        <w:t xml:space="preserve">, donesene u lipnju 2019. U zaključcima se države članice poziva da poboljšaju postojeće mjere ili uvedu nove za učinkovitu provedbu načela jednake plaće. Na temelju Preporuke o transparentnosti plaće za 2014., te bi mjere mogle uključivati mjere za poboljšanje transparentnosti plaće. U </w:t>
      </w:r>
      <w:r>
        <w:rPr>
          <w:rFonts w:ascii="Times New Roman" w:hAnsi="Times New Roman"/>
          <w:b/>
          <w:noProof/>
          <w:sz w:val="24"/>
          <w:szCs w:val="24"/>
        </w:rPr>
        <w:t>Zaključcima Vijeća o „Gospodarstvu dobrobiti”</w:t>
      </w:r>
      <w:r>
        <w:rPr>
          <w:rStyle w:val="FootnoteReference"/>
          <w:rFonts w:ascii="Times New Roman" w:hAnsi="Times New Roman" w:cs="Times New Roman"/>
          <w:noProof/>
          <w:sz w:val="24"/>
          <w:szCs w:val="24"/>
        </w:rPr>
        <w:footnoteReference w:id="41"/>
      </w:r>
      <w:r>
        <w:rPr>
          <w:rFonts w:ascii="Times New Roman" w:hAnsi="Times New Roman"/>
          <w:noProof/>
          <w:sz w:val="24"/>
          <w:szCs w:val="24"/>
        </w:rPr>
        <w:t xml:space="preserve">, donesenima 24. listopada 2019. u okviru finskog predsjedništva, Vijeće je nadalje pozvalo države članice i Europsku komisiju da „provedu konkretne i učinkovite mjere za smanjivanje razlika u zapošljavanju i plaćama između spolova uz dosadašnji akcijski plan EU-a za smanjivanje razlike u plaćama između spolova i rješavanja njihova utjecaja na razliku u mirovinama između spolova”. </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Komisija je nastavila podupirati napore država članica u smanjivanju razlika u plaćama između spolova  u okviru procesa </w:t>
      </w:r>
      <w:r>
        <w:rPr>
          <w:rFonts w:ascii="Times New Roman" w:hAnsi="Times New Roman"/>
          <w:b/>
          <w:bCs/>
          <w:noProof/>
          <w:sz w:val="24"/>
          <w:szCs w:val="24"/>
        </w:rPr>
        <w:t>Europskog semestra</w:t>
      </w:r>
      <w:r>
        <w:rPr>
          <w:rFonts w:ascii="Times New Roman" w:hAnsi="Times New Roman"/>
          <w:noProof/>
          <w:sz w:val="24"/>
          <w:szCs w:val="24"/>
        </w:rPr>
        <w:t xml:space="preserve"> (točka djelovanja 24.). Konkretnije, Europski semestar omogućio je Komisiji da istakne temeljne uzroke razlike u plaćama između spolova u državama članicama, kao što su rad u nepunom radnom vremenu koji nerazmjerno koriste žene zbog nedostatka ulaganja u odgovarajuću skrb o djeci ili nepoticajnih fiskalnih mjera koji osobe koje ostvaruju drugi prihod u kućanstvu sprječavaju da rade ili rade još više. U 2018. razlika u plaćama između spolova razmatrala se u izvješćima po državama koje je dostavilo osam država članica</w:t>
      </w:r>
      <w:r>
        <w:rPr>
          <w:rStyle w:val="FootnoteReference"/>
          <w:rFonts w:ascii="Times New Roman" w:hAnsi="Times New Roman" w:cs="Times New Roman"/>
          <w:noProof/>
          <w:sz w:val="24"/>
          <w:szCs w:val="24"/>
        </w:rPr>
        <w:footnoteReference w:id="42"/>
      </w:r>
      <w:r>
        <w:rPr>
          <w:rFonts w:ascii="Times New Roman" w:hAnsi="Times New Roman"/>
          <w:noProof/>
          <w:sz w:val="24"/>
          <w:szCs w:val="24"/>
        </w:rPr>
        <w:t>, a preporuka po državi o razlikama u plaćama između spolova izdana je jednoj državi članici</w:t>
      </w:r>
      <w:r>
        <w:rPr>
          <w:rStyle w:val="FootnoteReference"/>
          <w:rFonts w:ascii="Times New Roman" w:hAnsi="Times New Roman" w:cs="Times New Roman"/>
          <w:noProof/>
          <w:sz w:val="24"/>
          <w:szCs w:val="24"/>
        </w:rPr>
        <w:footnoteReference w:id="43"/>
      </w:r>
      <w:r>
        <w:rPr>
          <w:rFonts w:ascii="Times New Roman" w:hAnsi="Times New Roman"/>
          <w:noProof/>
          <w:sz w:val="24"/>
          <w:szCs w:val="24"/>
        </w:rPr>
        <w:t>. U 2019. razlika u plaćama razmatrala se u izvješćima po državama koje je dostavilo 11 država članica</w:t>
      </w:r>
      <w:r>
        <w:rPr>
          <w:rStyle w:val="FootnoteReference"/>
          <w:rFonts w:ascii="Times New Roman" w:hAnsi="Times New Roman" w:cs="Times New Roman"/>
          <w:noProof/>
          <w:sz w:val="24"/>
          <w:szCs w:val="24"/>
        </w:rPr>
        <w:footnoteReference w:id="44"/>
      </w:r>
      <w:r>
        <w:rPr>
          <w:rFonts w:ascii="Times New Roman" w:hAnsi="Times New Roman"/>
          <w:noProof/>
          <w:sz w:val="24"/>
          <w:szCs w:val="24"/>
        </w:rPr>
        <w:t>, a preporuka po državi o razlikama u plaćama između spolova ponovno je izdana jednoj državi članici</w:t>
      </w:r>
      <w:r>
        <w:rPr>
          <w:rStyle w:val="FootnoteReference"/>
          <w:rFonts w:ascii="Times New Roman" w:hAnsi="Times New Roman" w:cs="Times New Roman"/>
          <w:noProof/>
          <w:sz w:val="24"/>
          <w:szCs w:val="24"/>
        </w:rPr>
        <w:footnoteReference w:id="45"/>
      </w:r>
      <w:r>
        <w:rPr>
          <w:rFonts w:ascii="Times New Roman" w:hAnsi="Times New Roman"/>
          <w:noProof/>
          <w:sz w:val="24"/>
          <w:szCs w:val="24"/>
        </w:rPr>
        <w:t xml:space="preserve">. Komisija je nastavila surađivati s državama članicama i preko skupine na visokoj razini, obavještavajući je o nalazima u pogledu razlika u plaćama između spolova dobivenih u okviru procesa Europskog semestra. </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Naposljetku, </w:t>
      </w:r>
      <w:r>
        <w:rPr>
          <w:rFonts w:ascii="Times New Roman" w:hAnsi="Times New Roman"/>
          <w:b/>
          <w:bCs/>
          <w:noProof/>
          <w:sz w:val="24"/>
          <w:szCs w:val="24"/>
        </w:rPr>
        <w:t xml:space="preserve"> seminar za uzajamno učenje</w:t>
      </w:r>
      <w:r>
        <w:rPr>
          <w:rFonts w:ascii="Times New Roman" w:hAnsi="Times New Roman"/>
          <w:noProof/>
          <w:sz w:val="24"/>
          <w:szCs w:val="24"/>
        </w:rPr>
        <w:t xml:space="preserve"> </w:t>
      </w:r>
      <w:r>
        <w:rPr>
          <w:rFonts w:ascii="Times New Roman" w:hAnsi="Times New Roman"/>
          <w:b/>
          <w:noProof/>
          <w:sz w:val="24"/>
          <w:szCs w:val="24"/>
        </w:rPr>
        <w:t>o smanjivanju razlika u plaćama između spolova,</w:t>
      </w:r>
      <w:r>
        <w:rPr>
          <w:rFonts w:ascii="Times New Roman" w:hAnsi="Times New Roman"/>
          <w:noProof/>
          <w:sz w:val="24"/>
          <w:szCs w:val="24"/>
        </w:rPr>
        <w:t xml:space="preserve"> njihovih glavnih uzroka i o najboljim praksama za suočavanje s njima bio je organiziran za predstavnike država članica na Islandu u svibnju 2019. (točka djelovanja 22.)</w:t>
      </w:r>
      <w:r>
        <w:rPr>
          <w:rStyle w:val="FootnoteReference"/>
          <w:rFonts w:ascii="Times New Roman" w:hAnsi="Times New Roman" w:cs="Times New Roman"/>
          <w:noProof/>
          <w:sz w:val="24"/>
          <w:szCs w:val="24"/>
        </w:rPr>
        <w:footnoteReference w:id="46"/>
      </w:r>
      <w:r>
        <w:rPr>
          <w:rFonts w:ascii="Times New Roman" w:hAnsi="Times New Roman"/>
          <w:noProof/>
          <w:sz w:val="24"/>
          <w:szCs w:val="24"/>
        </w:rPr>
        <w:t xml:space="preserve">.  </w:t>
      </w:r>
    </w:p>
    <w:p>
      <w:pPr>
        <w:pStyle w:val="Heading2"/>
        <w:numPr>
          <w:ilvl w:val="0"/>
          <w:numId w:val="0"/>
        </w:numPr>
        <w:rPr>
          <w:noProof/>
          <w:szCs w:val="24"/>
        </w:rPr>
      </w:pPr>
      <w:r>
        <w:rPr>
          <w:noProof/>
          <w:szCs w:val="24"/>
        </w:rPr>
        <w:t xml:space="preserve">4.2. Snažan angažman Europskog parlamenta i ostalih dionika </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Zbog višestrukih glavnih uzroka i širokog međusektorskog dosega razlika u plaćama između spolova, za smanjivanje potonjih najvažniji je snažan angažman dionika. Iz tog razloga, Komisija je nastojala aktivno uključiti dionike i izgraditi sinergije u provedbi akcijskog plana. </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Tijekom provedbe akcijskog plana, Europski parlament isto je tako u više navrata naglasio postojanost i glavne uzroke razlika u plaćama između spolova. Europski parlament svojim je rezolucijama ustrajno pozivao dionike da se bore protiv razlika u plaćama između spolova i sprječavaju razlike u mirovinama</w:t>
      </w:r>
      <w:r>
        <w:rPr>
          <w:rStyle w:val="FootnoteReference"/>
          <w:rFonts w:ascii="Times New Roman" w:hAnsi="Times New Roman" w:cs="Times New Roman"/>
          <w:noProof/>
          <w:sz w:val="24"/>
          <w:szCs w:val="24"/>
        </w:rPr>
        <w:footnoteReference w:id="47"/>
      </w:r>
      <w:r>
        <w:rPr>
          <w:rFonts w:ascii="Times New Roman" w:hAnsi="Times New Roman"/>
          <w:noProof/>
          <w:sz w:val="24"/>
          <w:szCs w:val="24"/>
        </w:rPr>
        <w:t>. Pozivajući se na akcijski plan, pozvao je Komisiju da predloži direktivu o transparentnosti plaće kojom bi se pridonijelo smanjivanju razlika u plaćama između spolova</w:t>
      </w:r>
      <w:r>
        <w:rPr>
          <w:rStyle w:val="FootnoteReference"/>
          <w:rFonts w:ascii="Times New Roman" w:hAnsi="Times New Roman" w:cs="Times New Roman"/>
          <w:noProof/>
          <w:sz w:val="24"/>
          <w:szCs w:val="24"/>
        </w:rPr>
        <w:footnoteReference w:id="48"/>
      </w:r>
      <w:r>
        <w:rPr>
          <w:rFonts w:ascii="Times New Roman" w:hAnsi="Times New Roman"/>
          <w:noProof/>
          <w:sz w:val="24"/>
          <w:szCs w:val="24"/>
        </w:rPr>
        <w:t>. Uz to, o razlikama u plaćama između spolova raspravljali su i relevantni parlamentarni odbori</w:t>
      </w:r>
      <w:r>
        <w:rPr>
          <w:rStyle w:val="FootnoteReference"/>
          <w:rFonts w:ascii="Times New Roman" w:hAnsi="Times New Roman" w:cs="Times New Roman"/>
          <w:noProof/>
          <w:sz w:val="24"/>
          <w:szCs w:val="24"/>
        </w:rPr>
        <w:footnoteReference w:id="49"/>
      </w:r>
      <w:r>
        <w:rPr>
          <w:rFonts w:ascii="Times New Roman" w:hAnsi="Times New Roman"/>
          <w:noProof/>
          <w:sz w:val="24"/>
          <w:szCs w:val="24"/>
        </w:rPr>
        <w:t>. Europski gospodarski i socijalni odbor također je izdao mišljenje o akcijskom planu u travnju 2018.</w:t>
      </w:r>
      <w:r>
        <w:rPr>
          <w:rStyle w:val="FootnoteReference"/>
          <w:rFonts w:ascii="Times New Roman" w:hAnsi="Times New Roman" w:cs="Times New Roman"/>
          <w:noProof/>
          <w:sz w:val="24"/>
          <w:szCs w:val="24"/>
        </w:rPr>
        <w:footnoteReference w:id="50"/>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Kako bi se doprlo do </w:t>
      </w:r>
      <w:r>
        <w:rPr>
          <w:rFonts w:ascii="Times New Roman" w:hAnsi="Times New Roman"/>
          <w:b/>
          <w:noProof/>
          <w:sz w:val="24"/>
          <w:szCs w:val="24"/>
        </w:rPr>
        <w:t>nacionalnih dionika</w:t>
      </w:r>
      <w:r>
        <w:rPr>
          <w:rFonts w:ascii="Times New Roman" w:hAnsi="Times New Roman"/>
          <w:noProof/>
          <w:sz w:val="24"/>
          <w:szCs w:val="24"/>
        </w:rPr>
        <w:t>, Komisija je poduprla transnacionalne projekte za borbu protiv stereotipa i segregacije dodjelom bespovratnih sredstava za osam projekata koji traju od 2017. do 2019.</w:t>
      </w:r>
      <w:r>
        <w:rPr>
          <w:rStyle w:val="FootnoteReference"/>
          <w:rFonts w:ascii="Times New Roman" w:hAnsi="Times New Roman" w:cs="Times New Roman"/>
          <w:noProof/>
          <w:sz w:val="24"/>
          <w:szCs w:val="24"/>
        </w:rPr>
        <w:footnoteReference w:id="51"/>
      </w:r>
      <w:r>
        <w:rPr>
          <w:rFonts w:ascii="Times New Roman" w:hAnsi="Times New Roman"/>
          <w:noProof/>
          <w:sz w:val="24"/>
          <w:szCs w:val="24"/>
        </w:rPr>
        <w:t xml:space="preserve"> (točka djelovanja 4.). Konkretno, u okviru tih projekata promicale su se dobre prakse u prevladavanju kontraproduktivnih rodnih uloga i rodnih stereotipa u obrazovanju, osposobljavanju i na radnom mjestu. Komisija je potaknula i sudjelovanje brojnih dionika u provedbi projekata, nastojeći uključiti socijalne partnere, pružatelje javnih usluga, službe za profesionalno usmjeravanje, organizacije civilnog društva, škole i sveučilišta, kao i lokalne ili regionalne dionike ili privatni sektor gdje je to moguće. Uz to, potaknuta je ocjena utjecaja projekata na ponašanje kako bi se generirali dokazi o čimbenicima koji stvaraju konkretne promjene u stavovima ljudi o rodnim ulogama i stereotipima. Komisija je olakšala razmjenu najboljih praksi i stečenih iskustava socijalnim partnerima, dajući doprinos u nastojanjima da se pruži potpora nacionalnim mjerama borbe protiv stereotipa koji uzrokuju različito postupanje prema ženama i muškarcima u različitim profesionalnim sektorima (točka djelovanja 5.). </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Kroz europski socijalni dijalog u sektoru obrazovanja, Komisija je financirala i projekt o rodnoj ravnopravnosti koji vodi ETUCE</w:t>
      </w:r>
      <w:r>
        <w:rPr>
          <w:rStyle w:val="FootnoteReference"/>
          <w:rFonts w:ascii="Times New Roman" w:hAnsi="Times New Roman" w:cs="Times New Roman"/>
          <w:noProof/>
          <w:sz w:val="24"/>
          <w:szCs w:val="24"/>
        </w:rPr>
        <w:footnoteReference w:id="52"/>
      </w:r>
      <w:r>
        <w:rPr>
          <w:rFonts w:ascii="Times New Roman" w:hAnsi="Times New Roman"/>
          <w:noProof/>
          <w:sz w:val="24"/>
          <w:szCs w:val="24"/>
        </w:rPr>
        <w:t>. Pod naslovom „Socijalni dijalog i rodna ravnopravnost: Osnaživanje sindikata obrazovanja da kroz socijalni dijalog rješavaju pitanja rodne ravnopravnosti u nastavničkom zanimanju”, projekt se odvijao od 2017. do 2019. i bio je usmjeren na unaprjeđenje profesionalnog statusa učitelja, voditelja osposobljavanja i ravnatelja škola te povećanje privlačnosti nastavničke struke za muškarce i žene (točka djelovanja 10). Osim toga, u tijeku su projekti programa REC za poboljšanje rodne ravnoteže na poslovnim položajima koje je Komisija financirala u 2019. Ti se projekti odnose na žene na rukovodećim položajima, ravnotežu između poslovnog i privatnog života te promicanje rodne ravnoteže u korporativnom upravljanju i politici</w:t>
      </w:r>
      <w:r>
        <w:rPr>
          <w:rStyle w:val="FootnoteReference"/>
          <w:rFonts w:ascii="Times New Roman" w:hAnsi="Times New Roman" w:cs="Times New Roman"/>
          <w:noProof/>
          <w:sz w:val="24"/>
          <w:szCs w:val="24"/>
        </w:rPr>
        <w:footnoteReference w:id="53"/>
      </w:r>
      <w:r>
        <w:rPr>
          <w:rFonts w:ascii="Times New Roman" w:hAnsi="Times New Roman"/>
          <w:noProof/>
          <w:sz w:val="24"/>
          <w:szCs w:val="24"/>
        </w:rPr>
        <w:t>.</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U listopadu 2018. održan je godišnji forum u okviru povelja o raznolikosti EU-a (točka djelovanja 6.) u Pragu. Na njemu su se okupili </w:t>
      </w:r>
      <w:r>
        <w:rPr>
          <w:rFonts w:ascii="Times New Roman" w:hAnsi="Times New Roman"/>
          <w:b/>
          <w:noProof/>
          <w:sz w:val="24"/>
          <w:szCs w:val="24"/>
        </w:rPr>
        <w:t>stručnjaci za rodnu raznolikost i predstavnici poduzeća i javnog sektora</w:t>
      </w:r>
      <w:r>
        <w:rPr>
          <w:rFonts w:ascii="Times New Roman" w:hAnsi="Times New Roman"/>
          <w:noProof/>
          <w:sz w:val="24"/>
          <w:szCs w:val="24"/>
        </w:rPr>
        <w:t xml:space="preserve"> koji su dijelili najbolje prakse o nediskriminaciji i uključivanju u privatni sektor. Na forumu su istaknuti poslovni model rodne raznolikosti na višim korporativnim položajima i potreba da se obrati pažnja na zapošljavanje, zadržavanje i napredovanje žena u poduzećima te prevlada rodna pristranost. </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Komisija je sudjelovala i u </w:t>
      </w:r>
      <w:r>
        <w:rPr>
          <w:rFonts w:ascii="Times New Roman" w:hAnsi="Times New Roman"/>
          <w:b/>
          <w:noProof/>
          <w:sz w:val="24"/>
          <w:szCs w:val="24"/>
        </w:rPr>
        <w:t>dijalogu s europskim socijalnim partnerima</w:t>
      </w:r>
      <w:r>
        <w:rPr>
          <w:rFonts w:ascii="Times New Roman" w:hAnsi="Times New Roman"/>
          <w:noProof/>
          <w:sz w:val="24"/>
          <w:szCs w:val="24"/>
        </w:rPr>
        <w:t xml:space="preserve"> kako bi promicala i donijela odgovarajuće mjere kojima bi se doprinijelo smanjenju razlike u plaćama između spolova (točka djelovanja 13.). Nadalje, u lipnju 2018. održan je seminar sa socijalnim partnerima na temu „Borba protiv razlike u plaćama između spolova i promicanje skrbi o djeci”, a 7. svibnja 2019. održan je tematski seminar u obliku dijaloga između Komisije i socijalnih partnera kako bi se raspravljalo o ulozi, troškovima i prednostima transparentnosti plaće. </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Što se tiče potrebe za poboljšanjem zastupljenosti žena u donošenju političkih odluka, o toj se temi raspravljalo na kolokviju o temeljnim pravima u 2017. o „Pravima žena u burnim vremenima”, koji je uključivao i plenarno zasjedanje „Jednako sudjelovanje na poslu i u politici: preduvjet temeljnih prava”</w:t>
      </w:r>
      <w:r>
        <w:rPr>
          <w:rStyle w:val="FootnoteReference"/>
          <w:rFonts w:ascii="Times New Roman" w:hAnsi="Times New Roman" w:cs="Times New Roman"/>
          <w:noProof/>
          <w:sz w:val="24"/>
          <w:szCs w:val="24"/>
        </w:rPr>
        <w:footnoteReference w:id="54"/>
      </w:r>
      <w:r>
        <w:rPr>
          <w:rFonts w:ascii="Times New Roman" w:hAnsi="Times New Roman"/>
          <w:noProof/>
          <w:sz w:val="24"/>
          <w:szCs w:val="24"/>
        </w:rPr>
        <w:t>. Kolokvij je 2018. uključivao zasjedanje o potpori širem sudjelovanju u demokratskim društvima</w:t>
      </w:r>
      <w:r>
        <w:rPr>
          <w:rStyle w:val="FootnoteReference"/>
          <w:rFonts w:ascii="Times New Roman" w:hAnsi="Times New Roman" w:cs="Times New Roman"/>
          <w:noProof/>
          <w:sz w:val="24"/>
          <w:szCs w:val="24"/>
        </w:rPr>
        <w:footnoteReference w:id="55"/>
      </w:r>
      <w:r>
        <w:rPr>
          <w:rFonts w:ascii="Times New Roman" w:hAnsi="Times New Roman"/>
          <w:noProof/>
          <w:sz w:val="24"/>
          <w:szCs w:val="24"/>
        </w:rPr>
        <w:t>. Nadalje, u okviru Europskih dana razvoja u lipnju 2018. održan je panel na visokoj razini na temu „Povećanje sudjelovanja žena u odlučivanju: uključivanje muškaraca kao pokretača promjena”. Ti su događaji omogućili visokim međunarodnim, nacionalnim i europskim donositeljima politika, organizacijama civilnog društva, predstavnicima medija i društvenih medija, poslovnom i obrazovnom svijetu, pravnim stručnjacima i mladima da razmjene ideje i iskustva kako bi se poboljšala zastupljenost žena u donošenju političkih odluka (točka djelovanja 13.). Doprinijeli su i pružanju potpore praksama usmjerenima na poboljšanje rodne ravnoteže u postupcima donošenja odluka i na položajima na kojima se one donose u svim sektorima te lakšem suzbijanja vertikalne segregacije.</w:t>
      </w:r>
      <w:r>
        <w:rPr>
          <w:rFonts w:ascii="Times New Roman" w:hAnsi="Times New Roman"/>
          <w:noProof/>
        </w:rPr>
        <w:t xml:space="preserve"> </w:t>
      </w:r>
    </w:p>
    <w:p>
      <w:pPr>
        <w:pStyle w:val="Heading1"/>
        <w:numPr>
          <w:ilvl w:val="0"/>
          <w:numId w:val="0"/>
        </w:numPr>
        <w:ind w:left="716" w:hanging="432"/>
        <w:rPr>
          <w:noProof/>
          <w:szCs w:val="24"/>
        </w:rPr>
      </w:pPr>
      <w:r>
        <w:rPr>
          <w:noProof/>
        </w:rPr>
        <w:t>5.</w:t>
      </w:r>
      <w:r>
        <w:rPr>
          <w:noProof/>
        </w:rPr>
        <w:tab/>
        <w:t xml:space="preserve"> Izazovi i daljnji koraci</w:t>
      </w:r>
    </w:p>
    <w:p>
      <w:pPr>
        <w:jc w:val="both"/>
        <w:rPr>
          <w:rFonts w:ascii="Times New Roman" w:hAnsi="Times New Roman" w:cs="Times New Roman"/>
          <w:b/>
          <w:noProof/>
          <w:sz w:val="28"/>
          <w:szCs w:val="24"/>
        </w:rPr>
      </w:pPr>
      <w:r>
        <w:rPr>
          <w:rFonts w:ascii="Times New Roman" w:hAnsi="Times New Roman"/>
          <w:b/>
          <w:noProof/>
          <w:sz w:val="24"/>
        </w:rPr>
        <w:t xml:space="preserve">5.1. Akcijski plan otvorio je put za daljnje obveze </w:t>
      </w:r>
    </w:p>
    <w:p>
      <w:pPr>
        <w:tabs>
          <w:tab w:val="num" w:pos="360"/>
        </w:tabs>
        <w:spacing w:before="120" w:after="120" w:line="240" w:lineRule="auto"/>
        <w:jc w:val="both"/>
        <w:rPr>
          <w:rFonts w:ascii="Times New Roman" w:hAnsi="Times New Roman" w:cs="Times New Roman"/>
          <w:noProof/>
          <w:sz w:val="28"/>
          <w:szCs w:val="24"/>
        </w:rPr>
      </w:pPr>
      <w:r>
        <w:rPr>
          <w:rFonts w:ascii="Times New Roman" w:hAnsi="Times New Roman"/>
          <w:noProof/>
          <w:sz w:val="24"/>
        </w:rPr>
        <w:t>Ovo izvješće o provedbi akcijskog plana potvrđuje da su sve 24 točke djelovanja iz akcijskog plana dovršene u cijelosti ili djelomično. Nadalje, provedba velike većine točaka djelovanja nastavit će se u okviru zasebnih političkih inicijativa. To ukazuje na vrlo dobro praćenje cjelokupnog stanja, kao i na potrebu za kontinuiranim, ciljanim aktivnostima u borbi protiv tog oblika trajne rodno uvjetovane diskriminacije.</w:t>
      </w:r>
    </w:p>
    <w:p>
      <w:pPr>
        <w:tabs>
          <w:tab w:val="num" w:pos="360"/>
        </w:tabs>
        <w:spacing w:before="120" w:after="120" w:line="240" w:lineRule="auto"/>
        <w:jc w:val="both"/>
        <w:rPr>
          <w:rFonts w:ascii="Times New Roman" w:hAnsi="Times New Roman" w:cs="Times New Roman"/>
          <w:noProof/>
          <w:sz w:val="28"/>
          <w:szCs w:val="24"/>
        </w:rPr>
      </w:pPr>
      <w:r>
        <w:rPr>
          <w:rFonts w:ascii="Times New Roman" w:hAnsi="Times New Roman"/>
          <w:noProof/>
          <w:sz w:val="24"/>
        </w:rPr>
        <w:t>Detaljan opis konkretnih mjera poduzetih za ostvarivanje pojedinačnih radnji priložen je ovom izvješću o provedbi. Unatoč postojanju mnoštva mjera koje je Komisija poduzela kako bi smanjila razliku u plaćama između spolova, popis konkretnih mjera isto tako pokazuje da i dalje ima područja za koja bi bile potrebne daljnje mjere kako bi se smisleno riješilo pitanje razlike u plaćama između spolova. Akcijski plan bio je namijenjen iskazivanju političke spremnosti Komisije za borbu protiv razlike u plaćama između spolova i njime se to zalaganje uspješno pretvorilo u popis konkretnih mjera. Međutim, njime se i potaknulo Komisiju da traži sinergije između mjera koje su poduzeli ključni dionici na europskoj, nacionalnoj i korporativnoj razini. Priloženi opis konkretnih mjera pokazuje da su uloženi i da se i dalje ulažu višestruki napori kako bi se doprlo do dionika, čije je zalaganje nužno za postizanje promjena. U nekim bi slučajevima ti napori ipak mogli biti znatno veći.</w:t>
      </w:r>
    </w:p>
    <w:p>
      <w:pPr>
        <w:tabs>
          <w:tab w:val="num" w:pos="360"/>
        </w:tabs>
        <w:spacing w:before="120" w:after="120" w:line="240" w:lineRule="auto"/>
        <w:jc w:val="both"/>
        <w:rPr>
          <w:rFonts w:ascii="Times New Roman" w:hAnsi="Times New Roman" w:cs="Times New Roman"/>
          <w:noProof/>
          <w:sz w:val="28"/>
          <w:szCs w:val="24"/>
        </w:rPr>
      </w:pPr>
      <w:r>
        <w:rPr>
          <w:rFonts w:ascii="Times New Roman" w:hAnsi="Times New Roman"/>
          <w:noProof/>
          <w:sz w:val="24"/>
        </w:rPr>
        <w:t>Uz to, mogle su se poduzeti dodatne mjere za uklanjanje segregacije u onim sektorima u kojima su žene oduvijek prezastupljene, kao što su obrazovanje, skrb i zdravstvena zaštita. Slično tome, dodatni napori mogu biti korisni za postizanje promjena u pogledu nedovoljne zastupljenosti žena u donošenju poslovnih i političkih odluka.</w:t>
      </w:r>
    </w:p>
    <w:p>
      <w:pPr>
        <w:tabs>
          <w:tab w:val="num" w:pos="360"/>
        </w:tabs>
        <w:spacing w:before="120" w:after="120" w:line="240" w:lineRule="auto"/>
        <w:jc w:val="both"/>
        <w:rPr>
          <w:rFonts w:ascii="Times New Roman" w:hAnsi="Times New Roman" w:cs="Times New Roman"/>
          <w:noProof/>
          <w:sz w:val="28"/>
          <w:szCs w:val="24"/>
        </w:rPr>
      </w:pPr>
      <w:r>
        <w:rPr>
          <w:rFonts w:ascii="Times New Roman" w:hAnsi="Times New Roman"/>
          <w:noProof/>
          <w:sz w:val="24"/>
        </w:rPr>
        <w:t xml:space="preserve">Posljednji podaci iz 2018. pokazuju vrlo spore promjene u borbi protiv razlike u plaćama i mirovinama između spolova tijekom razdoblja provedbe akcijskog plana (za 0,3 postotnih bodova u pogledu razlike u plaćama između spolova od 2017. do 2018. za EU-28). Iako se smanjuju, razlike u plaćama i mirovinama između spolova i dalje su u EU-u u prosjeku značajne i nisu ni približno otklonjene. </w:t>
      </w:r>
    </w:p>
    <w:p>
      <w:pPr>
        <w:tabs>
          <w:tab w:val="num" w:pos="360"/>
        </w:tabs>
        <w:spacing w:before="120" w:after="120" w:line="240" w:lineRule="auto"/>
        <w:jc w:val="both"/>
        <w:rPr>
          <w:rFonts w:ascii="Times New Roman" w:hAnsi="Times New Roman" w:cs="Times New Roman"/>
          <w:noProof/>
          <w:sz w:val="28"/>
          <w:szCs w:val="24"/>
        </w:rPr>
      </w:pPr>
      <w:r>
        <w:rPr>
          <w:rFonts w:ascii="Times New Roman" w:hAnsi="Times New Roman"/>
          <w:noProof/>
          <w:sz w:val="24"/>
        </w:rPr>
        <w:t xml:space="preserve">Ocjena odredaba o jednakoj plaći koja je provedena u okviru akcijskog plana pokazala je da bolje i lakše dostupne informacije o razinama plaća mogu otkriti moguću rodnu pristranost ili diskriminaciju u platnim strukturama poduzeća ili na razini industrije. Jače mjere za transparentnost plaća trebale bi olakšati utvrđivanje diskriminacije u plaćama u pojedinačnim slučajevima. Svijest o različitim razinama plaća za jednak rad ili rad jednake vrijednosti unutar poduzeća može isto tako olakšati pojedincima osporavanje diskriminacije u plaćama pred nacionalnim sudovima. Otkrivajući strukturne razlike, transparentnost plaće može olakšati i analizu osnovnih uzroka razlike u plaćama između spolova i osigurati usmjerenije djelovanje putem politika. </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rPr>
        <w:t>Kao što je najavljeno u političkim smjernicama Komisije za razdoblje 2019. – 2024. predsjednice Ursule von der Leyen, Komisija zajedno s ovim izvješćem o provedbi i istodobno s objavom ocjene jednakosti plaće predstavlja Strategiju EU-a za rodnu ravnopravnost za razdoblje 2020. – 2025.</w:t>
      </w:r>
      <w:r>
        <w:rPr>
          <w:rStyle w:val="FootnoteReference"/>
          <w:rFonts w:ascii="Times New Roman" w:hAnsi="Times New Roman" w:cs="Times New Roman"/>
          <w:noProof/>
          <w:sz w:val="24"/>
        </w:rPr>
        <w:footnoteReference w:id="56"/>
      </w:r>
      <w:r>
        <w:rPr>
          <w:rFonts w:ascii="Times New Roman" w:hAnsi="Times New Roman"/>
          <w:noProof/>
          <w:sz w:val="24"/>
        </w:rPr>
        <w:t xml:space="preserve"> U okviru Strategije predviđene su daljnje mjere za otklanjanje razlike u plaćama između spolova te inicijativa za uvođenje obvezujućih mjera transparentnosti plaća. Provedba pojedinih mjera ujedno je sveobuhvatno naglasila usku vezu između razlike u plaćama između spolova i rodnih stereotipa. Otklanjanje rodnih stereotipa bit će i jedan od ciljeva politike Strategije EU-a za rodnu ravnopravnost.</w:t>
      </w:r>
      <w:r>
        <w:rPr>
          <w:rFonts w:ascii="Times New Roman" w:hAnsi="Times New Roman"/>
          <w:noProof/>
        </w:rPr>
        <w:t xml:space="preserve">   </w:t>
      </w:r>
    </w:p>
    <w:p>
      <w:pPr>
        <w:tabs>
          <w:tab w:val="num" w:pos="360"/>
        </w:tabs>
        <w:spacing w:before="120" w:after="120" w:line="240" w:lineRule="auto"/>
        <w:jc w:val="both"/>
        <w:rPr>
          <w:rFonts w:ascii="Times New Roman" w:hAnsi="Times New Roman" w:cs="Times New Roman"/>
          <w:noProof/>
          <w:sz w:val="24"/>
          <w:szCs w:val="24"/>
        </w:rPr>
      </w:pPr>
    </w:p>
    <w:p>
      <w:pPr>
        <w:jc w:val="both"/>
        <w:rPr>
          <w:rFonts w:ascii="Times New Roman" w:hAnsi="Times New Roman" w:cs="Times New Roman"/>
          <w:b/>
          <w:noProof/>
          <w:sz w:val="28"/>
          <w:szCs w:val="24"/>
        </w:rPr>
      </w:pPr>
      <w:r>
        <w:rPr>
          <w:rFonts w:ascii="Times New Roman" w:hAnsi="Times New Roman"/>
          <w:b/>
          <w:noProof/>
          <w:sz w:val="24"/>
        </w:rPr>
        <w:t>5.2. Zaključci</w:t>
      </w:r>
    </w:p>
    <w:p>
      <w:pPr>
        <w:tabs>
          <w:tab w:val="num" w:pos="360"/>
        </w:tabs>
        <w:spacing w:before="120" w:after="120" w:line="240" w:lineRule="auto"/>
        <w:jc w:val="both"/>
        <w:rPr>
          <w:rFonts w:ascii="Times New Roman" w:hAnsi="Times New Roman" w:cs="Times New Roman"/>
          <w:noProof/>
          <w:sz w:val="28"/>
          <w:szCs w:val="24"/>
        </w:rPr>
      </w:pPr>
      <w:r>
        <w:rPr>
          <w:rFonts w:ascii="Times New Roman" w:hAnsi="Times New Roman"/>
          <w:noProof/>
          <w:sz w:val="24"/>
        </w:rPr>
        <w:t>Zahvaljujući svojem kompletu sveobuhvatnih mjera, akcijski plan služio je kao širok okvir politike i dokazao zalaganje Europske komisije za smisleno rješavanje pitanja razlike u plaćama između spolova. Zahvaljujući aktivnostima prikupljanja podataka i posebice procjeni zakonodavstva o jednakosti u plaćama, provedba akcijskog plana pomogla je stvaranju čvrste, informirane osnove za daljnje aktivnosti protiv nejednakosti u plaćama.</w:t>
      </w:r>
    </w:p>
    <w:p>
      <w:pPr>
        <w:tabs>
          <w:tab w:val="num" w:pos="360"/>
        </w:tabs>
        <w:spacing w:before="120" w:after="120" w:line="240" w:lineRule="auto"/>
        <w:jc w:val="both"/>
        <w:rPr>
          <w:noProof/>
          <w:sz w:val="24"/>
        </w:rPr>
      </w:pPr>
      <w:r>
        <w:rPr>
          <w:rFonts w:ascii="Times New Roman" w:hAnsi="Times New Roman"/>
          <w:noProof/>
          <w:sz w:val="24"/>
        </w:rPr>
        <w:t xml:space="preserve">Pojedinačne mjere provedbe, koje su detaljnije opisane u radnom dokumentu službi u dodatku, naglašavaju široko područje djelovanja potrebno za učinkovito otklanjanje te razlike. Akcijski plan i široki skup mjera poduzetih za njegovu provedbu ukazuju na potrebu za napretkom od rasprave o postojanju razlike u plaćama između spolova ka poduzimanju konkretnih, usklađenih mjera za njezino iskorjenjivanje. </w:t>
      </w:r>
    </w:p>
    <w:p>
      <w:pPr>
        <w:tabs>
          <w:tab w:val="num" w:pos="360"/>
        </w:tabs>
        <w:spacing w:before="120" w:after="120" w:line="240" w:lineRule="auto"/>
        <w:jc w:val="both"/>
        <w:rPr>
          <w:rFonts w:ascii="Times New Roman" w:hAnsi="Times New Roman" w:cs="Times New Roman"/>
          <w:noProof/>
          <w:sz w:val="28"/>
          <w:szCs w:val="24"/>
        </w:rPr>
      </w:pPr>
      <w:r>
        <w:rPr>
          <w:rFonts w:ascii="Times New Roman" w:hAnsi="Times New Roman"/>
          <w:noProof/>
          <w:sz w:val="24"/>
        </w:rPr>
        <w:t xml:space="preserve">Osim toga, sektorske mjere iz akcijskog plana pomogle su naglasiti potrebu za posebnim, prilagođenim mjerama za postizanje promjena u smjeru jednakih mogućnosti pri zapošljavanju i obavljanju zanimanja.  </w:t>
      </w:r>
    </w:p>
    <w:p>
      <w:pPr>
        <w:tabs>
          <w:tab w:val="num" w:pos="360"/>
        </w:tabs>
        <w:spacing w:before="120" w:after="120" w:line="240" w:lineRule="auto"/>
        <w:jc w:val="both"/>
        <w:rPr>
          <w:rFonts w:ascii="Times New Roman" w:hAnsi="Times New Roman" w:cs="Times New Roman"/>
          <w:noProof/>
          <w:sz w:val="24"/>
          <w:szCs w:val="24"/>
        </w:rPr>
      </w:pPr>
      <w:r>
        <w:rPr>
          <w:rFonts w:ascii="Times New Roman" w:hAnsi="Times New Roman"/>
          <w:noProof/>
          <w:sz w:val="24"/>
        </w:rPr>
        <w:t>Kao što je prikazano u ovom izvješću, iz mjera poduzetih za provedbu akcijskog plana EU-a za razdoblje 2017. – 2019. za borbu protiv razlike u plaćama između spolova dobit će se informacije za budući rad Europske komisije na otklanjanju razlike u plaćama između spolova.</w:t>
      </w:r>
      <w:r>
        <w:rPr>
          <w:rFonts w:ascii="Times New Roman" w:hAnsi="Times New Roman"/>
          <w:noProof/>
        </w:rPr>
        <w:t xml:space="preserve"> </w:t>
      </w:r>
    </w:p>
    <w:p>
      <w:pPr>
        <w:tabs>
          <w:tab w:val="num" w:pos="360"/>
        </w:tabs>
        <w:spacing w:before="120" w:after="120" w:line="240" w:lineRule="auto"/>
        <w:jc w:val="both"/>
        <w:rPr>
          <w:rFonts w:ascii="Times New Roman" w:hAnsi="Times New Roman" w:cs="Times New Roman"/>
          <w:noProof/>
          <w:sz w:val="24"/>
          <w:szCs w:val="24"/>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Bk">
    <w:altName w:val="Roboto B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color w:val="4F81BD" w:themeColor="accent1"/>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Komunikacija Komisije Europskom parlamentu, Vijeću i Europskom gospodarskom i socijalnom odboru. Akcijski plan EU-a za razdoblje 2017. – 2019. Borba protiv razlike u plaćama između spolova, 20.11.2017., COM(2017) 678 final. </w:t>
      </w:r>
    </w:p>
  </w:footnote>
  <w:footnote w:id="3">
    <w:p>
      <w:pPr>
        <w:pStyle w:val="FootnoteText"/>
        <w:rPr>
          <w:rFonts w:ascii="Times New Roman" w:hAnsi="Times New Roman"/>
        </w:rPr>
      </w:pPr>
      <w:r>
        <w:rPr>
          <w:rStyle w:val="FootnoteReference"/>
          <w:rFonts w:ascii="Times New Roman" w:hAnsi="Times New Roman" w:cs="Times New Roman"/>
          <w:sz w:val="18"/>
        </w:rPr>
        <w:footnoteRef/>
      </w:r>
      <w:r>
        <w:rPr>
          <w:rFonts w:ascii="Times New Roman" w:hAnsi="Times New Roman"/>
          <w:sz w:val="18"/>
        </w:rPr>
        <w:t xml:space="preserve"> </w:t>
      </w:r>
      <w:r>
        <w:rPr>
          <w:rFonts w:ascii="Times New Roman" w:hAnsi="Times New Roman"/>
        </w:rPr>
        <w:t xml:space="preserve"> Za detaljniji opis mjera poduzetih za provedbu pojedinih točaka djelovanja vidjeti radni dokument službi (SWD (2020)101) u prilogu. </w:t>
      </w:r>
    </w:p>
  </w:footnote>
  <w:footnote w:id="4">
    <w:p>
      <w:pPr>
        <w:pStyle w:val="FootnoteText"/>
        <w:jc w:val="both"/>
      </w:pPr>
      <w:r>
        <w:rPr>
          <w:rStyle w:val="FootnoteReference"/>
        </w:rPr>
        <w:footnoteRef/>
      </w:r>
      <w:r>
        <w:rPr>
          <w:rFonts w:ascii="Times New Roman" w:hAnsi="Times New Roman"/>
        </w:rPr>
        <w:t xml:space="preserve"> Direktiva (EU) 2019/1158 Europskog parlamenta i Vijeća od 20. lipnja 2019. o ravnoteži između poslovnog i privatnog života roditelja i pružatelja skrbi i o stavljanju izvan snage Direktive Vijeća 2010/18/EU, SL L 188, 12.7.2019., str. 79. – 93. </w:t>
      </w:r>
    </w:p>
  </w:footnote>
  <w:footnote w:id="5">
    <w:p>
      <w:pPr>
        <w:pStyle w:val="FootnoteText"/>
        <w:jc w:val="both"/>
      </w:pPr>
      <w:r>
        <w:rPr>
          <w:rStyle w:val="FootnoteReference"/>
        </w:rPr>
        <w:footnoteRef/>
      </w:r>
      <w:r>
        <w:t xml:space="preserve"> </w:t>
      </w:r>
      <w:r>
        <w:rPr>
          <w:rFonts w:ascii="Times New Roman" w:hAnsi="Times New Roman"/>
        </w:rPr>
        <w:t>Preporuka Komisije (EU) 2018/951 od 22. lipnja 2018. o standardima za tijela za jednakost, C/2018/3850, SL L 167, 4.7.2018., str. 28. – 35.</w:t>
      </w:r>
    </w:p>
  </w:footnote>
  <w:footnote w:id="6">
    <w:p>
      <w:pPr>
        <w:pStyle w:val="FootnoteText"/>
        <w:rPr>
          <w:rFonts w:ascii="Times New Roman" w:hAnsi="Times New Roman" w:cs="Times New Roman"/>
        </w:rPr>
      </w:pPr>
      <w:r>
        <w:rPr>
          <w:rStyle w:val="FootnoteReference"/>
        </w:rPr>
        <w:footnoteRef/>
      </w:r>
      <w:r>
        <w:t xml:space="preserve"> </w:t>
      </w:r>
      <w:r>
        <w:rPr>
          <w:rFonts w:ascii="Times New Roman" w:hAnsi="Times New Roman"/>
        </w:rPr>
        <w:t xml:space="preserve">Rezultati ocjene predstavljeni su u radnom dokumentu službi Komisije objavljenom istodobno s ovim izvješćem. Vidjeti Ocjenu relevantnih odredbi Direktive 2006/54/EZ o provedbi načela Ugovora o „jednakoj plaći za jednaki rad ili za rad jednake vrijednosti” SWD (2020)50. </w:t>
      </w:r>
    </w:p>
  </w:footnote>
  <w:footnote w:id="7">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t xml:space="preserve"> </w:t>
      </w:r>
      <w:r>
        <w:rPr>
          <w:rFonts w:ascii="Times New Roman" w:hAnsi="Times New Roman"/>
          <w:sz w:val="18"/>
          <w:szCs w:val="18"/>
        </w:rPr>
        <w:t>Izvješće o ravnopravnosti žena i muškaraca u EU-u za 2019. i izvješća iz prethodnih godina dostupna su na</w:t>
      </w:r>
      <w:r>
        <w:t xml:space="preserve"> </w:t>
      </w:r>
      <w:hyperlink r:id="rId1" w:history="1">
        <w:r>
          <w:rPr>
            <w:rStyle w:val="Hyperlink"/>
            <w:rFonts w:ascii="Times New Roman" w:hAnsi="Times New Roman"/>
            <w:sz w:val="18"/>
            <w:szCs w:val="18"/>
          </w:rPr>
          <w:t>internetskoj stranici</w:t>
        </w:r>
      </w:hyperlink>
      <w:r>
        <w:t xml:space="preserve"> </w:t>
      </w:r>
      <w:r>
        <w:rPr>
          <w:rFonts w:ascii="Times New Roman" w:hAnsi="Times New Roman"/>
          <w:sz w:val="18"/>
          <w:szCs w:val="18"/>
        </w:rPr>
        <w:t>Ureda za publikacije Europske unije. Vidjeti i podatke o razlikama u plaćama između spolova u 2018.</w:t>
      </w:r>
      <w:r>
        <w:t xml:space="preserve"> </w:t>
      </w:r>
      <w:hyperlink r:id="rId2" w:history="1">
        <w:r>
          <w:rPr>
            <w:rStyle w:val="Hyperlink"/>
            <w:rFonts w:ascii="Times New Roman" w:hAnsi="Times New Roman"/>
            <w:sz w:val="18"/>
            <w:szCs w:val="18"/>
          </w:rPr>
          <w:t>https://ec.europa.eu/eurostat/databrowser/product/view/SDG_05_20?lang=hr</w:t>
        </w:r>
      </w:hyperlink>
      <w:r>
        <w:rPr>
          <w:rFonts w:ascii="Times New Roman" w:hAnsi="Times New Roman"/>
          <w:sz w:val="18"/>
          <w:szCs w:val="18"/>
        </w:rPr>
        <w:t>.</w:t>
      </w:r>
      <w:r>
        <w:t xml:space="preserve"> </w:t>
      </w:r>
      <w:r>
        <w:rPr>
          <w:rFonts w:ascii="Times New Roman" w:hAnsi="Times New Roman"/>
          <w:sz w:val="18"/>
          <w:szCs w:val="18"/>
        </w:rPr>
        <w:t>Podaci o razlikama u mirovinama između spolova postali su javno dostupni u Eurostatovoj bazi podataka, vidjeti „</w:t>
      </w:r>
      <w:r>
        <w:rPr>
          <w:rFonts w:ascii="Times New Roman" w:hAnsi="Times New Roman"/>
          <w:bCs/>
          <w:sz w:val="18"/>
          <w:szCs w:val="18"/>
        </w:rPr>
        <w:t>Razlike u mirovinama između spolova prema dobnim skupinama – istraživanje EU-SILC-a” na</w:t>
      </w:r>
      <w:r>
        <w:rPr>
          <w:rFonts w:ascii="Times New Roman" w:hAnsi="Times New Roman"/>
          <w:b/>
          <w:bCs/>
          <w:sz w:val="18"/>
          <w:szCs w:val="18"/>
        </w:rPr>
        <w:t xml:space="preserve"> </w:t>
      </w:r>
      <w:hyperlink r:id="rId3" w:history="1">
        <w:r>
          <w:rPr>
            <w:rStyle w:val="Hyperlink"/>
            <w:rFonts w:ascii="Times New Roman" w:hAnsi="Times New Roman"/>
            <w:sz w:val="18"/>
            <w:szCs w:val="18"/>
          </w:rPr>
          <w:t>https://appsso.eurostat.ec.europa.eu/nui/show.do?dataset=ilc_pnp13&amp;lang=en</w:t>
        </w:r>
      </w:hyperlink>
      <w:r>
        <w:t xml:space="preserve"> </w:t>
      </w:r>
      <w:r>
        <w:rPr>
          <w:rFonts w:ascii="Times New Roman" w:hAnsi="Times New Roman"/>
          <w:sz w:val="18"/>
          <w:szCs w:val="18"/>
        </w:rPr>
        <w:t xml:space="preserve">i „ </w:t>
      </w:r>
      <w:r>
        <w:rPr>
          <w:rFonts w:ascii="Times New Roman" w:hAnsi="Times New Roman"/>
          <w:bCs/>
          <w:sz w:val="18"/>
          <w:szCs w:val="18"/>
        </w:rPr>
        <w:t xml:space="preserve">Stopa pokrivenosti spolova u mirovini prema dobnim skupinama - istraživanje EU-SILC-a” </w:t>
      </w:r>
      <w:r>
        <w:rPr>
          <w:rFonts w:ascii="Times New Roman" w:hAnsi="Times New Roman"/>
          <w:sz w:val="18"/>
          <w:szCs w:val="18"/>
        </w:rPr>
        <w:t>na</w:t>
      </w:r>
      <w:r>
        <w:t xml:space="preserve"> </w:t>
      </w:r>
      <w:hyperlink r:id="rId4" w:history="1">
        <w:r>
          <w:rPr>
            <w:rStyle w:val="Hyperlink"/>
            <w:rFonts w:ascii="Times New Roman" w:hAnsi="Times New Roman"/>
            <w:sz w:val="18"/>
            <w:szCs w:val="18"/>
          </w:rPr>
          <w:t>https://appsso.eurostat.ec.europa.eu/nui/show.do?dataset=ilc_pnp14&amp;lang=hr</w:t>
        </w:r>
      </w:hyperlink>
      <w:r>
        <w:rPr>
          <w:rFonts w:ascii="Times New Roman" w:hAnsi="Times New Roman"/>
          <w:sz w:val="18"/>
          <w:szCs w:val="18"/>
        </w:rPr>
        <w:t>. Podaci u tom dokumentu obuhvaćaju EU-28 u pogledu provedbe akcijskog plana od 2017. –2019.</w:t>
      </w:r>
    </w:p>
  </w:footnote>
  <w:footnote w:id="8">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t xml:space="preserve"> Vidjeti:</w:t>
      </w:r>
      <w:r>
        <w:rPr>
          <w:rFonts w:ascii="Times New Roman" w:hAnsi="Times New Roman"/>
          <w:sz w:val="18"/>
          <w:szCs w:val="18"/>
        </w:rPr>
        <w:t xml:space="preserve"> </w:t>
      </w:r>
      <w:hyperlink r:id="rId5" w:history="1">
        <w:r>
          <w:rPr>
            <w:rStyle w:val="Hyperlink"/>
            <w:rFonts w:ascii="Times New Roman" w:hAnsi="Times New Roman"/>
            <w:sz w:val="18"/>
            <w:szCs w:val="18"/>
          </w:rPr>
          <w:t>https://ec.europa.eu/eurostat/web/products-datasets/product?code=teqges01</w:t>
        </w:r>
      </w:hyperlink>
      <w:r>
        <w:rPr>
          <w:rFonts w:ascii="Times New Roman" w:hAnsi="Times New Roman"/>
          <w:sz w:val="18"/>
          <w:szCs w:val="18"/>
        </w:rPr>
        <w:t>.</w:t>
      </w:r>
      <w:r>
        <w:t xml:space="preserve"> </w:t>
      </w:r>
      <w:r>
        <w:rPr>
          <w:rFonts w:ascii="Times New Roman" w:hAnsi="Times New Roman"/>
          <w:sz w:val="18"/>
          <w:szCs w:val="18"/>
        </w:rPr>
        <w:t>Najnoviji dostupni podaci za ovaj pokazatelj odnose se na 2014.</w:t>
      </w:r>
    </w:p>
  </w:footnote>
  <w:footnote w:id="9">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t xml:space="preserve"> </w:t>
      </w:r>
      <w:r>
        <w:rPr>
          <w:rFonts w:ascii="Times New Roman" w:hAnsi="Times New Roman"/>
          <w:sz w:val="18"/>
          <w:szCs w:val="18"/>
        </w:rPr>
        <w:t>Vidjeti primjerice</w:t>
      </w:r>
      <w:r>
        <w:t xml:space="preserve"> </w:t>
      </w:r>
      <w:hyperlink r:id="rId6" w:history="1">
        <w:r>
          <w:rPr>
            <w:rStyle w:val="Hyperlink"/>
            <w:rFonts w:ascii="Times New Roman" w:hAnsi="Times New Roman"/>
            <w:sz w:val="18"/>
            <w:szCs w:val="18"/>
          </w:rPr>
          <w:t>https://op.europa.eu/hr/publication-detail/-/publication/aa27ac5b-fc83-11e5-b713-01aa75ed71a1/language-en</w:t>
        </w:r>
      </w:hyperlink>
      <w:r>
        <w:t xml:space="preserve"> </w:t>
      </w:r>
      <w:r>
        <w:rPr>
          <w:rFonts w:ascii="Times New Roman" w:hAnsi="Times New Roman"/>
          <w:sz w:val="18"/>
          <w:szCs w:val="18"/>
        </w:rPr>
        <w:t xml:space="preserve">i Denis Leythienne, Piotr Ronkowski, „Razlaganje neusklađene razlike u plaćama između spolova na temelju podataka istraživanja o strukturi dohotka”. Eurostat, statistički radni dokumenti, 2018., dostupno na: </w:t>
      </w:r>
      <w:hyperlink r:id="rId7" w:history="1">
        <w:r>
          <w:rPr>
            <w:rStyle w:val="Hyperlink"/>
            <w:rFonts w:ascii="Times New Roman" w:hAnsi="Times New Roman"/>
            <w:sz w:val="18"/>
            <w:szCs w:val="18"/>
          </w:rPr>
          <w:t xml:space="preserve">https://op.europa.eu/en/publication-detail/-/publication/fb389f61-6f7c-11e8-9483-01aa75ed71a1/language-en. </w:t>
        </w:r>
      </w:hyperlink>
      <w:r>
        <w:rPr>
          <w:rFonts w:ascii="Times New Roman" w:hAnsi="Times New Roman"/>
          <w:sz w:val="18"/>
          <w:szCs w:val="18"/>
        </w:rPr>
        <w:t xml:space="preserve"> </w:t>
      </w:r>
      <w:hyperlink r:id="rId8" w:history="1">
        <w:r>
          <w:rPr>
            <w:rStyle w:val="Hyperlink"/>
            <w:rFonts w:ascii="Times New Roman" w:hAnsi="Times New Roman"/>
            <w:sz w:val="18"/>
            <w:szCs w:val="18"/>
          </w:rPr>
          <w:t>https://ec.europa.eu/eurostat/tgm/table.do?tab=table&amp;init=1&amp;language=en&amp;pcode=sdg_05_20&amp;plugin=1</w:t>
        </w:r>
      </w:hyperlink>
      <w:r>
        <w:rPr>
          <w:rFonts w:ascii="Times New Roman" w:hAnsi="Times New Roman"/>
          <w:sz w:val="18"/>
          <w:szCs w:val="18"/>
        </w:rPr>
        <w:t xml:space="preserve">. </w:t>
      </w:r>
    </w:p>
  </w:footnote>
  <w:footnote w:id="10">
    <w:p>
      <w:pPr>
        <w:pStyle w:val="FootnoteText"/>
      </w:pPr>
      <w:r>
        <w:rPr>
          <w:rStyle w:val="FootnoteReference"/>
          <w:rFonts w:ascii="Times New Roman" w:hAnsi="Times New Roman" w:cs="Times New Roman"/>
          <w:sz w:val="18"/>
          <w:szCs w:val="18"/>
        </w:rPr>
        <w:footnoteRef/>
      </w:r>
      <w:r>
        <w:t xml:space="preserve"> Vidjeti</w:t>
      </w:r>
      <w:r>
        <w:rPr>
          <w:rStyle w:val="Hyperlink"/>
          <w:rFonts w:ascii="Times New Roman" w:hAnsi="Times New Roman"/>
          <w:sz w:val="18"/>
          <w:szCs w:val="18"/>
        </w:rPr>
        <w:t xml:space="preserve"> </w:t>
      </w:r>
      <w:hyperlink r:id="rId9" w:history="1">
        <w:r>
          <w:rPr>
            <w:rStyle w:val="Hyperlink"/>
            <w:rFonts w:ascii="Times New Roman" w:hAnsi="Times New Roman"/>
            <w:sz w:val="18"/>
            <w:szCs w:val="18"/>
          </w:rPr>
          <w:t>https://eige.europa.eu/gender-statistics/dgs/data-talks/what-lies-behind-gender-pay-gap</w:t>
        </w:r>
      </w:hyperlink>
      <w:r>
        <w:rPr>
          <w:rStyle w:val="Hyperlink"/>
          <w:rFonts w:ascii="Times New Roman" w:hAnsi="Times New Roman"/>
          <w:sz w:val="18"/>
          <w:szCs w:val="18"/>
        </w:rPr>
        <w:t>.</w:t>
      </w:r>
      <w:r>
        <w:t xml:space="preserve">   </w:t>
      </w:r>
    </w:p>
  </w:footnote>
  <w:footnote w:id="11">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t xml:space="preserve"> </w:t>
      </w:r>
      <w:r>
        <w:rPr>
          <w:rFonts w:ascii="Times New Roman" w:hAnsi="Times New Roman"/>
          <w:sz w:val="18"/>
          <w:szCs w:val="18"/>
        </w:rPr>
        <w:t xml:space="preserve">Izvještaj o ravnopravnosti žena i muškaraca u EU-u za 2019., str. 68. Dostupno na: </w:t>
      </w:r>
      <w:hyperlink r:id="rId10" w:history="1">
        <w:r>
          <w:rPr>
            <w:rStyle w:val="Hyperlink"/>
            <w:rFonts w:ascii="Times New Roman" w:hAnsi="Times New Roman"/>
            <w:sz w:val="18"/>
            <w:szCs w:val="18"/>
          </w:rPr>
          <w:t>https://ec.europa.eu/info/sites/info/files/aid_development_cooperation_fundamental_rights/annual_report_ge_2019_en.pdf</w:t>
        </w:r>
      </w:hyperlink>
      <w:r>
        <w:rPr>
          <w:rFonts w:ascii="Times New Roman" w:hAnsi="Times New Roman"/>
          <w:sz w:val="18"/>
          <w:szCs w:val="18"/>
        </w:rPr>
        <w:t xml:space="preserve"> . Eurostat, „Uklanjanje razlika u mirovinama između muškaraca i žena?”, dostupno na: </w:t>
      </w:r>
      <w:hyperlink r:id="rId11" w:history="1">
        <w:r>
          <w:rPr>
            <w:rStyle w:val="Hyperlink"/>
            <w:rFonts w:ascii="Times New Roman" w:hAnsi="Times New Roman"/>
            <w:sz w:val="18"/>
            <w:szCs w:val="18"/>
          </w:rPr>
          <w:t>https://ec.europa.eu/eurostat/web/products-eurostat-news/-/DDN-20200207-1?inheritRedirect=true&amp;redirect=/eurostat/news/whats-new%20</w:t>
        </w:r>
      </w:hyperlink>
      <w:r>
        <w:rPr>
          <w:rFonts w:ascii="Times New Roman" w:hAnsi="Times New Roman"/>
          <w:sz w:val="18"/>
          <w:szCs w:val="18"/>
        </w:rPr>
        <w:t xml:space="preserve">. </w:t>
      </w:r>
    </w:p>
  </w:footnote>
  <w:footnote w:id="12">
    <w:p>
      <w:pPr>
        <w:pStyle w:val="FootnoteText"/>
        <w:jc w:val="both"/>
        <w:rPr>
          <w:rFonts w:ascii="Times New Roman" w:hAnsi="Times New Roman" w:cs="Times New Roman"/>
        </w:rPr>
      </w:pPr>
      <w:r>
        <w:rPr>
          <w:rStyle w:val="FootnoteReference"/>
          <w:rFonts w:ascii="Times New Roman" w:hAnsi="Times New Roman" w:cs="Times New Roman"/>
          <w:sz w:val="18"/>
          <w:szCs w:val="18"/>
        </w:rPr>
        <w:footnoteRef/>
      </w:r>
      <w:r>
        <w:t xml:space="preserve"> </w:t>
      </w:r>
      <w:r>
        <w:rPr>
          <w:rFonts w:ascii="Times New Roman" w:hAnsi="Times New Roman"/>
          <w:sz w:val="18"/>
          <w:szCs w:val="18"/>
        </w:rPr>
        <w:t>Litva, Estonija, Bugarska, Češka, Latvija i Rumunjska. Eurostat, Stope opasnosti od siromaštva prema pragu siromaštva i najčešći radni status u prethodnoj godini – istraživanja EU-SILC-a i ECHP-a, 2018.</w:t>
      </w:r>
    </w:p>
  </w:footnote>
  <w:footnote w:id="13">
    <w:p>
      <w:pPr>
        <w:pStyle w:val="FootnoteText"/>
        <w:rPr>
          <w:rFonts w:ascii="Times New Roman" w:hAnsi="Times New Roman" w:cs="Times New Roman"/>
        </w:rPr>
      </w:pPr>
      <w:r>
        <w:rPr>
          <w:rStyle w:val="FootnoteReference"/>
          <w:rFonts w:ascii="Times New Roman" w:hAnsi="Times New Roman" w:cs="Times New Roman"/>
          <w:sz w:val="18"/>
          <w:szCs w:val="18"/>
        </w:rPr>
        <w:footnoteRef/>
      </w:r>
      <w:r>
        <w:t xml:space="preserve"> </w:t>
      </w:r>
      <w:r>
        <w:rPr>
          <w:rFonts w:ascii="Times New Roman" w:hAnsi="Times New Roman"/>
          <w:sz w:val="18"/>
          <w:szCs w:val="18"/>
        </w:rPr>
        <w:t xml:space="preserve">Izvješće o primjerenosti mirovina iz 2018.: primjerenost trenutačnog i budućeg dohotka u starijoj dobi u EU-u. Dostupno na: </w:t>
      </w:r>
      <w:hyperlink r:id="rId12" w:history="1">
        <w:r>
          <w:rPr>
            <w:rStyle w:val="Hyperlink"/>
            <w:rFonts w:ascii="Times New Roman" w:hAnsi="Times New Roman"/>
          </w:rPr>
          <w:t>https://op.europa.eu/en/publication-detail/-/publication/f0e89c3f-7821-11e8-ac6a-01aa75ed71a1/language-en</w:t>
        </w:r>
      </w:hyperlink>
      <w:r>
        <w:rPr>
          <w:rFonts w:ascii="Times New Roman" w:hAnsi="Times New Roman"/>
        </w:rPr>
        <w:t>.</w:t>
      </w:r>
    </w:p>
  </w:footnote>
  <w:footnote w:id="14">
    <w:p>
      <w:pPr>
        <w:pStyle w:val="FootnoteText"/>
      </w:pPr>
      <w:r>
        <w:rPr>
          <w:rStyle w:val="FootnoteReference"/>
          <w:rFonts w:ascii="Times New Roman" w:hAnsi="Times New Roman" w:cs="Times New Roman"/>
        </w:rPr>
        <w:footnoteRef/>
      </w:r>
      <w:r>
        <w:rPr>
          <w:rFonts w:ascii="Times New Roman" w:hAnsi="Times New Roman"/>
        </w:rPr>
        <w:t xml:space="preserve"> </w:t>
      </w:r>
      <w:hyperlink r:id="rId13" w:history="1">
        <w:r>
          <w:rPr>
            <w:rStyle w:val="Hyperlink"/>
            <w:rFonts w:ascii="Times New Roman" w:hAnsi="Times New Roman"/>
          </w:rPr>
          <w:t>https://op.europa.eu/en/publication-detail/-/publication/9540ffa1-4478-11e9-a8ed-01aa75ed71a1/language-en</w:t>
        </w:r>
      </w:hyperlink>
      <w:r>
        <w:rPr>
          <w:rFonts w:ascii="Times New Roman" w:hAnsi="Times New Roman"/>
        </w:rPr>
        <w:t>.</w:t>
      </w:r>
      <w:r>
        <w:t xml:space="preserve"> </w:t>
      </w:r>
    </w:p>
  </w:footnote>
  <w:footnote w:id="15">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t xml:space="preserve"> </w:t>
      </w:r>
      <w:r>
        <w:rPr>
          <w:rFonts w:ascii="Times New Roman" w:hAnsi="Times New Roman"/>
          <w:sz w:val="18"/>
          <w:szCs w:val="18"/>
        </w:rPr>
        <w:t xml:space="preserve">Komunikacija Komisije Europskom parlamentu, Vijeću, Europskom gospodarskom i socijalnom odboru i Odboru regija. Inicijativa za potporu ravnoteži između poslovnog i privatnog života zaposlenih roditelja i skrbnika. COM (2017)252 final. </w:t>
      </w:r>
    </w:p>
  </w:footnote>
  <w:footnote w:id="16">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t xml:space="preserve"> </w:t>
      </w:r>
      <w:r>
        <w:rPr>
          <w:rFonts w:ascii="Times New Roman" w:hAnsi="Times New Roman"/>
          <w:sz w:val="18"/>
          <w:szCs w:val="18"/>
        </w:rPr>
        <w:t>Prijedlog direktive Europskog parlamenta i Vijeća o ravnoteži između poslovnog i privatnog života roditelja i skrbnika i o stavljanju izvan snage Direktive Vijeća 2010/18/EU, COM(2017) 253 final.</w:t>
      </w:r>
    </w:p>
  </w:footnote>
  <w:footnote w:id="17">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t xml:space="preserve"> </w:t>
      </w:r>
      <w:r>
        <w:rPr>
          <w:rFonts w:ascii="Times New Roman" w:hAnsi="Times New Roman"/>
          <w:sz w:val="18"/>
          <w:szCs w:val="18"/>
        </w:rPr>
        <w:t>Prijedlog direktive o ravnoteži između poslovnog i privatnog života roditelja i skrbnika i o stavljanju izvan snage Direktive Vijeća 2010/18/EU, COM(188) 253 final.</w:t>
      </w:r>
    </w:p>
  </w:footnote>
  <w:footnote w:id="18">
    <w:p>
      <w:pPr>
        <w:pStyle w:val="FootnoteText"/>
        <w:rPr>
          <w:rFonts w:ascii="Times New Roman" w:hAnsi="Times New Roman" w:cs="Times New Roman"/>
        </w:rPr>
      </w:pPr>
      <w:r>
        <w:rPr>
          <w:rStyle w:val="FootnoteReference"/>
          <w:rFonts w:ascii="Times New Roman" w:hAnsi="Times New Roman" w:cs="Times New Roman"/>
          <w:sz w:val="18"/>
        </w:rPr>
        <w:footnoteRef/>
      </w:r>
      <w:r>
        <w:t xml:space="preserve"> </w:t>
      </w:r>
      <w:r>
        <w:rPr>
          <w:rFonts w:ascii="Times New Roman" w:hAnsi="Times New Roman"/>
          <w:sz w:val="18"/>
        </w:rPr>
        <w:t>Države članice ipak imaju pet godina (do 2. kolovoza 2024.) sa prenesu obvezu plaćanja zadnja dva tjedna roditeljskog dopusta (od dva primjereno plaćena, neprenosiva mjeseca).</w:t>
      </w:r>
    </w:p>
  </w:footnote>
  <w:footnote w:id="19">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t xml:space="preserve"> </w:t>
      </w:r>
      <w:r>
        <w:rPr>
          <w:rFonts w:ascii="Times New Roman" w:hAnsi="Times New Roman"/>
          <w:sz w:val="18"/>
          <w:szCs w:val="18"/>
        </w:rPr>
        <w:t xml:space="preserve">Odabrani projekti dostupni su na: </w:t>
      </w:r>
      <w:hyperlink r:id="rId14" w:history="1">
        <w:r>
          <w:rPr>
            <w:rStyle w:val="Hyperlink"/>
            <w:rFonts w:ascii="Times New Roman" w:hAnsi="Times New Roman"/>
            <w:sz w:val="18"/>
            <w:szCs w:val="18"/>
          </w:rPr>
          <w:t>https://ec.europa.eu/justice/grants1/calls/2015_action_grants/just_2015_rgen_ag_role_en.htm</w:t>
        </w:r>
      </w:hyperlink>
      <w:r>
        <w:rPr>
          <w:rFonts w:ascii="Times New Roman" w:hAnsi="Times New Roman"/>
          <w:sz w:val="18"/>
          <w:szCs w:val="18"/>
        </w:rPr>
        <w:t>.</w:t>
      </w:r>
    </w:p>
  </w:footnote>
  <w:footnote w:id="20">
    <w:p>
      <w:pPr>
        <w:pStyle w:val="FootnoteText"/>
      </w:pPr>
      <w:r>
        <w:rPr>
          <w:rStyle w:val="FootnoteReference"/>
        </w:rPr>
        <w:footnoteRef/>
      </w:r>
      <w:r>
        <w:t xml:space="preserve"> </w:t>
      </w:r>
      <w:r>
        <w:rPr>
          <w:rFonts w:ascii="Times New Roman" w:hAnsi="Times New Roman"/>
          <w:sz w:val="18"/>
          <w:szCs w:val="18"/>
        </w:rPr>
        <w:t xml:space="preserve">Odabrani projekti dostupni su na: </w:t>
      </w:r>
      <w:hyperlink r:id="rId15" w:history="1">
        <w:r>
          <w:rPr>
            <w:rStyle w:val="Hyperlink"/>
            <w:rFonts w:ascii="Times New Roman" w:hAnsi="Times New Roman"/>
            <w:sz w:val="18"/>
            <w:szCs w:val="18"/>
          </w:rPr>
          <w:t>https://ec.europa.eu/social/main.jsp?catId=632&amp;langId=en</w:t>
        </w:r>
      </w:hyperlink>
      <w:r>
        <w:rPr>
          <w:rFonts w:ascii="Times New Roman" w:hAnsi="Times New Roman"/>
          <w:sz w:val="18"/>
          <w:szCs w:val="18"/>
        </w:rPr>
        <w:t xml:space="preserve">. </w:t>
      </w:r>
    </w:p>
  </w:footnote>
  <w:footnote w:id="21">
    <w:p>
      <w:pPr>
        <w:pStyle w:val="FootnoteText"/>
      </w:pPr>
      <w:r>
        <w:rPr>
          <w:rStyle w:val="FootnoteReference"/>
          <w:rFonts w:ascii="Times New Roman" w:hAnsi="Times New Roman" w:cs="Times New Roman"/>
          <w:sz w:val="18"/>
          <w:szCs w:val="18"/>
        </w:rPr>
        <w:footnoteRef/>
      </w:r>
      <w:r>
        <w:t xml:space="preserve"> </w:t>
      </w:r>
      <w:r>
        <w:rPr>
          <w:rFonts w:ascii="Times New Roman" w:hAnsi="Times New Roman"/>
          <w:sz w:val="18"/>
          <w:szCs w:val="18"/>
        </w:rPr>
        <w:t xml:space="preserve">Europska mreža pravnih stručnjaka za rodnu ravnopravnost i nediskriminaciju, Roditeljski dopust: provedba zaštite od otkaza i nepovoljnog postupanja, 2018. Dostupno na </w:t>
      </w:r>
      <w:hyperlink r:id="rId16" w:history="1">
        <w:r>
          <w:rPr>
            <w:rStyle w:val="Hyperlink"/>
            <w:rFonts w:ascii="Times New Roman" w:hAnsi="Times New Roman"/>
            <w:sz w:val="18"/>
            <w:szCs w:val="18"/>
          </w:rPr>
          <w:t>https://www.equalitylaw.eu/downloads/4808-family-leave-enforcement-of-the-protection-against-dismissal-and-unfavourable-treatment-pdf-962-kb</w:t>
        </w:r>
      </w:hyperlink>
      <w:r>
        <w:rPr>
          <w:rFonts w:ascii="Times New Roman" w:hAnsi="Times New Roman"/>
          <w:sz w:val="18"/>
          <w:szCs w:val="18"/>
        </w:rPr>
        <w:t xml:space="preserve">. </w:t>
      </w:r>
    </w:p>
  </w:footnote>
  <w:footnote w:id="22">
    <w:p>
      <w:pPr>
        <w:pStyle w:val="FootnoteText"/>
        <w:rPr>
          <w:rFonts w:ascii="Times New Roman" w:hAnsi="Times New Roman" w:cs="Times New Roman"/>
        </w:rPr>
      </w:pPr>
      <w:r>
        <w:rPr>
          <w:rStyle w:val="FootnoteReference"/>
          <w:rFonts w:ascii="Times New Roman" w:hAnsi="Times New Roman" w:cs="Times New Roman"/>
          <w:sz w:val="18"/>
        </w:rPr>
        <w:footnoteRef/>
      </w:r>
      <w:r>
        <w:t xml:space="preserve"> </w:t>
      </w:r>
      <w:r>
        <w:rPr>
          <w:rFonts w:ascii="Times New Roman" w:hAnsi="Times New Roman"/>
          <w:sz w:val="18"/>
        </w:rPr>
        <w:t>Izvješće Komisije Europskom parlamentu, Vijeću, Europskom gospodarskom i socijalnom odboru i Odboru regija o razvoju ustanova za skrb o djeci za malu djecu s ciljem povećanja sudjelovanja žena na tržištu rada, uspostavljanja ravnoteže između poslovnog i privatnog života zaposlenih roditelja i ostvarivanja održivog i uključivog rasta u Europi („ciljevi iz Barcelone”), dostupno na</w:t>
      </w:r>
      <w:r>
        <w:t xml:space="preserve"> </w:t>
      </w:r>
      <w:hyperlink r:id="rId17" w:history="1">
        <w:r>
          <w:rPr>
            <w:rStyle w:val="Hyperlink"/>
            <w:rFonts w:ascii="Times New Roman" w:hAnsi="Times New Roman"/>
            <w:sz w:val="18"/>
          </w:rPr>
          <w:t>https://ec.europa.eu/info/sites/info/files/bcn_objectives-report2018_web_en.pdf</w:t>
        </w:r>
      </w:hyperlink>
      <w:r>
        <w:t>.</w:t>
      </w:r>
      <w:r>
        <w:rPr>
          <w:rFonts w:ascii="Times New Roman" w:hAnsi="Times New Roman"/>
          <w:sz w:val="18"/>
        </w:rPr>
        <w:t xml:space="preserve"> </w:t>
      </w:r>
    </w:p>
  </w:footnote>
  <w:footnote w:id="23">
    <w:p>
      <w:pPr>
        <w:pStyle w:val="FootnoteText"/>
        <w:rPr>
          <w:rFonts w:ascii="Times New Roman" w:hAnsi="Times New Roman" w:cs="Times New Roman"/>
          <w:sz w:val="18"/>
          <w:szCs w:val="18"/>
        </w:rPr>
      </w:pPr>
      <w:r>
        <w:rPr>
          <w:rStyle w:val="FootnoteReference"/>
        </w:rPr>
        <w:footnoteRef/>
      </w:r>
      <w:r>
        <w:t xml:space="preserve"> </w:t>
      </w:r>
      <w:r>
        <w:rPr>
          <w:rFonts w:ascii="Times New Roman" w:hAnsi="Times New Roman"/>
          <w:sz w:val="18"/>
          <w:szCs w:val="18"/>
        </w:rPr>
        <w:t>Eurostat, Istraživanje o radnoj snazi 2017.</w:t>
      </w:r>
    </w:p>
  </w:footnote>
  <w:footnote w:id="24">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hyperlink r:id="rId18" w:history="1">
        <w:r>
          <w:rPr>
            <w:rStyle w:val="Hyperlink"/>
            <w:rFonts w:ascii="Times New Roman" w:hAnsi="Times New Roman"/>
            <w:sz w:val="18"/>
            <w:szCs w:val="18"/>
          </w:rPr>
          <w:t>https://ec.europa.eu/transport/themes/social/women-transport-eu-platform-change_en</w:t>
        </w:r>
      </w:hyperlink>
      <w:r>
        <w:rPr>
          <w:rFonts w:ascii="Times New Roman" w:hAnsi="Times New Roman"/>
          <w:sz w:val="18"/>
          <w:szCs w:val="18"/>
        </w:rPr>
        <w:t xml:space="preserve">. </w:t>
      </w:r>
    </w:p>
  </w:footnote>
  <w:footnote w:id="2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9" w:history="1">
        <w:r>
          <w:rPr>
            <w:rStyle w:val="Hyperlink"/>
            <w:rFonts w:ascii="Times New Roman" w:hAnsi="Times New Roman"/>
          </w:rPr>
          <w:t>https://ec.europa.eu/transport/themes/social/events/2019-09-26-conf-inclusive-diverse-transport-sector_en</w:t>
        </w:r>
      </w:hyperlink>
      <w:r>
        <w:rPr>
          <w:rFonts w:ascii="Times New Roman" w:hAnsi="Times New Roman"/>
        </w:rPr>
        <w:t>.</w:t>
      </w:r>
    </w:p>
  </w:footnote>
  <w:footnote w:id="26">
    <w:p>
      <w:pPr>
        <w:pStyle w:val="FootnoteText"/>
        <w:rPr>
          <w:rFonts w:ascii="Times New Roman" w:hAnsi="Times New Roman" w:cs="Times New Roman"/>
        </w:rPr>
      </w:pPr>
      <w:r>
        <w:rPr>
          <w:rStyle w:val="FootnoteReference"/>
          <w:rFonts w:ascii="Times New Roman" w:hAnsi="Times New Roman" w:cs="Times New Roman"/>
          <w:sz w:val="18"/>
          <w:szCs w:val="18"/>
        </w:rPr>
        <w:footnoteRef/>
      </w:r>
      <w:r>
        <w:t xml:space="preserve"> </w:t>
      </w:r>
      <w:r>
        <w:rPr>
          <w:rFonts w:ascii="Times New Roman" w:hAnsi="Times New Roman"/>
          <w:sz w:val="18"/>
          <w:szCs w:val="18"/>
        </w:rPr>
        <w:t xml:space="preserve">Poslovni model za povećanje zaposlenosti žena u prometu. Završno izvješće, 2018. Dostupno na: </w:t>
      </w:r>
      <w:hyperlink r:id="rId20" w:history="1">
        <w:r>
          <w:rPr>
            <w:rStyle w:val="Hyperlink"/>
            <w:rFonts w:ascii="Times New Roman" w:hAnsi="Times New Roman"/>
            <w:sz w:val="18"/>
            <w:szCs w:val="18"/>
          </w:rPr>
          <w:t>https://ec.europa.eu/transport/sites/transport/files/2018-business-case-to-increase-female-employment-in-transport-final-report.pdf</w:t>
        </w:r>
      </w:hyperlink>
      <w:r>
        <w:rPr>
          <w:rFonts w:ascii="Times New Roman" w:hAnsi="Times New Roman"/>
          <w:sz w:val="18"/>
          <w:szCs w:val="18"/>
        </w:rPr>
        <w:t>.</w:t>
      </w:r>
      <w:r>
        <w:rPr>
          <w:rFonts w:ascii="Times New Roman" w:hAnsi="Times New Roman"/>
          <w:sz w:val="18"/>
        </w:rPr>
        <w:t xml:space="preserve">  </w:t>
      </w:r>
    </w:p>
  </w:footnote>
  <w:footnote w:id="27">
    <w:p>
      <w:pPr>
        <w:pStyle w:val="FootnoteText"/>
      </w:pPr>
      <w:r>
        <w:rPr>
          <w:rStyle w:val="FootnoteReference"/>
        </w:rPr>
        <w:footnoteRef/>
      </w:r>
      <w:r>
        <w:t xml:space="preserve"> </w:t>
      </w:r>
      <w:r>
        <w:rPr>
          <w:rFonts w:ascii="Times New Roman" w:hAnsi="Times New Roman"/>
        </w:rPr>
        <w:t>Žene u europskom prometu s naglaskom na istraživanje i inovacije. Europska unija 2019. Dostupno na: https://ec.europa.eu/jrc/en/publication/eur-scientific-and-technical-research-reports/women-european-transport-focus-research-and-innovation.</w:t>
      </w:r>
    </w:p>
  </w:footnote>
  <w:footnote w:id="28">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rPr>
        <w:t xml:space="preserve">https://ec.europa.eu/research/swafs. </w:t>
      </w:r>
    </w:p>
  </w:footnote>
  <w:footnote w:id="29">
    <w:p>
      <w:pPr>
        <w:pStyle w:val="FootnoteText"/>
      </w:pPr>
      <w:r>
        <w:rPr>
          <w:rStyle w:val="FootnoteReference"/>
        </w:rPr>
        <w:footnoteRef/>
      </w:r>
      <w:r>
        <w:t xml:space="preserve"> </w:t>
      </w:r>
      <w:r>
        <w:rPr>
          <w:rFonts w:ascii="Times New Roman" w:hAnsi="Times New Roman"/>
        </w:rPr>
        <w:t>Planovi suradnje za rodnu ravnopravnost R-I PEERS, SUPERA, CHANGE, Gender-SMART, SPEAR, GEARING ROLES, EQUAL4EUROPE, LeTSGEPs i CALIPER, svi navedeni pod naslovom „Projekti financirani iz okvirnih programa FP7 i H2020” na mjestu: https://ec.europa.eu/research/swafs/index.cfm?pg=policy&amp;lib=gender, te deseti plan suradnje za jednakost spolova, isto tako odabran u programu rada za 2019., za koji se čeka potpisivanje sporazuma o dodjeli bespovratnih sredstava.</w:t>
      </w:r>
    </w:p>
  </w:footnote>
  <w:footnote w:id="30">
    <w:p>
      <w:pPr>
        <w:pStyle w:val="FootnoteText"/>
      </w:pPr>
      <w:r>
        <w:rPr>
          <w:rStyle w:val="FootnoteReference"/>
        </w:rPr>
        <w:footnoteRef/>
      </w:r>
      <w:r>
        <w:t xml:space="preserve"> </w:t>
      </w:r>
      <w:r>
        <w:rPr>
          <w:rFonts w:ascii="Times New Roman" w:hAnsi="Times New Roman"/>
          <w:sz w:val="18"/>
          <w:szCs w:val="18"/>
        </w:rPr>
        <w:t xml:space="preserve">Projekt ACT: https://cordis.europa.eu/project/id/788204 i </w:t>
      </w:r>
      <w:hyperlink r:id="rId21" w:history="1">
        <w:r>
          <w:rPr>
            <w:rFonts w:ascii="Times New Roman" w:hAnsi="Times New Roman"/>
            <w:sz w:val="18"/>
            <w:szCs w:val="18"/>
          </w:rPr>
          <w:t>https://act-on-gender.eu/communities-practice</w:t>
        </w:r>
      </w:hyperlink>
      <w:r>
        <w:rPr>
          <w:rFonts w:ascii="Times New Roman" w:hAnsi="Times New Roman"/>
          <w:sz w:val="18"/>
          <w:szCs w:val="18"/>
        </w:rPr>
        <w:t>.</w:t>
      </w:r>
    </w:p>
  </w:footnote>
  <w:footnote w:id="31">
    <w:p>
      <w:pPr>
        <w:pStyle w:val="FootnoteText"/>
      </w:pPr>
      <w:r>
        <w:rPr>
          <w:rStyle w:val="FootnoteReference"/>
          <w:rFonts w:ascii="Times New Roman" w:hAnsi="Times New Roman" w:cs="Times New Roman"/>
          <w:sz w:val="18"/>
          <w:szCs w:val="18"/>
        </w:rPr>
        <w:footnoteRef/>
      </w:r>
      <w:r>
        <w:t xml:space="preserve"> </w:t>
      </w:r>
      <w:r>
        <w:rPr>
          <w:rFonts w:ascii="Times New Roman" w:hAnsi="Times New Roman"/>
          <w:sz w:val="18"/>
          <w:szCs w:val="18"/>
        </w:rPr>
        <w:t xml:space="preserve">Projekt GE Academy: https://cordis.europa.eu/project/id/824585 i </w:t>
      </w:r>
      <w:hyperlink r:id="rId22" w:history="1">
        <w:r>
          <w:rPr>
            <w:rFonts w:ascii="Times New Roman" w:hAnsi="Times New Roman"/>
            <w:sz w:val="18"/>
            <w:szCs w:val="18"/>
          </w:rPr>
          <w:t>https://ge-academy.eu/</w:t>
        </w:r>
      </w:hyperlink>
      <w:r>
        <w:rPr>
          <w:rFonts w:ascii="Times New Roman" w:hAnsi="Times New Roman"/>
          <w:sz w:val="18"/>
          <w:szCs w:val="18"/>
        </w:rPr>
        <w:t>.</w:t>
      </w:r>
      <w:r>
        <w:t xml:space="preserve">  </w:t>
      </w:r>
      <w:r>
        <w:rPr>
          <w:rFonts w:ascii="Times New Roman" w:hAnsi="Times New Roman"/>
          <w:sz w:val="18"/>
          <w:szCs w:val="18"/>
        </w:rPr>
        <w:t xml:space="preserve"> </w:t>
      </w:r>
    </w:p>
  </w:footnote>
  <w:footnote w:id="32">
    <w:p>
      <w:pPr>
        <w:pStyle w:val="FootnoteText"/>
      </w:pPr>
      <w:r>
        <w:rPr>
          <w:rStyle w:val="FootnoteReference"/>
          <w:rFonts w:ascii="Times New Roman" w:hAnsi="Times New Roman" w:cs="Times New Roman"/>
        </w:rPr>
        <w:footnoteRef/>
      </w:r>
      <w:r>
        <w:rPr>
          <w:rFonts w:ascii="Times New Roman" w:hAnsi="Times New Roman"/>
        </w:rPr>
        <w:t xml:space="preserve"> https://eige.europa.eu/gender-mainstreaming/toolkits/gear. </w:t>
      </w:r>
    </w:p>
  </w:footnote>
  <w:footnote w:id="33">
    <w:p>
      <w:pPr>
        <w:pStyle w:val="FootnoteText"/>
      </w:pPr>
      <w:r>
        <w:rPr>
          <w:rStyle w:val="FootnoteReference"/>
        </w:rPr>
        <w:footnoteRef/>
      </w:r>
      <w:r>
        <w:t xml:space="preserve"> </w:t>
      </w:r>
      <w:hyperlink r:id="rId23" w:history="1">
        <w:r>
          <w:rPr>
            <w:rStyle w:val="Hyperlink"/>
            <w:rFonts w:ascii="Times New Roman" w:hAnsi="Times New Roman"/>
            <w:sz w:val="18"/>
          </w:rPr>
          <w:t>https://ec.europa.eu/research/swafs/index.cfm?pg=library&amp;lib=gender_equality</w:t>
        </w:r>
      </w:hyperlink>
      <w:r>
        <w:rPr>
          <w:rFonts w:ascii="Times New Roman" w:hAnsi="Times New Roman"/>
          <w:sz w:val="18"/>
        </w:rPr>
        <w:t xml:space="preserve">. </w:t>
      </w:r>
    </w:p>
  </w:footnote>
  <w:footnote w:id="34">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t xml:space="preserve"> </w:t>
      </w:r>
      <w:r>
        <w:rPr>
          <w:rFonts w:ascii="Times New Roman" w:hAnsi="Times New Roman"/>
          <w:sz w:val="18"/>
          <w:szCs w:val="18"/>
        </w:rPr>
        <w:t>Direktiva 2006/54/EZ Europskog parlamenta i Vijeća od 5. srpnja 2006. o provedbi načela jednakih mogućnosti i jednakog postupanja prema muškarcima i ženama u pitanjima zapošljavanja i rada (preinaka), SL L 204, 26.7.2006., str. 23. – 26.</w:t>
      </w:r>
    </w:p>
  </w:footnote>
  <w:footnote w:id="35">
    <w:p>
      <w:pPr>
        <w:pStyle w:val="FootnoteText"/>
      </w:pPr>
      <w:r>
        <w:rPr>
          <w:rStyle w:val="FootnoteReference"/>
          <w:rFonts w:ascii="Times New Roman" w:hAnsi="Times New Roman" w:cs="Times New Roman"/>
          <w:sz w:val="18"/>
          <w:szCs w:val="18"/>
        </w:rPr>
        <w:footnoteRef/>
      </w:r>
      <w:r>
        <w:rPr>
          <w:rFonts w:ascii="Times New Roman" w:hAnsi="Times New Roman"/>
          <w:sz w:val="18"/>
          <w:szCs w:val="18"/>
        </w:rPr>
        <w:t xml:space="preserve"> Preporuka Komisije od 7. ožujka 2014. o jačanju načela jednake plaće za muškarce i žene transparentnim putem, COM(2014) 1405 final.</w:t>
      </w:r>
    </w:p>
  </w:footnote>
  <w:footnote w:id="36">
    <w:p>
      <w:pPr>
        <w:pStyle w:val="FootnoteText"/>
      </w:pPr>
      <w:r>
        <w:rPr>
          <w:rStyle w:val="FootnoteReference"/>
        </w:rPr>
        <w:footnoteRef/>
      </w:r>
      <w:r>
        <w:t xml:space="preserve"> </w:t>
      </w:r>
      <w:r>
        <w:rPr>
          <w:rFonts w:ascii="Times New Roman" w:hAnsi="Times New Roman"/>
        </w:rPr>
        <w:t>Ocjena relevantnih odredbi Direktive 2006/54/EZ o provedbi načela Ugovora o „jednakoj plaći za jednaki rad ili za rad jednake vrijednosti” SWD (2020)50.</w:t>
      </w:r>
    </w:p>
  </w:footnote>
  <w:footnote w:id="37">
    <w:p>
      <w:pPr>
        <w:pStyle w:val="FootnoteText"/>
        <w:rPr>
          <w:rFonts w:ascii="Times New Roman" w:hAnsi="Times New Roman" w:cs="Times New Roman"/>
        </w:rPr>
      </w:pPr>
      <w:r>
        <w:rPr>
          <w:rStyle w:val="FootnoteReference"/>
          <w:rFonts w:ascii="Times New Roman" w:hAnsi="Times New Roman" w:cs="Times New Roman"/>
          <w:sz w:val="18"/>
        </w:rPr>
        <w:footnoteRef/>
      </w:r>
      <w:r>
        <w:rPr>
          <w:rFonts w:ascii="Times New Roman" w:hAnsi="Times New Roman"/>
          <w:sz w:val="18"/>
        </w:rPr>
        <w:t xml:space="preserve"> Dostupno na: </w:t>
      </w:r>
      <w:hyperlink r:id="rId24" w:history="1">
        <w:r>
          <w:rPr>
            <w:rStyle w:val="Hyperlink"/>
            <w:rFonts w:ascii="Times New Roman" w:hAnsi="Times New Roman"/>
            <w:sz w:val="18"/>
          </w:rPr>
          <w:t>https://www.equalitylaw.eu/downloads/5002-national-cases-and-good-practices-on-equal-pay</w:t>
        </w:r>
      </w:hyperlink>
      <w:r>
        <w:rPr>
          <w:rFonts w:ascii="Times New Roman" w:hAnsi="Times New Roman"/>
          <w:sz w:val="18"/>
        </w:rPr>
        <w:t>.</w:t>
      </w:r>
    </w:p>
  </w:footnote>
  <w:footnote w:id="38">
    <w:p>
      <w:pPr>
        <w:pStyle w:val="FootnoteText"/>
        <w:rPr>
          <w:rFonts w:ascii="Times New Roman" w:hAnsi="Times New Roman" w:cs="Times New Roman"/>
        </w:rPr>
      </w:pPr>
      <w:r>
        <w:rPr>
          <w:rStyle w:val="FootnoteReference"/>
          <w:rFonts w:ascii="Times New Roman" w:hAnsi="Times New Roman" w:cs="Times New Roman"/>
          <w:sz w:val="18"/>
        </w:rPr>
        <w:footnoteRef/>
      </w:r>
      <w:r>
        <w:rPr>
          <w:rFonts w:ascii="Times New Roman" w:hAnsi="Times New Roman"/>
          <w:sz w:val="18"/>
        </w:rPr>
        <w:t xml:space="preserve"> </w:t>
      </w:r>
      <w:r>
        <w:t xml:space="preserve"> </w:t>
      </w:r>
      <w:r>
        <w:rPr>
          <w:rFonts w:ascii="Times New Roman" w:hAnsi="Times New Roman"/>
          <w:sz w:val="18"/>
        </w:rPr>
        <w:t xml:space="preserve">Pregled značajne sudske prakse Suda Europske unije: Dostupno na: </w:t>
      </w:r>
      <w:hyperlink r:id="rId25" w:history="1">
        <w:r>
          <w:rPr>
            <w:rStyle w:val="Hyperlink"/>
            <w:rFonts w:ascii="Times New Roman" w:hAnsi="Times New Roman"/>
            <w:sz w:val="18"/>
          </w:rPr>
          <w:t>https://op.europa.eu/fr/publication-detail/-/publication/8ecbe429-fb90-11e9-8c1f-01aa75ed71a1/language-en/format-PDF/source-107656972</w:t>
        </w:r>
      </w:hyperlink>
      <w:r>
        <w:rPr>
          <w:rFonts w:ascii="Times New Roman" w:hAnsi="Times New Roman"/>
          <w:sz w:val="18"/>
        </w:rPr>
        <w:t xml:space="preserve">. </w:t>
      </w:r>
    </w:p>
  </w:footnote>
  <w:footnote w:id="39">
    <w:p>
      <w:pPr>
        <w:pStyle w:val="FootnoteText"/>
        <w:rPr>
          <w:rFonts w:ascii="Times New Roman" w:hAnsi="Times New Roman" w:cs="Times New Roman"/>
          <w:sz w:val="18"/>
          <w:szCs w:val="18"/>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18"/>
        </w:rPr>
        <w:t xml:space="preserve">Europski institut za ravnopravnost spolova (EIGE): Borba protiv razlika u plaćama između muškaraca i žena: nikako bez bolje ravnoteže između poslovnog i privatnog života, 2019. </w:t>
      </w:r>
      <w:r>
        <w:rPr>
          <w:rFonts w:ascii="Times New Roman" w:hAnsi="Times New Roman"/>
          <w:sz w:val="18"/>
          <w:szCs w:val="18"/>
        </w:rPr>
        <w:t xml:space="preserve">Dostupno na: </w:t>
      </w:r>
      <w:hyperlink r:id="rId26" w:history="1">
        <w:r>
          <w:rPr>
            <w:rStyle w:val="Hyperlink"/>
            <w:rFonts w:ascii="Times New Roman" w:hAnsi="Times New Roman"/>
            <w:sz w:val="18"/>
            <w:szCs w:val="18"/>
          </w:rPr>
          <w:t>https://eige.europa.eu/publications/tackling-gender-pay-gap-not-without-better-work-life-balance</w:t>
        </w:r>
      </w:hyperlink>
      <w:r>
        <w:rPr>
          <w:rFonts w:ascii="Times New Roman" w:hAnsi="Times New Roman"/>
          <w:sz w:val="18"/>
          <w:szCs w:val="18"/>
        </w:rPr>
        <w:t xml:space="preserve">. </w:t>
      </w:r>
    </w:p>
  </w:footnote>
  <w:footnote w:id="40">
    <w:p>
      <w:pPr>
        <w:pStyle w:val="FootnoteText"/>
        <w:rPr>
          <w:rFonts w:ascii="Times New Roman" w:hAnsi="Times New Roman" w:cs="Times New Roman"/>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hyperlink r:id="rId27" w:history="1">
        <w:r>
          <w:rPr>
            <w:rStyle w:val="Hyperlink"/>
            <w:rFonts w:ascii="Times New Roman" w:hAnsi="Times New Roman"/>
          </w:rPr>
          <w:t>https://data.consilium.europa.eu/doc/document/ST-9804-2019-INIT/en/pdf</w:t>
        </w:r>
      </w:hyperlink>
      <w:r>
        <w:rPr>
          <w:rFonts w:ascii="Times New Roman" w:hAnsi="Times New Roman"/>
        </w:rPr>
        <w:t xml:space="preserve">. </w:t>
      </w:r>
    </w:p>
  </w:footnote>
  <w:footnote w:id="41">
    <w:p>
      <w:pPr>
        <w:pStyle w:val="FootnoteText"/>
      </w:pPr>
      <w:r>
        <w:rPr>
          <w:rStyle w:val="FootnoteReference"/>
        </w:rPr>
        <w:footnoteRef/>
      </w:r>
      <w:r>
        <w:t xml:space="preserve"> </w:t>
      </w:r>
      <w:hyperlink r:id="rId28" w:history="1">
        <w:r>
          <w:rPr>
            <w:rStyle w:val="Hyperlink"/>
            <w:rFonts w:ascii="Times New Roman" w:hAnsi="Times New Roman"/>
          </w:rPr>
          <w:t>https://data.consilium.europa.eu/doc/document/ST-13432-2019-INIT/en/pdf</w:t>
        </w:r>
      </w:hyperlink>
      <w:r>
        <w:rPr>
          <w:rFonts w:ascii="Times New Roman" w:hAnsi="Times New Roman"/>
        </w:rPr>
        <w:t>.</w:t>
      </w:r>
      <w:r>
        <w:t xml:space="preserve"> </w:t>
      </w:r>
    </w:p>
  </w:footnote>
  <w:footnote w:id="4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18"/>
          <w:szCs w:val="18"/>
        </w:rPr>
        <w:t>AT, CZ, DE, EE, FI, PT, SK, UK.</w:t>
      </w:r>
    </w:p>
  </w:footnote>
  <w:footnote w:id="4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18"/>
        </w:rPr>
        <w:t>Estonija.</w:t>
      </w:r>
    </w:p>
  </w:footnote>
  <w:footnote w:id="4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18"/>
          <w:szCs w:val="18"/>
        </w:rPr>
        <w:t xml:space="preserve">AT, CZ, DE, EE, FI, FR, HU, MT, PT, SK, UK. </w:t>
      </w:r>
    </w:p>
  </w:footnote>
  <w:footnote w:id="4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18"/>
        </w:rPr>
        <w:t>Estonija.</w:t>
      </w:r>
    </w:p>
  </w:footnote>
  <w:footnote w:id="46">
    <w:p>
      <w:pPr>
        <w:pStyle w:val="FootnoteText"/>
      </w:pPr>
      <w:r>
        <w:rPr>
          <w:rStyle w:val="FootnoteReference"/>
        </w:rPr>
        <w:footnoteRef/>
      </w:r>
      <w:r>
        <w:t xml:space="preserve"> </w:t>
      </w:r>
      <w:r>
        <w:rPr>
          <w:rFonts w:ascii="Times New Roman" w:hAnsi="Times New Roman"/>
          <w:sz w:val="18"/>
          <w:szCs w:val="18"/>
        </w:rPr>
        <w:t xml:space="preserve">Za materijale vidjeti </w:t>
      </w:r>
      <w:hyperlink r:id="rId29" w:history="1">
        <w:r>
          <w:rPr>
            <w:rFonts w:ascii="Times New Roman" w:hAnsi="Times New Roman"/>
            <w:sz w:val="18"/>
            <w:szCs w:val="18"/>
          </w:rPr>
          <w:t>https://ec.europa.eu/info/publications/eu-mutual-learning-programme-gender-equality-equal-pay-iceland-27-28-may-2019_en</w:t>
        </w:r>
      </w:hyperlink>
      <w:r>
        <w:rPr>
          <w:rFonts w:ascii="Times New Roman" w:hAnsi="Times New Roman"/>
          <w:sz w:val="18"/>
          <w:szCs w:val="18"/>
        </w:rPr>
        <w:t>.</w:t>
      </w:r>
    </w:p>
  </w:footnote>
  <w:footnote w:id="47">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t xml:space="preserve"> </w:t>
      </w:r>
      <w:r>
        <w:rPr>
          <w:rFonts w:ascii="Times New Roman" w:hAnsi="Times New Roman"/>
          <w:sz w:val="18"/>
          <w:szCs w:val="18"/>
        </w:rPr>
        <w:t xml:space="preserve">Vidjeti npr. Rezoluciju Europskog parlamenta od 10. listopada 2019. o zapošljavanju i socijalnoj politici europodručja (2019/2111(INI)), Rezoluciju Europskog parlamenta od 17. travnja 2018. o rodnoj ravnopravnosti u medijskom sektoru u EU-u (2017/2210(INI)). Također Rezoluciju Europskog parlamenta od 30. siječnja 2020. o rodno uvjetovanoj razlici u plaćama (2019/2870(RSP)), donesenoj izvan razdoblja provedbe akcijskog plana. </w:t>
      </w:r>
    </w:p>
  </w:footnote>
  <w:footnote w:id="48">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t xml:space="preserve"> </w:t>
      </w:r>
      <w:r>
        <w:rPr>
          <w:rFonts w:ascii="Times New Roman" w:hAnsi="Times New Roman"/>
          <w:sz w:val="18"/>
          <w:szCs w:val="18"/>
        </w:rPr>
        <w:t>Rezolucija Europskog parlamenta od 30. siječnja 2020. o rodno uvjetovanoj razlici u plaćama (2019/2870 (RSP)), Rezolucija Europskog parlamenta od 15. siječnja 2019. o ravnopravnosti spolova i politikama oporezivanja u EU-u (2018/2095 (INI)) i Rezolucija Europskog parlamenta od 10. listopada 2019. o politici zapošljavanja i socijalnoj politici europodručja (2019/2111(INI)).</w:t>
      </w:r>
    </w:p>
  </w:footnote>
  <w:footnote w:id="49">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t xml:space="preserve"> </w:t>
      </w:r>
      <w:r>
        <w:rPr>
          <w:rFonts w:ascii="Times New Roman" w:hAnsi="Times New Roman"/>
          <w:sz w:val="18"/>
          <w:szCs w:val="18"/>
        </w:rPr>
        <w:t>Na primjer, rasprava Odbora FEMM od 9. srpnja 2018. o Akcijskom planu EU-a za borbu protiv razlike u plaćama između spolova.</w:t>
      </w:r>
    </w:p>
  </w:footnote>
  <w:footnote w:id="50">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Mišljenje Europskog gospodarskog i socijalnog odbora o Akcijskom planu EU-a za razdoblje 2017. – 2019. – Borba protiv razlika u plaćama između spolova, travanj 2018., dostupno na </w:t>
      </w:r>
      <w:hyperlink r:id="rId30" w:history="1">
        <w:r>
          <w:rPr>
            <w:rStyle w:val="Hyperlink"/>
            <w:rFonts w:ascii="Times New Roman" w:hAnsi="Times New Roman"/>
            <w:sz w:val="18"/>
            <w:szCs w:val="18"/>
          </w:rPr>
          <w:t>https://www.eesc.europa.eu/en/our-work/opinions-information-reports/opinions/eu-action-plan-2017-2019-tackling-gender-pay-gap</w:t>
        </w:r>
      </w:hyperlink>
      <w:r>
        <w:rPr>
          <w:rFonts w:ascii="Times New Roman" w:hAnsi="Times New Roman"/>
          <w:sz w:val="18"/>
          <w:szCs w:val="18"/>
        </w:rPr>
        <w:t xml:space="preserve">. </w:t>
      </w:r>
    </w:p>
  </w:footnote>
  <w:footnote w:id="51">
    <w:p>
      <w:pPr>
        <w:pStyle w:val="FootnoteText"/>
      </w:pPr>
      <w:r>
        <w:rPr>
          <w:rStyle w:val="FootnoteReference"/>
          <w:rFonts w:ascii="Times New Roman" w:hAnsi="Times New Roman" w:cs="Times New Roman"/>
          <w:sz w:val="18"/>
          <w:szCs w:val="18"/>
        </w:rPr>
        <w:footnoteRef/>
      </w:r>
      <w:r>
        <w:t xml:space="preserve"> </w:t>
      </w:r>
      <w:r>
        <w:rPr>
          <w:rFonts w:ascii="Times New Roman" w:hAnsi="Times New Roman"/>
          <w:sz w:val="18"/>
          <w:szCs w:val="18"/>
        </w:rPr>
        <w:t xml:space="preserve">Za odabrane projekte vidjeti: </w:t>
      </w:r>
      <w:hyperlink r:id="rId31" w:history="1">
        <w:r>
          <w:rPr>
            <w:rStyle w:val="Hyperlink"/>
            <w:rFonts w:ascii="Times New Roman" w:hAnsi="Times New Roman"/>
            <w:sz w:val="18"/>
            <w:szCs w:val="18"/>
          </w:rPr>
          <w:t>https://ec.europa.eu/justice/grants1/calls/2015_action_grants/just_2015_rgen_ag_role_en.htm</w:t>
        </w:r>
      </w:hyperlink>
      <w:r>
        <w:rPr>
          <w:rFonts w:ascii="Times New Roman" w:hAnsi="Times New Roman"/>
          <w:sz w:val="18"/>
          <w:szCs w:val="18"/>
        </w:rPr>
        <w:t xml:space="preserve">. </w:t>
      </w:r>
    </w:p>
  </w:footnote>
  <w:footnote w:id="52">
    <w:p>
      <w:pPr>
        <w:pStyle w:val="FootnoteText"/>
        <w:rPr>
          <w:rFonts w:ascii="Times New Roman" w:hAnsi="Times New Roman" w:cs="Times New Roman"/>
        </w:rPr>
      </w:pPr>
      <w:r>
        <w:rPr>
          <w:rStyle w:val="FootnoteReference"/>
          <w:rFonts w:ascii="Times New Roman" w:hAnsi="Times New Roman" w:cs="Times New Roman"/>
          <w:sz w:val="18"/>
        </w:rPr>
        <w:footnoteRef/>
      </w:r>
      <w:r>
        <w:t xml:space="preserve"> </w:t>
      </w:r>
      <w:r>
        <w:rPr>
          <w:rFonts w:ascii="Times New Roman" w:hAnsi="Times New Roman"/>
          <w:sz w:val="18"/>
        </w:rPr>
        <w:t>Priznati europski socijalni partner koji predstavlja radnike u sektoru obrazovanja.</w:t>
      </w:r>
    </w:p>
  </w:footnote>
  <w:footnote w:id="53">
    <w:p>
      <w:pPr>
        <w:pStyle w:val="FootnoteText"/>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Odabrani projekti dostupni su na: </w:t>
      </w:r>
      <w:hyperlink r:id="rId32" w:history="1">
        <w:r>
          <w:rPr>
            <w:rStyle w:val="Hyperlink"/>
            <w:rFonts w:ascii="Times New Roman" w:hAnsi="Times New Roman"/>
          </w:rPr>
          <w:t>https://ec.europa.eu/info/funding-tenders/opportunities/portal/screen/opportunities/topic-details/rec-rgen-wwlb-ag-2018</w:t>
        </w:r>
      </w:hyperlink>
      <w:r>
        <w:rPr>
          <w:rFonts w:ascii="Times New Roman" w:hAnsi="Times New Roman"/>
        </w:rPr>
        <w:t xml:space="preserve">. </w:t>
      </w:r>
    </w:p>
  </w:footnote>
  <w:footnote w:id="54">
    <w:p>
      <w:pPr>
        <w:pStyle w:val="FootnoteText"/>
      </w:pPr>
      <w:r>
        <w:rPr>
          <w:rStyle w:val="FootnoteReference"/>
        </w:rPr>
        <w:footnoteRef/>
      </w:r>
      <w:r>
        <w:t xml:space="preserve"> </w:t>
      </w:r>
      <w:hyperlink r:id="rId33" w:history="1">
        <w:r>
          <w:rPr>
            <w:rFonts w:ascii="Times New Roman" w:hAnsi="Times New Roman"/>
            <w:sz w:val="18"/>
            <w:szCs w:val="18"/>
          </w:rPr>
          <w:t>https://ec.europa.eu/newsroom/just/item-detail.cfm?item_id=115277</w:t>
        </w:r>
      </w:hyperlink>
      <w:r>
        <w:rPr>
          <w:rFonts w:ascii="Times New Roman" w:hAnsi="Times New Roman"/>
          <w:sz w:val="18"/>
          <w:szCs w:val="18"/>
        </w:rPr>
        <w:t>.</w:t>
      </w:r>
    </w:p>
  </w:footnote>
  <w:footnote w:id="55">
    <w:p>
      <w:pPr>
        <w:pStyle w:val="FootnoteText"/>
      </w:pPr>
      <w:r>
        <w:rPr>
          <w:rStyle w:val="FootnoteReference"/>
        </w:rPr>
        <w:footnoteRef/>
      </w:r>
      <w:r>
        <w:t xml:space="preserve"> </w:t>
      </w:r>
      <w:hyperlink r:id="rId34" w:history="1">
        <w:r>
          <w:rPr>
            <w:rFonts w:ascii="Times New Roman" w:hAnsi="Times New Roman"/>
            <w:sz w:val="18"/>
            <w:szCs w:val="18"/>
          </w:rPr>
          <w:t>https://ec.europa.eu/info/events/annual-colloquium-fundamental-rights/2018-annual-colloquium-fundamental-rights-2018-nov-26_en</w:t>
        </w:r>
      </w:hyperlink>
      <w:r>
        <w:rPr>
          <w:rFonts w:ascii="Times New Roman" w:hAnsi="Times New Roman"/>
          <w:sz w:val="18"/>
          <w:szCs w:val="18"/>
        </w:rPr>
        <w:t xml:space="preserve">.   </w:t>
      </w:r>
    </w:p>
  </w:footnote>
  <w:footnote w:id="5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Unija ravnopravnosti:  Strategija za rodnu ravnopravnost 2020. – 2025., COM(2020)152.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96626"/>
    <w:multiLevelType w:val="hybridMultilevel"/>
    <w:tmpl w:val="167E1E8A"/>
    <w:lvl w:ilvl="0" w:tplc="1F961EDC">
      <w:start w:val="1"/>
      <w:numFmt w:val="bullet"/>
      <w:pStyle w:val="Briefinglist1"/>
      <w:lvlText w:val=""/>
      <w:lvlJc w:val="left"/>
      <w:pPr>
        <w:tabs>
          <w:tab w:val="num" w:pos="568"/>
        </w:tabs>
        <w:ind w:left="568" w:hanging="284"/>
      </w:pPr>
      <w:rPr>
        <w:rFonts w:ascii="Symbol" w:hAnsi="Symbol" w:hint="default"/>
        <w:b w:val="0"/>
        <w:i w:val="0"/>
        <w:color w:val="auto"/>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nsid w:val="1C547AD0"/>
    <w:multiLevelType w:val="hybridMultilevel"/>
    <w:tmpl w:val="ACBAF5FC"/>
    <w:lvl w:ilvl="0" w:tplc="19A4FD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AD404E"/>
    <w:multiLevelType w:val="hybridMultilevel"/>
    <w:tmpl w:val="49188170"/>
    <w:lvl w:ilvl="0" w:tplc="19A4FD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233C87"/>
    <w:multiLevelType w:val="multilevel"/>
    <w:tmpl w:val="6E5C4CEA"/>
    <w:lvl w:ilvl="0">
      <w:start w:val="1"/>
      <w:numFmt w:val="decimal"/>
      <w:pStyle w:val="Heading1"/>
      <w:lvlText w:val="%1."/>
      <w:lvlJc w:val="left"/>
      <w:pPr>
        <w:ind w:left="716" w:hanging="432"/>
      </w:pPr>
      <w:rPr>
        <w:rFonts w:hint="default"/>
      </w:rPr>
    </w:lvl>
    <w:lvl w:ilvl="1">
      <w:start w:val="1"/>
      <w:numFmt w:val="decimal"/>
      <w:pStyle w:val="Heading2"/>
      <w:lvlText w:val="%1.%2"/>
      <w:lvlJc w:val="left"/>
      <w:pPr>
        <w:ind w:left="859"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66657A22"/>
    <w:multiLevelType w:val="hybridMultilevel"/>
    <w:tmpl w:val="6B6ECC0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A2726E1"/>
    <w:multiLevelType w:val="hybridMultilevel"/>
    <w:tmpl w:val="7C8206E0"/>
    <w:lvl w:ilvl="0" w:tplc="19A4FD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E56BCD"/>
    <w:multiLevelType w:val="hybridMultilevel"/>
    <w:tmpl w:val="CAA4B4BE"/>
    <w:lvl w:ilvl="0" w:tplc="19A4FD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2"/>
  </w:num>
  <w:num w:numId="6">
    <w:abstractNumId w:val="5"/>
  </w:num>
  <w:num w:numId="7">
    <w:abstractNumId w:val="3"/>
  </w:num>
  <w:num w:numId="8">
    <w:abstractNumId w:val="3"/>
  </w:num>
  <w:num w:numId="9">
    <w:abstractNumId w:val="3"/>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fr-BE"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it-IT" w:vendorID="64" w:dllVersion="131078" w:nlCheck="1" w:checkStyle="0"/>
  <w:revisionView w:markup="0"/>
  <w:defaultTabStop w:val="720"/>
  <w:hyphenationZone w:val="425"/>
  <w:characterSpacingControl w:val="doNotCompress"/>
  <w:hdrShapeDefaults>
    <o:shapedefaults v:ext="edit" spidmax="317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797ADC2-71FE-4489-855A-550B2B7B0F94"/>
    <w:docVar w:name="LW_COVERPAGE_TYPE" w:val="1"/>
    <w:docVar w:name="LW_CROSSREFERENCE" w:val="{SWD(2020) 101 final}"/>
    <w:docVar w:name="LW_DocType" w:val="NORMAL"/>
    <w:docVar w:name="LW_EMISSION" w:val="5.3.2020."/>
    <w:docVar w:name="LW_EMISSION_ISODATE" w:val="2020-03-05"/>
    <w:docVar w:name="LW_EMISSION_LOCATION" w:val="BRX"/>
    <w:docVar w:name="LW_EMISSION_PREFIX" w:val="Bruxelles, "/>
    <w:docVar w:name="LW_EMISSION_SUFFIX" w:val="&lt;EMPTY&gt;"/>
    <w:docVar w:name="LW_ID_DOCTYPE_NONLW" w:val="CP-008"/>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20) 10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 provedbi akcijskog plana EU-a o borbi protiv razlike u pla\u263?ama izme\u273?u spolova za razdoblje 2017.-2019._x000d__x000d__x000d__x000b__x000d__x000d__x000d__x000d__x000b__x000d__x000d__x000d__x000d__x000d__x000d__x000b__x000d__x000d__x000d__x000d__x000d__x000d__x000d__x000d__x000d__x000b_ "/>
    <w:docVar w:name="LW_TYPE.DOC.CP" w:val="IZVJE\u352?\u262?E KOMISIJE EUROPSKOM PARLAMENTU, VIJE\u262?U, EUROPSKOM GOSPODARSKOM I SOCIJALNOM ODBORU I ODBORU REGIJ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0"/>
    <w:qFormat/>
    <w:pPr>
      <w:keepNext/>
      <w:numPr>
        <w:numId w:val="2"/>
      </w:numPr>
      <w:spacing w:before="240" w:after="240" w:line="240" w:lineRule="auto"/>
      <w:jc w:val="both"/>
      <w:outlineLvl w:val="0"/>
    </w:pPr>
    <w:rPr>
      <w:rFonts w:ascii="Times New Roman" w:eastAsia="Times New Roman" w:hAnsi="Times New Roman" w:cs="Times New Roman"/>
      <w:b/>
      <w:smallCaps/>
      <w:sz w:val="24"/>
      <w:szCs w:val="20"/>
      <w:lang w:eastAsia="en-IE"/>
    </w:rPr>
  </w:style>
  <w:style w:type="paragraph" w:styleId="Heading2">
    <w:name w:val="heading 2"/>
    <w:basedOn w:val="Normal"/>
    <w:next w:val="Normal"/>
    <w:link w:val="Heading2Char"/>
    <w:uiPriority w:val="90"/>
    <w:qFormat/>
    <w:pPr>
      <w:keepNext/>
      <w:numPr>
        <w:ilvl w:val="1"/>
        <w:numId w:val="2"/>
      </w:numPr>
      <w:spacing w:after="240" w:line="240" w:lineRule="auto"/>
      <w:jc w:val="both"/>
      <w:outlineLvl w:val="1"/>
    </w:pPr>
    <w:rPr>
      <w:rFonts w:ascii="Times New Roman" w:eastAsia="Times New Roman" w:hAnsi="Times New Roman" w:cs="Times New Roman"/>
      <w:b/>
      <w:sz w:val="24"/>
      <w:szCs w:val="20"/>
      <w:lang w:eastAsia="en-IE"/>
    </w:rPr>
  </w:style>
  <w:style w:type="paragraph" w:styleId="Heading3">
    <w:name w:val="heading 3"/>
    <w:basedOn w:val="Normal"/>
    <w:next w:val="Normal"/>
    <w:link w:val="Heading3Char"/>
    <w:uiPriority w:val="90"/>
    <w:qFormat/>
    <w:pPr>
      <w:keepNext/>
      <w:numPr>
        <w:ilvl w:val="2"/>
        <w:numId w:val="2"/>
      </w:numPr>
      <w:spacing w:after="240" w:line="240" w:lineRule="auto"/>
      <w:jc w:val="both"/>
      <w:outlineLvl w:val="2"/>
    </w:pPr>
    <w:rPr>
      <w:rFonts w:ascii="Times New Roman" w:eastAsia="Times New Roman" w:hAnsi="Times New Roman" w:cs="Times New Roman"/>
      <w:i/>
      <w:sz w:val="24"/>
      <w:szCs w:val="20"/>
      <w:lang w:eastAsia="en-IE"/>
    </w:rPr>
  </w:style>
  <w:style w:type="paragraph" w:styleId="Heading4">
    <w:name w:val="heading 4"/>
    <w:basedOn w:val="Normal"/>
    <w:next w:val="Normal"/>
    <w:link w:val="Heading4Char"/>
    <w:uiPriority w:val="9"/>
    <w:semiHidden/>
    <w:unhideWhenUsed/>
    <w:qFormat/>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Footnote text,fn,Schriftart: 9 pt,Schriftart: 10 pt,Schriftart: 8 pt,WB-Fußnotentext,Voetnoottekst Char,Voetnoottekst Char1,Voetnoottekst Char2 Char Char,Voetnoottekst Char Char1 Char Char,Voetnoottekst Char1 Char Char Char Char,ft,Fußnote"/>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fn Char,Schriftart: 9 pt Char,Schriftart: 10 pt Char,Schriftart: 8 pt Char,WB-Fußnotentext Char,Voetnoottekst Char Char,Voetnoottekst Char1 Char,Voetnoottekst Char2 Char Char Char,ft Char,Fußnote Char"/>
    <w:basedOn w:val="DefaultParagraphFont"/>
    <w:link w:val="FootnoteText"/>
    <w:uiPriority w:val="99"/>
    <w:qFormat/>
    <w:rPr>
      <w:sz w:val="20"/>
      <w:szCs w:val="20"/>
      <w:lang w:val="hr-HR"/>
    </w:rPr>
  </w:style>
  <w:style w:type="character" w:styleId="FootnoteReference">
    <w:name w:val="footnote reference"/>
    <w:aliases w:val="Footnote Reference Superscript,BVI fnr,Footnote symbol,Footnote reference number,number,note TESI,SUPERS,EN Footnote Reference,Times 10 Point,Exposant 3 Point,Footnote Reference_LVL6,Footnote,Footnote number, BVI fnr,Nota,Ref,o"/>
    <w:basedOn w:val="DefaultParagraphFont"/>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160" w:line="240" w:lineRule="auto"/>
    </w:pPr>
    <w:rPr>
      <w:sz w:val="20"/>
      <w:szCs w:val="20"/>
    </w:rPr>
  </w:style>
  <w:style w:type="character" w:customStyle="1" w:styleId="CommentTextChar">
    <w:name w:val="Comment Text Char"/>
    <w:basedOn w:val="DefaultParagraphFont"/>
    <w:link w:val="CommentText"/>
    <w:uiPriority w:val="99"/>
    <w:rPr>
      <w:sz w:val="20"/>
      <w:szCs w:val="20"/>
      <w:lang w:val="hr-HR"/>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erence0">
    <w:name w:val="footnotereference"/>
    <w:basedOn w:val="DefaultParagraphFont"/>
  </w:style>
  <w:style w:type="paragraph" w:styleId="ListBullet">
    <w:name w:val="List Bullet"/>
    <w:basedOn w:val="Normal"/>
    <w:pPr>
      <w:tabs>
        <w:tab w:val="num" w:pos="283"/>
      </w:tabs>
      <w:spacing w:after="240" w:line="240" w:lineRule="auto"/>
      <w:ind w:left="283" w:hanging="283"/>
      <w:jc w:val="both"/>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pPr>
      <w:spacing w:after="200"/>
    </w:pPr>
    <w:rPr>
      <w:b/>
      <w:bCs/>
    </w:rPr>
  </w:style>
  <w:style w:type="character" w:customStyle="1" w:styleId="CommentSubjectChar">
    <w:name w:val="Comment Subject Char"/>
    <w:basedOn w:val="CommentTextChar"/>
    <w:link w:val="CommentSubject"/>
    <w:uiPriority w:val="99"/>
    <w:semiHidden/>
    <w:rPr>
      <w:b/>
      <w:bCs/>
      <w:sz w:val="20"/>
      <w:szCs w:val="20"/>
      <w:lang w:val="hr-HR"/>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val="hr-HR" w:eastAsia="en-IE"/>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val="hr-HR" w:eastAsia="en-IE"/>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val="hr-HR" w:eastAsia="en-IE"/>
    </w:rPr>
  </w:style>
  <w:style w:type="paragraph" w:customStyle="1" w:styleId="Briefinglist1">
    <w:name w:val="Briefing list 1"/>
    <w:basedOn w:val="Normal"/>
    <w:link w:val="Briefinglist1Char"/>
    <w:qFormat/>
    <w:pPr>
      <w:keepLines/>
      <w:numPr>
        <w:numId w:val="1"/>
      </w:numPr>
      <w:spacing w:after="120" w:line="240" w:lineRule="auto"/>
      <w:jc w:val="both"/>
    </w:pPr>
    <w:rPr>
      <w:rFonts w:ascii="Arial" w:eastAsia="Times New Roman" w:hAnsi="Arial" w:cs="Arial"/>
      <w:szCs w:val="24"/>
    </w:rPr>
  </w:style>
  <w:style w:type="character" w:customStyle="1" w:styleId="Briefinglist1Char">
    <w:name w:val="Briefing list 1 Char"/>
    <w:link w:val="Briefinglist1"/>
    <w:locked/>
    <w:rPr>
      <w:rFonts w:ascii="Arial" w:eastAsia="Times New Roman" w:hAnsi="Arial" w:cs="Arial"/>
      <w:szCs w:val="24"/>
    </w:rPr>
  </w:style>
  <w:style w:type="paragraph" w:styleId="NormalWeb">
    <w:name w:val="Normal (Web)"/>
    <w:basedOn w:val="Normal"/>
    <w:uiPriority w:val="99"/>
    <w:unhideWhenUsed/>
    <w:pPr>
      <w:spacing w:after="192"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customStyle="1" w:styleId="Default">
    <w:name w:val="Default"/>
    <w:pPr>
      <w:autoSpaceDE w:val="0"/>
      <w:autoSpaceDN w:val="0"/>
      <w:adjustRightInd w:val="0"/>
      <w:spacing w:after="0" w:line="240" w:lineRule="auto"/>
    </w:pPr>
    <w:rPr>
      <w:rFonts w:ascii="Roboto Bk" w:hAnsi="Roboto Bk" w:cs="Roboto Bk"/>
      <w:color w:val="000000"/>
      <w:sz w:val="24"/>
      <w:szCs w:val="24"/>
    </w:rPr>
  </w:style>
  <w:style w:type="character" w:styleId="Emphasis">
    <w:name w:val="Emphasis"/>
    <w:basedOn w:val="DefaultParagraphFont"/>
    <w:uiPriority w:val="20"/>
    <w:qFormat/>
    <w:rPr>
      <w:i/>
      <w:iCs/>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0"/>
    <w:qFormat/>
    <w:pPr>
      <w:keepNext/>
      <w:numPr>
        <w:numId w:val="2"/>
      </w:numPr>
      <w:spacing w:before="240" w:after="240" w:line="240" w:lineRule="auto"/>
      <w:jc w:val="both"/>
      <w:outlineLvl w:val="0"/>
    </w:pPr>
    <w:rPr>
      <w:rFonts w:ascii="Times New Roman" w:eastAsia="Times New Roman" w:hAnsi="Times New Roman" w:cs="Times New Roman"/>
      <w:b/>
      <w:smallCaps/>
      <w:sz w:val="24"/>
      <w:szCs w:val="20"/>
      <w:lang w:eastAsia="en-IE"/>
    </w:rPr>
  </w:style>
  <w:style w:type="paragraph" w:styleId="Heading2">
    <w:name w:val="heading 2"/>
    <w:basedOn w:val="Normal"/>
    <w:next w:val="Normal"/>
    <w:link w:val="Heading2Char"/>
    <w:uiPriority w:val="90"/>
    <w:qFormat/>
    <w:pPr>
      <w:keepNext/>
      <w:numPr>
        <w:ilvl w:val="1"/>
        <w:numId w:val="2"/>
      </w:numPr>
      <w:spacing w:after="240" w:line="240" w:lineRule="auto"/>
      <w:jc w:val="both"/>
      <w:outlineLvl w:val="1"/>
    </w:pPr>
    <w:rPr>
      <w:rFonts w:ascii="Times New Roman" w:eastAsia="Times New Roman" w:hAnsi="Times New Roman" w:cs="Times New Roman"/>
      <w:b/>
      <w:sz w:val="24"/>
      <w:szCs w:val="20"/>
      <w:lang w:eastAsia="en-IE"/>
    </w:rPr>
  </w:style>
  <w:style w:type="paragraph" w:styleId="Heading3">
    <w:name w:val="heading 3"/>
    <w:basedOn w:val="Normal"/>
    <w:next w:val="Normal"/>
    <w:link w:val="Heading3Char"/>
    <w:uiPriority w:val="90"/>
    <w:qFormat/>
    <w:pPr>
      <w:keepNext/>
      <w:numPr>
        <w:ilvl w:val="2"/>
        <w:numId w:val="2"/>
      </w:numPr>
      <w:spacing w:after="240" w:line="240" w:lineRule="auto"/>
      <w:jc w:val="both"/>
      <w:outlineLvl w:val="2"/>
    </w:pPr>
    <w:rPr>
      <w:rFonts w:ascii="Times New Roman" w:eastAsia="Times New Roman" w:hAnsi="Times New Roman" w:cs="Times New Roman"/>
      <w:i/>
      <w:sz w:val="24"/>
      <w:szCs w:val="20"/>
      <w:lang w:eastAsia="en-IE"/>
    </w:rPr>
  </w:style>
  <w:style w:type="paragraph" w:styleId="Heading4">
    <w:name w:val="heading 4"/>
    <w:basedOn w:val="Normal"/>
    <w:next w:val="Normal"/>
    <w:link w:val="Heading4Char"/>
    <w:uiPriority w:val="9"/>
    <w:semiHidden/>
    <w:unhideWhenUsed/>
    <w:qFormat/>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Footnote text,fn,Schriftart: 9 pt,Schriftart: 10 pt,Schriftart: 8 pt,WB-Fußnotentext,Voetnoottekst Char,Voetnoottekst Char1,Voetnoottekst Char2 Char Char,Voetnoottekst Char Char1 Char Char,Voetnoottekst Char1 Char Char Char Char,ft,Fußnote"/>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fn Char,Schriftart: 9 pt Char,Schriftart: 10 pt Char,Schriftart: 8 pt Char,WB-Fußnotentext Char,Voetnoottekst Char Char,Voetnoottekst Char1 Char,Voetnoottekst Char2 Char Char Char,ft Char,Fußnote Char"/>
    <w:basedOn w:val="DefaultParagraphFont"/>
    <w:link w:val="FootnoteText"/>
    <w:uiPriority w:val="99"/>
    <w:qFormat/>
    <w:rPr>
      <w:sz w:val="20"/>
      <w:szCs w:val="20"/>
      <w:lang w:val="hr-HR"/>
    </w:rPr>
  </w:style>
  <w:style w:type="character" w:styleId="FootnoteReference">
    <w:name w:val="footnote reference"/>
    <w:aliases w:val="Footnote Reference Superscript,BVI fnr,Footnote symbol,Footnote reference number,number,note TESI,SUPERS,EN Footnote Reference,Times 10 Point,Exposant 3 Point,Footnote Reference_LVL6,Footnote,Footnote number, BVI fnr,Nota,Ref,o"/>
    <w:basedOn w:val="DefaultParagraphFont"/>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160" w:line="240" w:lineRule="auto"/>
    </w:pPr>
    <w:rPr>
      <w:sz w:val="20"/>
      <w:szCs w:val="20"/>
    </w:rPr>
  </w:style>
  <w:style w:type="character" w:customStyle="1" w:styleId="CommentTextChar">
    <w:name w:val="Comment Text Char"/>
    <w:basedOn w:val="DefaultParagraphFont"/>
    <w:link w:val="CommentText"/>
    <w:uiPriority w:val="99"/>
    <w:rPr>
      <w:sz w:val="20"/>
      <w:szCs w:val="20"/>
      <w:lang w:val="hr-HR"/>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erence0">
    <w:name w:val="footnotereference"/>
    <w:basedOn w:val="DefaultParagraphFont"/>
  </w:style>
  <w:style w:type="paragraph" w:styleId="ListBullet">
    <w:name w:val="List Bullet"/>
    <w:basedOn w:val="Normal"/>
    <w:pPr>
      <w:tabs>
        <w:tab w:val="num" w:pos="283"/>
      </w:tabs>
      <w:spacing w:after="240" w:line="240" w:lineRule="auto"/>
      <w:ind w:left="283" w:hanging="283"/>
      <w:jc w:val="both"/>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pPr>
      <w:spacing w:after="200"/>
    </w:pPr>
    <w:rPr>
      <w:b/>
      <w:bCs/>
    </w:rPr>
  </w:style>
  <w:style w:type="character" w:customStyle="1" w:styleId="CommentSubjectChar">
    <w:name w:val="Comment Subject Char"/>
    <w:basedOn w:val="CommentTextChar"/>
    <w:link w:val="CommentSubject"/>
    <w:uiPriority w:val="99"/>
    <w:semiHidden/>
    <w:rPr>
      <w:b/>
      <w:bCs/>
      <w:sz w:val="20"/>
      <w:szCs w:val="20"/>
      <w:lang w:val="hr-HR"/>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val="hr-HR" w:eastAsia="en-IE"/>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val="hr-HR" w:eastAsia="en-IE"/>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val="hr-HR" w:eastAsia="en-IE"/>
    </w:rPr>
  </w:style>
  <w:style w:type="paragraph" w:customStyle="1" w:styleId="Briefinglist1">
    <w:name w:val="Briefing list 1"/>
    <w:basedOn w:val="Normal"/>
    <w:link w:val="Briefinglist1Char"/>
    <w:qFormat/>
    <w:pPr>
      <w:keepLines/>
      <w:numPr>
        <w:numId w:val="1"/>
      </w:numPr>
      <w:spacing w:after="120" w:line="240" w:lineRule="auto"/>
      <w:jc w:val="both"/>
    </w:pPr>
    <w:rPr>
      <w:rFonts w:ascii="Arial" w:eastAsia="Times New Roman" w:hAnsi="Arial" w:cs="Arial"/>
      <w:szCs w:val="24"/>
    </w:rPr>
  </w:style>
  <w:style w:type="character" w:customStyle="1" w:styleId="Briefinglist1Char">
    <w:name w:val="Briefing list 1 Char"/>
    <w:link w:val="Briefinglist1"/>
    <w:locked/>
    <w:rPr>
      <w:rFonts w:ascii="Arial" w:eastAsia="Times New Roman" w:hAnsi="Arial" w:cs="Arial"/>
      <w:szCs w:val="24"/>
    </w:rPr>
  </w:style>
  <w:style w:type="paragraph" w:styleId="NormalWeb">
    <w:name w:val="Normal (Web)"/>
    <w:basedOn w:val="Normal"/>
    <w:uiPriority w:val="99"/>
    <w:unhideWhenUsed/>
    <w:pPr>
      <w:spacing w:after="192"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customStyle="1" w:styleId="Default">
    <w:name w:val="Default"/>
    <w:pPr>
      <w:autoSpaceDE w:val="0"/>
      <w:autoSpaceDN w:val="0"/>
      <w:adjustRightInd w:val="0"/>
      <w:spacing w:after="0" w:line="240" w:lineRule="auto"/>
    </w:pPr>
    <w:rPr>
      <w:rFonts w:ascii="Roboto Bk" w:hAnsi="Roboto Bk" w:cs="Roboto Bk"/>
      <w:color w:val="000000"/>
      <w:sz w:val="24"/>
      <w:szCs w:val="24"/>
    </w:rPr>
  </w:style>
  <w:style w:type="character" w:styleId="Emphasis">
    <w:name w:val="Emphasis"/>
    <w:basedOn w:val="DefaultParagraphFont"/>
    <w:uiPriority w:val="20"/>
    <w:qFormat/>
    <w:rPr>
      <w:i/>
      <w:iCs/>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0764">
      <w:bodyDiv w:val="1"/>
      <w:marLeft w:val="0"/>
      <w:marRight w:val="0"/>
      <w:marTop w:val="0"/>
      <w:marBottom w:val="0"/>
      <w:divBdr>
        <w:top w:val="none" w:sz="0" w:space="0" w:color="auto"/>
        <w:left w:val="none" w:sz="0" w:space="0" w:color="auto"/>
        <w:bottom w:val="none" w:sz="0" w:space="0" w:color="auto"/>
        <w:right w:val="none" w:sz="0" w:space="0" w:color="auto"/>
      </w:divBdr>
    </w:div>
    <w:div w:id="262155952">
      <w:bodyDiv w:val="1"/>
      <w:marLeft w:val="0"/>
      <w:marRight w:val="0"/>
      <w:marTop w:val="0"/>
      <w:marBottom w:val="0"/>
      <w:divBdr>
        <w:top w:val="none" w:sz="0" w:space="0" w:color="auto"/>
        <w:left w:val="none" w:sz="0" w:space="0" w:color="auto"/>
        <w:bottom w:val="none" w:sz="0" w:space="0" w:color="auto"/>
        <w:right w:val="none" w:sz="0" w:space="0" w:color="auto"/>
      </w:divBdr>
    </w:div>
    <w:div w:id="367875032">
      <w:bodyDiv w:val="1"/>
      <w:marLeft w:val="0"/>
      <w:marRight w:val="0"/>
      <w:marTop w:val="0"/>
      <w:marBottom w:val="0"/>
      <w:divBdr>
        <w:top w:val="none" w:sz="0" w:space="0" w:color="auto"/>
        <w:left w:val="none" w:sz="0" w:space="0" w:color="auto"/>
        <w:bottom w:val="none" w:sz="0" w:space="0" w:color="auto"/>
        <w:right w:val="none" w:sz="0" w:space="0" w:color="auto"/>
      </w:divBdr>
    </w:div>
    <w:div w:id="375853311">
      <w:bodyDiv w:val="1"/>
      <w:marLeft w:val="0"/>
      <w:marRight w:val="0"/>
      <w:marTop w:val="0"/>
      <w:marBottom w:val="0"/>
      <w:divBdr>
        <w:top w:val="none" w:sz="0" w:space="0" w:color="auto"/>
        <w:left w:val="none" w:sz="0" w:space="0" w:color="auto"/>
        <w:bottom w:val="none" w:sz="0" w:space="0" w:color="auto"/>
        <w:right w:val="none" w:sz="0" w:space="0" w:color="auto"/>
      </w:divBdr>
    </w:div>
    <w:div w:id="438184655">
      <w:bodyDiv w:val="1"/>
      <w:marLeft w:val="0"/>
      <w:marRight w:val="0"/>
      <w:marTop w:val="0"/>
      <w:marBottom w:val="0"/>
      <w:divBdr>
        <w:top w:val="none" w:sz="0" w:space="0" w:color="auto"/>
        <w:left w:val="none" w:sz="0" w:space="0" w:color="auto"/>
        <w:bottom w:val="none" w:sz="0" w:space="0" w:color="auto"/>
        <w:right w:val="none" w:sz="0" w:space="0" w:color="auto"/>
      </w:divBdr>
    </w:div>
    <w:div w:id="509217164">
      <w:bodyDiv w:val="1"/>
      <w:marLeft w:val="0"/>
      <w:marRight w:val="0"/>
      <w:marTop w:val="0"/>
      <w:marBottom w:val="0"/>
      <w:divBdr>
        <w:top w:val="none" w:sz="0" w:space="0" w:color="auto"/>
        <w:left w:val="none" w:sz="0" w:space="0" w:color="auto"/>
        <w:bottom w:val="none" w:sz="0" w:space="0" w:color="auto"/>
        <w:right w:val="none" w:sz="0" w:space="0" w:color="auto"/>
      </w:divBdr>
    </w:div>
    <w:div w:id="517811186">
      <w:bodyDiv w:val="1"/>
      <w:marLeft w:val="0"/>
      <w:marRight w:val="0"/>
      <w:marTop w:val="0"/>
      <w:marBottom w:val="0"/>
      <w:divBdr>
        <w:top w:val="none" w:sz="0" w:space="0" w:color="auto"/>
        <w:left w:val="none" w:sz="0" w:space="0" w:color="auto"/>
        <w:bottom w:val="none" w:sz="0" w:space="0" w:color="auto"/>
        <w:right w:val="none" w:sz="0" w:space="0" w:color="auto"/>
      </w:divBdr>
      <w:divsChild>
        <w:div w:id="105276557">
          <w:marLeft w:val="0"/>
          <w:marRight w:val="0"/>
          <w:marTop w:val="0"/>
          <w:marBottom w:val="0"/>
          <w:divBdr>
            <w:top w:val="none" w:sz="0" w:space="0" w:color="auto"/>
            <w:left w:val="none" w:sz="0" w:space="0" w:color="auto"/>
            <w:bottom w:val="none" w:sz="0" w:space="0" w:color="auto"/>
            <w:right w:val="none" w:sz="0" w:space="0" w:color="auto"/>
          </w:divBdr>
        </w:div>
        <w:div w:id="388500291">
          <w:marLeft w:val="0"/>
          <w:marRight w:val="0"/>
          <w:marTop w:val="0"/>
          <w:marBottom w:val="0"/>
          <w:divBdr>
            <w:top w:val="none" w:sz="0" w:space="0" w:color="auto"/>
            <w:left w:val="none" w:sz="0" w:space="0" w:color="auto"/>
            <w:bottom w:val="none" w:sz="0" w:space="0" w:color="auto"/>
            <w:right w:val="none" w:sz="0" w:space="0" w:color="auto"/>
          </w:divBdr>
        </w:div>
        <w:div w:id="532770162">
          <w:marLeft w:val="0"/>
          <w:marRight w:val="0"/>
          <w:marTop w:val="0"/>
          <w:marBottom w:val="0"/>
          <w:divBdr>
            <w:top w:val="none" w:sz="0" w:space="0" w:color="auto"/>
            <w:left w:val="none" w:sz="0" w:space="0" w:color="auto"/>
            <w:bottom w:val="none" w:sz="0" w:space="0" w:color="auto"/>
            <w:right w:val="none" w:sz="0" w:space="0" w:color="auto"/>
          </w:divBdr>
        </w:div>
        <w:div w:id="619343485">
          <w:marLeft w:val="0"/>
          <w:marRight w:val="0"/>
          <w:marTop w:val="0"/>
          <w:marBottom w:val="0"/>
          <w:divBdr>
            <w:top w:val="none" w:sz="0" w:space="0" w:color="auto"/>
            <w:left w:val="none" w:sz="0" w:space="0" w:color="auto"/>
            <w:bottom w:val="none" w:sz="0" w:space="0" w:color="auto"/>
            <w:right w:val="none" w:sz="0" w:space="0" w:color="auto"/>
          </w:divBdr>
        </w:div>
        <w:div w:id="715617124">
          <w:marLeft w:val="0"/>
          <w:marRight w:val="0"/>
          <w:marTop w:val="0"/>
          <w:marBottom w:val="0"/>
          <w:divBdr>
            <w:top w:val="none" w:sz="0" w:space="0" w:color="auto"/>
            <w:left w:val="none" w:sz="0" w:space="0" w:color="auto"/>
            <w:bottom w:val="none" w:sz="0" w:space="0" w:color="auto"/>
            <w:right w:val="none" w:sz="0" w:space="0" w:color="auto"/>
          </w:divBdr>
        </w:div>
        <w:div w:id="723649553">
          <w:marLeft w:val="0"/>
          <w:marRight w:val="0"/>
          <w:marTop w:val="0"/>
          <w:marBottom w:val="0"/>
          <w:divBdr>
            <w:top w:val="none" w:sz="0" w:space="0" w:color="auto"/>
            <w:left w:val="none" w:sz="0" w:space="0" w:color="auto"/>
            <w:bottom w:val="none" w:sz="0" w:space="0" w:color="auto"/>
            <w:right w:val="none" w:sz="0" w:space="0" w:color="auto"/>
          </w:divBdr>
        </w:div>
        <w:div w:id="757143558">
          <w:marLeft w:val="0"/>
          <w:marRight w:val="0"/>
          <w:marTop w:val="0"/>
          <w:marBottom w:val="0"/>
          <w:divBdr>
            <w:top w:val="none" w:sz="0" w:space="0" w:color="auto"/>
            <w:left w:val="none" w:sz="0" w:space="0" w:color="auto"/>
            <w:bottom w:val="none" w:sz="0" w:space="0" w:color="auto"/>
            <w:right w:val="none" w:sz="0" w:space="0" w:color="auto"/>
          </w:divBdr>
        </w:div>
        <w:div w:id="855340659">
          <w:marLeft w:val="0"/>
          <w:marRight w:val="0"/>
          <w:marTop w:val="0"/>
          <w:marBottom w:val="0"/>
          <w:divBdr>
            <w:top w:val="none" w:sz="0" w:space="0" w:color="auto"/>
            <w:left w:val="none" w:sz="0" w:space="0" w:color="auto"/>
            <w:bottom w:val="none" w:sz="0" w:space="0" w:color="auto"/>
            <w:right w:val="none" w:sz="0" w:space="0" w:color="auto"/>
          </w:divBdr>
        </w:div>
        <w:div w:id="919143341">
          <w:marLeft w:val="0"/>
          <w:marRight w:val="0"/>
          <w:marTop w:val="0"/>
          <w:marBottom w:val="0"/>
          <w:divBdr>
            <w:top w:val="none" w:sz="0" w:space="0" w:color="auto"/>
            <w:left w:val="none" w:sz="0" w:space="0" w:color="auto"/>
            <w:bottom w:val="none" w:sz="0" w:space="0" w:color="auto"/>
            <w:right w:val="none" w:sz="0" w:space="0" w:color="auto"/>
          </w:divBdr>
        </w:div>
        <w:div w:id="926622511">
          <w:marLeft w:val="0"/>
          <w:marRight w:val="0"/>
          <w:marTop w:val="0"/>
          <w:marBottom w:val="0"/>
          <w:divBdr>
            <w:top w:val="none" w:sz="0" w:space="0" w:color="auto"/>
            <w:left w:val="none" w:sz="0" w:space="0" w:color="auto"/>
            <w:bottom w:val="none" w:sz="0" w:space="0" w:color="auto"/>
            <w:right w:val="none" w:sz="0" w:space="0" w:color="auto"/>
          </w:divBdr>
        </w:div>
        <w:div w:id="972947469">
          <w:marLeft w:val="0"/>
          <w:marRight w:val="0"/>
          <w:marTop w:val="0"/>
          <w:marBottom w:val="0"/>
          <w:divBdr>
            <w:top w:val="none" w:sz="0" w:space="0" w:color="auto"/>
            <w:left w:val="none" w:sz="0" w:space="0" w:color="auto"/>
            <w:bottom w:val="none" w:sz="0" w:space="0" w:color="auto"/>
            <w:right w:val="none" w:sz="0" w:space="0" w:color="auto"/>
          </w:divBdr>
        </w:div>
        <w:div w:id="979193904">
          <w:marLeft w:val="0"/>
          <w:marRight w:val="0"/>
          <w:marTop w:val="0"/>
          <w:marBottom w:val="0"/>
          <w:divBdr>
            <w:top w:val="none" w:sz="0" w:space="0" w:color="auto"/>
            <w:left w:val="none" w:sz="0" w:space="0" w:color="auto"/>
            <w:bottom w:val="none" w:sz="0" w:space="0" w:color="auto"/>
            <w:right w:val="none" w:sz="0" w:space="0" w:color="auto"/>
          </w:divBdr>
        </w:div>
        <w:div w:id="1000933821">
          <w:marLeft w:val="0"/>
          <w:marRight w:val="0"/>
          <w:marTop w:val="0"/>
          <w:marBottom w:val="0"/>
          <w:divBdr>
            <w:top w:val="none" w:sz="0" w:space="0" w:color="auto"/>
            <w:left w:val="none" w:sz="0" w:space="0" w:color="auto"/>
            <w:bottom w:val="none" w:sz="0" w:space="0" w:color="auto"/>
            <w:right w:val="none" w:sz="0" w:space="0" w:color="auto"/>
          </w:divBdr>
        </w:div>
        <w:div w:id="1022247177">
          <w:marLeft w:val="0"/>
          <w:marRight w:val="0"/>
          <w:marTop w:val="0"/>
          <w:marBottom w:val="0"/>
          <w:divBdr>
            <w:top w:val="none" w:sz="0" w:space="0" w:color="auto"/>
            <w:left w:val="none" w:sz="0" w:space="0" w:color="auto"/>
            <w:bottom w:val="none" w:sz="0" w:space="0" w:color="auto"/>
            <w:right w:val="none" w:sz="0" w:space="0" w:color="auto"/>
          </w:divBdr>
        </w:div>
        <w:div w:id="1364094796">
          <w:marLeft w:val="0"/>
          <w:marRight w:val="0"/>
          <w:marTop w:val="0"/>
          <w:marBottom w:val="0"/>
          <w:divBdr>
            <w:top w:val="none" w:sz="0" w:space="0" w:color="auto"/>
            <w:left w:val="none" w:sz="0" w:space="0" w:color="auto"/>
            <w:bottom w:val="none" w:sz="0" w:space="0" w:color="auto"/>
            <w:right w:val="none" w:sz="0" w:space="0" w:color="auto"/>
          </w:divBdr>
        </w:div>
        <w:div w:id="1437099261">
          <w:marLeft w:val="0"/>
          <w:marRight w:val="0"/>
          <w:marTop w:val="0"/>
          <w:marBottom w:val="0"/>
          <w:divBdr>
            <w:top w:val="none" w:sz="0" w:space="0" w:color="auto"/>
            <w:left w:val="none" w:sz="0" w:space="0" w:color="auto"/>
            <w:bottom w:val="none" w:sz="0" w:space="0" w:color="auto"/>
            <w:right w:val="none" w:sz="0" w:space="0" w:color="auto"/>
          </w:divBdr>
        </w:div>
        <w:div w:id="1508015652">
          <w:marLeft w:val="0"/>
          <w:marRight w:val="0"/>
          <w:marTop w:val="0"/>
          <w:marBottom w:val="0"/>
          <w:divBdr>
            <w:top w:val="none" w:sz="0" w:space="0" w:color="auto"/>
            <w:left w:val="none" w:sz="0" w:space="0" w:color="auto"/>
            <w:bottom w:val="none" w:sz="0" w:space="0" w:color="auto"/>
            <w:right w:val="none" w:sz="0" w:space="0" w:color="auto"/>
          </w:divBdr>
        </w:div>
        <w:div w:id="1574048093">
          <w:marLeft w:val="0"/>
          <w:marRight w:val="0"/>
          <w:marTop w:val="0"/>
          <w:marBottom w:val="0"/>
          <w:divBdr>
            <w:top w:val="none" w:sz="0" w:space="0" w:color="auto"/>
            <w:left w:val="none" w:sz="0" w:space="0" w:color="auto"/>
            <w:bottom w:val="none" w:sz="0" w:space="0" w:color="auto"/>
            <w:right w:val="none" w:sz="0" w:space="0" w:color="auto"/>
          </w:divBdr>
        </w:div>
        <w:div w:id="1628779198">
          <w:marLeft w:val="0"/>
          <w:marRight w:val="0"/>
          <w:marTop w:val="0"/>
          <w:marBottom w:val="0"/>
          <w:divBdr>
            <w:top w:val="none" w:sz="0" w:space="0" w:color="auto"/>
            <w:left w:val="none" w:sz="0" w:space="0" w:color="auto"/>
            <w:bottom w:val="none" w:sz="0" w:space="0" w:color="auto"/>
            <w:right w:val="none" w:sz="0" w:space="0" w:color="auto"/>
          </w:divBdr>
        </w:div>
        <w:div w:id="1678918393">
          <w:marLeft w:val="0"/>
          <w:marRight w:val="0"/>
          <w:marTop w:val="0"/>
          <w:marBottom w:val="0"/>
          <w:divBdr>
            <w:top w:val="none" w:sz="0" w:space="0" w:color="auto"/>
            <w:left w:val="none" w:sz="0" w:space="0" w:color="auto"/>
            <w:bottom w:val="none" w:sz="0" w:space="0" w:color="auto"/>
            <w:right w:val="none" w:sz="0" w:space="0" w:color="auto"/>
          </w:divBdr>
        </w:div>
        <w:div w:id="1686513040">
          <w:marLeft w:val="0"/>
          <w:marRight w:val="0"/>
          <w:marTop w:val="0"/>
          <w:marBottom w:val="0"/>
          <w:divBdr>
            <w:top w:val="none" w:sz="0" w:space="0" w:color="auto"/>
            <w:left w:val="none" w:sz="0" w:space="0" w:color="auto"/>
            <w:bottom w:val="none" w:sz="0" w:space="0" w:color="auto"/>
            <w:right w:val="none" w:sz="0" w:space="0" w:color="auto"/>
          </w:divBdr>
        </w:div>
        <w:div w:id="1718776496">
          <w:marLeft w:val="0"/>
          <w:marRight w:val="0"/>
          <w:marTop w:val="0"/>
          <w:marBottom w:val="0"/>
          <w:divBdr>
            <w:top w:val="none" w:sz="0" w:space="0" w:color="auto"/>
            <w:left w:val="none" w:sz="0" w:space="0" w:color="auto"/>
            <w:bottom w:val="none" w:sz="0" w:space="0" w:color="auto"/>
            <w:right w:val="none" w:sz="0" w:space="0" w:color="auto"/>
          </w:divBdr>
        </w:div>
        <w:div w:id="1813980317">
          <w:marLeft w:val="0"/>
          <w:marRight w:val="0"/>
          <w:marTop w:val="0"/>
          <w:marBottom w:val="0"/>
          <w:divBdr>
            <w:top w:val="none" w:sz="0" w:space="0" w:color="auto"/>
            <w:left w:val="none" w:sz="0" w:space="0" w:color="auto"/>
            <w:bottom w:val="none" w:sz="0" w:space="0" w:color="auto"/>
            <w:right w:val="none" w:sz="0" w:space="0" w:color="auto"/>
          </w:divBdr>
        </w:div>
        <w:div w:id="1838228210">
          <w:marLeft w:val="0"/>
          <w:marRight w:val="0"/>
          <w:marTop w:val="0"/>
          <w:marBottom w:val="0"/>
          <w:divBdr>
            <w:top w:val="none" w:sz="0" w:space="0" w:color="auto"/>
            <w:left w:val="none" w:sz="0" w:space="0" w:color="auto"/>
            <w:bottom w:val="none" w:sz="0" w:space="0" w:color="auto"/>
            <w:right w:val="none" w:sz="0" w:space="0" w:color="auto"/>
          </w:divBdr>
        </w:div>
        <w:div w:id="1894463295">
          <w:marLeft w:val="0"/>
          <w:marRight w:val="0"/>
          <w:marTop w:val="0"/>
          <w:marBottom w:val="0"/>
          <w:divBdr>
            <w:top w:val="none" w:sz="0" w:space="0" w:color="auto"/>
            <w:left w:val="none" w:sz="0" w:space="0" w:color="auto"/>
            <w:bottom w:val="none" w:sz="0" w:space="0" w:color="auto"/>
            <w:right w:val="none" w:sz="0" w:space="0" w:color="auto"/>
          </w:divBdr>
        </w:div>
        <w:div w:id="1909419671">
          <w:marLeft w:val="0"/>
          <w:marRight w:val="0"/>
          <w:marTop w:val="0"/>
          <w:marBottom w:val="0"/>
          <w:divBdr>
            <w:top w:val="none" w:sz="0" w:space="0" w:color="auto"/>
            <w:left w:val="none" w:sz="0" w:space="0" w:color="auto"/>
            <w:bottom w:val="none" w:sz="0" w:space="0" w:color="auto"/>
            <w:right w:val="none" w:sz="0" w:space="0" w:color="auto"/>
          </w:divBdr>
        </w:div>
        <w:div w:id="2028094738">
          <w:marLeft w:val="0"/>
          <w:marRight w:val="0"/>
          <w:marTop w:val="0"/>
          <w:marBottom w:val="0"/>
          <w:divBdr>
            <w:top w:val="none" w:sz="0" w:space="0" w:color="auto"/>
            <w:left w:val="none" w:sz="0" w:space="0" w:color="auto"/>
            <w:bottom w:val="none" w:sz="0" w:space="0" w:color="auto"/>
            <w:right w:val="none" w:sz="0" w:space="0" w:color="auto"/>
          </w:divBdr>
        </w:div>
        <w:div w:id="2125614011">
          <w:marLeft w:val="0"/>
          <w:marRight w:val="0"/>
          <w:marTop w:val="0"/>
          <w:marBottom w:val="0"/>
          <w:divBdr>
            <w:top w:val="none" w:sz="0" w:space="0" w:color="auto"/>
            <w:left w:val="none" w:sz="0" w:space="0" w:color="auto"/>
            <w:bottom w:val="none" w:sz="0" w:space="0" w:color="auto"/>
            <w:right w:val="none" w:sz="0" w:space="0" w:color="auto"/>
          </w:divBdr>
        </w:div>
        <w:div w:id="2127843852">
          <w:marLeft w:val="0"/>
          <w:marRight w:val="0"/>
          <w:marTop w:val="0"/>
          <w:marBottom w:val="0"/>
          <w:divBdr>
            <w:top w:val="none" w:sz="0" w:space="0" w:color="auto"/>
            <w:left w:val="none" w:sz="0" w:space="0" w:color="auto"/>
            <w:bottom w:val="none" w:sz="0" w:space="0" w:color="auto"/>
            <w:right w:val="none" w:sz="0" w:space="0" w:color="auto"/>
          </w:divBdr>
        </w:div>
      </w:divsChild>
    </w:div>
    <w:div w:id="610237020">
      <w:bodyDiv w:val="1"/>
      <w:marLeft w:val="0"/>
      <w:marRight w:val="0"/>
      <w:marTop w:val="0"/>
      <w:marBottom w:val="0"/>
      <w:divBdr>
        <w:top w:val="none" w:sz="0" w:space="0" w:color="auto"/>
        <w:left w:val="none" w:sz="0" w:space="0" w:color="auto"/>
        <w:bottom w:val="none" w:sz="0" w:space="0" w:color="auto"/>
        <w:right w:val="none" w:sz="0" w:space="0" w:color="auto"/>
      </w:divBdr>
    </w:div>
    <w:div w:id="679283879">
      <w:bodyDiv w:val="1"/>
      <w:marLeft w:val="0"/>
      <w:marRight w:val="0"/>
      <w:marTop w:val="0"/>
      <w:marBottom w:val="0"/>
      <w:divBdr>
        <w:top w:val="none" w:sz="0" w:space="0" w:color="auto"/>
        <w:left w:val="none" w:sz="0" w:space="0" w:color="auto"/>
        <w:bottom w:val="none" w:sz="0" w:space="0" w:color="auto"/>
        <w:right w:val="none" w:sz="0" w:space="0" w:color="auto"/>
      </w:divBdr>
    </w:div>
    <w:div w:id="679813757">
      <w:bodyDiv w:val="1"/>
      <w:marLeft w:val="0"/>
      <w:marRight w:val="0"/>
      <w:marTop w:val="0"/>
      <w:marBottom w:val="0"/>
      <w:divBdr>
        <w:top w:val="none" w:sz="0" w:space="0" w:color="auto"/>
        <w:left w:val="none" w:sz="0" w:space="0" w:color="auto"/>
        <w:bottom w:val="none" w:sz="0" w:space="0" w:color="auto"/>
        <w:right w:val="none" w:sz="0" w:space="0" w:color="auto"/>
      </w:divBdr>
    </w:div>
    <w:div w:id="722755585">
      <w:bodyDiv w:val="1"/>
      <w:marLeft w:val="0"/>
      <w:marRight w:val="0"/>
      <w:marTop w:val="0"/>
      <w:marBottom w:val="0"/>
      <w:divBdr>
        <w:top w:val="none" w:sz="0" w:space="0" w:color="auto"/>
        <w:left w:val="none" w:sz="0" w:space="0" w:color="auto"/>
        <w:bottom w:val="none" w:sz="0" w:space="0" w:color="auto"/>
        <w:right w:val="none" w:sz="0" w:space="0" w:color="auto"/>
      </w:divBdr>
    </w:div>
    <w:div w:id="1009596506">
      <w:bodyDiv w:val="1"/>
      <w:marLeft w:val="0"/>
      <w:marRight w:val="0"/>
      <w:marTop w:val="0"/>
      <w:marBottom w:val="0"/>
      <w:divBdr>
        <w:top w:val="none" w:sz="0" w:space="0" w:color="auto"/>
        <w:left w:val="none" w:sz="0" w:space="0" w:color="auto"/>
        <w:bottom w:val="none" w:sz="0" w:space="0" w:color="auto"/>
        <w:right w:val="none" w:sz="0" w:space="0" w:color="auto"/>
      </w:divBdr>
    </w:div>
    <w:div w:id="1016735411">
      <w:bodyDiv w:val="1"/>
      <w:marLeft w:val="0"/>
      <w:marRight w:val="0"/>
      <w:marTop w:val="0"/>
      <w:marBottom w:val="0"/>
      <w:divBdr>
        <w:top w:val="none" w:sz="0" w:space="0" w:color="auto"/>
        <w:left w:val="none" w:sz="0" w:space="0" w:color="auto"/>
        <w:bottom w:val="none" w:sz="0" w:space="0" w:color="auto"/>
        <w:right w:val="none" w:sz="0" w:space="0" w:color="auto"/>
      </w:divBdr>
    </w:div>
    <w:div w:id="1217158056">
      <w:bodyDiv w:val="1"/>
      <w:marLeft w:val="0"/>
      <w:marRight w:val="0"/>
      <w:marTop w:val="0"/>
      <w:marBottom w:val="0"/>
      <w:divBdr>
        <w:top w:val="none" w:sz="0" w:space="0" w:color="auto"/>
        <w:left w:val="none" w:sz="0" w:space="0" w:color="auto"/>
        <w:bottom w:val="none" w:sz="0" w:space="0" w:color="auto"/>
        <w:right w:val="none" w:sz="0" w:space="0" w:color="auto"/>
      </w:divBdr>
    </w:div>
    <w:div w:id="1268541616">
      <w:bodyDiv w:val="1"/>
      <w:marLeft w:val="0"/>
      <w:marRight w:val="0"/>
      <w:marTop w:val="0"/>
      <w:marBottom w:val="0"/>
      <w:divBdr>
        <w:top w:val="none" w:sz="0" w:space="0" w:color="auto"/>
        <w:left w:val="none" w:sz="0" w:space="0" w:color="auto"/>
        <w:bottom w:val="none" w:sz="0" w:space="0" w:color="auto"/>
        <w:right w:val="none" w:sz="0" w:space="0" w:color="auto"/>
      </w:divBdr>
    </w:div>
    <w:div w:id="1340426578">
      <w:bodyDiv w:val="1"/>
      <w:marLeft w:val="0"/>
      <w:marRight w:val="0"/>
      <w:marTop w:val="0"/>
      <w:marBottom w:val="0"/>
      <w:divBdr>
        <w:top w:val="none" w:sz="0" w:space="0" w:color="auto"/>
        <w:left w:val="none" w:sz="0" w:space="0" w:color="auto"/>
        <w:bottom w:val="none" w:sz="0" w:space="0" w:color="auto"/>
        <w:right w:val="none" w:sz="0" w:space="0" w:color="auto"/>
      </w:divBdr>
    </w:div>
    <w:div w:id="1346592273">
      <w:bodyDiv w:val="1"/>
      <w:marLeft w:val="0"/>
      <w:marRight w:val="0"/>
      <w:marTop w:val="0"/>
      <w:marBottom w:val="0"/>
      <w:divBdr>
        <w:top w:val="none" w:sz="0" w:space="0" w:color="auto"/>
        <w:left w:val="none" w:sz="0" w:space="0" w:color="auto"/>
        <w:bottom w:val="none" w:sz="0" w:space="0" w:color="auto"/>
        <w:right w:val="none" w:sz="0" w:space="0" w:color="auto"/>
      </w:divBdr>
    </w:div>
    <w:div w:id="1390765030">
      <w:bodyDiv w:val="1"/>
      <w:marLeft w:val="0"/>
      <w:marRight w:val="0"/>
      <w:marTop w:val="0"/>
      <w:marBottom w:val="0"/>
      <w:divBdr>
        <w:top w:val="none" w:sz="0" w:space="0" w:color="auto"/>
        <w:left w:val="none" w:sz="0" w:space="0" w:color="auto"/>
        <w:bottom w:val="none" w:sz="0" w:space="0" w:color="auto"/>
        <w:right w:val="none" w:sz="0" w:space="0" w:color="auto"/>
      </w:divBdr>
    </w:div>
    <w:div w:id="1425228078">
      <w:bodyDiv w:val="1"/>
      <w:marLeft w:val="0"/>
      <w:marRight w:val="0"/>
      <w:marTop w:val="0"/>
      <w:marBottom w:val="0"/>
      <w:divBdr>
        <w:top w:val="none" w:sz="0" w:space="0" w:color="auto"/>
        <w:left w:val="none" w:sz="0" w:space="0" w:color="auto"/>
        <w:bottom w:val="none" w:sz="0" w:space="0" w:color="auto"/>
        <w:right w:val="none" w:sz="0" w:space="0" w:color="auto"/>
      </w:divBdr>
    </w:div>
    <w:div w:id="1474368097">
      <w:bodyDiv w:val="1"/>
      <w:marLeft w:val="0"/>
      <w:marRight w:val="0"/>
      <w:marTop w:val="0"/>
      <w:marBottom w:val="0"/>
      <w:divBdr>
        <w:top w:val="none" w:sz="0" w:space="0" w:color="auto"/>
        <w:left w:val="none" w:sz="0" w:space="0" w:color="auto"/>
        <w:bottom w:val="none" w:sz="0" w:space="0" w:color="auto"/>
        <w:right w:val="none" w:sz="0" w:space="0" w:color="auto"/>
      </w:divBdr>
    </w:div>
    <w:div w:id="1489129651">
      <w:bodyDiv w:val="1"/>
      <w:marLeft w:val="0"/>
      <w:marRight w:val="0"/>
      <w:marTop w:val="0"/>
      <w:marBottom w:val="0"/>
      <w:divBdr>
        <w:top w:val="none" w:sz="0" w:space="0" w:color="auto"/>
        <w:left w:val="none" w:sz="0" w:space="0" w:color="auto"/>
        <w:bottom w:val="none" w:sz="0" w:space="0" w:color="auto"/>
        <w:right w:val="none" w:sz="0" w:space="0" w:color="auto"/>
      </w:divBdr>
    </w:div>
    <w:div w:id="1517425308">
      <w:bodyDiv w:val="1"/>
      <w:marLeft w:val="0"/>
      <w:marRight w:val="0"/>
      <w:marTop w:val="0"/>
      <w:marBottom w:val="0"/>
      <w:divBdr>
        <w:top w:val="none" w:sz="0" w:space="0" w:color="auto"/>
        <w:left w:val="none" w:sz="0" w:space="0" w:color="auto"/>
        <w:bottom w:val="none" w:sz="0" w:space="0" w:color="auto"/>
        <w:right w:val="none" w:sz="0" w:space="0" w:color="auto"/>
      </w:divBdr>
    </w:div>
    <w:div w:id="1641110347">
      <w:bodyDiv w:val="1"/>
      <w:marLeft w:val="0"/>
      <w:marRight w:val="0"/>
      <w:marTop w:val="0"/>
      <w:marBottom w:val="0"/>
      <w:divBdr>
        <w:top w:val="none" w:sz="0" w:space="0" w:color="auto"/>
        <w:left w:val="none" w:sz="0" w:space="0" w:color="auto"/>
        <w:bottom w:val="none" w:sz="0" w:space="0" w:color="auto"/>
        <w:right w:val="none" w:sz="0" w:space="0" w:color="auto"/>
      </w:divBdr>
    </w:div>
    <w:div w:id="1752316756">
      <w:bodyDiv w:val="1"/>
      <w:marLeft w:val="0"/>
      <w:marRight w:val="0"/>
      <w:marTop w:val="0"/>
      <w:marBottom w:val="0"/>
      <w:divBdr>
        <w:top w:val="none" w:sz="0" w:space="0" w:color="auto"/>
        <w:left w:val="none" w:sz="0" w:space="0" w:color="auto"/>
        <w:bottom w:val="none" w:sz="0" w:space="0" w:color="auto"/>
        <w:right w:val="none" w:sz="0" w:space="0" w:color="auto"/>
      </w:divBdr>
    </w:div>
    <w:div w:id="1753310731">
      <w:bodyDiv w:val="1"/>
      <w:marLeft w:val="0"/>
      <w:marRight w:val="0"/>
      <w:marTop w:val="0"/>
      <w:marBottom w:val="0"/>
      <w:divBdr>
        <w:top w:val="none" w:sz="0" w:space="0" w:color="auto"/>
        <w:left w:val="none" w:sz="0" w:space="0" w:color="auto"/>
        <w:bottom w:val="none" w:sz="0" w:space="0" w:color="auto"/>
        <w:right w:val="none" w:sz="0" w:space="0" w:color="auto"/>
      </w:divBdr>
    </w:div>
    <w:div w:id="2006281391">
      <w:bodyDiv w:val="1"/>
      <w:marLeft w:val="0"/>
      <w:marRight w:val="0"/>
      <w:marTop w:val="0"/>
      <w:marBottom w:val="0"/>
      <w:divBdr>
        <w:top w:val="none" w:sz="0" w:space="0" w:color="auto"/>
        <w:left w:val="none" w:sz="0" w:space="0" w:color="auto"/>
        <w:bottom w:val="none" w:sz="0" w:space="0" w:color="auto"/>
        <w:right w:val="none" w:sz="0" w:space="0" w:color="auto"/>
      </w:divBdr>
    </w:div>
    <w:div w:id="2009674466">
      <w:bodyDiv w:val="1"/>
      <w:marLeft w:val="0"/>
      <w:marRight w:val="0"/>
      <w:marTop w:val="0"/>
      <w:marBottom w:val="0"/>
      <w:divBdr>
        <w:top w:val="none" w:sz="0" w:space="0" w:color="auto"/>
        <w:left w:val="none" w:sz="0" w:space="0" w:color="auto"/>
        <w:bottom w:val="none" w:sz="0" w:space="0" w:color="auto"/>
        <w:right w:val="none" w:sz="0" w:space="0" w:color="auto"/>
      </w:divBdr>
    </w:div>
    <w:div w:id="2135516058">
      <w:bodyDiv w:val="1"/>
      <w:marLeft w:val="0"/>
      <w:marRight w:val="0"/>
      <w:marTop w:val="0"/>
      <w:marBottom w:val="0"/>
      <w:divBdr>
        <w:top w:val="none" w:sz="0" w:space="0" w:color="auto"/>
        <w:left w:val="none" w:sz="0" w:space="0" w:color="auto"/>
        <w:bottom w:val="none" w:sz="0" w:space="0" w:color="auto"/>
        <w:right w:val="none" w:sz="0" w:space="0" w:color="auto"/>
      </w:divBdr>
      <w:divsChild>
        <w:div w:id="2038580559">
          <w:marLeft w:val="0"/>
          <w:marRight w:val="0"/>
          <w:marTop w:val="0"/>
          <w:marBottom w:val="0"/>
          <w:divBdr>
            <w:top w:val="none" w:sz="0" w:space="0" w:color="auto"/>
            <w:left w:val="none" w:sz="0" w:space="0" w:color="auto"/>
            <w:bottom w:val="none" w:sz="0" w:space="0" w:color="auto"/>
            <w:right w:val="none" w:sz="0" w:space="0" w:color="auto"/>
          </w:divBdr>
          <w:divsChild>
            <w:div w:id="1487894946">
              <w:marLeft w:val="0"/>
              <w:marRight w:val="0"/>
              <w:marTop w:val="0"/>
              <w:marBottom w:val="0"/>
              <w:divBdr>
                <w:top w:val="none" w:sz="0" w:space="0" w:color="auto"/>
                <w:left w:val="none" w:sz="0" w:space="0" w:color="auto"/>
                <w:bottom w:val="none" w:sz="0" w:space="0" w:color="auto"/>
                <w:right w:val="none" w:sz="0" w:space="0" w:color="auto"/>
              </w:divBdr>
              <w:divsChild>
                <w:div w:id="147390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urostat/tgm/table.do?tab=table&amp;init=1&amp;language=en&amp;pcode=sdg_05_20&amp;plugin=1" TargetMode="External"/><Relationship Id="rId13" Type="http://schemas.openxmlformats.org/officeDocument/2006/relationships/hyperlink" Target="https://op.europa.eu/en/publication-detail/-/publication/9540ffa1-4478-11e9-a8ed-01aa75ed71a1/language-en" TargetMode="External"/><Relationship Id="rId18" Type="http://schemas.openxmlformats.org/officeDocument/2006/relationships/hyperlink" Target="https://ec.europa.eu/transport/themes/social/women-transport-eu-platform-change_en" TargetMode="External"/><Relationship Id="rId26" Type="http://schemas.openxmlformats.org/officeDocument/2006/relationships/hyperlink" Target="https://eige.europa.eu/publications/tackling-gender-pay-gap-not-without-better-work-life-balance" TargetMode="External"/><Relationship Id="rId3" Type="http://schemas.openxmlformats.org/officeDocument/2006/relationships/hyperlink" Target="https://appsso.eurostat.ec.europa.eu/nui/show.do?dataset=ilc_pnp13&amp;lang=en" TargetMode="External"/><Relationship Id="rId21" Type="http://schemas.openxmlformats.org/officeDocument/2006/relationships/hyperlink" Target="https://act-on-gender.eu/communities-practice" TargetMode="External"/><Relationship Id="rId34" Type="http://schemas.openxmlformats.org/officeDocument/2006/relationships/hyperlink" Target="https://ec.europa.eu/info/events/annual-colloquium-fundamental-rights/2018-annual-colloquium-fundamental-rights-2018-nov-26_hr" TargetMode="External"/><Relationship Id="rId7" Type="http://schemas.openxmlformats.org/officeDocument/2006/relationships/hyperlink" Target="https://op.europa.eu/en/publication-detail/-/publication/fb389f61-6f7c-11e8-9483-01aa75ed71a1/language-en.%20" TargetMode="External"/><Relationship Id="rId12" Type="http://schemas.openxmlformats.org/officeDocument/2006/relationships/hyperlink" Target="https://op.europa.eu/en/publication-detail/-/publication/f0e89c3f-7821-11e8-ac6a-01aa75ed71a1/language-en" TargetMode="External"/><Relationship Id="rId17" Type="http://schemas.openxmlformats.org/officeDocument/2006/relationships/hyperlink" Target="https://ec.europa.eu/info/sites/info/files/bcn_objectives-report2018_web_en.pdf" TargetMode="External"/><Relationship Id="rId25" Type="http://schemas.openxmlformats.org/officeDocument/2006/relationships/hyperlink" Target="https://op.europa.eu/fr/publication-detail/-/publication/8ecbe429-fb90-11e9-8c1f-01aa75ed71a1/language-en/format-PDF/source-107656972" TargetMode="External"/><Relationship Id="rId33" Type="http://schemas.openxmlformats.org/officeDocument/2006/relationships/hyperlink" Target="https://ec.europa.eu/newsroom/just/item-detail.cfm?item_id=115277" TargetMode="External"/><Relationship Id="rId2" Type="http://schemas.openxmlformats.org/officeDocument/2006/relationships/hyperlink" Target="https://ec.europa.eu/eurostat/databrowser/product/view/SDG_05_20?lang=en" TargetMode="External"/><Relationship Id="rId16" Type="http://schemas.openxmlformats.org/officeDocument/2006/relationships/hyperlink" Target="https://www.equalitylaw.eu/downloads/4808-family-leave-enforcement-of-the-protection-against-dismissal-and-unfavourable-treatment-pdf-962-kb" TargetMode="External"/><Relationship Id="rId20" Type="http://schemas.openxmlformats.org/officeDocument/2006/relationships/hyperlink" Target="https://ec.europa.eu/transport/sites/transport/files/2018-business-case-to-increase-female-employment-in-transport-final-report.pdf" TargetMode="External"/><Relationship Id="rId29" Type="http://schemas.openxmlformats.org/officeDocument/2006/relationships/hyperlink" Target="https://ec.europa.eu/info/publications/eu-mutual-learning-programme-gender-equality-equal-pay-iceland-27-28-may-2019_en" TargetMode="External"/><Relationship Id="rId1" Type="http://schemas.openxmlformats.org/officeDocument/2006/relationships/hyperlink" Target="https://op.europa.eu/en/related-publications?p_p_id=portal2012searchExecutor_WAR_portal2012portlet_INSTANCE_AOrXQXg7DLjE&amp;p_p_lifecycle=1&amp;p_p_state=normal&amp;p_p_col_id=maincontentarea&amp;p_p_col_count=3&amp;_portal2012documentDetail_WAR_portal2012portlet_cellarId=f3dd1274-7788-11e9-9f05-01aa75ed71a1&amp;_portal2012documentDetail_WAR_portal2012portlet_language=en&amp;domain=EUPub&amp;domain=EULex&amp;domain=EUWebPage&amp;domain=EUSummariesOfLegislation&amp;facet.issn=1831-2802&amp;p_p_parallel=0" TargetMode="External"/><Relationship Id="rId6" Type="http://schemas.openxmlformats.org/officeDocument/2006/relationships/hyperlink" Target="https://op.europa.eu/en/publication-detail/-/publication/aa27ac5b-fc83-11e5-b713-01aa75ed71a1/language-en" TargetMode="External"/><Relationship Id="rId11" Type="http://schemas.openxmlformats.org/officeDocument/2006/relationships/hyperlink" Target="https://ec.europa.eu/eurostat/web/products-eurostat-news/-/DDN-20200207-1?inheritRedirect=true&amp;redirect=/eurostat/news/whats-new%20" TargetMode="External"/><Relationship Id="rId24" Type="http://schemas.openxmlformats.org/officeDocument/2006/relationships/hyperlink" Target="https://www.equalitylaw.eu/downloads/5002-national-cases-and-good-practices-on-equal-pay" TargetMode="External"/><Relationship Id="rId32" Type="http://schemas.openxmlformats.org/officeDocument/2006/relationships/hyperlink" Target="https://ec.europa.eu/info/funding-tenders/opportunities/portal/screen/opportunities/topic-details/rec-rgen-wwlb-ag-2018" TargetMode="External"/><Relationship Id="rId5" Type="http://schemas.openxmlformats.org/officeDocument/2006/relationships/hyperlink" Target="https://ec.europa.eu/eurostat/web/products-datasets/product?code=teqges01" TargetMode="External"/><Relationship Id="rId15" Type="http://schemas.openxmlformats.org/officeDocument/2006/relationships/hyperlink" Target="https://ec.europa.eu/social/main.jsp?catId=632&amp;langId=en" TargetMode="External"/><Relationship Id="rId23" Type="http://schemas.openxmlformats.org/officeDocument/2006/relationships/hyperlink" Target="https://ec.europa.eu/research/swafs/index.cfm?pg=library&amp;lib=gender_equality" TargetMode="External"/><Relationship Id="rId28" Type="http://schemas.openxmlformats.org/officeDocument/2006/relationships/hyperlink" Target="https://data.consilium.europa.eu/doc/document/ST-13432-2019-INIT/en/pdf" TargetMode="External"/><Relationship Id="rId10" Type="http://schemas.openxmlformats.org/officeDocument/2006/relationships/hyperlink" Target="https://ec.europa.eu/info/sites/info/files/aid_development_cooperation_fundamental_rights/annual_report_ge_2019_en.pdf" TargetMode="External"/><Relationship Id="rId19" Type="http://schemas.openxmlformats.org/officeDocument/2006/relationships/hyperlink" Target="https://ec.europa.eu/transport/themes/social/events/2019-09-26-conf-inclusive-diverse-transport-sector_en" TargetMode="External"/><Relationship Id="rId31" Type="http://schemas.openxmlformats.org/officeDocument/2006/relationships/hyperlink" Target="https://ec.europa.eu/justice/grants1/calls/2015_action_grants/just_2015_rgen_ag_role_en.htm" TargetMode="External"/><Relationship Id="rId4" Type="http://schemas.openxmlformats.org/officeDocument/2006/relationships/hyperlink" Target="https://appsso.eurostat.ec.europa.eu/nui/show.do?dataset=ilc_pnp14&amp;lang=en" TargetMode="External"/><Relationship Id="rId9" Type="http://schemas.openxmlformats.org/officeDocument/2006/relationships/hyperlink" Target="https://eige.europa.eu/gender-statistics/dgs/data-talks/what-lies-behind-gender-pay-gap" TargetMode="External"/><Relationship Id="rId14" Type="http://schemas.openxmlformats.org/officeDocument/2006/relationships/hyperlink" Target="https://ec.europa.eu/justice/grants1/calls/2015_action_grants/just_2015_rgen_ag_role_en.htm" TargetMode="External"/><Relationship Id="rId22" Type="http://schemas.openxmlformats.org/officeDocument/2006/relationships/hyperlink" Target="https://ge-academy.eu/" TargetMode="External"/><Relationship Id="rId27" Type="http://schemas.openxmlformats.org/officeDocument/2006/relationships/hyperlink" Target="https://data.consilium.europa.eu/doc/document/ST-9804-2019-INIT/en/pdf" TargetMode="External"/><Relationship Id="rId30" Type="http://schemas.openxmlformats.org/officeDocument/2006/relationships/hyperlink" Target="https://www.eesc.europa.eu/en/our-work/opinions-information-reports/opinions/eu-action-plan-2017-2019-tackling-gender-pay-g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23B3F6E2CB95D548888E4C4F3DE850B1" ma:contentTypeVersion="5" ma:contentTypeDescription="Create a new document in this library." ma:contentTypeScope="" ma:versionID="a916a426bfa76781f47cf356fa3ecdf8">
  <xsd:schema xmlns:xsd="http://www.w3.org/2001/XMLSchema" xmlns:xs="http://www.w3.org/2001/XMLSchema" xmlns:p="http://schemas.microsoft.com/office/2006/metadata/properties" xmlns:ns2="http://schemas.microsoft.com/sharepoint/v3/fields" xmlns:ns3="2e9ce1a0-0ccf-4233-925b-448ee848baaa" targetNamespace="http://schemas.microsoft.com/office/2006/metadata/properties" ma:root="true" ma:fieldsID="0b2ed579a8952ef2014de1b16b33a92a" ns2:_="" ns3:_="">
    <xsd:import namespace="http://schemas.microsoft.com/sharepoint/v3/fields"/>
    <xsd:import namespace="2e9ce1a0-0ccf-4233-925b-448ee848baaa"/>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Key_x0020_Area"/>
                <xsd:element ref="ns3:Nature_x0020_of_x0020_the_x0020_document"/>
                <xsd:element ref="ns3:Covered_x0020_in_x0020_CEIR_x0020_draft" minOccurs="0"/>
                <xsd:element ref="ns3:Old_x0020_versions" minOccurs="0"/>
                <xsd:element ref="ns3:Type_x0020_of_x0020_initiativ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e9ce1a0-0ccf-4233-925b-448ee848baa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Key_x0020_Area" ma:index="16" ma:displayName="Key Area" ma:format="RadioButtons" ma:indexed="true" ma:internalName="Key_x0020_Area">
      <xsd:simpleType>
        <xsd:union memberTypes="dms:Text">
          <xsd:simpleType>
            <xsd:restriction base="dms:Choice">
              <xsd:enumeration value="Production"/>
              <xsd:enumeration value="Consumption"/>
              <xsd:enumeration value="Waste management"/>
              <xsd:enumeration value="Market for secondary raw materials"/>
              <xsd:enumeration value="Sectorial action"/>
              <xsd:enumeration value="Innovation and investment"/>
              <xsd:enumeration value="Monitoring"/>
              <xsd:enumeration value="Section 2"/>
            </xsd:restriction>
          </xsd:simpleType>
        </xsd:union>
      </xsd:simpleType>
    </xsd:element>
    <xsd:element name="Nature_x0020_of_x0020_the_x0020_document" ma:index="17" ma:displayName="Drafting stage" ma:default="Reporting fiche" ma:format="Dropdown" ma:internalName="Nature_x0020_of_x0020_the_x0020_document">
      <xsd:simpleType>
        <xsd:union memberTypes="dms:Text">
          <xsd:simpleType>
            <xsd:restriction base="dms:Choice">
              <xsd:enumeration value="Reporting fiche"/>
              <xsd:enumeration value="Building blocks"/>
              <xsd:enumeration value="Consolidated version"/>
              <xsd:enumeration value="Consolidated version for ISG comments"/>
              <xsd:enumeration value="Approved version"/>
            </xsd:restriction>
          </xsd:simpleType>
        </xsd:union>
      </xsd:simpleType>
    </xsd:element>
    <xsd:element name="Covered_x0020_in_x0020_CEIR_x0020_draft" ma:index="18" nillable="true" ma:displayName="Covered in CEIR draft" ma:default="0" ma:description="Information on whether information included in this fiche is already reflected in the CEIR drafts" ma:internalName="Covered_x0020_in_x0020_CEIR_x0020_draft">
      <xsd:simpleType>
        <xsd:restriction base="dms:Boolean"/>
      </xsd:simpleType>
    </xsd:element>
    <xsd:element name="Old_x0020_versions" ma:index="19" nillable="true" ma:displayName="Old versions" ma:default="0" ma:internalName="Old_x0020_versions">
      <xsd:simpleType>
        <xsd:restriction base="dms:Boolean"/>
      </xsd:simpleType>
    </xsd:element>
    <xsd:element name="Type_x0020_of_x0020_initiative" ma:index="20" ma:displayName="Type of initiative" ma:format="Dropdown" ma:indexed="true" ma:internalName="Type_x0020_of_x0020_initiative">
      <xsd:simpleType>
        <xsd:restriction base="dms:Choice">
          <xsd:enumeration value="CEAP implementation report"/>
          <xsd:enumeration value="Product policy initiative"/>
          <xsd:enumeration value="Other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vered_x0020_in_x0020_CEIR_x0020_draft xmlns="2e9ce1a0-0ccf-4233-925b-448ee848baaa">false</Covered_x0020_in_x0020_CEIR_x0020_draft>
    <EC_Collab_Reference xmlns="2e9ce1a0-0ccf-4233-925b-448ee848baaa" xsi:nil="true"/>
    <_Status xmlns="http://schemas.microsoft.com/sharepoint/v3/fields">Not Started</_Status>
    <Nature_x0020_of_x0020_the_x0020_document xmlns="2e9ce1a0-0ccf-4233-925b-448ee848baaa">Approved version</Nature_x0020_of_x0020_the_x0020_document>
    <EC_Collab_DocumentLanguage xmlns="2e9ce1a0-0ccf-4233-925b-448ee848baaa">EN</EC_Collab_DocumentLanguage>
    <Key_x0020_Area xmlns="2e9ce1a0-0ccf-4233-925b-448ee848baaa">Version for ISC</Key_x0020_Area>
    <EC_Collab_Status xmlns="2e9ce1a0-0ccf-4233-925b-448ee848baaa">Scheduled</EC_Collab_Status>
    <Old_x0020_versions xmlns="2e9ce1a0-0ccf-4233-925b-448ee848baaa">false</Old_x0020_versions>
    <Type_x0020_of_x0020_initiative xmlns="2e9ce1a0-0ccf-4233-925b-448ee848baaa">CEAP implementation report</Type_x0020_of_x0020_initiativ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7EC08C1-23E3-47AC-B4BE-68D7EFD03C36}">
  <ds:schemaRefs>
    <ds:schemaRef ds:uri="http://schemas.microsoft.com/sharepoint/v3/contenttype/forms"/>
  </ds:schemaRefs>
</ds:datastoreItem>
</file>

<file path=customXml/itemProps2.xml><?xml version="1.0" encoding="utf-8"?>
<ds:datastoreItem xmlns:ds="http://schemas.openxmlformats.org/officeDocument/2006/customXml" ds:itemID="{11325DF7-7CF0-46B5-BD88-C9C0B764A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e9ce1a0-0ccf-4233-925b-448ee848b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03B9AB-561A-485F-8686-5C4BEEFC4470}">
  <ds:schemaRefs>
    <ds:schemaRef ds:uri="http://purl.org/dc/elements/1.1/"/>
    <ds:schemaRef ds:uri="http://schemas.microsoft.com/office/2006/metadata/properties"/>
    <ds:schemaRef ds:uri="2e9ce1a0-0ccf-4233-925b-448ee848baaa"/>
    <ds:schemaRef ds:uri="http://schemas.microsoft.com/sharepoint/v3/field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ED4DC5B0-9F83-4A30-B121-6951AD3A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5372</Words>
  <Characters>31588</Characters>
  <Application>Microsoft Office Word</Application>
  <DocSecurity>0</DocSecurity>
  <Lines>451</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cp:lastPrinted>2020-02-13T14:18:00Z</cp:lastPrinted>
  <dcterms:created xsi:type="dcterms:W3CDTF">2020-02-25T09:32:00Z</dcterms:created>
  <dcterms:modified xsi:type="dcterms:W3CDTF">2020-03-06T12:48:00Z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7.0.1, Build 20190916</vt:lpwstr>
  </property>
  <property fmtid="{D5CDD505-2E9C-101B-9397-08002B2CF9AE}" pid="8" name="CPTemplateID">
    <vt:lpwstr>CP-008</vt:lpwstr>
  </property>
  <property fmtid="{D5CDD505-2E9C-101B-9397-08002B2CF9AE}" pid="9" name="_LW_INVALIDATED__LW_INVALIDATED__LW_INVALIDATED__LW_INVALIDATED__LW_INVALIDATED__LW_INVALIDATED__LW_INVALIDATED__LW_INVALIDATED_ContentTypeId">
    <vt:lpwstr>0x010100258AA79CEB83498886A3A086811232500023B3F6E2CB95D548888E4C4F3DE850B1</vt:lpwstr>
  </property>
</Properties>
</file>